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2026-08-14</w:t>
      </w:r>
    </w:p>
    <w:p>
      <w:pPr>
        <w:spacing w:before="160" w:after="120"/>
      </w:pPr>
      <w:r>
        <w:rPr>
          <w:b/>
          <w:sz w:val="28"/>
        </w:rPr>
        <w:t>【光伏】</w:t>
      </w:r>
    </w:p>
    <w:p>
      <w:pPr>
        <w:spacing w:before="160" w:after="40" w:line="240" w:lineRule="auto"/>
      </w:pPr>
      <w:r>
        <w:rPr>
          <w:b/>
        </w:rPr>
        <w:t xml:space="preserve">[1] </w:t>
      </w:r>
      <w:hyperlink r:id="rId9">
        <w:r>
          <w:rPr>
            <w:color w:val="1155CC"/>
            <w:u w:val="single"/>
          </w:rPr>
          <w:t>评估技术升级作为传统账单援助计划的补充</w:t>
        </w:r>
      </w:hyperlink>
    </w:p>
    <w:p>
      <w:pPr>
        <w:spacing w:before="0" w:after="80"/>
      </w:pPr>
      <w:r>
        <w:rPr>
          <w:i/>
          <w:sz w:val="20"/>
        </w:rPr>
        <w:t>EN: Evaluating technology upgrades as a complement to traditional bill assistance programs</w:t>
      </w:r>
    </w:p>
    <w:p>
      <w:pPr>
        <w:spacing w:before="0" w:after="120"/>
      </w:pPr>
      <w:r>
        <w:rPr>
          <w:b/>
        </w:rPr>
        <w:t xml:space="preserve">Source: </w:t>
      </w:r>
      <w:r>
        <w:t>Scientific community and society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国家提高能源负担能力和减少能源负担（能源支出占收入比例）的计划可以减轻对电价上涨的担忧。许多州向符合收入资格的家庭提供防风雨和屋顶太阳能的账单援助和回扣。在这里，我们分析这些方法如何相互补充以提高能源负担能力。结果说明了项目成本和能源负担减轻之间以及项目的前期成本和持续成本之间的权衡。一般来说，这三种策略相辅相成，以比单独的账单援助更低的净当前成本提高能源负担能力，但不同地区的效果各不相同。防风雨可以减少所需的太阳能安装容量，两者结合起来可以减少或消除对账单援助的持续依赖。在具有成本效益的家庭全面采用的情况下，按 0.48 美元/瓦的全额回扣的防风雨和太阳能回扣，与账单援助相结合，产生与单独的账单援助相同的模型净现成成本，同时将高能源负担的低收入自住家庭的比例从 66% 减少到 19%，而单独的账单援助为 34%。如果没有税收抵免，耐候性仍然可以减轻能源负担和账单援助计划成本，而太阳能可能不具有成本竞争力。</w:t>
      </w:r>
    </w:p>
    <w:p>
      <w:pPr>
        <w:spacing w:before="0" w:after="200" w:lineRule="auto" w:line="276"/>
      </w:pPr>
      <w:r>
        <w:rPr>
          <w:b/>
        </w:rPr>
        <w:t xml:space="preserve">Abstract (EN): </w:t>
      </w:r>
      <w:r>
        <w:t>State programs to improve energy affordability and reduce energy burden (the share of income spent on energy) could mitigate concerns about rising electricity prices. Many states offer bill assistance and rebates for weatherization and rooftop solar to income-qualifying households. Here, we analyse how these approaches may complement one another to improve energy affordability. Results illustrate trade offs between program costs and energy burden reduction, as well as between a program’s upfront and ongoing costs. Generally, the three strategies complement one another to improve energy affordability at lower net present cost than bill assistance alone, with varying effects across regions. Weatherization can reduce the solar installation capacity needed, and both together can reduce or eliminate ongoing reliance on bill assistance. Under full uptake among cost-effective households, fully rebated weatherization and solar rebated at $0.48/Watt, combined with bill assistance, yield the same modelled net present cost as bill assistance alone while reducing the share of low-income owner-occupied households with high energy burdens from 66% to 19%, compared with 34% under bill assistance alone. Absent tax credits, weatherization still reduces energy burden and bill assistance program costs, whereas solar may not be cost-competitive.</w:t>
      </w:r>
    </w:p>
    <w:p>
      <w:pPr>
        <w:spacing w:before="120" w:after="120"/>
      </w:pPr>
      <w:r>
        <w:rPr>
          <w:sz w:val="18"/>
        </w:rPr>
        <w:t>——————————————————————————————————————————————————————————————————————</w:t>
      </w:r>
    </w:p>
    <w:p>
      <w:pPr>
        <w:spacing w:before="160" w:after="40" w:line="240" w:lineRule="auto"/>
      </w:pPr>
      <w:r>
        <w:rPr>
          <w:b/>
        </w:rPr>
        <w:t xml:space="preserve">[2] </w:t>
      </w:r>
      <w:hyperlink r:id="rId10">
        <w:r>
          <w:rPr>
            <w:color w:val="1155CC"/>
            <w:u w:val="single"/>
          </w:rPr>
          <w:t>控制界面孔隧道以减轻钙钛矿太阳能电池中的反向偏压击穿</w:t>
        </w:r>
      </w:hyperlink>
    </w:p>
    <w:p>
      <w:pPr>
        <w:spacing w:before="0" w:after="80"/>
      </w:pPr>
      <w:r>
        <w:rPr>
          <w:i/>
          <w:sz w:val="20"/>
        </w:rPr>
        <w:t>EN: Controlling Interfacial Hole Tunneling To Mitigate Reverse-Bias Breakdown in Perovskite Solar Cells</w:t>
      </w:r>
    </w:p>
    <w:p>
      <w:pPr>
        <w:spacing w:before="0" w:after="120"/>
      </w:pPr>
      <w:r>
        <w:rPr>
          <w:b/>
        </w:rPr>
        <w:t xml:space="preserve">Source: </w:t>
      </w:r>
      <w:r>
        <w:t>ACS Energy Letters: Latest Articles (ACS Publications)</w:t>
      </w:r>
      <w:r>
        <w:t xml:space="preserve">    </w:t>
      </w:r>
      <w:r>
        <w:rPr>
          <w:b/>
        </w:rPr>
        <w:t xml:space="preserve">Pub date: </w:t>
      </w:r>
      <w:r>
        <w:t>2026-08-07 00:00:00+00:00</w:t>
      </w:r>
      <w:r>
        <w:t xml:space="preserve">    </w:t>
      </w:r>
      <w:r>
        <w:rPr>
          <w:b/>
        </w:rPr>
        <w:t xml:space="preserve">DOI: </w:t>
      </w:r>
      <w:hyperlink r:id="rId11">
        <w:r>
          <w:rPr>
            <w:color w:val="1155CC"/>
            <w:u w:val="single"/>
          </w:rPr>
          <w:t>10.1021/acsenergylett.6c01444</w:t>
        </w:r>
      </w:hyperlink>
    </w:p>
    <w:p>
      <w:pPr>
        <w:spacing w:before="0" w:after="120"/>
      </w:pPr>
      <w:r>
        <w:rPr>
          <w:b/>
        </w:rPr>
        <w:t xml:space="preserve">Notes: </w:t>
      </w:r>
      <w:r>
        <w:t>abstract_source=crossref</w:t>
      </w:r>
    </w:p>
    <w:p>
      <w:pPr>
        <w:spacing w:before="0" w:after="80" w:lineRule="auto" w:line="276"/>
      </w:pPr>
      <w:r>
        <w:rPr>
          <w:b/>
        </w:rPr>
        <w:t xml:space="preserve">摘要（ZH）: </w:t>
      </w:r>
      <w:r>
        <w:t>摘要 反向偏压退化，包括局部分流和热点形成，仍然是钙钛矿太阳能电池（PSC）运行的关键障碍。在这里，我们在 SnO2 电子传输层和氟掺杂氧化锡电极之间引入了 TiO2 空穴阻挡层（HBL），以抑制反向偏置引起的空穴注入和漏电流。结合保形 SnO2 化学浴沉积 (CBD)，TiO2 HBL 将击穿电压提高到 –10 V 以上，并减轻局部分流形成和热降解，这一点已由传导原子力显微镜和热成像证实。时间分辨光致发光（TRPL）分析进一步揭示了界面电荷提取的增强和陷阱辅助复合的减少。因此，含有 HBL 的 PSC 表现出改善的反向偏压恢复能力，并且纳米颗粒 SnO2 器件的功率转换效率从 23.47% 提高到 23.88%，CBD SnO2 器件从 25.81% 提高到 26.22%。</w:t>
      </w:r>
    </w:p>
    <w:p>
      <w:pPr>
        <w:spacing w:before="0" w:after="200" w:lineRule="auto" w:line="276"/>
      </w:pPr>
      <w:r>
        <w:rPr>
          <w:b/>
        </w:rPr>
        <w:t xml:space="preserve">Abstract (EN): </w:t>
      </w:r>
      <w:r>
        <w:t>Reverse-bias degradation, including local shunting and hot spot formation, remains a critical obstacle to the operation of perovskite solar cells (PSCs). Here, we introduce a TiO2 hole blocking layer (HBL) between the SnO2 electron transporting layer and fluorine-doped tin oxide electrode to suppress reverse-bias-induced hole injection and leakage current. Combined with conformal SnO2 chemical bath deposition (CBD), the TiO2 HBL increases the breakdown voltage beyond –10 V and mitigates local shunt formation and thermal degradation, as confirmed by conductive atomic force microscopy and thermal imaging. Time-resolved photoluminescence (TRPL) analysis further reveals enhanced interfacial charge extraction and reduced trap-assisted recombination. Consequently, HBL-containing PSCs show improved reverse-bias recovery and increased power conversion efficiency from 23.47% to 23.88% for nanoparticle-SnO2 devices and from 25.81% to 26.22% for CBD SnO2 devices.</w:t>
      </w:r>
    </w:p>
    <w:p>
      <w:pPr>
        <w:spacing w:before="120" w:after="120"/>
      </w:pPr>
      <w:r>
        <w:rPr>
          <w:sz w:val="18"/>
        </w:rPr>
        <w:t>——————————————————————————————————————————————————————————————————————</w:t>
      </w:r>
    </w:p>
    <w:p>
      <w:pPr>
        <w:spacing w:before="160" w:after="40" w:line="240" w:lineRule="auto"/>
      </w:pPr>
      <w:r>
        <w:rPr>
          <w:b/>
        </w:rPr>
        <w:t xml:space="preserve">[3] </w:t>
      </w:r>
      <w:hyperlink r:id="rId12">
        <w:r>
          <w:rPr>
            <w:color w:val="1155CC"/>
            <w:u w:val="single"/>
          </w:rPr>
          <w:t>串联太阳能电池的宽带隙子电池：从金属卤化物到金属硫属化物和金属硫卤化物</w:t>
        </w:r>
      </w:hyperlink>
    </w:p>
    <w:p>
      <w:pPr>
        <w:spacing w:before="0" w:after="80"/>
      </w:pPr>
      <w:r>
        <w:rPr>
          <w:i/>
          <w:sz w:val="20"/>
        </w:rPr>
        <w:t>EN: Wide‐Bandgap Subcells for Tandem Solar Cells: From Metal Halides to Metal Chalcogenides and Metal Chalcohalides</w:t>
      </w:r>
    </w:p>
    <w:p>
      <w:pPr>
        <w:spacing w:before="0" w:after="120"/>
      </w:pPr>
      <w:r>
        <w:rPr>
          <w:b/>
        </w:rPr>
        <w:t xml:space="preserve">Source: </w:t>
      </w:r>
      <w:r>
        <w:t>Wiley: Advanced Materials: Table of Contents</w:t>
      </w:r>
      <w:r>
        <w:t xml:space="preserve">    </w:t>
      </w:r>
      <w:r>
        <w:rPr>
          <w:b/>
        </w:rPr>
        <w:t xml:space="preserve">Pub date: </w:t>
      </w:r>
      <w:r>
        <w:t>2026-08-07 03:17:58+00:00</w:t>
      </w:r>
      <w:r>
        <w:t xml:space="preserve">    </w:t>
      </w:r>
      <w:r>
        <w:rPr>
          <w:b/>
        </w:rPr>
        <w:t xml:space="preserve">DOI: </w:t>
      </w:r>
      <w:hyperlink r:id="rId13">
        <w:r>
          <w:rPr>
            <w:color w:val="1155CC"/>
            <w:u w:val="single"/>
          </w:rPr>
          <w:t>10.1002/adma.74497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宽带隙（WBG）钙钛矿太阳能电池（PSC）推动了钙钛矿（PVK）串联太阳能电池（TSC）的快速发展。然而，它们的商业化仍然受到宽带隙太阳能电池固有的不稳定性的阻碍，特别是在高温最大功率点跟踪条件下，这凸显了开发坚固、高性能宽带隙顶部电池材料的迫切需要。在这里，我们首先总结了提高主流WBG金属卤化物PSC器件性能的策略，重点介绍了通过界面工程、增材工程和相关方法取得的进展。然后，我们评估金属硫属化物太阳能电池作为顶级电池候选者的潜力，确定其高加工温度是限制其在 TSC 中集成的关键因素。最后，我们建议金属卤化物作为有前途的 TSC 顶部电池材料，因为它们具有合适的带隙、低毒性、优异的稳定性和适中的加工温度。本综述旨在为 TSC 中下一代 WBG 顶部电池材料的开发提供设计指南。</w:t>
      </w:r>
    </w:p>
    <w:p>
      <w:pPr>
        <w:spacing w:before="0" w:after="200" w:lineRule="auto" w:line="276"/>
      </w:pPr>
      <w:r>
        <w:rPr>
          <w:b/>
        </w:rPr>
        <w:t xml:space="preserve">Abstract (EN): </w:t>
      </w:r>
      <w:r>
        <w:t>Efficient wide‐bandgap (WBG) perovskite solar cells (PSCs) have propelled the rapid advancement of perovskite (PVK) tandem solar cells (TSCs). However, their commercialization remains impeded by the intrinsic instability of WBG PSCs, particularly under high‐temperature maximum power point tracking conditions, underscoring the urgent need to develop robust, high‐performance WBG top‐cell materials. Here, we first summarize strategies to enhance the device performance of mainstream WBG metal halide PSCs, highlighting advances achieved through interface engineering, additive engineering, and related approaches. Then we evaluate the potential of metal chalcogenides solar cells as top‐cell candidates, identifying their high processing temperatures as a key factor that constrains their integration in TSCs. Finally, we propose metal chalcohalides as promising top‐cell materials for TSCs, owing to their suitable bandgaps, low toxicity, superior stability, and moderate processing temperatures. This review aims to provide design guidelines for the development of next‐generation WBG top‐cell materials in TSCs.</w:t>
      </w:r>
    </w:p>
    <w:p>
      <w:pPr>
        <w:spacing w:before="120" w:after="120"/>
      </w:pPr>
      <w:r>
        <w:rPr>
          <w:sz w:val="18"/>
        </w:rPr>
        <w:t>——————————————————————————————————————————————————————————————————————</w:t>
      </w:r>
    </w:p>
    <w:p>
      <w:pPr>
        <w:spacing w:before="160" w:after="40" w:line="240" w:lineRule="auto"/>
      </w:pPr>
      <w:r>
        <w:rPr>
          <w:b/>
        </w:rPr>
        <w:t xml:space="preserve">[4] </w:t>
      </w:r>
      <w:hyperlink r:id="rId14">
        <w:r>
          <w:rPr>
            <w:color w:val="1155CC"/>
            <w:u w:val="single"/>
          </w:rPr>
          <w:t>双位点协同调节实现界面钝化和应变释放以实现高效钙钛矿太阳能电池</w:t>
        </w:r>
      </w:hyperlink>
    </w:p>
    <w:p>
      <w:pPr>
        <w:spacing w:before="0" w:after="80"/>
      </w:pPr>
      <w:r>
        <w:rPr>
          <w:i/>
          <w:sz w:val="20"/>
        </w:rPr>
        <w:t>EN: Dual‐Site Synergistic Regulation Enabled Interface Passivation and Strain Release Toward Efficient Perovskite Solar Cells</w:t>
      </w:r>
    </w:p>
    <w:p>
      <w:pPr>
        <w:spacing w:before="0" w:after="120"/>
      </w:pPr>
      <w:r>
        <w:rPr>
          <w:b/>
        </w:rPr>
        <w:t xml:space="preserve">Source: </w:t>
      </w:r>
      <w:r>
        <w:t>Wiley: Advanced Materials: Table of Contents</w:t>
      </w:r>
      <w:r>
        <w:t xml:space="preserve">    </w:t>
      </w:r>
      <w:r>
        <w:rPr>
          <w:b/>
        </w:rPr>
        <w:t xml:space="preserve">Pub date: </w:t>
      </w:r>
      <w:r>
        <w:t>2026-08-07 03:59:42+00:00</w:t>
      </w:r>
      <w:r>
        <w:t xml:space="preserve">    </w:t>
      </w:r>
      <w:r>
        <w:rPr>
          <w:b/>
        </w:rPr>
        <w:t xml:space="preserve">DOI: </w:t>
      </w:r>
      <w:hyperlink r:id="rId15">
        <w:r>
          <w:rPr>
            <w:color w:val="1155CC"/>
            <w:u w:val="single"/>
          </w:rPr>
          <w:t>10.1002/adma.74464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倒置钙钛矿太阳能电池（PSC）在光伏转换效率（PCE）方面的不断突破证明了其商业应用的巨大潜力。然而，埋入界面处积累的大量缺陷和钙钛矿薄膜内的残余应变严重制约了光电器件PCE和稳定性的进一步提高。在此，两个磷酸苄酯，溴化磷酸苄酯（4-BrBPA）和甲氧基取代磷酸苄酯（4-MeOBPA），两者都含有双结合位点，在[4-（3,6-二甲基-9）之间组装。</w:t>
      </w:r>
      <w:r>
        <w:t xml:space="preserve"> </w:t>
      </w:r>
      <w:r>
        <w:t>H</w:t>
      </w:r>
      <w:r>
        <w:t xml:space="preserve"> </w:t>
      </w:r>
      <w:r>
        <w:t>-咔唑-9-基）丁基]膦酸（Me-4PACz）空穴传输层（HTL）和钙钛矿作为埋入界面改性剂。更有趣的是，4-BrBPA 的偶极取向与 Me-4PACz 对齐，可以促进界面能级对齐，并有利于载流子的提取和传输。此外，磷酸基团（─PO</w:t>
      </w:r>
      <w:r>
        <w:rPr>
          <w:vertAlign w:val="subscript"/>
        </w:rPr>
        <w:t>3</w:t>
      </w:r>
      <w:r>
        <w:t>H</w:t>
      </w:r>
      <w:r>
        <w:rPr>
          <w:vertAlign w:val="subscript"/>
        </w:rPr>
        <w:t>2</w:t>
      </w:r>
      <w:r>
        <w:t>4-BrBPA 中的 ) 基团和 Br 原子可以与不配位的 Pb 螯合</w:t>
      </w:r>
      <w:r>
        <w:t xml:space="preserve"> </w:t>
      </w:r>
      <w:r>
        <w:t>2+</w:t>
      </w:r>
      <w:r>
        <w:t xml:space="preserve"> </w:t>
      </w:r>
      <w:r>
        <w:t>和空缺我</w:t>
      </w:r>
      <w:r>
        <w:t xml:space="preserve"> </w:t>
      </w:r>
      <w:r>
        <w:t>-</w:t>
      </w:r>
      <w:r>
        <w:t>，有效实现钙钛矿界面缺陷钝化和应变释放。因此，基于 4-BrBPA 界面层的 PSC 的冠军效率为 26.62%（认证为 26.22%）。此外，该策略扩展到宽带隙（1.77 eV）、大面积（1 cm</w:t>
      </w:r>
      <w:r>
        <w:rPr>
          <w:vertAlign w:val="subscript"/>
        </w:rPr>
        <w:t>2</w:t>
      </w:r>
    </w:p>
    <w:p>
      <w:pPr>
        <w:spacing w:before="0" w:after="200" w:lineRule="auto" w:line="276"/>
      </w:pPr>
      <w:r>
        <w:rPr>
          <w:b/>
        </w:rPr>
        <w:t xml:space="preserve">Abstract (EN): </w:t>
      </w:r>
      <w:r>
        <w:t>The continuous breakthroughs in photovoltaic conversion efficiency (PCE) of inverted perovskite solar cells (PSCs) demonstrate the enormous potential for commercial application. However, accumulating numerous defects at the buried interface and residual strain within the perovskite film severely constrain the further improvement in PCE and stability of the optoelectronic device. Herein, two benzyl phosphoric acids, brominated benzyl phosphate (4‐BrBPA) and methoxy‐substituted benzyl phosphate (4‐MeOBPA), both containing double binding sites were assembled between [4‐(3,6‐dimethyl‐9</w:t>
      </w:r>
      <w:r>
        <w:t xml:space="preserve"> </w:t>
      </w:r>
      <w:r>
        <w:t>H</w:t>
      </w:r>
      <w:r>
        <w:t xml:space="preserve"> </w:t>
      </w:r>
      <w:r>
        <w:t>‐carbazol‐9‐yl)butyl]phosphonic acid (Me‐4PACz) hole transport layers (HTLs) and perovskite as buried interface modifiers. More interestingly, the dipole orientation of 4‐BrBPA aligned with Me‐4PACz, which can promote interface energy level alignment, and facilitate carrier extraction and transport. In addition, the phosphate groups (─PO</w:t>
      </w:r>
      <w:r>
        <w:rPr>
          <w:vertAlign w:val="subscript"/>
        </w:rPr>
        <w:t>3</w:t>
      </w:r>
      <w:r>
        <w:t>H</w:t>
      </w:r>
      <w:r>
        <w:rPr>
          <w:vertAlign w:val="subscript"/>
        </w:rPr>
        <w:t>2</w:t>
      </w:r>
      <w:r>
        <w:t>) group and Br atom in 4‐BrBPA can chelate with uncoordinated Pb</w:t>
      </w:r>
      <w:r>
        <w:t xml:space="preserve"> </w:t>
      </w:r>
      <w:r>
        <w:t>2+</w:t>
      </w:r>
      <w:r>
        <w:t xml:space="preserve"> </w:t>
      </w:r>
      <w:r>
        <w:t>and vacancy I</w:t>
      </w:r>
      <w:r>
        <w:t xml:space="preserve"> </w:t>
      </w:r>
      <w:r>
        <w:t>−</w:t>
      </w:r>
      <w:r>
        <w:t>, which will effectively achieve perovskite interfacial defect passivation and strain release. Consequently, the PSCs based on 4‐BrBPA interface layer achieve champion efficiency of 26.62% (certified 26.22%). Moreover, this strategy is extended to wide‐bandgap (1.77 eV), large‐area (1 cm</w:t>
      </w:r>
      <w:r>
        <w:rPr>
          <w:vertAlign w:val="subscript"/>
        </w:rPr>
        <w:t>2</w:t>
      </w:r>
      <w:r>
        <w:t>) PSCs, and mini‐module (11.3 cm</w:t>
      </w:r>
      <w:r>
        <w:rPr>
          <w:vertAlign w:val="subscript"/>
        </w:rPr>
        <w:t>2</w:t>
      </w:r>
      <w:r>
        <w:t>), resulting in PCEs of 21.64%, 24.43%, and 21.08%, respectively. The optimized PSCs demonstrate excellent operational and storage stability. This work provides an effective strategy for interface modification and strain regulation.</w:t>
      </w:r>
    </w:p>
    <w:p>
      <w:pPr>
        <w:spacing w:before="120" w:after="120"/>
      </w:pPr>
      <w:r>
        <w:rPr>
          <w:sz w:val="18"/>
        </w:rPr>
        <w:t>——————————————————————————————————————————————————————————————————————</w:t>
      </w:r>
    </w:p>
    <w:p>
      <w:pPr>
        <w:spacing w:before="160" w:after="40" w:line="240" w:lineRule="auto"/>
      </w:pPr>
      <w:r>
        <w:rPr>
          <w:b/>
        </w:rPr>
        <w:t xml:space="preserve">[5] </w:t>
      </w:r>
      <w:hyperlink r:id="rId16">
        <w:r>
          <w:rPr>
            <w:color w:val="1155CC"/>
            <w:u w:val="single"/>
          </w:rPr>
          <w:t>对“通过自组装层双钝化消除界面晶格失配和有害反应以实现高效稳定的倒置钙钛矿太阳能电池”的修正</w:t>
        </w:r>
      </w:hyperlink>
    </w:p>
    <w:p>
      <w:pPr>
        <w:spacing w:before="0" w:after="80"/>
      </w:pPr>
      <w:r>
        <w:rPr>
          <w:i/>
          <w:sz w:val="20"/>
        </w:rPr>
        <w:t>EN: Correction to “Elimination of Interfacial Lattice Mismatch and Detrimental Reaction by Self‐Assembled Layer Dual‐Passivation for Efficient and Stable Inverted Perovskite Solar Cells”</w:t>
      </w:r>
    </w:p>
    <w:p>
      <w:pPr>
        <w:spacing w:before="0" w:after="120"/>
      </w:pPr>
      <w:r>
        <w:rPr>
          <w:b/>
        </w:rPr>
        <w:t xml:space="preserve">Source: </w:t>
      </w:r>
      <w:r>
        <w:t>Wiley: Advanced Energy Materials: Table of Contents</w:t>
      </w:r>
      <w:r>
        <w:t xml:space="preserve">    </w:t>
      </w:r>
      <w:r>
        <w:rPr>
          <w:b/>
        </w:rPr>
        <w:t xml:space="preserve">Pub date: </w:t>
      </w:r>
      <w:r>
        <w:t>2026-08-07 06:41:13+00:00</w:t>
      </w:r>
      <w:r>
        <w:t xml:space="preserve">    </w:t>
      </w:r>
      <w:r>
        <w:rPr>
          <w:b/>
        </w:rPr>
        <w:t xml:space="preserve">DOI: </w:t>
      </w:r>
      <w:hyperlink r:id="rId17">
        <w:r>
          <w:rPr>
            <w:color w:val="1155CC"/>
            <w:u w:val="single"/>
          </w:rPr>
          <w:t>10.1002/aenm.71415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8">
        <w:r>
          <w:rPr>
            <w:color w:val="1155CC"/>
            <w:u w:val="single"/>
          </w:rPr>
          <w:t>用于可扩展钙钛矿光伏的分子解聚桥接工程 SnO2 界面</w:t>
        </w:r>
      </w:hyperlink>
    </w:p>
    <w:p>
      <w:pPr>
        <w:spacing w:before="0" w:after="80"/>
      </w:pPr>
      <w:r>
        <w:rPr>
          <w:i/>
          <w:sz w:val="20"/>
        </w:rPr>
        <w:t>EN: Molecular Disaggregation‐Bridging Engineered SnO2 Interfaces for Scalable Perovskite Photovoltaics</w:t>
      </w:r>
    </w:p>
    <w:p>
      <w:pPr>
        <w:spacing w:before="0" w:after="120"/>
      </w:pPr>
      <w:r>
        <w:rPr>
          <w:b/>
        </w:rPr>
        <w:t xml:space="preserve">Source: </w:t>
      </w:r>
      <w:r>
        <w:t>Wiley: Advanced Energy Materials: Table of Contents</w:t>
      </w:r>
      <w:r>
        <w:t xml:space="preserve">    </w:t>
      </w:r>
      <w:r>
        <w:rPr>
          <w:b/>
        </w:rPr>
        <w:t xml:space="preserve">Pub date: </w:t>
      </w:r>
      <w:r>
        <w:t>2026-08-07 06:43:58+00:00</w:t>
      </w:r>
      <w:r>
        <w:t xml:space="preserve">    </w:t>
      </w:r>
      <w:r>
        <w:rPr>
          <w:b/>
        </w:rPr>
        <w:t xml:space="preserve">DOI: </w:t>
      </w:r>
      <w:hyperlink r:id="rId19">
        <w:r>
          <w:rPr>
            <w:color w:val="1155CC"/>
            <w:u w:val="single"/>
          </w:rPr>
          <w:t>10.1002/aenm.71419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可扩展的钙钛矿光伏发电受到不稳定 SnO 的双重挑战的限制</w:t>
      </w:r>
      <w:r>
        <w:rPr>
          <w:vertAlign w:val="subscript"/>
        </w:rPr>
        <w:t>2</w:t>
      </w:r>
      <w:r>
        <w:t>胶体和富含缺陷的埋入界面，它们共同破坏了薄膜的均匀性和电荷提取。虽然现有策略通常仅针对胶体稳定或界面钝化，但它们的单一功能性质限制了大面积处理的有效性。在这里，我们介绍一下磷酸二氢钾（KH</w:t>
      </w:r>
      <w:r>
        <w:rPr>
          <w:vertAlign w:val="subscript"/>
        </w:rPr>
        <w:t>2</w:t>
      </w:r>
      <w:r>
        <w:t>采购订单</w:t>
      </w:r>
      <w:r>
        <w:rPr>
          <w:vertAlign w:val="subscript"/>
        </w:rPr>
        <w:t>4</w:t>
      </w:r>
      <w:r>
        <w:t>）作为双功能改性剂，产生分子解聚桥联效应（MDBE）。磷酸二氢阴离子调节商业 SnO 的胶体组织</w:t>
      </w:r>
      <w:r>
        <w:rPr>
          <w:vertAlign w:val="subscript"/>
        </w:rPr>
        <w:t>2</w:t>
      </w:r>
      <w:r>
        <w:t>分散体，有助于更平滑和更均匀的电子传输层，同时在埋藏的 SnO 处建立磷酸盐介导的界面配位</w:t>
      </w:r>
      <w:r>
        <w:rPr>
          <w:vertAlign w:val="subscript"/>
        </w:rPr>
        <w:t>2</w:t>
      </w:r>
      <w:r>
        <w:t>/钙钛矿界面。这种综合调节抑制了陷阱辅助复合并促进均匀的钙钛矿结晶。因此，通过刮刀涂布结合真空蒸发制造的钙钛矿器件达到了 25.34% 的 PCE，以及 5 × 5 cm</w:t>
      </w:r>
      <w:r>
        <w:rPr>
          <w:vertAlign w:val="subscript"/>
        </w:rPr>
        <w:t>2</w:t>
      </w:r>
      <w:r>
        <w:t>模块（12厘米</w:t>
      </w:r>
      <w:r>
        <w:rPr>
          <w:vertAlign w:val="subscript"/>
        </w:rPr>
        <w:t>2</w:t>
      </w:r>
      <w:r>
        <w:t>活动区域）可提供 23.16% 的性能，缩放时仅损失 8%。因此，MDBE 提供了一种统一且经济有效的接口工程策略，克服了这些限制</w:t>
      </w:r>
    </w:p>
    <w:p>
      <w:pPr>
        <w:spacing w:before="0" w:after="200" w:lineRule="auto" w:line="276"/>
      </w:pPr>
      <w:r>
        <w:rPr>
          <w:b/>
        </w:rPr>
        <w:t xml:space="preserve">Abstract (EN): </w:t>
      </w:r>
      <w:r>
        <w:t>Scalable perovskite photovoltaics are limited by the coupled challenges of unstable SnO</w:t>
      </w:r>
      <w:r>
        <w:rPr>
          <w:vertAlign w:val="subscript"/>
        </w:rPr>
        <w:t>2</w:t>
      </w:r>
      <w:r>
        <w:t>colloids and defect‐rich buried interfaces, which together undermine film uniformity and charge extraction. While existing strategies typically target either colloidal stabilization or interface passivation alone, their single‐function nature restricts effectiveness for large‐area processing. Here, we introduce potassium dihydrogen phosphate (KH</w:t>
      </w:r>
      <w:r>
        <w:rPr>
          <w:vertAlign w:val="subscript"/>
        </w:rPr>
        <w:t>2</w:t>
      </w:r>
      <w:r>
        <w:t>PO</w:t>
      </w:r>
      <w:r>
        <w:rPr>
          <w:vertAlign w:val="subscript"/>
        </w:rPr>
        <w:t>4</w:t>
      </w:r>
      <w:r>
        <w:t>) as a dual‐functional modifier that produces a molecular disaggregation–bridging effect (MDBE). Dihydrogen phosphate anions regulate the colloidal organization of commercial SnO</w:t>
      </w:r>
      <w:r>
        <w:rPr>
          <w:vertAlign w:val="subscript"/>
        </w:rPr>
        <w:t>2</w:t>
      </w:r>
      <w:r>
        <w:t>dispersions, contributing to smoother and more uniform electron‐transport layers, while simultaneously establishing phosphate‐mediated interfacial coordination at the buried SnO</w:t>
      </w:r>
      <w:r>
        <w:rPr>
          <w:vertAlign w:val="subscript"/>
        </w:rPr>
        <w:t>2</w:t>
      </w:r>
      <w:r>
        <w:t>/perovskite interface. This integrated regulation suppresses trap‐assisted recombination and promotes uniform perovskite crystallization. Consequently, perovskite devices fabricated via blade coating in combination with vacuum evaporation reach a PCE of 25.34%, and 5 × 5 cm</w:t>
      </w:r>
      <w:r>
        <w:rPr>
          <w:vertAlign w:val="subscript"/>
        </w:rPr>
        <w:t>2</w:t>
      </w:r>
      <w:r>
        <w:t>modules (12 cm</w:t>
      </w:r>
      <w:r>
        <w:rPr>
          <w:vertAlign w:val="subscript"/>
        </w:rPr>
        <w:t>2</w:t>
      </w:r>
      <w:r>
        <w:t>active area) deliver 23.16% with only 8% loss upon scaling. MDBE thereby provides a unified and cost‐effective interface‐engineering strategy that overcomes the limitations of conventional single‐function additives, enabling reliable and high‐performance large‐area perovskite photovoltaics.</w:t>
      </w:r>
    </w:p>
    <w:p>
      <w:pPr>
        <w:spacing w:before="120" w:after="120"/>
      </w:pPr>
      <w:r>
        <w:rPr>
          <w:sz w:val="18"/>
        </w:rPr>
        <w:t>——————————————————————————————————————————————————————————————————————</w:t>
      </w:r>
    </w:p>
    <w:p>
      <w:pPr>
        <w:spacing w:before="160" w:after="40" w:line="240" w:lineRule="auto"/>
      </w:pPr>
      <w:r>
        <w:rPr>
          <w:b/>
        </w:rPr>
        <w:t xml:space="preserve">[7] </w:t>
      </w:r>
      <w:hyperlink r:id="rId20">
        <w:r>
          <w:rPr>
            <w:color w:val="1155CC"/>
            <w:u w:val="single"/>
          </w:rPr>
          <w:t>功率转换效率超过 25% 的含氟甲基铵阳离子钙钛矿太阳能电池</w:t>
        </w:r>
      </w:hyperlink>
    </w:p>
    <w:p>
      <w:pPr>
        <w:spacing w:before="0" w:after="80"/>
      </w:pPr>
      <w:r>
        <w:rPr>
          <w:i/>
          <w:sz w:val="20"/>
        </w:rPr>
        <w:t>EN: Fluorinated Methylammonium Cation Containing Perovskite Solar Cells With Over 25% Power Conversion Efficiency</w:t>
      </w:r>
    </w:p>
    <w:p>
      <w:pPr>
        <w:spacing w:before="0" w:after="120"/>
      </w:pPr>
      <w:r>
        <w:rPr>
          <w:b/>
        </w:rPr>
        <w:t xml:space="preserve">Source: </w:t>
      </w:r>
      <w:r>
        <w:t>Wiley: Advanced Energy Materials: Table of Contents</w:t>
      </w:r>
      <w:r>
        <w:t xml:space="preserve">    </w:t>
      </w:r>
      <w:r>
        <w:rPr>
          <w:b/>
        </w:rPr>
        <w:t xml:space="preserve">Pub date: </w:t>
      </w:r>
      <w:r>
        <w:t>2026-08-07 06:53:54+00:00</w:t>
      </w:r>
      <w:r>
        <w:t xml:space="preserve">    </w:t>
      </w:r>
      <w:r>
        <w:rPr>
          <w:b/>
        </w:rPr>
        <w:t xml:space="preserve">DOI: </w:t>
      </w:r>
      <w:hyperlink r:id="rId21">
        <w:r>
          <w:rPr>
            <w:color w:val="1155CC"/>
            <w:u w:val="single"/>
          </w:rPr>
          <w:t>10.1002/aenm.71396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高性能钙钛矿太阳能电池（PSC）通常使用甲脒CH(NH</w:t>
      </w:r>
      <w:r>
        <w:rPr>
          <w:vertAlign w:val="subscript"/>
        </w:rPr>
        <w:t>2</w:t>
      </w:r>
      <w:r>
        <w:t>）</w:t>
      </w:r>
      <w:r>
        <w:rPr>
          <w:vertAlign w:val="subscript"/>
        </w:rPr>
        <w:t>2</w:t>
      </w:r>
      <w:r>
        <w:t>+</w:t>
      </w:r>
      <w:r>
        <w:t xml:space="preserve"> </w:t>
      </w:r>
      <w:r>
        <w:t>（FA</w:t>
      </w:r>
      <w:r>
        <w:t xml:space="preserve"> </w:t>
      </w:r>
      <w:r>
        <w:t>+</w:t>
      </w:r>
      <w:r>
        <w:t xml:space="preserve"> </w:t>
      </w:r>
      <w:r>
        <w:t>), 铯 Cs</w:t>
      </w:r>
      <w:r>
        <w:t xml:space="preserve"> </w:t>
      </w:r>
      <w:r>
        <w:t>+,</w:t>
      </w:r>
      <w:r>
        <w:t xml:space="preserve"> </w:t>
      </w:r>
      <w:r>
        <w:t>和热不稳定的甲基铵CH</w:t>
      </w:r>
      <w:r>
        <w:rPr>
          <w:vertAlign w:val="subscript"/>
        </w:rPr>
        <w:t>3</w:t>
      </w:r>
      <w:r>
        <w:t>NH</w:t>
      </w:r>
      <w:r>
        <w:rPr>
          <w:vertAlign w:val="subscript"/>
        </w:rPr>
        <w:t>3</w:t>
      </w:r>
      <w:r>
        <w:t>+</w:t>
      </w:r>
      <w:r>
        <w:t xml:space="preserve"> </w:t>
      </w:r>
      <w:r>
        <w:t>（马</w:t>
      </w:r>
      <w:r>
        <w:t xml:space="preserve"> </w:t>
      </w:r>
      <w:r>
        <w:t>+</w:t>
      </w:r>
      <w:r>
        <w:t xml:space="preserve"> </w:t>
      </w:r>
      <w:r>
        <w:t>）单价阳离子。排除不稳定的MA</w:t>
      </w:r>
      <w:r>
        <w:t xml:space="preserve"> </w:t>
      </w:r>
      <w:r>
        <w:t>+</w:t>
      </w:r>
      <w:r>
        <w:t xml:space="preserve"> </w:t>
      </w:r>
      <w:r>
        <w:t>导致钙钛矿组合物具有增加的稳定性和减小的带隙。本研究介绍了一种使用简单的氟化甲基铵 CFH 的新方法</w:t>
      </w:r>
      <w:r>
        <w:rPr>
          <w:vertAlign w:val="subscript"/>
        </w:rPr>
        <w:t>2</w:t>
      </w:r>
      <w:r>
        <w:t>NH</w:t>
      </w:r>
      <w:r>
        <w:rPr>
          <w:vertAlign w:val="subscript"/>
        </w:rPr>
        <w:t>3</w:t>
      </w:r>
      <w:r>
        <w:t>+</w:t>
      </w:r>
      <w:r>
        <w:t xml:space="preserve"> </w:t>
      </w:r>
      <w:r>
        <w:t>（FMA</w:t>
      </w:r>
      <w:r>
        <w:t xml:space="preserve"> </w:t>
      </w:r>
      <w:r>
        <w:t>+</w:t>
      </w:r>
      <w:r>
        <w:t xml:space="preserve"> </w:t>
      </w:r>
      <w:r>
        <w:t>）能够掺杂到钙钛矿框架中的阳离子。添加优化量的 0.8 mol% FMAI 后，钙钛矿组合物的热稳定性更加稳定，从而实现更具可重复性的 n-i-p PSC 性能，功率转换效率高达 25.67%。 PSC 表现出超过 2000 小时的运行稳定性。光谱和计算分析表明，FMAI 可能发挥双重作用，既可以作为能够掺杂到钙钛矿中的氟化铵添加剂，又可以作为产生钝化物质的化学非无害前体。</w:t>
      </w:r>
    </w:p>
    <w:p>
      <w:pPr>
        <w:spacing w:before="0" w:after="200" w:lineRule="auto" w:line="276"/>
      </w:pPr>
      <w:r>
        <w:rPr>
          <w:b/>
        </w:rPr>
        <w:t xml:space="preserve">Abstract (EN): </w:t>
      </w:r>
      <w:r>
        <w:t>High‐performance perovskite solar cells (PSCs) are typically made using formamidinium CH(NH</w:t>
      </w:r>
      <w:r>
        <w:rPr>
          <w:vertAlign w:val="subscript"/>
        </w:rPr>
        <w:t>2</w:t>
      </w:r>
      <w:r>
        <w:t>)</w:t>
      </w:r>
      <w:r>
        <w:rPr>
          <w:vertAlign w:val="subscript"/>
        </w:rPr>
        <w:t>2</w:t>
      </w:r>
      <w:r>
        <w:t>+</w:t>
      </w:r>
      <w:r>
        <w:t xml:space="preserve"> </w:t>
      </w:r>
      <w:r>
        <w:t>(FA</w:t>
      </w:r>
      <w:r>
        <w:t xml:space="preserve"> </w:t>
      </w:r>
      <w:r>
        <w:t>+</w:t>
      </w:r>
      <w:r>
        <w:t xml:space="preserve"> </w:t>
      </w:r>
      <w:r>
        <w:t>), cesium Cs</w:t>
      </w:r>
      <w:r>
        <w:t xml:space="preserve"> </w:t>
      </w:r>
      <w:r>
        <w:t>+,</w:t>
      </w:r>
      <w:r>
        <w:t xml:space="preserve"> </w:t>
      </w:r>
      <w:r>
        <w:t>and the thermally unstable methylammonium CH</w:t>
      </w:r>
      <w:r>
        <w:rPr>
          <w:vertAlign w:val="subscript"/>
        </w:rPr>
        <w:t>3</w:t>
      </w:r>
      <w:r>
        <w:t>NH</w:t>
      </w:r>
      <w:r>
        <w:rPr>
          <w:vertAlign w:val="subscript"/>
        </w:rPr>
        <w:t>3</w:t>
      </w:r>
      <w:r>
        <w:t>+</w:t>
      </w:r>
      <w:r>
        <w:t xml:space="preserve"> </w:t>
      </w:r>
      <w:r>
        <w:t>(MA</w:t>
      </w:r>
      <w:r>
        <w:t xml:space="preserve"> </w:t>
      </w:r>
      <w:r>
        <w:t>+</w:t>
      </w:r>
      <w:r>
        <w:t xml:space="preserve"> </w:t>
      </w:r>
      <w:r>
        <w:t>) monovalent cations. Excluding unstable MA</w:t>
      </w:r>
      <w:r>
        <w:t xml:space="preserve"> </w:t>
      </w:r>
      <w:r>
        <w:t>+</w:t>
      </w:r>
      <w:r>
        <w:t xml:space="preserve"> </w:t>
      </w:r>
      <w:r>
        <w:t>leads to perovskite compositions with increased stabilities and decreased bandgaps. This study introduces a novel approach using a simple fluorinated methylammonium CFH</w:t>
      </w:r>
      <w:r>
        <w:rPr>
          <w:vertAlign w:val="subscript"/>
        </w:rPr>
        <w:t>2</w:t>
      </w:r>
      <w:r>
        <w:t>NH</w:t>
      </w:r>
      <w:r>
        <w:rPr>
          <w:vertAlign w:val="subscript"/>
        </w:rPr>
        <w:t>3</w:t>
      </w:r>
      <w:r>
        <w:t>+</w:t>
      </w:r>
      <w:r>
        <w:t xml:space="preserve"> </w:t>
      </w:r>
      <w:r>
        <w:t>(FMA</w:t>
      </w:r>
      <w:r>
        <w:t xml:space="preserve"> </w:t>
      </w:r>
      <w:r>
        <w:t>+</w:t>
      </w:r>
      <w:r>
        <w:t xml:space="preserve"> </w:t>
      </w:r>
      <w:r>
        <w:t>) cation capable of doping into the perovskite‐framework. With the addition of an optimized quantity of 0.8 mol% FMAI, perovskite compositions are thermally more stable, enabling more reproducible n‐i‐p PSC performance with a power conversion efficiency of 25.67%. The PSCs exhibit operational stability over 2000 h. Spectroscopic and computational analyses suggest that FMAI may play a dual role as a fluorinated ammonium additive capable of doping into the perovskite and as a chemically non‐innocent precursor producing passivating species.</w:t>
      </w:r>
    </w:p>
    <w:p>
      <w:pPr>
        <w:spacing w:before="120" w:after="120"/>
      </w:pPr>
      <w:r>
        <w:rPr>
          <w:sz w:val="18"/>
        </w:rPr>
        <w:t>——————————————————————————————————————————————————————————————————————</w:t>
      </w:r>
    </w:p>
    <w:p>
      <w:pPr>
        <w:spacing w:before="160" w:after="40" w:line="240" w:lineRule="auto"/>
      </w:pPr>
      <w:r>
        <w:rPr>
          <w:b/>
        </w:rPr>
        <w:t xml:space="preserve">[8] </w:t>
      </w:r>
      <w:hyperlink r:id="rId22">
        <w:r>
          <w:rPr>
            <w:color w:val="1155CC"/>
            <w:u w:val="single"/>
          </w:rPr>
          <w:t>用于纳秒短波红外检测和发射的双功能胶体量子点二极管（Adv. Mater. 44/2026）</w:t>
        </w:r>
      </w:hyperlink>
    </w:p>
    <w:p>
      <w:pPr>
        <w:spacing w:before="0" w:after="80"/>
      </w:pPr>
      <w:r>
        <w:rPr>
          <w:i/>
          <w:sz w:val="20"/>
        </w:rPr>
        <w:t>EN: A Bifunctional Colloidal Quantum Dot Diode for Nanosecond Short‐Wave Infrared Detection and Emission (Adv. Mater. 44/2026)</w:t>
      </w:r>
    </w:p>
    <w:p>
      <w:pPr>
        <w:spacing w:before="0" w:after="120"/>
      </w:pPr>
      <w:r>
        <w:rPr>
          <w:b/>
        </w:rPr>
        <w:t xml:space="preserve">Source: </w:t>
      </w:r>
      <w:r>
        <w:t>Wiley: Advanced Materials: Table of Contents</w:t>
      </w:r>
      <w:r>
        <w:t xml:space="preserve">    </w:t>
      </w:r>
      <w:r>
        <w:rPr>
          <w:b/>
        </w:rPr>
        <w:t xml:space="preserve">Pub date: </w:t>
      </w:r>
      <w:r>
        <w:t>2026-08-07 10:09:44+00:00</w:t>
      </w:r>
      <w:r>
        <w:t xml:space="preserve">    </w:t>
      </w:r>
      <w:r>
        <w:rPr>
          <w:b/>
        </w:rPr>
        <w:t xml:space="preserve">DOI: </w:t>
      </w:r>
      <w:hyperlink r:id="rId23">
        <w:r>
          <w:rPr>
            <w:color w:val="1155CC"/>
            <w:u w:val="single"/>
          </w:rPr>
          <w:t>10.1002/adma.74429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4">
        <w:r>
          <w:rPr>
            <w:color w:val="1155CC"/>
            <w:u w:val="single"/>
          </w:rPr>
          <w:t>用于倒置钙钛矿太阳能电池的分子模板埋置界面</w:t>
        </w:r>
      </w:hyperlink>
    </w:p>
    <w:p>
      <w:pPr>
        <w:spacing w:before="0" w:after="80"/>
      </w:pPr>
      <w:r>
        <w:rPr>
          <w:i/>
          <w:sz w:val="20"/>
        </w:rPr>
        <w:t>EN: Molecularly Templated Buried Interfaces for Inverted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2026-08-07 12:58:07+00:00</w:t>
      </w:r>
      <w:r>
        <w:t xml:space="preserve">    </w:t>
      </w:r>
      <w:r>
        <w:rPr>
          <w:b/>
        </w:rPr>
        <w:t xml:space="preserve">DOI: </w:t>
      </w:r>
      <w:hyperlink r:id="rId25">
        <w:r>
          <w:rPr>
            <w:color w:val="1155CC"/>
            <w:u w:val="single"/>
          </w:rPr>
          <w:t>10.1002/anie.6932848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组装单层（SAM）和钙钛矿吸收体之间的掩埋界面关键控制着倒置钙钛矿太阳能电池的电荷提取和稳定性，但结构上仍然不匹配且控制不佳。在这里，我们报告了一种受非共价分子模板启发的埋入界面工程策略，该策略由互补的三苯胺基分子构建块实现。将基于三苯胺的铵盐2-(4-(二苯氨基)苯基)碘化乙铵(TPANI)引入钙钛矿前驱体中，而沉积在ITO上的结构匹配的基于三苯胺的双膦酸SAM作为空穴选择层。埋入界面处的非共价相互作用诱导了 TPANI 的分子模板和界面组织，增强了 SAM/钙钛矿粘附力并减少了钙钛矿薄膜埋入侧的晶间沟槽深度。由此产生的单片集成界面可抑制掩埋界面缺陷，改善能级对准，并促进空穴提取。因此，倒置器件实现了 26.58% 的功率转换效率和 86.72% 的极高填充因子，并且工作稳定性显着增强。这些结果表明，非共价分子模板为钙钛矿光伏中的埋入界面工程提供了有效且通用的策略。</w:t>
      </w:r>
    </w:p>
    <w:p>
      <w:pPr>
        <w:spacing w:before="0" w:after="200" w:lineRule="auto" w:line="276"/>
      </w:pPr>
      <w:r>
        <w:rPr>
          <w:b/>
        </w:rPr>
        <w:t xml:space="preserve">Abstract (EN): </w:t>
      </w:r>
      <w:r>
        <w:t>The buried interface between self‐assembled monolayers (SAMs) and perovskite absorbers critically governs charge extraction and stability in inverted perovskite solar cells, yet remains structurally mismatched and poorly controlled. Here, we report a buried‐interface engineering strategy inspired by non‑covalent molecular templating, enabled by complementary triphenylamine‐based molecular building blocks. A triphenylamine‐based ammonium salt, 2‐(4‐(diphenylamino)phenyl)ethanammonium iodide (TPANI), is introduced into the perovskite precursor, while a structurally matched triphenylamine‐based bisphosphonic acid SAM deposited on ITO serves as the hole‐selective layer. Non‐covalent interactions at the buried interface induce molecular templating and interfacial organization of TPANI, strengthening SAM/perovskite adhesion and reducing intergranular groove depth at the buried side of the perovskite film. The resulting monolithically integrated interface suppresses buried interfacial defects, improves energy‐level alignment, and facilitates hole extraction. Consequently, inverted devices achieve a power conversion efficiency of 26.58% with an exceptionally high fill factor of 86.72%, together with markedly enhanced operational stability. These results demonstrate that non‑covalent molecular templating provides an effective and general strategy for engineering buried interfaces in perovskite photovoltaics.</w:t>
      </w:r>
    </w:p>
    <w:p>
      <w:pPr>
        <w:spacing w:before="120" w:after="120"/>
      </w:pPr>
      <w:r>
        <w:rPr>
          <w:sz w:val="18"/>
        </w:rPr>
        <w:t>——————————————————————————————————————————————————————————————————————</w:t>
      </w:r>
    </w:p>
    <w:p>
      <w:pPr>
        <w:spacing w:before="160" w:after="40" w:line="240" w:lineRule="auto"/>
      </w:pPr>
      <w:r>
        <w:rPr>
          <w:b/>
        </w:rPr>
        <w:t xml:space="preserve">[10] </w:t>
      </w:r>
      <w:hyperlink r:id="rId26">
        <w:r>
          <w:rPr>
            <w:color w:val="1155CC"/>
            <w:u w:val="single"/>
          </w:rPr>
          <w:t>在高达 1800 K 的平面热源上展示高效 GaSb 热光伏电池，适用于高温应用</w:t>
        </w:r>
      </w:hyperlink>
    </w:p>
    <w:p>
      <w:pPr>
        <w:spacing w:before="0" w:after="80"/>
      </w:pPr>
      <w:r>
        <w:rPr>
          <w:i/>
          <w:sz w:val="20"/>
        </w:rPr>
        <w:t>EN: High-efficiency GaSb thermophotovoltaic cell demonstrated on a planar heat source up to 1800 K for high-temperature applications</w:t>
      </w:r>
    </w:p>
    <w:p>
      <w:pPr>
        <w:spacing w:before="0" w:after="120"/>
      </w:pPr>
      <w:r>
        <w:rPr>
          <w:b/>
        </w:rPr>
        <w:t xml:space="preserve">Source: </w:t>
      </w:r>
      <w:r>
        <w:t>ScienceDirect Publication: Applied Energy</w:t>
      </w:r>
      <w:r>
        <w:t xml:space="preserve">    </w:t>
      </w:r>
      <w:r>
        <w:rPr>
          <w:b/>
        </w:rPr>
        <w:t xml:space="preserve">Pub date: </w:t>
      </w:r>
      <w:r>
        <w:t>2026-08-08 00:00:00+00:00</w:t>
      </w:r>
      <w:r>
        <w:t xml:space="preserve">    </w:t>
      </w:r>
      <w:r>
        <w:rPr>
          <w:b/>
        </w:rPr>
        <w:t xml:space="preserve">DOI: </w:t>
      </w:r>
      <w:hyperlink r:id="rId27">
        <w:r>
          <w:rPr>
            <w:color w:val="1155CC"/>
            <w:u w:val="single"/>
          </w:rPr>
          <w:t>10.1016/j.apenergy.2026.128650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8">
        <w:r>
          <w:rPr>
            <w:color w:val="1155CC"/>
            <w:u w:val="single"/>
          </w:rPr>
          <w:t>自组装多层膜可减少钙钛矿太阳能电池的界面能量损失</w:t>
        </w:r>
      </w:hyperlink>
    </w:p>
    <w:p>
      <w:pPr>
        <w:spacing w:before="0" w:after="80"/>
      </w:pPr>
      <w:r>
        <w:rPr>
          <w:i/>
          <w:sz w:val="20"/>
        </w:rPr>
        <w:t>EN: Self-Assembled Multilayers Reduce Interfacial Energy Loss in Perovskite Solar Cells</w:t>
      </w:r>
    </w:p>
    <w:p>
      <w:pPr>
        <w:spacing w:before="0" w:after="120"/>
      </w:pPr>
      <w:r>
        <w:rPr>
          <w:b/>
        </w:rPr>
        <w:t xml:space="preserve">Source: </w:t>
      </w:r>
      <w:r>
        <w:t>Physical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使用自组装多层（SAM）层作为空穴传输层（HTL）代表了高效钙钛矿太阳能电池（PSC）的重大进步。然而，许多 SAM 材料存在聚集、润湿性差以及与钙钛矿相互作用较弱的问题，这阻碍了电荷转移并导致能量损失，从而限制了功率转换效率 (PCE) 和长期稳定性。在本研究中，我们合成了两种SAM，即2-(10-(3,5-二甲氧基苯基)−7H-苯并[c]咔唑-7-基)乙基)膦酸(记为DMPA)和2-(7H-苯并[c]咔唑-7-基)乙基)膦酸(记为BCPA)。 DMPA SAM 有效抑制自聚集并增强基材覆盖率。 DMPA 中的甲氧基与钙钛矿相互作用，从而使 DMPA 能够钝化埋入界面处的缺陷并优化钙钛矿结晶。这些界面改进有助于更有效地提取电荷并增强界面稳定性。结果，基于 DMPA 的 PSC 实现了 27.59% 的 PCE（经认证的 PCE 为 27.2%），并表现出卓越的光热稳定性，在 65 °C 1 Sun 下连续照明 1600 小时后，仍保留了 94.5% 的初始效率。</w:t>
      </w:r>
    </w:p>
    <w:p>
      <w:pPr>
        <w:spacing w:before="0" w:after="200" w:lineRule="auto" w:line="276"/>
      </w:pPr>
      <w:r>
        <w:rPr>
          <w:b/>
        </w:rPr>
        <w:t xml:space="preserve">Abstract (EN): </w:t>
      </w:r>
      <w:r>
        <w:t>The use of self-assembled multilayer (SAM) layers as hole transport layers (HTLs) represents a major advance for high-efficiency perovskite solar cells (PSCs). However, many SAMs materials suffer from aggregation, poor wettability, and weak interactions with the perovskite, which hinder charge transfer and cause energy losses that limit both power conversion efficiency (PCE) and long-term stability. In this study, we synthesized two SAMs, namely 2-(10-(3,5-dimethoxyphenyl)−7H-benzo[c]carbazol-7-yl)ethyl)phosphonic acid (denoted as DMPA) and 2-(7H-benzo[c]carbazol-7-yl)ethyl)phosphonic acid (denoted as BCPA). DMPA SAM effectively suppresses self‑aggregation and enhances substrate coverage. The methoxy groups in DMPA interact with the perovskite, thereby enabling DMPA to passivate defects at the buried interface and optimize perovskite crystallization. These interfacial improvements facilitate more efficient charge extraction and enhance interfacial stability. As a result, DMPA-based PSCs achieve a PCE of 27.59% (certified PCE of 27.2%) and show remarkable photothermal stability, retaining 94.5% of their initial efficiency after 1600 hours of continuous illumination under 1 Sun at 65 °C.</w:t>
      </w:r>
    </w:p>
    <w:p>
      <w:pPr>
        <w:spacing w:before="120" w:after="120"/>
      </w:pPr>
      <w:r>
        <w:rPr>
          <w:sz w:val="18"/>
        </w:rPr>
        <w:t>——————————————————————————————————————————————————————————————————————</w:t>
      </w:r>
    </w:p>
    <w:p>
      <w:pPr>
        <w:spacing w:before="160" w:after="40" w:line="240" w:lineRule="auto"/>
      </w:pPr>
      <w:r>
        <w:rPr>
          <w:b/>
        </w:rPr>
        <w:t xml:space="preserve">[12] </w:t>
      </w:r>
      <w:hyperlink r:id="rId29">
        <w:r>
          <w:rPr>
            <w:color w:val="1155CC"/>
            <w:u w:val="single"/>
          </w:rPr>
          <w:t>基于水凝胶的光伏冷却的双扩散模型：气候适应性和国家应用潜力</w:t>
        </w:r>
      </w:hyperlink>
    </w:p>
    <w:p>
      <w:pPr>
        <w:spacing w:before="0" w:after="80"/>
      </w:pPr>
      <w:r>
        <w:rPr>
          <w:i/>
          <w:sz w:val="20"/>
        </w:rPr>
        <w:t>EN: A dual-diffusion model for hydrogel-based photovoltaic cooling: Climatic adaptability and national application potential</w:t>
      </w:r>
    </w:p>
    <w:p>
      <w:pPr>
        <w:spacing w:before="0" w:after="120"/>
      </w:pPr>
      <w:r>
        <w:rPr>
          <w:b/>
        </w:rPr>
        <w:t xml:space="preserve">Source: </w:t>
      </w:r>
      <w:r>
        <w:t>ScienceDirect Publication: Applied Energy</w:t>
      </w:r>
      <w:r>
        <w:t xml:space="preserve">    </w:t>
      </w:r>
      <w:r>
        <w:rPr>
          <w:b/>
        </w:rPr>
        <w:t xml:space="preserve">Pub date: </w:t>
      </w:r>
      <w:r>
        <w:t>2026-08-09 00:00:00+00:00</w:t>
      </w:r>
      <w:r>
        <w:t xml:space="preserve">    </w:t>
      </w:r>
      <w:r>
        <w:rPr>
          <w:b/>
        </w:rPr>
        <w:t xml:space="preserve">DOI: </w:t>
      </w:r>
      <w:hyperlink r:id="rId30">
        <w:r>
          <w:rPr>
            <w:color w:val="1155CC"/>
            <w:u w:val="single"/>
          </w:rPr>
          <w:t>10.1016/j.apenergy.2026.128583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31">
        <w:r>
          <w:rPr>
            <w:color w:val="1155CC"/>
            <w:u w:val="single"/>
          </w:rPr>
          <w:t>通过加速老化选择材料，使得钙钛矿-硅串联太阳能电池在户外监测 1 年后性能保持率 &gt;95%</w:t>
        </w:r>
      </w:hyperlink>
    </w:p>
    <w:p>
      <w:pPr>
        <w:spacing w:before="0" w:after="80"/>
      </w:pPr>
      <w:r>
        <w:rPr>
          <w:i/>
          <w:sz w:val="20"/>
        </w:rPr>
        <w:t>EN: Material Selection through Accelerated Aging Enables &amp;gt;95% Performance Retention of a Perovskite–Silicon Tandem Solar Cell after 1 Year of Outdoor Monitoring</w:t>
      </w:r>
    </w:p>
    <w:p>
      <w:pPr>
        <w:spacing w:before="0" w:after="120"/>
      </w:pPr>
      <w:r>
        <w:rPr>
          <w:b/>
        </w:rPr>
        <w:t xml:space="preserve">Source: </w:t>
      </w:r>
      <w:r>
        <w:t>ACS Energy Letters: Latest Articles (ACS Publications)</w:t>
      </w:r>
      <w:r>
        <w:t xml:space="preserve">    </w:t>
      </w:r>
      <w:r>
        <w:rPr>
          <w:b/>
        </w:rPr>
        <w:t xml:space="preserve">Pub date: </w:t>
      </w:r>
      <w:r>
        <w:t>2026-08-09 00:00:00+00:00</w:t>
      </w:r>
      <w:r>
        <w:t xml:space="preserve">    </w:t>
      </w:r>
      <w:r>
        <w:rPr>
          <w:b/>
        </w:rPr>
        <w:t xml:space="preserve">DOI: </w:t>
      </w:r>
      <w:hyperlink r:id="rId32">
        <w:r>
          <w:rPr>
            <w:color w:val="1155CC"/>
            <w:u w:val="single"/>
          </w:rPr>
          <w:t>10.1021/acsenergylett.6c01363</w:t>
        </w:r>
      </w:hyperlink>
    </w:p>
    <w:p>
      <w:pPr>
        <w:spacing w:before="0" w:after="120"/>
      </w:pPr>
      <w:r>
        <w:rPr>
          <w:b/>
        </w:rPr>
        <w:t xml:space="preserve">Notes: </w:t>
      </w:r>
      <w:r>
        <w:t>abstract_source=crossref</w:t>
      </w:r>
    </w:p>
    <w:p>
      <w:pPr>
        <w:spacing w:before="0" w:after="80" w:lineRule="auto" w:line="276"/>
      </w:pPr>
      <w:r>
        <w:rPr>
          <w:b/>
        </w:rPr>
        <w:t xml:space="preserve">摘要（ZH）: </w:t>
      </w:r>
      <w:r>
        <w:t>摘要 为了确保加速老化测试加剧的钙钛矿-硅串联太阳能电池的退化模式与实际操作条件下观察到的相关，应结合室外监测开展加速测试。在此，通过室外监测数据验证了在 1 太阳等效照度和开路条件下的短暂 3 天加速老化测试。该加速测试用于成功筛选钙钛矿-硅串联电池结构。特别是，通过用氧化镍（NiOx）代替2-（9H-咔唑-9-基）乙基）膦酸（2PACz）并结合染料N719作为空穴传输层（HTL），可以显着提高稳定性。举例来说，在户外进行一年的最大功率点跟踪后，与 NiOx/N719 HTL 的串联保持了 96.4% 的初始功率转换效率。</w:t>
      </w:r>
    </w:p>
    <w:p>
      <w:pPr>
        <w:spacing w:before="0" w:after="200" w:lineRule="auto" w:line="276"/>
      </w:pPr>
      <w:r>
        <w:rPr>
          <w:b/>
        </w:rPr>
        <w:t xml:space="preserve">Abstract (EN): </w:t>
      </w:r>
      <w:r>
        <w:t>In order to ensure that the degradation modes of perovskite–silicon tandem solar cells exacerbated by accelerated aging tests are relevant to those observed under real-world operating conditions, accelerated testing should be developed in line with outdoor monitoring. Here, a short 3-day accelerated aging test under 1 sun equivalent illumination and at open-circuit conditions is validated by outdoor monitoring data. This accelerated test is used to successfully screen perovskite–silicon tandem cell architectures. In particular, by replacing 2-(9H-carbazol-9-yl)ethyl)phosphonic acid (2PACz) with nickel oxide (NiOx) combined with the dye N719 as the hole transport layer (HTL), significantly improved stability is achieved. Exemplifying this, after 1 year of maximum power point tracking outdoors, a tandem with the NiOx/N719 HTL retains 96.4% of its initial power conversion efficiency.</w:t>
      </w:r>
    </w:p>
    <w:p>
      <w:pPr>
        <w:spacing w:before="120" w:after="120"/>
      </w:pPr>
      <w:r>
        <w:rPr>
          <w:sz w:val="18"/>
        </w:rPr>
        <w:t>——————————————————————————————————————————————————————————————————————</w:t>
      </w:r>
    </w:p>
    <w:p>
      <w:pPr>
        <w:spacing w:before="160" w:after="40" w:line="240" w:lineRule="auto"/>
      </w:pPr>
      <w:r>
        <w:rPr>
          <w:b/>
        </w:rPr>
        <w:t xml:space="preserve">[14] </w:t>
      </w:r>
      <w:hyperlink r:id="rId33">
        <w:r>
          <w:rPr>
            <w:color w:val="1155CC"/>
            <w:u w:val="single"/>
          </w:rPr>
          <w:t>量化分布式光伏定向平滑效应及其对电网性能的影响</w:t>
        </w:r>
      </w:hyperlink>
    </w:p>
    <w:p>
      <w:pPr>
        <w:spacing w:before="0" w:after="80"/>
      </w:pPr>
      <w:r>
        <w:rPr>
          <w:i/>
          <w:sz w:val="20"/>
        </w:rPr>
        <w:t>EN: Quantifying distributed PV orientation smoothing effects and their impact on electricity grid performance</w:t>
      </w:r>
    </w:p>
    <w:p>
      <w:pPr>
        <w:spacing w:before="0" w:after="120"/>
      </w:pPr>
      <w:r>
        <w:rPr>
          <w:b/>
        </w:rPr>
        <w:t xml:space="preserve">Source: </w:t>
      </w:r>
      <w:r>
        <w:t>ScienceDirect Publication: Applied Energy</w:t>
      </w:r>
      <w:r>
        <w:t xml:space="preserve">    </w:t>
      </w:r>
      <w:r>
        <w:rPr>
          <w:b/>
        </w:rPr>
        <w:t xml:space="preserve">Pub date: </w:t>
      </w:r>
      <w:r>
        <w:t>2026-08-09 00:00:00+00:00</w:t>
      </w:r>
      <w:r>
        <w:t xml:space="preserve">    </w:t>
      </w:r>
      <w:r>
        <w:rPr>
          <w:b/>
        </w:rPr>
        <w:t xml:space="preserve">DOI: </w:t>
      </w:r>
      <w:hyperlink r:id="rId34">
        <w:r>
          <w:rPr>
            <w:color w:val="1155CC"/>
            <w:u w:val="single"/>
          </w:rPr>
          <w:t>10.1016/j.apenergy.2026.128589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35">
        <w:r>
          <w:rPr>
            <w:color w:val="1155CC"/>
            <w:u w:val="single"/>
          </w:rPr>
          <w:t>反相边界调节 DMA+ 辅助 CsPbI3 基钙钛矿的相稳定性和性能</w:t>
        </w:r>
      </w:hyperlink>
    </w:p>
    <w:p>
      <w:pPr>
        <w:spacing w:before="0" w:after="80"/>
      </w:pPr>
      <w:r>
        <w:rPr>
          <w:i/>
          <w:sz w:val="20"/>
        </w:rPr>
        <w:t>EN: Antiphase Boundaries Regulate Phase Stability and Performance in DMA+‐Assisted CsPbI3‐Based Perovskites</w:t>
      </w:r>
    </w:p>
    <w:p>
      <w:pPr>
        <w:spacing w:before="0" w:after="120"/>
      </w:pPr>
      <w:r>
        <w:rPr>
          <w:b/>
        </w:rPr>
        <w:t xml:space="preserve">Source: </w:t>
      </w:r>
      <w:r>
        <w:t>Wiley: Advanced Materials: Table of Contents</w:t>
      </w:r>
      <w:r>
        <w:t xml:space="preserve">    </w:t>
      </w:r>
      <w:r>
        <w:rPr>
          <w:b/>
        </w:rPr>
        <w:t xml:space="preserve">Pub date: </w:t>
      </w:r>
      <w:r>
        <w:t>2026-08-09 09:48:34+00:00</w:t>
      </w:r>
      <w:r>
        <w:t xml:space="preserve">    </w:t>
      </w:r>
      <w:r>
        <w:rPr>
          <w:b/>
        </w:rPr>
        <w:t xml:space="preserve">DOI: </w:t>
      </w:r>
      <w:hyperlink r:id="rId36">
        <w:r>
          <w:rPr>
            <w:color w:val="1155CC"/>
            <w:u w:val="single"/>
          </w:rPr>
          <w:t>10.1002/adma.74538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碘化铯</w:t>
      </w:r>
      <w:r>
        <w:rPr>
          <w:vertAlign w:val="subscript"/>
        </w:rPr>
        <w:t>3</w:t>
      </w:r>
      <w:r>
        <w:t>基于钙钛矿的最佳带隙（~1.7 eV）是串联太阳能电池有前途的吸收剂。然而，光活性γ-CsPbI的相变</w:t>
      </w:r>
      <w:r>
        <w:rPr>
          <w:vertAlign w:val="subscript"/>
        </w:rPr>
        <w:t>3</w:t>
      </w:r>
      <w:r>
        <w:t>到非光敏δ-CsPbI</w:t>
      </w:r>
      <w:r>
        <w:rPr>
          <w:vertAlign w:val="subscript"/>
        </w:rPr>
        <w:t>3</w:t>
      </w:r>
      <w:r>
        <w:t>仍然是一个主要障碍，并且受到薄膜生长过程中形成的微观结构缺陷的强烈控制。其中，Ruddlesden-Popper反相边界（RP-APB）特别普遍，并表现出竞争效应，减轻晶格应变，同时促进水分渗透、离子迁移和非辐射复合。在这里，我们系统地调控了 γ 相 CsPbI 中的 RP-APB 缺陷</w:t>
      </w:r>
      <w:r>
        <w:rPr>
          <w:vertAlign w:val="subscript"/>
        </w:rPr>
        <w:t>3</w:t>
      </w:r>
      <w:r>
        <w:t>薄膜并阐明它们对相稳定性和光电性能的决定性影响。基于PbI的组合策略</w:t>
      </w:r>
      <w:r>
        <w:rPr>
          <w:vertAlign w:val="subscript"/>
        </w:rPr>
        <w:t>2</w:t>
      </w:r>
      <w:r>
        <w:t>过量有效降低了 RP-APB 密度，但引起边缘共享 [PbI</w:t>
      </w:r>
      <w:r>
        <w:rPr>
          <w:vertAlign w:val="subscript"/>
        </w:rPr>
        <w:t>6</w:t>
      </w:r>
      <w:r>
        <w:t>]</w:t>
      </w:r>
      <w:r>
        <w:t xml:space="preserve"> </w:t>
      </w:r>
      <w:r>
        <w:t>4−</w:t>
      </w:r>
      <w:r>
        <w:t>使 δ 相成核的基序。相比之下，二甲基铵（DMA</w:t>
      </w:r>
      <w:r>
        <w:t xml:space="preserve"> </w:t>
      </w:r>
      <w:r>
        <w:t>+</w:t>
      </w:r>
      <w:r>
        <w:t xml:space="preserve"> </w:t>
      </w:r>
      <w:r>
        <w:t>)辅助阶段工程策略形成β-(DMA,Cs)PbI</w:t>
      </w:r>
      <w:r>
        <w:rPr>
          <w:vertAlign w:val="subscript"/>
        </w:rPr>
        <w:t>3</w:t>
      </w:r>
      <w:r>
        <w:t>，它本质上抑制了 RP-APB 的形成，同时保留了光活性钙钛矿框架。因此，不含 RP-APB 的 β 相薄膜表现出更长的载流子寿命，强烈抑制非辐射</w:t>
      </w:r>
    </w:p>
    <w:p>
      <w:pPr>
        <w:spacing w:before="0" w:after="200" w:lineRule="auto" w:line="276"/>
      </w:pPr>
      <w:r>
        <w:rPr>
          <w:b/>
        </w:rPr>
        <w:t xml:space="preserve">Abstract (EN): </w:t>
      </w:r>
      <w:r>
        <w:t>CsPbI</w:t>
      </w:r>
      <w:r>
        <w:rPr>
          <w:vertAlign w:val="subscript"/>
        </w:rPr>
        <w:t>3</w:t>
      </w:r>
      <w:r>
        <w:t>‐based perovskites are promising absorbers for tandem solar cells owing to their optimal bandgap (∼1.7 eV). However, the phase transition from photoactive γ‐CsPbI</w:t>
      </w:r>
      <w:r>
        <w:rPr>
          <w:vertAlign w:val="subscript"/>
        </w:rPr>
        <w:t>3</w:t>
      </w:r>
      <w:r>
        <w:t>to non‐photoactive δ‐CsPbI</w:t>
      </w:r>
      <w:r>
        <w:rPr>
          <w:vertAlign w:val="subscript"/>
        </w:rPr>
        <w:t>3</w:t>
      </w:r>
      <w:r>
        <w:t>remains a major obstacle and is strongly governed by microstructural defects formed during film growth. Among these, Ruddlesden–Popper antiphase boundaries (RP‐APBs) are particularly prevalent and exhibit competing effects, relieving lattice strain while simultaneously facilitating moisture penetration, ion migration, and nonradiative recombination. Here, we systematically regulate RP‐APB defects in γ‐phase CsPbI</w:t>
      </w:r>
      <w:r>
        <w:rPr>
          <w:vertAlign w:val="subscript"/>
        </w:rPr>
        <w:t>3</w:t>
      </w:r>
      <w:r>
        <w:t>thin films and elucidate their decisive influence on both phase stability and optoelectronic performance. A compositional strategy based on PbI</w:t>
      </w:r>
      <w:r>
        <w:rPr>
          <w:vertAlign w:val="subscript"/>
        </w:rPr>
        <w:t>2</w:t>
      </w:r>
      <w:r>
        <w:t>excess effectively reduces RP‐APB density but induces edge‐sharing [PbI</w:t>
      </w:r>
      <w:r>
        <w:rPr>
          <w:vertAlign w:val="subscript"/>
        </w:rPr>
        <w:t>6</w:t>
      </w:r>
      <w:r>
        <w:t>]</w:t>
      </w:r>
      <w:r>
        <w:t xml:space="preserve"> </w:t>
      </w:r>
      <w:r>
        <w:t>4−</w:t>
      </w:r>
      <w:r>
        <w:t>motifs that nucleate the δ phase. In contrast, a dimethylammonium (DMA</w:t>
      </w:r>
      <w:r>
        <w:t xml:space="preserve"> </w:t>
      </w:r>
      <w:r>
        <w:t>+</w:t>
      </w:r>
      <w:r>
        <w:t xml:space="preserve"> </w:t>
      </w:r>
      <w:r>
        <w:t>)‐assisted phase‐engineering strategy forms β‐(DMA,Cs)PbI</w:t>
      </w:r>
      <w:r>
        <w:rPr>
          <w:vertAlign w:val="subscript"/>
        </w:rPr>
        <w:t>3</w:t>
      </w:r>
      <w:r>
        <w:t>, which intrinsically suppresses RP‐APB formation while preserving the photoactive perovskite framework. As a result, RP‐APB‐free β‐phase films exhibit prolonged carrier lifetimes, strongly suppressed nonradiative recombination, and the lowest apparent trap densities, enabling a champion power conversion efficiency of 20.23% together with markedly enhanced operational, thermal, and ambient‐air stability. This work demonstrates that regulating crystalline defects, exemplified by RP‐APBs, plays a critical role in achieving both stable and efficient perovskite solar cells.</w:t>
      </w:r>
    </w:p>
    <w:p>
      <w:pPr>
        <w:spacing w:before="120" w:after="120"/>
      </w:pPr>
      <w:r>
        <w:rPr>
          <w:sz w:val="18"/>
        </w:rPr>
        <w:t>——————————————————————————————————————————————————————————————————————</w:t>
      </w:r>
    </w:p>
    <w:p>
      <w:pPr>
        <w:spacing w:before="160" w:after="40" w:line="240" w:lineRule="auto"/>
      </w:pPr>
      <w:r>
        <w:rPr>
          <w:b/>
        </w:rPr>
        <w:t xml:space="preserve">[16] </w:t>
      </w:r>
      <w:hyperlink r:id="rId37">
        <w:r>
          <w:rPr>
            <w:color w:val="1155CC"/>
            <w:u w:val="single"/>
          </w:rPr>
          <w:t>作者更正：耐用的全无机钙钛矿串联光伏电池</w:t>
        </w:r>
      </w:hyperlink>
    </w:p>
    <w:p>
      <w:pPr>
        <w:spacing w:before="0" w:after="80"/>
      </w:pPr>
      <w:r>
        <w:rPr>
          <w:i/>
          <w:sz w:val="20"/>
        </w:rPr>
        <w:t>EN: Author Correction: Durable all-inorganic perovskite tandem photovoltaics</w:t>
      </w:r>
    </w:p>
    <w:p>
      <w:pPr>
        <w:spacing w:before="0" w:after="120"/>
      </w:pPr>
      <w:r>
        <w:rPr>
          <w:b/>
        </w:rPr>
        <w:t xml:space="preserve">Source: </w:t>
      </w:r>
      <w:r>
        <w:t>Nature</w:t>
      </w:r>
      <w:r>
        <w:t xml:space="preserve">    </w:t>
      </w:r>
      <w:r>
        <w:rPr>
          <w:b/>
        </w:rPr>
        <w:t xml:space="preserve">Pub date: </w:t>
      </w:r>
      <w:r>
        <w:t>2026-08-10 00:00:00+00:00</w:t>
      </w:r>
      <w:r>
        <w:t xml:space="preserve">    </w:t>
      </w:r>
      <w:r>
        <w:rPr>
          <w:b/>
        </w:rPr>
        <w:t xml:space="preserve">DOI: </w:t>
      </w:r>
      <w:hyperlink r:id="rId38">
        <w:r>
          <w:rPr>
            <w:color w:val="1155CC"/>
            <w:u w:val="single"/>
          </w:rPr>
          <w:t>10.1038/s41586-026-10984-9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39">
        <w:r>
          <w:rPr>
            <w:color w:val="1155CC"/>
            <w:u w:val="single"/>
          </w:rPr>
          <w:t>设计具有自组装单层空穴传输层的高效倒置钙钛矿太阳能电池</w:t>
        </w:r>
      </w:hyperlink>
    </w:p>
    <w:p>
      <w:pPr>
        <w:spacing w:before="0" w:after="80"/>
      </w:pPr>
      <w:r>
        <w:rPr>
          <w:i/>
          <w:sz w:val="20"/>
        </w:rPr>
        <w:t>EN: Designing Efficient Inverted Perovskite Solar Cells with Self-Assembled Monolayer Hole Transport Layers</w:t>
      </w:r>
    </w:p>
    <w:p>
      <w:pPr>
        <w:spacing w:before="0" w:after="120"/>
      </w:pPr>
      <w:r>
        <w:rPr>
          <w:b/>
        </w:rPr>
        <w:t xml:space="preserve">Source: </w:t>
      </w:r>
      <w:r>
        <w:t>Nano-Micro Letters</w:t>
      </w:r>
      <w:r>
        <w:t xml:space="preserve">    </w:t>
      </w:r>
      <w:r>
        <w:rPr>
          <w:b/>
        </w:rPr>
        <w:t xml:space="preserve">Pub date: </w:t>
      </w:r>
      <w:r>
        <w:t>2026-08-10 00:00:00+00:00</w:t>
      </w:r>
      <w:r>
        <w:t xml:space="preserve">    </w:t>
      </w:r>
      <w:r>
        <w:rPr>
          <w:b/>
        </w:rPr>
        <w:t xml:space="preserve">DOI: </w:t>
      </w:r>
      <w:hyperlink r:id="rId40">
        <w:r>
          <w:rPr>
            <w:color w:val="1155CC"/>
            <w:u w:val="single"/>
          </w:rPr>
          <w:t>10.1007/s40820-026-02327-0</w:t>
        </w:r>
      </w:hyperlink>
    </w:p>
    <w:p>
      <w:pPr>
        <w:spacing w:before="0" w:after="120"/>
      </w:pPr>
      <w:r>
        <w:rPr>
          <w:b/>
        </w:rPr>
        <w:t xml:space="preserve">Notes: </w:t>
      </w:r>
      <w:r>
        <w:t>abstract_source=rss_description</w:t>
      </w:r>
    </w:p>
    <w:p>
      <w:pPr>
        <w:spacing w:before="0" w:after="80" w:lineRule="auto" w:line="276"/>
      </w:pPr>
      <w:r>
        <w:rPr>
          <w:b/>
        </w:rPr>
        <w:t xml:space="preserve">摘要（ZH）: </w:t>
      </w:r>
      <w:r>
        <w:t>自组装单层 (SAM) 已成为钙钛矿太阳能电池 (PSC) 中用途广泛的界面材料，具有可调的分子结构、良好的能级排列、高光学透明度和最小化的非辐射复合损失。随着倒置 (p-i-n) PSC 架构的快速发展，基于 SAM 的空穴选择性接触在实现卓越的功率转换效率、经济高效的制造以及与可扩展制造工艺的强大兼容性方面表现出了明显的优势。本综述首先总结了 SAM 应用的演变，特别关注 p-i-n PSC 中基于 SAM 的材料。随后，系统地讨论了 SAM 的基本方面。此外，还回顾了 SAM 的常见制备方法，以及实现均匀 SAM 涂层遇到的关键挑战。在此基础上，全面总结了基于SAM的PSC的最新进展，包括其在高效单结器件、钙钛矿串联太阳能电池和大面积光伏组件中的应用。强调了 SAM 在能级调制、界面改性、缺陷钝化和电荷传输中的关键作用。最后，讨论了 SAM 在倒置 PSC 中的剩余挑战和未来前景，特别强调界面稳定性和长期运行可靠性。本综述旨在为基于 SAM 的倒置 PSC 的进一步开发提供系统的见解和指导。亮点：1这篇评论总结了发展</w:t>
      </w:r>
    </w:p>
    <w:p>
      <w:pPr>
        <w:spacing w:before="0" w:after="200" w:lineRule="auto" w:line="276"/>
      </w:pPr>
      <w:r>
        <w:rPr>
          <w:b/>
        </w:rPr>
        <w:t xml:space="preserve">Abstract (EN): </w:t>
      </w:r>
      <w:r>
        <w:t>Self-assembled monolayers (SAMs) have emerged as highly versatile interfacial materials in perovskite solar cells (PSCs), offering tunable molecular structures, favorable energy-level alignment, high optical transparency, and minimized non-radiative recombination losses. With the rapid advancement of inverted (p-i-n) PSC architectures, SAM-based hole-selective contacts have demonstrated distinct advantages in achieving superior power conversion efficiency, cost-effective fabrication, and strong compatibility with scalable manufacturing processes. This review first summarizes the evolution of SAM applications, with a particular focus on SAM-based materials in p-i-n PSCs. Subsequently, the fundamental aspects of SAMs are systematically discussed. Further, common preparation methods of SAMs are reviewed, along with the key challenges encountered in achieving uniform SAM coating. Based on this, recent progress in SAM-based PSCs is comprehensively summarized, including their applications in high-efficiency single-junction devices, perovskite tandem solar cells, and large-area photovoltaic modules. The crucial roles of SAMs in energy-level modulation, interfacial modification, defect passivation, and charge transport are highlighted. Finally, the remaining challenges and future prospects of SAMs in inverted PSCs are discussed, with particular emphasis on interfacial stability and long-term operational reliability. This review aims at providing systematic insights and guidance for the further development of SAM-based inverted PSCs. Highlights:1 This review summarizes the development of self-assembled monolayers (SAMs), with a special focus on their applications in inverted (p-i-n) perovskite solar cells.2 This review discusses the structure, preparation methods, interfacial roles of SAMs, as well as the common problems encountered during their fabrication process.3 This review highlights recent advances of SAM-based inverted perovskite solar cells in efficient single-junction, tandem, and large-area modules and outlines key challenges and future prospects of SAM applications.</w:t>
      </w:r>
    </w:p>
    <w:p>
      <w:pPr>
        <w:spacing w:before="120" w:after="120"/>
      </w:pPr>
      <w:r>
        <w:rPr>
          <w:sz w:val="18"/>
        </w:rPr>
        <w:t>——————————————————————————————————————————————————————————————————————</w:t>
      </w:r>
    </w:p>
    <w:p>
      <w:pPr>
        <w:spacing w:before="160" w:after="40" w:line="240" w:lineRule="auto"/>
      </w:pPr>
      <w:r>
        <w:rPr>
          <w:b/>
        </w:rPr>
        <w:t xml:space="preserve">[18] </w:t>
      </w:r>
      <w:hyperlink r:id="rId41">
        <w:r>
          <w:rPr>
            <w:color w:val="1155CC"/>
            <w:u w:val="single"/>
          </w:rPr>
          <w:t>用于半透明光伏的硒太阳能电池：超薄器件的上限退火协议</w:t>
        </w:r>
      </w:hyperlink>
    </w:p>
    <w:p>
      <w:pPr>
        <w:spacing w:before="0" w:after="80"/>
      </w:pPr>
      <w:r>
        <w:rPr>
          <w:i/>
          <w:sz w:val="20"/>
        </w:rPr>
        <w:t>EN: Selenium Solar Cells for Semi-Transparent Photovoltaics: Capped Annealing Protocols for Ultra-Thin Devices</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42">
        <w:r>
          <w:rPr>
            <w:color w:val="1155CC"/>
            <w:u w:val="single"/>
          </w:rPr>
          <w:t>10.1021/acsami.6c13441</w:t>
        </w:r>
      </w:hyperlink>
    </w:p>
    <w:p>
      <w:pPr>
        <w:spacing w:before="0" w:after="120"/>
      </w:pPr>
      <w:r>
        <w:rPr>
          <w:b/>
        </w:rPr>
        <w:t xml:space="preserve">Notes: </w:t>
      </w:r>
      <w:r>
        <w:t>abstract_source=crossref</w:t>
      </w:r>
    </w:p>
    <w:p>
      <w:pPr>
        <w:spacing w:before="0" w:after="80" w:lineRule="auto" w:line="276"/>
      </w:pPr>
      <w:r>
        <w:rPr>
          <w:b/>
        </w:rPr>
        <w:t xml:space="preserve">摘要（ZH）: </w:t>
      </w:r>
      <w:r>
        <w:t>摘要 这项工作研究了退火方案对硒 (Se) 太阳能电池结晶、形貌和器件性能的影响，重点是透明器件的可行性。探索了不同的退火顺序，改变了与层沉积相关的热处理步骤。完整的结构表征（拉曼、X 射线衍射 (XRD) 和扫描电子显微镜 (SEM)）表明，无帽退火可改善界面有序性和晶粒尺寸，而有帽条件有利于更平滑的形貌。尽管块体结晶度相似，但这些差异显着影响了光伏性能，在对整个器件进行退火时获得了最佳结果，功率转换效率 (PCE) 为 5.6%。然后将更薄的吸收层（100 和 50 nm）加工成器件，使半透明器件具有良好的平均明视可见光透射率（高达 40%）和超过 1% 的光利用率，使 Se 技术对半透明感兴趣。有趣的是，光学模型表明，优化的退火条件产生了具有中间光学常数的纳米结构硒层，介于非晶硒和晶体硒之间，特别适合半透明，强调了合成在调节光学行为中的关键作用。</w:t>
      </w:r>
    </w:p>
    <w:p>
      <w:pPr>
        <w:spacing w:before="0" w:after="200" w:lineRule="auto" w:line="276"/>
      </w:pPr>
      <w:r>
        <w:rPr>
          <w:b/>
        </w:rPr>
        <w:t xml:space="preserve">Abstract (EN): </w:t>
      </w:r>
      <w:r>
        <w:t>This work investigates the impact of annealing protocols on the crystallization, morphology, and device performance of selenium (Se) solar cells, with a focus on the feasibility of transparent devices. Different annealing sequences are explored, varying the thermal processing steps relative to the layer deposition. A complete structural characterization (Raman, X-ray diffraction (XRD), and scanning electron microscopy (SEM)) reveals that uncapped annealing improves interfacial order and grain sizes, while capped conditions favor smoother morphologies. Despite similar bulk crystallinity, these differences significantly influenced the photovoltaic performance, with the best results, 5.6% power conversion efficiency (PCE), achieved when annealing the whole device. Thinner absorber layers (100 and 50 nm) are then processed into devices, enabling semi-transparent devices with promising average photopic visible transmittance (up to 40%) and light utilization efficiencies exceeding 1%, rendering the Se technology interesting for semi-transparency. Interestingly, optical modeling suggests that the optimized annealing conditions yield a nanostructured Se layer with intermediate optical constants, between those of amorphous and crystalline Se, particularly well-suited for semi-transparency, underscoring the key role of synthesis in tuning optical behavior.</w:t>
      </w:r>
    </w:p>
    <w:p>
      <w:pPr>
        <w:spacing w:before="120" w:after="120"/>
      </w:pPr>
      <w:r>
        <w:rPr>
          <w:sz w:val="18"/>
        </w:rPr>
        <w:t>——————————————————————————————————————————————————————————————————————</w:t>
      </w:r>
    </w:p>
    <w:p>
      <w:pPr>
        <w:spacing w:before="160" w:after="40" w:line="240" w:lineRule="auto"/>
      </w:pPr>
      <w:r>
        <w:rPr>
          <w:b/>
        </w:rPr>
        <w:t xml:space="preserve">[19] </w:t>
      </w:r>
      <w:hyperlink r:id="rId43">
        <w:r>
          <w:rPr>
            <w:color w:val="1155CC"/>
            <w:u w:val="single"/>
          </w:rPr>
          <w:t>纳米 i-ZnO 层的器件内评估：CZTSe 基薄膜太阳能电池案例研究</w:t>
        </w:r>
      </w:hyperlink>
    </w:p>
    <w:p>
      <w:pPr>
        <w:spacing w:before="0" w:after="80"/>
      </w:pPr>
      <w:r>
        <w:rPr>
          <w:i/>
          <w:sz w:val="20"/>
        </w:rPr>
        <w:t>EN: In-Device Assessment of the Nanometric i-ZnO Layer: A Case Study of CZTSe-Based Thin-Film Solar Cells</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44">
        <w:r>
          <w:rPr>
            <w:color w:val="1155CC"/>
            <w:u w:val="single"/>
          </w:rPr>
          <w:t>10.1021/acsami.6c08519</w:t>
        </w:r>
      </w:hyperlink>
    </w:p>
    <w:p>
      <w:pPr>
        <w:spacing w:before="0" w:after="120"/>
      </w:pPr>
      <w:r>
        <w:rPr>
          <w:b/>
        </w:rPr>
        <w:t xml:space="preserve">Notes: </w:t>
      </w:r>
      <w:r>
        <w:t>abstract_source=crossref</w:t>
      </w:r>
    </w:p>
    <w:p>
      <w:pPr>
        <w:spacing w:before="0" w:after="80" w:lineRule="auto" w:line="276"/>
      </w:pPr>
      <w:r>
        <w:rPr>
          <w:b/>
        </w:rPr>
        <w:t xml:space="preserve">摘要（ZH）: </w:t>
      </w:r>
      <w:r>
        <w:t>摘要 纳米氧化锌（ZnO）层由于其成本低、无毒且易于通过各种方法沉积而广泛应用于光电器件中。在 Cu2ZnSn(S,Se)4 和 Cu(In,Ga)Se2 薄膜光伏 (TF PV) 技术中，该层被提议充当电子传输层保护器、分流路径阻挡器，并促进电子传输层和正面透明导电氧化物接触之间的能带对准。然而，其在TF光伏装置中的具体作用及其对技术可扩展性的影响尚未完全阐明。这主要是由于分析埋在多层结构中的纳米、宽带隙、非导电层的困难。本研究开发了一种基于拉曼光谱的快速、非破坏性的 ZnO 层器件内表征方法，以基于锌黄锡矿的器件为例。结果表明，ZnO 晶粒尺寸是决定最大器件性能的关键因素，特别是开路电压（增加 20 mV），即使样品表面 ZnO 晶粒尺寸和晶体质量的细微波动也会引起分流电阻和短路电流的变化，从而决定太阳能电池的整体性能。这项研究证明了所提出的方法对于 ZnO 特性的器件内分析的适用性，并强调了控制它们对于扩大 TF PV 技术规模的重要性。</w:t>
      </w:r>
    </w:p>
    <w:p>
      <w:pPr>
        <w:spacing w:before="0" w:after="200" w:lineRule="auto" w:line="276"/>
      </w:pPr>
      <w:r>
        <w:rPr>
          <w:b/>
        </w:rPr>
        <w:t xml:space="preserve">Abstract (EN): </w:t>
      </w:r>
      <w:r>
        <w:t>Nanometric zinc oxide (ZnO) layers are widely employed in optoelectronic devices due to their low cost, non-toxicity, and facile deposition by various methods. In Cu2ZnSn(S,Se)4 and Cu(In,Ga)Se2 thin-film photovoltaic (TF PV) technologies, this layer has been proposed to act as an electron transport layer protector, a shunt path blocker, and to facilitate the band alignment between the electron transport layer and the front transparent conductive oxide contact. However, its specific role in TF PV devices and its influence on technology scalability have not yet been fully clarified. This mainly arises from the difficulty in analyzing nanometric, wide band gap, non-conductive layers buried within multilayer structures. The present study develops a fast, non-destructive approach for the in-device characterization of the ZnO layer based on Raman spectroscopy, using kesterite-based devices as an example. The results reveal that the grain size of ZnO is a key factor in determining the maximum device performance, particularly the open-circuit voltage (with a 20 mV increase), and that even subtle fluctuations across the sample surface in ZnO grain size and crystalline quality induce variability in shunt resistance and short-circuit current, thereby defining overall solar cell performance. This study demonstrates the applicability of the proposed approach for the in-device analysis of ZnO properties and highlights the importance of their control for scaling up TF PV technologies.</w:t>
      </w:r>
    </w:p>
    <w:p>
      <w:pPr>
        <w:spacing w:before="120" w:after="120"/>
      </w:pPr>
      <w:r>
        <w:rPr>
          <w:sz w:val="18"/>
        </w:rPr>
        <w:t>——————————————————————————————————————————————————————————————————————</w:t>
      </w:r>
    </w:p>
    <w:p>
      <w:pPr>
        <w:spacing w:before="160" w:after="40" w:line="240" w:lineRule="auto"/>
      </w:pPr>
      <w:r>
        <w:rPr>
          <w:b/>
        </w:rPr>
        <w:t xml:space="preserve">[20] </w:t>
      </w:r>
      <w:hyperlink r:id="rId45">
        <w:r>
          <w:rPr>
            <w:color w:val="1155CC"/>
            <w:u w:val="single"/>
          </w:rPr>
          <w:t>溶剂介导的扩散实现了聚合物半导体界面的定向功能化</w:t>
        </w:r>
      </w:hyperlink>
    </w:p>
    <w:p>
      <w:pPr>
        <w:spacing w:before="0" w:after="80"/>
      </w:pPr>
      <w:r>
        <w:rPr>
          <w:i/>
          <w:sz w:val="20"/>
        </w:rPr>
        <w:t>EN: Solvent-Mediated Diffusion Enables Directed Functionalization of Polymer Semiconductor Interfaces</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46">
        <w:r>
          <w:rPr>
            <w:color w:val="1155CC"/>
            <w:u w:val="single"/>
          </w:rPr>
          <w:t>10.1021/acsami.6c07306</w:t>
        </w:r>
      </w:hyperlink>
    </w:p>
    <w:p>
      <w:pPr>
        <w:spacing w:before="0" w:after="120"/>
      </w:pPr>
      <w:r>
        <w:rPr>
          <w:b/>
        </w:rPr>
        <w:t xml:space="preserve">Notes: </w:t>
      </w:r>
      <w:r>
        <w:t>abstract_source=crossref</w:t>
      </w:r>
    </w:p>
    <w:p>
      <w:pPr>
        <w:spacing w:before="0" w:after="80" w:lineRule="auto" w:line="276"/>
      </w:pPr>
      <w:r>
        <w:rPr>
          <w:b/>
        </w:rPr>
        <w:t xml:space="preserve">摘要（ZH）: </w:t>
      </w:r>
      <w:r>
        <w:t>摘要：人们对开发基于聚合物半导体 (PSC) 的本质可拉伸电子器件的兴趣日益浓厚，因此需要全面了解这些 PSC 薄膜的界面化学，以及修改这些特性的简便加工方法，这些特性决定了层的兼容性。溶剂介导的功能化提供了一种可扩展、可控和可调的方法来定位和调节几个关键的界面特性。在这里，我们的目的是了解溶剂暴露对混合聚合物薄膜的影响。这是通过对聚噻吩并[3,2-b]噻吩二酮吡咯并吡咯（DPPTT）和低分子量聚丁二烯（BA）共混弹性体薄膜进行小分子改性来实现的。我们通过掺入 1H,1H,2H,2H-全氟癸硫醇 (PFDT)，研究了混合薄膜上溶剂介导的薄膜功能化，因为高度氟化的小分子在多种表征技术中提供了出色的测量对比度。通过比较不同溶胀混合聚合物薄膜的溶剂环境，我们展示了从均匀、全厚度功能化到表面富集梯度的 PFDT 掺入编程。具有耗散监测功能的石英晶体微天平 (QCM-D) 测量并通过 X 射线光电子能谱 (XPS) 深度剖面进一步证实，量化了 PFDT 的估计表观质量吸收。在非溶胀/压实溶剂环境中，QCM-D 反映了 PFDT 的扩散控制吸收，具有明显的厚度依赖性浓度梯度。我</w:t>
      </w:r>
    </w:p>
    <w:p>
      <w:pPr>
        <w:spacing w:before="0" w:after="200" w:lineRule="auto" w:line="276"/>
      </w:pPr>
      <w:r>
        <w:rPr>
          <w:b/>
        </w:rPr>
        <w:t xml:space="preserve">Abstract (EN): </w:t>
      </w:r>
      <w:r>
        <w:t>The increasing interest in the development of intrinsically stretchable electronic devices based on polymer semiconductors (PSCs) necessitates a comprehensive understanding of the interfacial chemistry of these PSC films, alongside facile processing methods to modify these properties, which dictate layer compatibility. Solvent-mediated functionalization provides a scalable, controllable, and tunable method to target and modulate several key interfacial properties. Herein, we aim to understand the influence of solvent exposure on a blended polymer film. This is achieved through small molecule modification of a poly-thieno[3,2-b]thiophene-diketopyrrolopyrrole (DPPTT) and low molecular weight polybutadiene (BA)-blended elastomer film. We investigated solvent-mediated film functionalization on blended films by incorporating 1H,1H,2H,2H-perfluorodecanethiol (PFDT), as the highly fluorinated small molecule provided excellent measurement contrast throughout several characterization techniques. By comparing solvent environments that differentially swell the blended polymer films, we show programming of PFDT incorporation from uniform, through-thickness functionalization to surface-enriched gradients. Quartz crystal microbalance with dissipation monitoring (QCM-D) measurements and further corroborated with X-ray photoelectron spectroscopy (XPS) depth profiles quantified the estimated apparent mass uptake of PFDT. In a non-swelling/compacting solvent environment, QCM-D reflected a diffusion-governed uptake of PFDT with a distinct thickness-dependent concentration gradient. In contrast, swelling films with methoxyperfluorobutane (MPFB) opened diffusion pathways that facilitated PFDT penetration throughout the entire polymer network and resulted in more uniform functionalization across the entire film thickness. Collectively, these results establish a broader understanding of solvent-mediated film functionalization and further the understanding of molecular diffusion through PSC film systems.</w:t>
      </w:r>
    </w:p>
    <w:p>
      <w:pPr>
        <w:spacing w:before="120" w:after="120"/>
      </w:pPr>
      <w:r>
        <w:rPr>
          <w:sz w:val="18"/>
        </w:rPr>
        <w:t>——————————————————————————————————————————————————————————————————————</w:t>
      </w:r>
    </w:p>
    <w:p>
      <w:pPr>
        <w:spacing w:before="160" w:after="40" w:line="240" w:lineRule="auto"/>
      </w:pPr>
      <w:r>
        <w:rPr>
          <w:b/>
        </w:rPr>
        <w:t xml:space="preserve">[21] </w:t>
      </w:r>
      <w:hyperlink r:id="rId47">
        <w:r>
          <w:rPr>
            <w:color w:val="1155CC"/>
            <w:u w:val="single"/>
          </w:rPr>
          <w:t>了解供体-受体半导体聚合物的超快结晶动力学</w:t>
        </w:r>
      </w:hyperlink>
    </w:p>
    <w:p>
      <w:pPr>
        <w:spacing w:before="0" w:after="80"/>
      </w:pPr>
      <w:r>
        <w:rPr>
          <w:i/>
          <w:sz w:val="20"/>
        </w:rPr>
        <w:t>EN: Understanding the Ultrafast Crystallization Kinetics of Donor–Acceptor Semiconducting Polymers</w:t>
      </w:r>
    </w:p>
    <w:p>
      <w:pPr>
        <w:spacing w:before="0" w:after="120"/>
      </w:pPr>
      <w:r>
        <w:rPr>
          <w:b/>
        </w:rPr>
        <w:t xml:space="preserve">Source: </w:t>
      </w:r>
      <w:r>
        <w:t>Journal of the American Chemical Society: Latest Articles (ACS Publications)</w:t>
      </w:r>
      <w:r>
        <w:t xml:space="preserve">    </w:t>
      </w:r>
      <w:r>
        <w:rPr>
          <w:b/>
        </w:rPr>
        <w:t xml:space="preserve">Pub date: </w:t>
      </w:r>
      <w:r>
        <w:t>2026-08-11 00:00:00+00:00</w:t>
      </w:r>
      <w:r>
        <w:t xml:space="preserve">    </w:t>
      </w:r>
      <w:r>
        <w:rPr>
          <w:b/>
        </w:rPr>
        <w:t xml:space="preserve">DOI: </w:t>
      </w:r>
      <w:hyperlink r:id="rId48">
        <w:r>
          <w:rPr>
            <w:color w:val="1155CC"/>
            <w:u w:val="single"/>
          </w:rPr>
          <w:t>10.1021/jacs.6c07715</w:t>
        </w:r>
      </w:hyperlink>
    </w:p>
    <w:p>
      <w:pPr>
        <w:spacing w:before="0" w:after="120"/>
      </w:pPr>
      <w:r>
        <w:rPr>
          <w:b/>
        </w:rPr>
        <w:t xml:space="preserve">Notes: </w:t>
      </w:r>
      <w:r>
        <w:t>abstract_source=crossref</w:t>
      </w:r>
    </w:p>
    <w:p>
      <w:pPr>
        <w:spacing w:before="0" w:after="80" w:lineRule="auto" w:line="276"/>
      </w:pPr>
      <w:r>
        <w:rPr>
          <w:b/>
        </w:rPr>
        <w:t xml:space="preserve">摘要（ZH）: </w:t>
      </w:r>
      <w:r>
        <w:t>摘要：在高温（&gt;300 °C）下，供体-受体半导体聚合物的结晶发生在亚秒级时间尺度上，这妨碍了使用传统实验方法进行严格的动力学描述。在这里，我们使用单步快速扫描量热法 (FSC) 方法来研究先进的供体-受体半导体聚合物（如 PTQ10 和 D18）的快速等温结晶动力学。这种方法克服了间接“分步”方法的固有局限性，并在十分之一秒内提供可靠的动力学数据。此外，我们证明了马尔金模型的修改版本（我们也在此处介绍）成功地捕获了整个动力学演化，并提供了有关这些聚合物中结晶如何发展的重要信息。例如，我们观察到两种截然不同的结晶机制作为结晶温度的函数。新引入的动力学模型几何参数表明，不同的结晶动力学导致不同的晶体形貌，这通过X射线衍射、熔化分析和电子显微镜进一步证实。我们的分析表明，结晶是通过几乎瞬时形成密集的纳米级微晶来进行的，并且由单一的主导动力学步骤有效控制，因此必须与成核密切相关。然而，自成核实验表明，该过程不符合通常观察到的经典成核行为。</w:t>
      </w:r>
    </w:p>
    <w:p>
      <w:pPr>
        <w:spacing w:before="0" w:after="200" w:lineRule="auto" w:line="276"/>
      </w:pPr>
      <w:r>
        <w:rPr>
          <w:b/>
        </w:rPr>
        <w:t xml:space="preserve">Abstract (EN): </w:t>
      </w:r>
      <w:r>
        <w:t>The crystallization of donor–acceptor semiconducting polymers occurs on subsecond time scales at elevated temperatures (&amp;gt;300 °C), preventing a rigorous kinetic description using conventional experimental approaches. Here, we use a single-step fast scanning calorimetry (FSC) methodology that enables investigating the fast isothermal crystallization kinetics of advanced donor–acceptor semiconducting polymers such as PTQ10 and D18. This approach overcomes the intrinsic limitations of the indirect “by-step” method and provides reliable kinetic data within tenths of a second. Furthermore, we demonstrate that a modified version of the Malkin model, which we also introduce here, successfully captures the entire kinetic evolution and provides important information about how crystallization develops in these polymers. For example, we observe two well-differentiated crystallization regimes as a function of the crystallization temperature. A newly introduced geometrical parameter of the kinetic model reveals that the distinct crystallization kinetics result in different crystalline morphologies, which were further confirmed by X-ray diffraction, melting analysis, and electron microscopy. Our analysis suggests that crystallization proceeds via a nearly instantaneous formation of a dense population of nanoscopic crystallites and is effectively governed by a single dominant kinetic step that must therefore be strongly linked to nucleation. However, self-nucleation experiments reveal that this process does not conform to the classical nucleation behavior typically observed in semicrystalline polymers. These findings allow establishing a new framework for the understanding and control of the solid-state microstructure of semicrystalline polymers.</w:t>
      </w:r>
    </w:p>
    <w:p>
      <w:pPr>
        <w:spacing w:before="120" w:after="120"/>
      </w:pPr>
      <w:r>
        <w:rPr>
          <w:sz w:val="18"/>
        </w:rPr>
        <w:t>——————————————————————————————————————————————————————————————————————</w:t>
      </w:r>
    </w:p>
    <w:p>
      <w:pPr>
        <w:spacing w:before="160" w:after="40" w:line="240" w:lineRule="auto"/>
      </w:pPr>
      <w:r>
        <w:rPr>
          <w:b/>
        </w:rPr>
        <w:t xml:space="preserve">[22] </w:t>
      </w:r>
      <w:hyperlink r:id="rId49">
        <w:r>
          <w:rPr>
            <w:color w:val="1155CC"/>
            <w:u w:val="single"/>
          </w:rPr>
          <w:t>用于提高工业织构硅上串联器件的效率和稳定性的修复干预</w:t>
        </w:r>
      </w:hyperlink>
    </w:p>
    <w:p>
      <w:pPr>
        <w:spacing w:before="0" w:after="80"/>
      </w:pPr>
      <w:r>
        <w:rPr>
          <w:i/>
          <w:sz w:val="20"/>
        </w:rPr>
        <w:t>EN: Healing intervention for improving the efficiency and stability of tandem devices on industrial textured silicon</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单片钙钛矿/硅串联太阳能电池被广泛认为是下一代、低成本、高效率的光伏技术。然而，在工业织构硅上实现高质量的宽带隙钙钛矿顶部电池，特别是使用结合顺序共蒸发和溶液处理的混合两步沉积方法，仍然是一个重大挑战。在这项工作中，我们引入了一种修复干预策略，可以显着调整钙钛矿薄膜的生长并提高纹理硅基板上的薄膜质量。通过应用 MASCN 溶液来修复所制备的薄膜，从而诱导二次晶体生长以增强整体钙钛矿结晶，我们获得了保形钙钛矿层，其特征是柱状晶粒延伸穿过整个薄膜厚度。由此产生的 1.68 eV 宽带隙钙钛矿太阳能电池实现了 21.1% 的冠军效率，在 1.164 cm² 的有源面积上实现了 30.77% 的认证稳定串联效率和 1.915 V 的令人印象深刻的 Voc。值得注意的是，在环境条件下的一个太阳照明下，封装器件在连续最大功率点跟踪 3400 小时后仍保持其初始性能，这代表了迄今为止报道的钙钛矿/硅串联电池的优异稳定性。</w:t>
      </w:r>
    </w:p>
    <w:p>
      <w:pPr>
        <w:spacing w:before="0" w:after="200" w:lineRule="auto" w:line="276"/>
      </w:pPr>
      <w:r>
        <w:rPr>
          <w:b/>
        </w:rPr>
        <w:t xml:space="preserve">Abstract (EN): </w:t>
      </w:r>
      <w:r>
        <w:t>Monolithic perovskite/silicon tandem solar cells are widely regarded as the next-generation, low-cost, high-efficiency photovoltaic technology. However, achieving high-quality wide-bandgap perovskite top cells on industrial textured silicon, particularly using hybrid two-step deposition methods that combine sequential co-evaporation and solution processing, remains a major challenge. In this work, we introduce a healing intervention strategy that significantly tailors perovskite film growth and enhances the film quality on textured silicon substrates. By applying an MASCN solution to heal the as-prepared films, which induces secondary crystal growth to enhance overall perovskite crystallization, we obtain a conformal perovskite layer characterized by columnar grains that extend through the full film thickness. The resulting 1.68 eV wide-bandgap perovskite solar cells achieve a champion efficiency of 21.1%, contributing to a certified stabilized tandem efficiency of 30.77% and an impressive Voc of 1.915 V over an active area of 1.164 cm². Notably, an encapsulated device retains its initial performance after 3400 hours of continuous maximum power point tracking under one-sun illumination in ambient conditions, representing the excellent stability in perovskite/silicon tandem cells reported to date.</w:t>
      </w:r>
    </w:p>
    <w:p>
      <w:pPr>
        <w:spacing w:before="120" w:after="120"/>
      </w:pPr>
      <w:r>
        <w:rPr>
          <w:sz w:val="18"/>
        </w:rPr>
        <w:t>——————————————————————————————————————————————————————————————————————</w:t>
      </w:r>
    </w:p>
    <w:p>
      <w:pPr>
        <w:spacing w:before="160" w:after="40" w:line="240" w:lineRule="auto"/>
      </w:pPr>
      <w:r>
        <w:rPr>
          <w:b/>
        </w:rPr>
        <w:t xml:space="preserve">[23] </w:t>
      </w:r>
      <w:hyperlink r:id="rId50">
        <w:r>
          <w:rPr>
            <w:color w:val="1155CC"/>
            <w:u w:val="single"/>
          </w:rPr>
          <w:t>通过有序二维中间相调节弹性钙钛矿太阳能电池的晶格演化</w:t>
        </w:r>
      </w:hyperlink>
    </w:p>
    <w:p>
      <w:pPr>
        <w:spacing w:before="0" w:after="80"/>
      </w:pPr>
      <w:r>
        <w:rPr>
          <w:i/>
          <w:sz w:val="20"/>
        </w:rPr>
        <w:t>EN: Regulating lattice evolution via an ordered two-dimensional intermediate phase for resilient perovskite solar cells</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金属卤化物杂化钙钛矿晶格在昼夜循环过程中的动态膨胀和收缩会产生严重的机械应变，加速陷阱积累和器件退化。在这里，我们展示了一种应变调节策略，该策略采用高度定向的二维（2D）钙钛矿、1-（对氟苯基）双胍碘化铅作为有序中间相，以模板钙钛矿层的（100）晶面的垂直定向生长。在随后的热退火过程中，该 2D 中间体分解释放 PbI2，直接参与三维 (3D) 体层的结晶。这种晶格取向的空间增强抑制了光和热引起的晶格膨胀，并将晶格畸变从 0.22% 降至 0.09%，从而减轻了动态操作循环期间的结构恶化。因此，平面 n-i-p Cs0.05MA0.05FA0.9PbI3 钙钛矿太阳能电池在一个太阳光照下，小面积器件 (0.06 cm2) 的功率转换效率为 26.32%，大面积模块 (16.8 cm2) 的功率转换效率为 22.25%。此外，在 N2 气氛中连续最大功率点跟踪 1,800 小时后，未封装的器件仍能保持 92% 以上的初始效率。值得注意的是，这些器件表现出强大的昼夜稳定性，在 40 个严格的光暗循环后仍能保持 89% 以上的初始效率。</w:t>
      </w:r>
    </w:p>
    <w:p>
      <w:pPr>
        <w:spacing w:before="0" w:after="200" w:lineRule="auto" w:line="276"/>
      </w:pPr>
      <w:r>
        <w:rPr>
          <w:b/>
        </w:rPr>
        <w:t xml:space="preserve">Abstract (EN): </w:t>
      </w:r>
      <w:r>
        <w:t>The dynamic expansion and contraction of metal halide hybrid perovskite lattices during day-night cycling generate severe mechanical strain, accelerating trap accumulation and device degradation. Here, we show a strain-regulation strategy that employs a highly oriented two-dimensional (2D) perovskite, 1-(p-fluorophenyl)biguanide lead iodide, as an ordered intermediate phase to template the vertically oriented growth of the (100) crystal plane of the bulk perovskite layer. During the subsequent thermal annealing process, this 2D intermediate decomposes to release PbI2, which directly participates in the crystallization of the three-dimensional (3D) bulk layer. This spatial enhancement of lattice orientation suppresses photo- and thermal-induced lattice expansion and minimizes lattice distortion from 0.22% to 0.09%, thereby mitigating structural deterioration during dynamic operational cycles. Consequently, planar n-i-p Cs0.05MA0.05FA0.9PbI3 perovskite solar cells achieve outstanding power conversion efficiencies of 26.32 % for small-area devices (0.06 cm2) and 22.25 % for large-area modules (16.8 cm2) under one sun illumination. Furthermore, unencapsulated devices retain over 92% of their initial efficiency after 1,800 hours of continuous maximum power point tracking in an N2 atmosphere. Notably, the devices exhibit robust diurnal stability, preserving over 89% of their initial efficiency after 40 rigorous light-dark cycles.</w:t>
      </w:r>
    </w:p>
    <w:p>
      <w:pPr>
        <w:spacing w:before="120" w:after="120"/>
      </w:pPr>
      <w:r>
        <w:rPr>
          <w:sz w:val="18"/>
        </w:rPr>
        <w:t>——————————————————————————————————————————————————————————————————————</w:t>
      </w:r>
    </w:p>
    <w:p>
      <w:pPr>
        <w:spacing w:before="160" w:after="40" w:line="240" w:lineRule="auto"/>
      </w:pPr>
      <w:r>
        <w:rPr>
          <w:b/>
        </w:rPr>
        <w:t xml:space="preserve">[24] </w:t>
      </w:r>
      <w:hyperlink r:id="rId51">
        <w:r>
          <w:rPr>
            <w:color w:val="1155CC"/>
            <w:u w:val="single"/>
          </w:rPr>
          <w:t>环保型紫外-近红外双波长激发上转换氮掺杂石墨烯量子点，用于增强发光太阳能聚光器的性能</w:t>
        </w:r>
      </w:hyperlink>
    </w:p>
    <w:p>
      <w:pPr>
        <w:spacing w:before="0" w:after="80"/>
      </w:pPr>
      <w:r>
        <w:rPr>
          <w:i/>
          <w:sz w:val="20"/>
        </w:rPr>
        <w:t>EN: Environmentally Friendly UV−NIR Dual-Wavelength Excited Upconversion Nitrogen-Doped Graphene Quantum Dots for Enhancing the Performance of Luminescent Solar Concentrators</w:t>
      </w:r>
    </w:p>
    <w:p>
      <w:pPr>
        <w:spacing w:before="0" w:after="120"/>
      </w:pPr>
      <w:r>
        <w:rPr>
          <w:b/>
        </w:rPr>
        <w:t xml:space="preserve">Source: </w:t>
      </w:r>
      <w:r>
        <w:t>ACS Applied Materials &amp; Interfaces: Latest Articles (ACS Publications)</w:t>
      </w:r>
      <w:r>
        <w:t xml:space="preserve">    </w:t>
      </w:r>
      <w:r>
        <w:rPr>
          <w:b/>
        </w:rPr>
        <w:t xml:space="preserve">Pub date: </w:t>
      </w:r>
      <w:r>
        <w:t>2026-08-11 00:00:00+00:00</w:t>
      </w:r>
      <w:r>
        <w:t xml:space="preserve">    </w:t>
      </w:r>
      <w:r>
        <w:rPr>
          <w:b/>
        </w:rPr>
        <w:t xml:space="preserve">DOI: </w:t>
      </w:r>
      <w:hyperlink r:id="rId52">
        <w:r>
          <w:rPr>
            <w:color w:val="1155CC"/>
            <w:u w:val="single"/>
          </w:rPr>
          <w:t>10.1021/acsami.6c12892</w:t>
        </w:r>
      </w:hyperlink>
    </w:p>
    <w:p>
      <w:pPr>
        <w:spacing w:before="0" w:after="120"/>
      </w:pPr>
      <w:r>
        <w:rPr>
          <w:b/>
        </w:rPr>
        <w:t xml:space="preserve">Notes: </w:t>
      </w:r>
      <w:r>
        <w:t>abstract_source=crossref</w:t>
      </w:r>
    </w:p>
    <w:p>
      <w:pPr>
        <w:spacing w:before="0" w:after="80" w:lineRule="auto" w:line="276"/>
      </w:pPr>
      <w:r>
        <w:rPr>
          <w:b/>
        </w:rPr>
        <w:t xml:space="preserve">摘要（ZH）: </w:t>
      </w:r>
      <w:r>
        <w:t>摘要 传统发光太阳能聚光器（LSC）中使用的发光材料普遍存在重金属毒性、光谱响应范围窄、重吸收损耗大、近红外光利用效率低等问题。为了解决这些问题，本研究采用一步水热法合成具有紫外和近红外区域双波段激发能力的氮掺杂石墨烯量子点（N-GQD）。它们表现出大的斯托克斯位移（626 meV）、反斯托克斯位移（1143 meV）和高的总光致发光量子产率（82.16％）。它们的发光发射峰位于 440 nm，可实现稳定的蓝光发射并表现出显着的上转换发光特性。将N-GQDs封装在聚乙烯吡咯烷酮中制备LSCs，然后将其与单晶硅太阳能电池耦合构建LSC-PV系统。在量子点浓度为15 mg/mL的最佳条件下，尺寸为10 × 10 × 0.3 cm3的LSC−PV系统实现了0.74%的功率转换效率，其中上转换发光带来的效率增益为0.14%。这项工作表明，具有上转换发光特性的 N-GQD 为增强绿色、高效建筑一体化光伏器件的性能提供了一种方法。</w:t>
      </w:r>
    </w:p>
    <w:p>
      <w:pPr>
        <w:spacing w:before="0" w:after="200" w:lineRule="auto" w:line="276"/>
      </w:pPr>
      <w:r>
        <w:rPr>
          <w:b/>
        </w:rPr>
        <w:t xml:space="preserve">Abstract (EN): </w:t>
      </w:r>
      <w:r>
        <w:t>Luminescent materials used in conventional luminescent solar concentrators (LSCs) generally suffer from issues such as heavy metal toxicity, narrow spectral response ranges, significant reabsorption losses, and low near-infrared light utilization efficiency. To address these issues, this study employed a one-step hydrothermal method to synthesize nitrogen-doped graphene quantum dots (N-GQDs) with dual-band excitation capabilities in the ultraviolet and near-infrared regions. They exhibit both large Stokes shift (626 meV), anti-Stokes shift (1143 meV) and high total photoluminescent quantum yield (82.16%). Their luminescent emission peak is located at 440 nm, allowing for stable blue light emission and demonstrating significant upconversion luminescence properties. N-GQDs were encapsulated in polyvinylpyrrolidone to prepare LSCs, which were then coupled with monocrystalline silicon solar cells to construct an LSC−PV system. Under optimal conditions with a quantum dot concentration of 15 mg/mL, the LSC−PV system with dimension of 10 × 10 × 0.3 cm3 achieved a power conversion efficiency of 0.74%, with an efficiency gain of 0.14% attributable to upconversion luminescence. This work demonstrates that N-GQDs with upconversion luminescence properties offer an approach for enhancing the performance of green, high-efficiency building-integrated photovoltaics devices.</w:t>
      </w:r>
    </w:p>
    <w:p>
      <w:pPr>
        <w:spacing w:before="120" w:after="120"/>
      </w:pPr>
      <w:r>
        <w:rPr>
          <w:sz w:val="18"/>
        </w:rPr>
        <w:t>——————————————————————————————————————————————————————————————————————</w:t>
      </w:r>
    </w:p>
    <w:p>
      <w:pPr>
        <w:spacing w:before="160" w:after="40" w:line="240" w:lineRule="auto"/>
      </w:pPr>
      <w:r>
        <w:rPr>
          <w:b/>
        </w:rPr>
        <w:t xml:space="preserve">[25] </w:t>
      </w:r>
      <w:hyperlink r:id="rId53">
        <w:r>
          <w:rPr>
            <w:color w:val="1155CC"/>
            <w:u w:val="single"/>
          </w:rPr>
          <w:t>甲脒碘化铅中的动力学阻滞双域态</w:t>
        </w:r>
      </w:hyperlink>
    </w:p>
    <w:p>
      <w:pPr>
        <w:spacing w:before="0" w:after="80"/>
      </w:pPr>
      <w:r>
        <w:rPr>
          <w:i/>
          <w:sz w:val="20"/>
        </w:rPr>
        <w:t>EN: Kinetically Arrested Twin-Domain State in Formamidinium Lead Iodide</w:t>
      </w:r>
    </w:p>
    <w:p>
      <w:pPr>
        <w:spacing w:before="0" w:after="120"/>
      </w:pPr>
      <w:r>
        <w:rPr>
          <w:b/>
        </w:rPr>
        <w:t xml:space="preserve">Source: </w:t>
      </w:r>
      <w:r>
        <w:t>Journal of the American Chemical Society: Latest Articles (ACS Publications)</w:t>
      </w:r>
      <w:r>
        <w:t xml:space="preserve">    </w:t>
      </w:r>
      <w:r>
        <w:rPr>
          <w:b/>
        </w:rPr>
        <w:t xml:space="preserve">Pub date: </w:t>
      </w:r>
      <w:r>
        <w:t>2026-08-12 00:00:00+00:00</w:t>
      </w:r>
      <w:r>
        <w:t xml:space="preserve">    </w:t>
      </w:r>
      <w:r>
        <w:rPr>
          <w:b/>
        </w:rPr>
        <w:t xml:space="preserve">DOI: </w:t>
      </w:r>
      <w:hyperlink r:id="rId54">
        <w:r>
          <w:rPr>
            <w:color w:val="1155CC"/>
            <w:u w:val="single"/>
          </w:rPr>
          <w:t>10.1021/jacs.6c09938</w:t>
        </w:r>
      </w:hyperlink>
    </w:p>
    <w:p>
      <w:pPr>
        <w:spacing w:before="0" w:after="120"/>
      </w:pPr>
      <w:r>
        <w:rPr>
          <w:b/>
        </w:rPr>
        <w:t xml:space="preserve">Notes: </w:t>
      </w:r>
      <w:r>
        <w:t>abstract_source=crossref</w:t>
      </w:r>
    </w:p>
    <w:p>
      <w:pPr>
        <w:spacing w:before="0" w:after="80" w:lineRule="auto" w:line="276"/>
      </w:pPr>
      <w:r>
        <w:rPr>
          <w:b/>
        </w:rPr>
        <w:t xml:space="preserve">摘要（ZH）: </w:t>
      </w:r>
      <w:r>
        <w:t>摘要 杂化卤化铅钙钛矿表现出平均晶体对称性、局部结构无序和 A 位取向动力学之间微妙的相互作用，从而产生不寻常的振动和电子行为。在这里，我们将大规模分子动力学与密度泛函理论精确的机器学习力场相结合，以解决钙钛矿在介观长度尺度上的结构动力学问题。在碘化甲脒铅 (FAPbI3) 中，我们识别出具有动态局部有序性和相关倾斜纳米域的高温 α 相、具有长程 a+a+a+ 倾斜相干性的有序 γ 相，以及低于 ∼100 K 的历史依赖性 γ' 态，由由锐利的孪生状边界分隔的局部 γ 类纳米级区域组成。这种低温无序状态不是一种明显的块体多晶型物，而是一种由浅倾斜能量学和减慢 FA 重新取向之间的相互作用选择的动力学抑制亚稳态双域网络。这张图片得到了我们的低温 X 射线漫散射测量的支持，并解释了模拟中发现的拓宽的低能振动响应。此外，这种独特的结构景观印记了空间变化的电子无序，对宏观光电特性产生影响，反映在低温下保留的大量带边展宽。我们的结果在有序结构态和阻滞结构态之间的竞争方面调和了有争议的 FAPbI3 低温行为，并更广泛地将分子重新取向确定为动力学选择</w:t>
      </w:r>
    </w:p>
    <w:p>
      <w:pPr>
        <w:spacing w:before="0" w:after="200" w:lineRule="auto" w:line="276"/>
      </w:pPr>
      <w:r>
        <w:rPr>
          <w:b/>
        </w:rPr>
        <w:t xml:space="preserve">Abstract (EN): </w:t>
      </w:r>
      <w:r>
        <w:t>Hybrid lead halide perovskites exhibit a delicate interplay between average crystallographic symmetry, local structural disorder and A-site orientational dynamics, giving rise to unusual vibrational and electronic behavior. Here, we combine large-scale molecular dynamics with a density-functional-theory-accurate machine learning force field to resolve the structural dynamics of perovskites across mesoscopic length scales. In formamidinium lead iodide (FAPbI3), we identify a high-temperature α phase with dynamic local order and correlated tilt nanodomains, an ordered γ phase with long-range a+a+a+ tilt coherence, and, below ∼100 K, a history-dependent γ′ state consisting of locally γ-like nanoscale regions separated by sharp twin-like boundaries. This low-temperature disordered state is not a distinct bulk polymorph, but a kinetically arrested metastable twin-domain network selected by the interplay between shallow tilt energetics and slowing FA reorientation. This picture is supported by our low-temperature X-ray diffuse scattering measurements and accounts for the broadened low-energy vibrational response found in the simulations. Furthermore, this unique structural landscape imprints a spatially varying electronic disorder with implications for macroscopic optoelectronic properties, reflected in substantial band-edge broadening retained at low temperature. Our results reconcile the debated low-temperature behavior of FAPbI3 in terms of competition between ordered and arrested structural states, and more broadly identify molecular reorientation as a kinetic selector of metastable framework topology in soft molecular crystals, placing thermal history on equal footing with composition as a determinant of structural and optoelectronic properties.</w:t>
      </w:r>
    </w:p>
    <w:p>
      <w:pPr>
        <w:spacing w:before="120" w:after="120"/>
      </w:pPr>
      <w:r>
        <w:rPr>
          <w:sz w:val="18"/>
        </w:rPr>
        <w:t>——————————————————————————————————————————————————————————————————————</w:t>
      </w:r>
    </w:p>
    <w:p>
      <w:pPr>
        <w:spacing w:before="160" w:after="40" w:line="240" w:lineRule="auto"/>
      </w:pPr>
      <w:r>
        <w:rPr>
          <w:b/>
        </w:rPr>
        <w:t xml:space="preserve">[26] </w:t>
      </w:r>
      <w:hyperlink r:id="rId55">
        <w:r>
          <w:rPr>
            <w:color w:val="1155CC"/>
            <w:u w:val="single"/>
          </w:rPr>
          <w:t>城市反射式和蒸发式光伏屋顶对气候和能源的影响</w:t>
        </w:r>
      </w:hyperlink>
    </w:p>
    <w:p>
      <w:pPr>
        <w:spacing w:before="0" w:after="80"/>
      </w:pPr>
      <w:r>
        <w:rPr>
          <w:i/>
          <w:sz w:val="20"/>
        </w:rPr>
        <w:t>EN: On the climatic and energy impacts of reflective and evaporative photovoltaic roofs in cities</w:t>
      </w:r>
    </w:p>
    <w:p>
      <w:pPr>
        <w:spacing w:before="0" w:after="120"/>
      </w:pPr>
      <w:r>
        <w:rPr>
          <w:b/>
        </w:rPr>
        <w:t xml:space="preserve">Source: </w:t>
      </w:r>
      <w:r>
        <w:t>ScienceDirect Publication: Applied Energy</w:t>
      </w:r>
      <w:r>
        <w:t xml:space="preserve">    </w:t>
      </w:r>
      <w:r>
        <w:rPr>
          <w:b/>
        </w:rPr>
        <w:t xml:space="preserve">Pub date: </w:t>
      </w:r>
      <w:r>
        <w:t>2026-08-12 00:00:00+00:00</w:t>
      </w:r>
      <w:r>
        <w:t xml:space="preserve">    </w:t>
      </w:r>
      <w:r>
        <w:rPr>
          <w:b/>
        </w:rPr>
        <w:t xml:space="preserve">DOI: </w:t>
      </w:r>
      <w:hyperlink r:id="rId56">
        <w:r>
          <w:rPr>
            <w:color w:val="1155CC"/>
            <w:u w:val="single"/>
          </w:rPr>
          <w:t>10.1016/j.apenergy.2026.128582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57">
        <w:r>
          <w:rPr>
            <w:color w:val="1155CC"/>
            <w:u w:val="single"/>
          </w:rPr>
          <w:t>用于高性能钙钛矿-有机串联太阳能电池的堆叠顺序驱动的界面偶极子翻转和氯-碘交换</w:t>
        </w:r>
      </w:hyperlink>
    </w:p>
    <w:p>
      <w:pPr>
        <w:spacing w:before="0" w:after="80"/>
      </w:pPr>
      <w:r>
        <w:rPr>
          <w:i/>
          <w:sz w:val="20"/>
        </w:rPr>
        <w:t>EN: Stacking-order-driven interfacial dipole flip and chlorine-iodine exchange for high-performance perovskite-organic tandem solar cells</w:t>
      </w:r>
    </w:p>
    <w:p>
      <w:pPr>
        <w:spacing w:before="0" w:after="120"/>
      </w:pPr>
      <w:r>
        <w:rPr>
          <w:b/>
        </w:rPr>
        <w:t xml:space="preserve">Source: </w:t>
      </w:r>
      <w:r>
        <w:t>Physical sciences : Nature Communications subject feeds</w:t>
      </w:r>
      <w:r>
        <w:t xml:space="preserve">    </w:t>
      </w:r>
      <w:r>
        <w:rPr>
          <w:b/>
        </w:rPr>
        <w:t xml:space="preserve">Pub date: </w:t>
      </w:r>
      <w:r>
        <w:t>2026-08-12 00:00:00+00:00</w:t>
      </w:r>
    </w:p>
    <w:p>
      <w:pPr>
        <w:spacing w:before="0" w:after="120"/>
      </w:pPr>
      <w:r>
        <w:rPr>
          <w:b/>
        </w:rPr>
        <w:t xml:space="preserve">Notes: </w:t>
      </w:r>
      <w:r>
        <w:t>abstract_source=nature_html</w:t>
      </w:r>
    </w:p>
    <w:p>
      <w:pPr>
        <w:spacing w:before="0" w:after="80" w:lineRule="auto" w:line="276"/>
      </w:pPr>
      <w:r>
        <w:rPr>
          <w:b/>
        </w:rPr>
        <w:t xml:space="preserve">摘要（ZH）: </w:t>
      </w:r>
      <w:r>
        <w:t>自组装单层 (SAM) 物理吸附到锚定层上会在空穴选择层 (HSL) 表面引入无序堆叠和缠结偶极子取向，从而影响光伏器件中的电荷传输动力学和界面驱动的能量损失。在此，我们开发了一种协作策略，将堆叠顺序驱动的界面偶极子翻转与氯碘交换相结合，通过将氯氧化铋 (BiOCl) 沉积到 SAM 上来实现。这种 HSL 表现出一种晶体有序性，其特征是偶极子翻转和面内方向的长程周期性排列，由咔唑单元之间的 π-π 相互作用驱动。它表现出针对钙钛矿前体溶剂和热扰动的增强的稳定性。 BiOCl 中的氯在掩埋界面处发生氯-碘交换，调节钙钛矿结晶并减弱电子-声子耦合。我们的冠军单结倒置钙钛矿太阳能电池 (PSC) 实现了 27.25%（1.55 eV，0.09 cm²）和 20.24%（1.85 eV，0.09 cm²）的卓越功率转换效率 (PCE)，具有出色的重复性和运行稳定性。当采用 SAM/BiOCl 作为 HSL 和互连层时，冠军钙钛矿有机串联太阳能电池 (PO-TSC) 获得了 28.14% 的优异 PCE（认证为 27.84%），稳定功率输出为 27.86%（认证为 27.59%）。在超过 600 小时的模拟太阳照明连续最大功率点跟踪下，该器件保持了 90% 的初始效率。</w:t>
      </w:r>
    </w:p>
    <w:p>
      <w:pPr>
        <w:spacing w:before="0" w:after="200" w:lineRule="auto" w:line="276"/>
      </w:pPr>
      <w:r>
        <w:rPr>
          <w:b/>
        </w:rPr>
        <w:t xml:space="preserve">Abstract (EN): </w:t>
      </w:r>
      <w:r>
        <w:t>The physical adsorption of a self-assembled monolayer (SAM) onto an anchored layer introduces disordered stacking and a tangled dipole orientation at the hole-selective layer (HSL) surface, which affects the charge-transport dynamics and interface-driven energy loss in photovoltaic devices. Herein, we develop a collaborative strategy that combines stacking-order-driven interfacial dipole flipping with a chlorine-iodine exchange, achieved by depositing bismuth oxychloride (BiOCl) onto SAMs. This HSL exhibits a crystalline order characterized by dipole flipping and long-range periodic alignment in in-plane direction, driven by π-π interactions among carbazole units. It demonstrates enhanced stability against perovskite precursor solvents and thermal perturbations. The chlorine from BiOCl undergoes a chlorine-iodine exchange at the buried interface, modulating perovskite crystallization and weakening electron-phonon coupling. Our champion single-junction inverted perovskite solar cells (PSCs) achieve remarkable power conversion efficiencies (PCEs) of 27.25% (1.55 eV, 0.09 cm²) and 20.24% (1.85 eV, 0.09 cm²) with exceptional repeatability and operational stability. When employing SAMs/BiOCl as both HSL and interconnection layer, the champion perovskite-organic tandem solar cell (PO-TSC) attains an exceptional PCE of 28.14% (certified 27.84%) with steady power output of 27.86% (certified 27.59%). The device retains 90% of its initial efficiency under continuous maximum power point tracking with one-simulated-sun illumination over 600 hours.</w:t>
      </w:r>
    </w:p>
    <w:p>
      <w:pPr>
        <w:spacing w:before="120" w:after="120"/>
      </w:pPr>
      <w:r>
        <w:rPr>
          <w:sz w:val="18"/>
        </w:rPr>
        <w:t>——————————————————————————————————————————————————————————————————————</w:t>
      </w:r>
    </w:p>
    <w:p>
      <w:pPr>
        <w:spacing w:before="160" w:after="40" w:line="240" w:lineRule="auto"/>
      </w:pPr>
      <w:r>
        <w:rPr>
          <w:b/>
        </w:rPr>
        <w:t xml:space="preserve">[28] </w:t>
      </w:r>
      <w:hyperlink r:id="rId58">
        <w:r>
          <w:rPr>
            <w:color w:val="1155CC"/>
            <w:u w:val="single"/>
          </w:rPr>
          <w:t>用于分片日前光伏功率预测的辐射态引导去偏变压器</w:t>
        </w:r>
      </w:hyperlink>
    </w:p>
    <w:p>
      <w:pPr>
        <w:spacing w:before="0" w:after="80"/>
      </w:pPr>
      <w:r>
        <w:rPr>
          <w:i/>
          <w:sz w:val="20"/>
        </w:rPr>
        <w:t>EN: A radiative-state guided debiasing transformer for patch-wise day-ahead photovoltaic power forecasting</w:t>
      </w:r>
    </w:p>
    <w:p>
      <w:pPr>
        <w:spacing w:before="0" w:after="120"/>
      </w:pPr>
      <w:r>
        <w:rPr>
          <w:b/>
        </w:rPr>
        <w:t xml:space="preserve">Source: </w:t>
      </w:r>
      <w:r>
        <w:t>ScienceDirect Publication: Applied Energy</w:t>
      </w:r>
      <w:r>
        <w:t xml:space="preserve">    </w:t>
      </w:r>
      <w:r>
        <w:rPr>
          <w:b/>
        </w:rPr>
        <w:t xml:space="preserve">Pub date: </w:t>
      </w:r>
      <w:r>
        <w:t>2026-08-12 00:00:00+00:00</w:t>
      </w:r>
      <w:r>
        <w:t xml:space="preserve">    </w:t>
      </w:r>
      <w:r>
        <w:rPr>
          <w:b/>
        </w:rPr>
        <w:t xml:space="preserve">DOI: </w:t>
      </w:r>
      <w:hyperlink r:id="rId59">
        <w:r>
          <w:rPr>
            <w:color w:val="1155CC"/>
            <w:u w:val="single"/>
          </w:rPr>
          <w:t>10.1016/j.apenergy.2026.128530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 </w:t>
      </w:r>
      <w:hyperlink r:id="rId60">
        <w:r>
          <w:rPr>
            <w:color w:val="1155CC"/>
            <w:u w:val="single"/>
          </w:rPr>
          <w:t>米级钙钛矿太阳能电池组件的羧酸铅钝化</w:t>
        </w:r>
      </w:hyperlink>
    </w:p>
    <w:p>
      <w:pPr>
        <w:spacing w:before="0" w:after="80"/>
      </w:pPr>
      <w:r>
        <w:rPr>
          <w:i/>
          <w:sz w:val="20"/>
        </w:rPr>
        <w:t>EN: Lead carboxylates passivation for meter-scale perovskite solar modules</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61">
        <w:r>
          <w:rPr>
            <w:color w:val="1155CC"/>
            <w:u w:val="single"/>
          </w:rPr>
          <w:t>10.1038/s41586-026-10994-7</w:t>
        </w:r>
      </w:hyperlink>
    </w:p>
    <w:p>
      <w:pPr>
        <w:spacing w:before="0" w:after="120"/>
      </w:pPr>
      <w:r>
        <w:rPr>
          <w:b/>
        </w:rPr>
        <w:t xml:space="preserve">Notes: </w:t>
      </w:r>
      <w:r>
        <w:t>abstract_source=nature_html</w:t>
      </w:r>
    </w:p>
    <w:p>
      <w:pPr>
        <w:spacing w:before="0" w:after="80" w:lineRule="auto" w:line="276"/>
      </w:pPr>
      <w:r>
        <w:rPr>
          <w:b/>
        </w:rPr>
        <w:t xml:space="preserve">摘要（ZH）: </w:t>
      </w:r>
      <w:r>
        <w:t>Environmentally sensitive ammonium halides have emerged as indispensable surface passivators for perovskite solar cells, demonstrating broadly effective performance at the laboratory scale1-4.然而，卤化铵对湿度的敏感性通常需要在惰性气氛下操作5。 Coupled with the heterogeneous distribution of passivators during large‑area slot‑die coating, applying such surface treatment techniques to the fabrication of meter‑scale perovskite solar modules under ambient conditions remains challenging. Here, we instead employ chemically stable lead carboxylates as passivators on perovskite films engineered to have a naturally-formed formamidinium iodide-enriched surface via a high-saturation vapor pressure solvent system (2-methoxyethanol, 1,3-dioxolane, and dimethyl sulfoxide). By treating tailored surface with lead dioleate to enhance carrier transport and surface passivation, we fabricated perovskite solar modules that achieved certified efficiencies of 24.0% (aperture area of 810 cm2) and 22.0% (total area of 0.72 m2) and passed all IEC 61215 reliability tests.这些结果代表了可扩展、工业上可行的钙钛矿光伏发电的最高性能报告。</w:t>
      </w:r>
    </w:p>
    <w:p>
      <w:pPr>
        <w:spacing w:before="0" w:after="200" w:lineRule="auto" w:line="276"/>
      </w:pPr>
      <w:r>
        <w:rPr>
          <w:b/>
        </w:rPr>
        <w:t xml:space="preserve">Abstract (EN): </w:t>
      </w:r>
      <w:r>
        <w:t>Environmentally sensitive ammonium halides have emerged as indispensable surface passivators for perovskite solar cells, demonstrating broadly effective performance at the laboratory scale1-4. However, the sensitivity of ammonium halides to humidity typically necessitates operation under an inert atmosphere5. Coupled with the heterogeneous distribution of passivators during large‑area slot‑die coating, applying such surface treatment techniques to the fabrication of meter‑scale perovskite solar modules under ambient conditions remains challenging. Here, we instead employ chemically stable lead carboxylates as passivators on perovskite films engineered to have a naturally-formed formamidinium iodide-enriched surface via a high-saturation vapor pressure solvent system (2-methoxyethanol, 1,3-dioxolane, and dimethyl sulfoxide). By treating tailored surface with lead dioleate to enhance carrier transport and surface passivation, we fabricated perovskite solar modules that achieved certified efficiencies of 24.0% (aperture area of 810 cm2) and 22.0% (total area of 0.72 m2) and passed all IEC 61215 reliability tests. These results represent the highest reported performance for scalable, industrially viable perovskite photovoltaics.</w:t>
      </w:r>
    </w:p>
    <w:p>
      <w:pPr>
        <w:spacing w:before="120" w:after="120"/>
      </w:pPr>
      <w:r>
        <w:rPr>
          <w:sz w:val="18"/>
        </w:rPr>
        <w:t>——————————————————————————————————————————————————————————————————————</w:t>
      </w:r>
    </w:p>
    <w:p>
      <w:pPr>
        <w:spacing w:before="160" w:after="40" w:line="240" w:lineRule="auto"/>
      </w:pPr>
      <w:r>
        <w:rPr>
          <w:b/>
        </w:rPr>
        <w:t xml:space="preserve">[30] </w:t>
      </w:r>
      <w:hyperlink r:id="rId62">
        <w:r>
          <w:rPr>
            <w:color w:val="1155CC"/>
            <w:u w:val="single"/>
          </w:rPr>
          <w:t>解码光浸泡预稳定以实现大面积钙钛矿模块的实际性能基准测试</w:t>
        </w:r>
      </w:hyperlink>
    </w:p>
    <w:p>
      <w:pPr>
        <w:spacing w:before="0" w:after="80"/>
      </w:pPr>
      <w:r>
        <w:rPr>
          <w:i/>
          <w:sz w:val="20"/>
        </w:rPr>
        <w:t>EN: Decoding Light‐Soaking Pre‐Stabilization for Real‐World Performance Benchmarking in Large‐Area Perovskite Modules</w:t>
      </w:r>
    </w:p>
    <w:p>
      <w:pPr>
        <w:spacing w:before="0" w:after="120"/>
      </w:pPr>
      <w:r>
        <w:rPr>
          <w:b/>
        </w:rPr>
        <w:t xml:space="preserve">Source: </w:t>
      </w:r>
      <w:r>
        <w:t>Wiley: Advanced Energy Materials: Table of Contents</w:t>
      </w:r>
      <w:r>
        <w:t xml:space="preserve">    </w:t>
      </w:r>
      <w:r>
        <w:rPr>
          <w:b/>
        </w:rPr>
        <w:t xml:space="preserve">Pub date: </w:t>
      </w:r>
      <w:r>
        <w:t>2026-08-12 09:23:21+00:00</w:t>
      </w:r>
      <w:r>
        <w:t xml:space="preserve">    </w:t>
      </w:r>
      <w:r>
        <w:rPr>
          <w:b/>
        </w:rPr>
        <w:t xml:space="preserve">DOI: </w:t>
      </w:r>
      <w:hyperlink r:id="rId63">
        <w:r>
          <w:rPr>
            <w:color w:val="1155CC"/>
            <w:u w:val="single"/>
          </w:rPr>
          <w:t>10.1002/aenm.71424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钙钛矿太阳能电池（PSC）中的光浸泡效应虽然被广泛观察到，但在性能增强和运行不稳定之间呈现出复杂的相互作用，其物理起源仍不清楚。这里，基于高效、大面积模块（21 cm</w:t>
      </w:r>
      <w:r>
        <w:rPr>
          <w:vertAlign w:val="subscript"/>
        </w:rPr>
        <w:t>2</w:t>
      </w:r>
      <w:r>
        <w:t>）具有经过认证的 23.09% 效率和 96.29% 几何填充因子，我们通过将多模态原位表征与明确解释耦合离子电子动力学的自洽漂移扩散模型相结合，解耦了底层机制。我们发现光浸泡激活主要是由阴离子的协同迁移驱动的（I</w:t>
      </w:r>
      <w:r>
        <w:t xml:space="preserve"> </w:t>
      </w:r>
      <w:r>
        <w:t>-</w:t>
      </w:r>
      <w:r>
        <w:t>) 和阳离子 (Cs</w:t>
      </w:r>
      <w:r>
        <w:t xml:space="preserve"> </w:t>
      </w:r>
      <w:r>
        <w:t>+</w:t>
      </w:r>
      <w:r>
        <w:t xml:space="preserve"> </w:t>
      </w:r>
      <w:r>
        <w:t>）离子，选择性地积聚在各自的电荷传输界面上。这种界面离子重新分布从根本上重建了能带排列，增强了内置电势并优化了电荷提取，同时钝化了界面缺陷。至关重要的是，我们证明了空穴传输层的分子工程（例如，采用基于膦酸的自组装单层）对于调节该过程至关重要，与传统的聚[双（4-苯基）（2,4,6-三甲基苯基）胺（PTAA）相比，能够实现卓越的离子固定和稳定。基于最先进的模块，我们确定激活/失活动力学强烈依赖于外部刺激（光</w:t>
      </w:r>
    </w:p>
    <w:p>
      <w:pPr>
        <w:spacing w:before="0" w:after="200" w:lineRule="auto" w:line="276"/>
      </w:pPr>
      <w:r>
        <w:rPr>
          <w:b/>
        </w:rPr>
        <w:t xml:space="preserve">Abstract (EN): </w:t>
      </w:r>
      <w:r>
        <w:t>The light–soaking effect in perovskite solar cells (PSCs), while widely observed, presents a complex interplay between performance enhancement and operational instability, the physical origin of which remains insufficiently understood. Herein, based on high–efficiency, large–area modules (21 cm</w:t>
      </w:r>
      <w:r>
        <w:rPr>
          <w:vertAlign w:val="subscript"/>
        </w:rPr>
        <w:t>2</w:t>
      </w:r>
      <w:r>
        <w:t>) with certified 23.09% efficiency and 96.29% geometric fill factor, we decouple the underlying mechanisms by combining multi–modal in–situ characterizations with a self–consistent drift–diffusion model that explicitly accounts for coupled ion–electron dynamics. We reveal that light–soaking activation is primarily driven by the cooperative migration of anion (I</w:t>
      </w:r>
      <w:r>
        <w:t xml:space="preserve"> </w:t>
      </w:r>
      <w:r>
        <w:t>−</w:t>
      </w:r>
      <w:r>
        <w:t>) and cation (Cs</w:t>
      </w:r>
      <w:r>
        <w:t xml:space="preserve"> </w:t>
      </w:r>
      <w:r>
        <w:t>+</w:t>
      </w:r>
      <w:r>
        <w:t xml:space="preserve"> </w:t>
      </w:r>
      <w:r>
        <w:t>) ions, which selectively accumulate at the respective charge–transporting interfaces. This interfacial ion redistribution fundamentally reconstructs the energy band alignment, enhancing the built–in potential and optimizing charge extraction while passivating interfacial defects. Crucially, we demonstrate that molecular engineering of the hole–transport layer (e.g., employing a phosphonic acid–based self–assembled monolayer) is pivotal for regulating this process, enabling superior ion immobilization and stabilization compared to conventional poly[bis(4‑phenyl)(2,4,6‑trimethylphenyl)amine (PTAA). Based on the state‐of‐the‐art modules, we establish that the activation/deactivation kinetics are intensely dependent on external stimuli (light intensity, spectrum, and temperature), providing a definitive link between operational conditions and device metastability. Our work elucidates the microscopic physico–chemical picture of light–induced performance evolution in PSCs and establishes interface–ion interaction as a central design rule for achieving highly efficient and operationally stable photovoltaics.</w:t>
      </w:r>
    </w:p>
    <w:p>
      <w:pPr>
        <w:spacing w:before="120" w:after="120"/>
      </w:pPr>
      <w:r>
        <w:rPr>
          <w:sz w:val="18"/>
        </w:rPr>
        <w:t>——————————————————————————————————————————————————————————————————————</w:t>
      </w:r>
    </w:p>
    <w:p>
      <w:pPr>
        <w:spacing w:before="160" w:after="40" w:line="240" w:lineRule="auto"/>
      </w:pPr>
      <w:r>
        <w:rPr>
          <w:b/>
        </w:rPr>
        <w:t xml:space="preserve">[31] </w:t>
      </w:r>
      <w:hyperlink r:id="rId64">
        <w:r>
          <w:rPr>
            <w:color w:val="1155CC"/>
            <w:u w:val="single"/>
          </w:rPr>
          <w:t>用于高压和稳定钙钛矿太阳能电池的多氟调节器辅助支架定向倾斜 1D/3D 异质界面</w:t>
        </w:r>
      </w:hyperlink>
    </w:p>
    <w:p>
      <w:pPr>
        <w:spacing w:before="0" w:after="80"/>
      </w:pPr>
      <w:r>
        <w:rPr>
          <w:i/>
          <w:sz w:val="20"/>
        </w:rPr>
        <w:t>EN: Polyfluorinated‐Regulator‐Assisted Scaffold‐Directed Tilted 1D/3D Heterointerfaces for High‐Voltage and Stable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2026-08-12 16:23:31+00:00</w:t>
      </w:r>
      <w:r>
        <w:t xml:space="preserve">    </w:t>
      </w:r>
      <w:r>
        <w:rPr>
          <w:b/>
        </w:rPr>
        <w:t xml:space="preserve">DOI: </w:t>
      </w:r>
      <w:hyperlink r:id="rId65">
        <w:r>
          <w:rPr>
            <w:color w:val="1155CC"/>
            <w:u w:val="single"/>
          </w:rPr>
          <w:t>10.1002/anie.8256065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保护性低维界面相可以提高钙钛矿太阳能电池的稳定性，但由于不利的界面堆积和传输势垒，它们通常会损害电荷提取。在此，我们报告了一种在倒置钙钛矿吸收体上构建交织倾斜 1D/3D 异质界面的支架导向策略。通过沉积 PbI</w:t>
      </w:r>
      <w:r>
        <w:rPr>
          <w:vertAlign w:val="subscript"/>
        </w:rPr>
        <w:t>2</w:t>
      </w:r>
      <w:r>
        <w:t>到倾斜定向的 3D 钙钛矿支架上并诱导溶剂辅助重建，这是一种由边缘共享的 1D PbI 组成的紧凑的近表面界面相</w:t>
      </w:r>
      <w:r>
        <w:rPr>
          <w:vertAlign w:val="subscript"/>
        </w:rPr>
        <w:t>2</w:t>
      </w:r>
      <w:r>
        <w:t>和面部共享一维</w:t>
      </w:r>
      <w:r>
        <w:t xml:space="preserve"> </w:t>
      </w:r>
      <w:r>
        <w:t>δ</w:t>
      </w:r>
      <w:r>
        <w:t xml:space="preserve"> </w:t>
      </w:r>
      <w:r>
        <w:t>‐FAPbI</w:t>
      </w:r>
      <w:r>
        <w:rPr>
          <w:vertAlign w:val="subscript"/>
        </w:rPr>
        <w:t>3</w:t>
      </w:r>
      <w:r>
        <w:t>由底层 3D 框架的晶体结构引导的倾斜方向形成。与传统的横向排列的低维覆盖层不同，这种倾斜的一维界面保留了面外界面连接性，同时提供了针对缺陷传播和离子迁移的强大屏障。我们进一步确定 7F-EA-HI（一种柔性多氟碘化铵）作为一种有效的结晶调节剂，可以抑制重构引起的缺陷，并通过其大分子偶极子有利地调节界面能量。因此，优化的倒置 PSC 的功率转换效率 (PCE) 为 24.94%，开路电压 (</w:t>
      </w:r>
      <w:r>
        <w:t xml:space="preserve"> </w:t>
      </w:r>
      <w:r>
        <w:t>V</w:t>
      </w:r>
      <w:r>
        <w:t xml:space="preserve"> </w:t>
      </w:r>
      <w:r>
        <w:t>奥克</w:t>
      </w:r>
      <w:r>
        <w:t xml:space="preserve"> </w:t>
      </w:r>
      <w:r>
        <w:t>）为1.188 V，短路电流密度（</w:t>
      </w:r>
      <w:r>
        <w:t xml:space="preserve"> </w:t>
      </w:r>
      <w:r>
        <w:t>J</w:t>
      </w:r>
    </w:p>
    <w:p>
      <w:pPr>
        <w:spacing w:before="0" w:after="200" w:lineRule="auto" w:line="276"/>
      </w:pPr>
      <w:r>
        <w:rPr>
          <w:b/>
        </w:rPr>
        <w:t xml:space="preserve">Abstract (EN): </w:t>
      </w:r>
      <w:r>
        <w:t>Protective low‐dimensional interphases can improve perovskite solar‐cell stability, but they often compromise charge extraction because of unfavorable interfacial packing and transport barriers. Herein, we report a scaffold‐directed strategy to construct an interwoven tilted 1D/3D heterointerface on inverted perovskite absorbers. By depositing PbI</w:t>
      </w:r>
      <w:r>
        <w:rPr>
          <w:vertAlign w:val="subscript"/>
        </w:rPr>
        <w:t>2</w:t>
      </w:r>
      <w:r>
        <w:t>onto a tilt‐oriented 3D perovskite scaffold and inducing solvent‐assisted reconstruction, a compact near‐surface interphase composed of edge‐sharing 1D PbI</w:t>
      </w:r>
      <w:r>
        <w:rPr>
          <w:vertAlign w:val="subscript"/>
        </w:rPr>
        <w:t>2</w:t>
      </w:r>
      <w:r>
        <w:t>and face‐sharing 1D</w:t>
      </w:r>
      <w:r>
        <w:t xml:space="preserve"> </w:t>
      </w:r>
      <w:r>
        <w:t>δ</w:t>
      </w:r>
      <w:r>
        <w:t xml:space="preserve"> </w:t>
      </w:r>
      <w:r>
        <w:t>‐FAPbI</w:t>
      </w:r>
      <w:r>
        <w:rPr>
          <w:vertAlign w:val="subscript"/>
        </w:rPr>
        <w:t>3</w:t>
      </w:r>
      <w:r>
        <w:t>is formed with an oblique orientation guided by the crystallographic texture of the underlying 3D framework. Unlike conventional laterally aligned low‐dimensional overlayers, this tilted 1D interphase preserves out‐of‐plane interfacial connectivity while providing a robust barrier against defect propagation and ion migration. We further identify 7F‐EA‐HI, a flexible polyfluorinated ammonium iodide, as an effective crystallization regulator that suppresses reconstruction‐induced defects and favorably modulates interfacial energetics through its large molecular dipole. As a result, the optimized inverted PSCs deliver a power conversion efficiency (PCE) of 24.94%, with an open‐circuit voltage (</w:t>
      </w:r>
      <w:r>
        <w:t xml:space="preserve"> </w:t>
      </w:r>
      <w:r>
        <w:t>V</w:t>
      </w:r>
      <w:r>
        <w:t xml:space="preserve"> </w:t>
      </w:r>
      <w:r>
        <w:t>OC</w:t>
      </w:r>
      <w:r>
        <w:t xml:space="preserve"> </w:t>
      </w:r>
      <w:r>
        <w:t>) of 1.188 V, a short‐circuit current density (</w:t>
      </w:r>
      <w:r>
        <w:t xml:space="preserve"> </w:t>
      </w:r>
      <w:r>
        <w:t>J</w:t>
      </w:r>
      <w:r>
        <w:t xml:space="preserve"> </w:t>
      </w:r>
      <w:r>
        <w:t>SC</w:t>
      </w:r>
      <w:r>
        <w:t xml:space="preserve"> </w:t>
      </w:r>
      <w:r>
        <w:t>) of 24.67 mA cm</w:t>
      </w:r>
      <w:r>
        <w:t xml:space="preserve"> </w:t>
      </w:r>
      <w:r>
        <w:t>−2</w:t>
      </w:r>
      <w:r>
        <w:t xml:space="preserve"> </w:t>
      </w:r>
      <w:r>
        <w:t>, and a fill factor (FF) of 85.11%, along with markedly improved ambient and thermal stability. This work demonstrates tilted 1D/3D interfacial engineering as a viable route toward high‐voltage and durable perovskite optoelectronics.</w:t>
      </w:r>
    </w:p>
    <w:p>
      <w:pPr>
        <w:spacing w:before="120" w:after="120"/>
      </w:pPr>
      <w:r>
        <w:rPr>
          <w:sz w:val="18"/>
        </w:rPr>
        <w:t>——————————————————————————————————————————————————————————————————————</w:t>
      </w:r>
    </w:p>
    <w:p>
      <w:pPr>
        <w:spacing w:before="160" w:after="40" w:line="240" w:lineRule="auto"/>
      </w:pPr>
      <w:r>
        <w:rPr>
          <w:b/>
        </w:rPr>
        <w:t xml:space="preserve">[32] </w:t>
      </w:r>
      <w:hyperlink r:id="rId66">
        <w:r>
          <w:rPr>
            <w:color w:val="1155CC"/>
            <w:u w:val="single"/>
          </w:rPr>
          <w:t>重新定义晶体硅：开启透明和柔性光伏的新视野（Adv. Energy Mater. 30/2026）</w:t>
        </w:r>
      </w:hyperlink>
    </w:p>
    <w:p>
      <w:pPr>
        <w:spacing w:before="0" w:after="80"/>
      </w:pPr>
      <w:r>
        <w:rPr>
          <w:i/>
          <w:sz w:val="20"/>
        </w:rPr>
        <w:t>EN: Redefining Crystalline Silicon: Unlocking New Horizons in Transparent and Flexible Photovoltaics (Adv. Energy Mater. 30/2026)</w:t>
      </w:r>
    </w:p>
    <w:p>
      <w:pPr>
        <w:spacing w:before="0" w:after="120"/>
      </w:pPr>
      <w:r>
        <w:rPr>
          <w:b/>
        </w:rPr>
        <w:t xml:space="preserve">Source: </w:t>
      </w:r>
      <w:r>
        <w:t>Wiley: Advanced Energy Materials: Table of Contents</w:t>
      </w:r>
      <w:r>
        <w:t xml:space="preserve">    </w:t>
      </w:r>
      <w:r>
        <w:rPr>
          <w:b/>
        </w:rPr>
        <w:t xml:space="preserve">Pub date: </w:t>
      </w:r>
      <w:r>
        <w:t>2026-08-12 18:29:41+00:00</w:t>
      </w:r>
      <w:r>
        <w:t xml:space="preserve">    </w:t>
      </w:r>
      <w:r>
        <w:rPr>
          <w:b/>
        </w:rPr>
        <w:t xml:space="preserve">DOI: </w:t>
      </w:r>
      <w:hyperlink r:id="rId67">
        <w:r>
          <w:rPr>
            <w:color w:val="1155CC"/>
            <w:u w:val="single"/>
          </w:rPr>
          <w:t>10.1002/aenm.71269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68">
        <w:r>
          <w:rPr>
            <w:color w:val="1155CC"/>
            <w:u w:val="single"/>
          </w:rPr>
          <w:t>极性扭曲电子传输层同时打破了有机太阳能电池的效率、灵活性和成本限制</w:t>
        </w:r>
      </w:hyperlink>
    </w:p>
    <w:p>
      <w:pPr>
        <w:spacing w:before="0" w:after="80"/>
      </w:pPr>
      <w:r>
        <w:rPr>
          <w:i/>
          <w:sz w:val="20"/>
        </w:rPr>
        <w:t>EN: Polar-Twisted Electron-Transport Layer Simultaneously Breaks Efficiency-Flexibility-Cost Limits in Organic Solar Cells</w:t>
      </w:r>
    </w:p>
    <w:p>
      <w:pPr>
        <w:spacing w:before="0" w:after="120"/>
      </w:pPr>
      <w:r>
        <w:rPr>
          <w:b/>
        </w:rPr>
        <w:t xml:space="preserve">Source: </w:t>
      </w:r>
      <w:r>
        <w:t>Nano-Micro Letters</w:t>
      </w:r>
      <w:r>
        <w:t xml:space="preserve">    </w:t>
      </w:r>
      <w:r>
        <w:rPr>
          <w:b/>
        </w:rPr>
        <w:t xml:space="preserve">Pub date: </w:t>
      </w:r>
      <w:r>
        <w:t>2026-08-13 00:00:00+00:00</w:t>
      </w:r>
      <w:r>
        <w:t xml:space="preserve">    </w:t>
      </w:r>
      <w:r>
        <w:rPr>
          <w:b/>
        </w:rPr>
        <w:t xml:space="preserve">DOI: </w:t>
      </w:r>
      <w:hyperlink r:id="rId69">
        <w:r>
          <w:rPr>
            <w:color w:val="1155CC"/>
            <w:u w:val="single"/>
          </w:rPr>
          <w:t>10.1007/s40820-026-02330-5</w:t>
        </w:r>
      </w:hyperlink>
    </w:p>
    <w:p>
      <w:pPr>
        <w:spacing w:before="0" w:after="120"/>
      </w:pPr>
      <w:r>
        <w:rPr>
          <w:b/>
        </w:rPr>
        <w:t xml:space="preserve">Notes: </w:t>
      </w:r>
      <w:r>
        <w:t>abstract_source=rss_description</w:t>
      </w:r>
    </w:p>
    <w:p>
      <w:pPr>
        <w:spacing w:before="0" w:after="80" w:lineRule="auto" w:line="276"/>
      </w:pPr>
      <w:r>
        <w:rPr>
          <w:b/>
        </w:rPr>
        <w:t xml:space="preserve">摘要（ZH）: </w:t>
      </w:r>
      <w:r>
        <w:t>基于苝二酰亚胺 (PDI) 的电子传输层 (ETL) 对于控制电荷提取、界面复合和有机太阳能电池 (OSC) 的运行寿命至关重要，但其分子设计仍然缺乏可转移的原理。在这里，我们提出了一种 PDI-ETL 分子设计框架，它将海湾位置工程与极性大侧链调制相结合，以提高无添加剂的醇溶解度，抑制过度结晶，并减轻氧化降解。通过这个框架，H75-DMA 抑制活性氧驱动的化学演化和界面陷阱积累，从而稳定界面能量和电子传输。基于 H75-DMA 的二元 OSC 可实现超过 20% 的功率转换效率 (PCE)，并在柔性设备中表现出更高的机械韧性和弯曲耐久性。其光滑、高表面能的界面还可以诱导超薄金属阴极的连续生长，从而提高柔性半透明OSC的光利用效率。此外，H75-DMA能够将阴极从Ag替换为Cu，同时保留Ag基器件约97%的PCE，从而提高器件层面的成本效益。亮点：1 极性扭曲苝二酰亚胺电子传输层框架可实现无添加剂的醇加工，抑制过结晶并提高氧化稳定性。2 H75-DMA 在二元有机太阳能电池中提供超过 20% 的效率，同时在 384 小时空气存储后仍保留约 80% 的初始功率转换效率。3 H75-DMA 增强了柔性</w:t>
      </w:r>
    </w:p>
    <w:p>
      <w:pPr>
        <w:spacing w:before="0" w:after="200" w:lineRule="auto" w:line="276"/>
      </w:pPr>
      <w:r>
        <w:rPr>
          <w:b/>
        </w:rPr>
        <w:t xml:space="preserve">Abstract (EN): </w:t>
      </w:r>
      <w:r>
        <w:t>Perylene diimide (PDI)-based electron-transport layers (ETLs) are fundamental in governing charge extraction, interfacial recombination, and the operational longevity of organic solar cells (OSCs), yet their molecular design still lacks transferable principles. Here we present a PDI-ETL molecular design framework that couples bay-position engineering with polar, bulky side-chain modulation to improve additive-free alcohol solubility, suppress over-crystallization, and mitigate oxidative degradation. With this framework, H75-DMA suppresses reactive-oxygen-driven chemical evolution and interfacial trap accumulation, thereby stabilizing interfacial energetics and electron transport. Binary OSCs based on H75-DMA achieve a power conversion efficiency (PCE) above 20% and exhibit improved mechanical toughness and bending durability in flexible devices. Its smooth, high-surface-energy interface also induces continuous growth of ultrathin metal cathodes, leading to increased light-utilization efficiency in flexible semitransparent OSCs. In addition, H75-DMA enables cathode substitution from Ag to Cu while retaining about 97% of the PCE of the Ag-based devices, thereby improving cost-effectiveness at the device level. Highlights:1 A polar-twisted perylene diimide electron-transport layers framework enables additive-free alcohol processing, suppressed over-crystallization, and improved oxidative stability.2 H75-DMA delivers over 20% efficiency in binary organic solar cells while retaining ~ 80% of its initial power conversion efficiency after 384 h air storage.3 H75-DMA enhances flexible and semitransparent organic solar cells and enables Ag-to-Cu cathode substitution with 18.65% efficiency, highlighting device-level cost effectiveness while approaching Ag-based performance.</w:t>
      </w:r>
    </w:p>
    <w:p>
      <w:pPr>
        <w:spacing w:before="120" w:after="120"/>
      </w:pPr>
      <w:r>
        <w:rPr>
          <w:sz w:val="18"/>
        </w:rPr>
        <w:t>——————————————————————————————————————————————————————————————————————</w:t>
      </w:r>
    </w:p>
    <w:p>
      <w:pPr>
        <w:spacing w:before="160" w:after="40" w:line="240" w:lineRule="auto"/>
      </w:pPr>
      <w:r>
        <w:rPr>
          <w:b/>
        </w:rPr>
        <w:t xml:space="preserve">[34] </w:t>
      </w:r>
      <w:hyperlink r:id="rId70">
        <w:r>
          <w:rPr>
            <w:color w:val="1155CC"/>
            <w:u w:val="single"/>
          </w:rPr>
          <w:t>高资本成本影响全球可再生能源部署的缓解效果</w:t>
        </w:r>
      </w:hyperlink>
    </w:p>
    <w:p>
      <w:pPr>
        <w:spacing w:before="0" w:after="80"/>
      </w:pPr>
      <w:r>
        <w:rPr>
          <w:i/>
          <w:sz w:val="20"/>
        </w:rPr>
        <w:t>EN: High costs of capital shape the mitigation effects of renewable energy deployment globally</w:t>
      </w:r>
    </w:p>
    <w:p>
      <w:pPr>
        <w:spacing w:before="0" w:after="120"/>
      </w:pPr>
      <w:r>
        <w:rPr>
          <w:b/>
        </w:rPr>
        <w:t xml:space="preserve">Source: </w:t>
      </w:r>
      <w:r>
        <w:t>Physical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尽管可再生资源丰富，但高资本成本是低收入和中等收入国家（LMIC）部署可再生能源的主要障碍，阻碍了脱碳工作。利用电网碳强度轨迹，我们发现中低收入国家的可再生能源部署的每个项目的减排潜力比高收入国家大 20 倍以上，甚至在考虑计划中的化石燃料项目之前也是如此。高资本成本大幅增加了中低收入国家的可再生能源平准化电力成本 (LCOE)，相对于高收入融资条件，平均增加了 26 美元/兆瓦时（太阳能）和 24 美元/兆瓦时（陆上风电）。融资成本占中低收入国家 LCOE 的比例高达 78%，而高收入国家这一比例为 37-39%，限制了全球可再生能源潜力的很大一部分。在与到 2030 年全球可再生能源发电量增加两倍的目标一致的情况下，这相当于每年增加 2,450 亿美元（太阳能）和 3,290 亿美元（风能）的成本。我们的结果凸显了降低中低收入国家融资成本以实现更加公平和高效的能源转型的重要性。</w:t>
      </w:r>
    </w:p>
    <w:p>
      <w:pPr>
        <w:spacing w:before="0" w:after="200" w:lineRule="auto" w:line="276"/>
      </w:pPr>
      <w:r>
        <w:rPr>
          <w:b/>
        </w:rPr>
        <w:t xml:space="preserve">Abstract (EN): </w:t>
      </w:r>
      <w:r>
        <w:t>High costs of capital are a major barrier to renewables deployment in low- and middle-income countries (LMICs), impeding decarbonisation efforts despite strong renewable resources. Using grid carbon intensity trajectories, we show that renewable deployment in LMICs has mitigation potentials over 20 times larger per project than high-income countries, even before accounting for planned fossil projects. High costs of capital increase renewable levelised costs of electricity (LCOEs) in LMICs substantially, adding an average of US$26/MWh (solar) and US$24/MWh (onshore wind) relative to high-income financing terms. Financing costs account for up to 78% of the LCOE in LMICs, compared with 37-39% in high-income countries, restricting a large portion of global renewable potential. Under a scenario consistent with the target of tripling global renewable capacity by 2030, this corresponds to additional annual costs of US$245bn (solar) and US$329bn (wind). Our results highlight the importance of reducing financing costs in LMICs for a more equitable and efficient energy transition.</w:t>
      </w:r>
    </w:p>
    <w:p>
      <w:pPr>
        <w:spacing w:before="120" w:after="120"/>
      </w:pPr>
      <w:r>
        <w:rPr>
          <w:sz w:val="18"/>
        </w:rPr>
        <w:t>——————————————————————————————————————————————————————————————————————</w:t>
      </w:r>
    </w:p>
    <w:p>
      <w:pPr>
        <w:spacing w:before="160" w:after="40" w:line="240" w:lineRule="auto"/>
      </w:pPr>
      <w:r>
        <w:rPr>
          <w:b/>
        </w:rPr>
        <w:t xml:space="preserve">[35] </w:t>
      </w:r>
      <w:hyperlink r:id="rId71">
        <w:r>
          <w:rPr>
            <w:color w:val="1155CC"/>
            <w:u w:val="single"/>
          </w:rPr>
          <w:t>自组装单层共轭噻吩连接体设计以实现高效稳定的有机太阳能电池</w:t>
        </w:r>
      </w:hyperlink>
    </w:p>
    <w:p>
      <w:pPr>
        <w:spacing w:before="0" w:after="80"/>
      </w:pPr>
      <w:r>
        <w:rPr>
          <w:i/>
          <w:sz w:val="20"/>
        </w:rPr>
        <w:t>EN: Conjugated Thiophene Linker Design of the Self‐Assembled Monolayer Toward Highly Efficient and Stable Organic Solar Cells</w:t>
      </w:r>
    </w:p>
    <w:p>
      <w:pPr>
        <w:spacing w:before="0" w:after="120"/>
      </w:pPr>
      <w:r>
        <w:rPr>
          <w:b/>
        </w:rPr>
        <w:t xml:space="preserve">Source: </w:t>
      </w:r>
      <w:r>
        <w:t>Wiley: Advanced Materials: Table of Contents</w:t>
      </w:r>
      <w:r>
        <w:t xml:space="preserve">    </w:t>
      </w:r>
      <w:r>
        <w:rPr>
          <w:b/>
        </w:rPr>
        <w:t xml:space="preserve">Pub date: </w:t>
      </w:r>
      <w:r>
        <w:t>2026-08-13 05:23:05+00:00</w:t>
      </w:r>
      <w:r>
        <w:t xml:space="preserve">    </w:t>
      </w:r>
      <w:r>
        <w:rPr>
          <w:b/>
        </w:rPr>
        <w:t xml:space="preserve">DOI: </w:t>
      </w:r>
      <w:hyperlink r:id="rId72">
        <w:r>
          <w:rPr>
            <w:color w:val="1155CC"/>
            <w:u w:val="single"/>
          </w:rPr>
          <w:t>10.1002/adma.74632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实现高功率转换效率（PCE）和运行稳定性仍然是有机太阳能电池（OSC）的关键挑战。虽然 2PACz 自组装单层 (SAM) 比常规使用的 PEDOT:PSS 空穴传输层 (HTL) 具有抑制寄生吸收和促进电荷收集的能力，但其操作稳定性通常受到高能光子照射下脆弱的化学结构的限制。在这项工作中，我们设计并合成了两种SAM，PhPACz和ThPACz，其2PACz的膦酸和咔唑之间的柔性烷基连接体被刚性苯基或噻吩取代，以操纵HOMO和LUMO轨道并进一步介导SAM的电子密度分布，从而促进界面处的电荷离域并增强光化学稳定性。 ThPACz SAM 抑制了 ITO 表面上的氧缺陷，并大大增强了脆弱 C-N 键处的键解离能（从 2PACz 中的 72.2 kcal/mol 到 ThPACz 中的 97.3 kcal/mol），转化为 D18:L8-BO 二元 OSC 中 20.5% 的冠军效率，同时显着延长了</w:t>
      </w:r>
      <w:r>
        <w:t xml:space="preserve"> </w:t>
      </w:r>
      <w:r>
        <w:t>时间</w:t>
      </w:r>
      <w:r>
        <w:rPr>
          <w:vertAlign w:val="subscript"/>
        </w:rPr>
        <w:t>80</w:t>
      </w:r>
      <w:r>
        <w:t>在可见光或 365 nm 紫外光下的使用寿命（超过 7 倍），优于基于 2PACz 的基准。这项研究强调了共轭连接体在为下一代 OSC 设计高性能、稳定 SAM 方面的关键作用。</w:t>
      </w:r>
    </w:p>
    <w:p>
      <w:pPr>
        <w:spacing w:before="0" w:after="200" w:lineRule="auto" w:line="276"/>
      </w:pPr>
      <w:r>
        <w:rPr>
          <w:b/>
        </w:rPr>
        <w:t xml:space="preserve">Abstract (EN): </w:t>
      </w:r>
      <w:r>
        <w:t>Achieving high power conversion efficiency (PCE) and operational stability remains a critical challenge of organic solar cells (OSCs). While the 2PACz self‐assembled monolayer (SAM) offers suppressed parasitic absorption and facilitated charge collection over the routinely‐used PEDOT:PSS hole‐transport layer (HTL), their operational stability is often limited by the vulnerable chemical structure under high‐energy photon illumination. In this work, we design and synthesize two SAMs, PhPACz and ThPACz, whose flexible alkyl linker between phosphonic acid and carbazole of 2PACz is substituted by rigid phenyl or thiophene to manipulate the HOMO and LUMO orbitals and further mediate the electron density distribution of SAM, thereby promoting charge delocalization at the interface and enhancing photochemical stability. The ThPACz SAM delivers suppressed oxygen defects on the ITO surface and largely enhanced the bond dissociation energy at the vulnerable C‐N bond (from 72.2 kcal/mol in 2PACz to 97.3 kcal/mol in ThPACz), translating to a champion efficiency of 20.5% in D18:L8‐BO binary OSCs, alongside a significantly extended</w:t>
      </w:r>
      <w:r>
        <w:t xml:space="preserve"> </w:t>
      </w:r>
      <w:r>
        <w:t>T</w:t>
      </w:r>
      <w:r>
        <w:rPr>
          <w:vertAlign w:val="subscript"/>
        </w:rPr>
        <w:t>80</w:t>
      </w:r>
      <w:r>
        <w:t>lifetime (over 7 times) under either visible or 365 nm UV light, outperforming the 2PACz based benchmark. This study underscores the critical role of conjugated linkers in designing high‐performance, stable SAMs for next‐generation OSCs.</w:t>
      </w:r>
    </w:p>
    <w:p>
      <w:pPr>
        <w:spacing w:before="120" w:after="120"/>
      </w:pPr>
      <w:r>
        <w:rPr>
          <w:sz w:val="18"/>
        </w:rPr>
        <w:t>——————————————————————————————————————————————————————————————————————</w:t>
      </w:r>
    </w:p>
    <w:p>
      <w:pPr>
        <w:spacing w:before="160" w:after="40" w:line="240" w:lineRule="auto"/>
      </w:pPr>
      <w:r>
        <w:rPr>
          <w:b/>
        </w:rPr>
        <w:t xml:space="preserve">[36] </w:t>
      </w:r>
      <w:hyperlink r:id="rId73">
        <w:r>
          <w:rPr>
            <w:color w:val="1155CC"/>
            <w:u w:val="single"/>
          </w:rPr>
          <w:t>垂直取向杯芳烃自组装单层膜可实现高效锡基钙钛矿太阳能电池</w:t>
        </w:r>
      </w:hyperlink>
    </w:p>
    <w:p>
      <w:pPr>
        <w:spacing w:before="0" w:after="80"/>
      </w:pPr>
      <w:r>
        <w:rPr>
          <w:i/>
          <w:sz w:val="20"/>
        </w:rPr>
        <w:t>EN: Vertically Oriented Calixarene Self‐Assembled Monolayers Enable Efficient Tin‐Based Perovskite Solar Cells</w:t>
      </w:r>
    </w:p>
    <w:p>
      <w:pPr>
        <w:spacing w:before="0" w:after="120"/>
      </w:pPr>
      <w:r>
        <w:rPr>
          <w:b/>
        </w:rPr>
        <w:t xml:space="preserve">Source: </w:t>
      </w:r>
      <w:r>
        <w:t>Wiley: Advanced Materials: Table of Contents</w:t>
      </w:r>
      <w:r>
        <w:t xml:space="preserve">    </w:t>
      </w:r>
      <w:r>
        <w:rPr>
          <w:b/>
        </w:rPr>
        <w:t xml:space="preserve">Pub date: </w:t>
      </w:r>
      <w:r>
        <w:t>2026-08-13 05:25:19+00:00</w:t>
      </w:r>
      <w:r>
        <w:t xml:space="preserve">    </w:t>
      </w:r>
      <w:r>
        <w:rPr>
          <w:b/>
        </w:rPr>
        <w:t xml:space="preserve">DOI: </w:t>
      </w:r>
      <w:hyperlink r:id="rId74">
        <w:r>
          <w:rPr>
            <w:color w:val="1155CC"/>
            <w:u w:val="single"/>
          </w:rPr>
          <w:t>10.1002/adma.74643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自组装单层（SAM）代表了优化锡基钙钛矿太阳能电池（TPSC）埋入界面质量的有效策略。然而，传统的 SAM 经常遭受严重的分子团聚、界面质量恶化，并且倾向于在空穴传输层上采用“平躺”配置，导致垂直偶极子分量减少，调整失配能级排列的能力有限。本文引入了一种多功能 SAM，即 4-sulfocalix[6]arene (SC6A)，可同时调节 TPSC 中的埋入界面并优化能带排列。由于具有六个锚定磺酸基，SC6A 与 NiO 形成强大的多齿相互作用</w:t>
      </w:r>
      <w:r>
        <w:t xml:space="preserve"> </w:t>
      </w:r>
      <w:r>
        <w:t>x</w:t>
      </w:r>
      <w:r>
        <w:t xml:space="preserve"> </w:t>
      </w:r>
      <w:r>
        <w:t>，实现均匀的界面覆盖并改善钙钛矿薄膜的生长。同时，SC6A具有较大的本征分子偶极子，并优先采用垂直取向，从而最大化垂直于界面的有效偶极子分量，诱导有利的能带排列，并加速电荷提取。因此，采用 SC6A 的 TPSC 的功率转换效率 (PCE) 为 16.46%。具有 SC6A 的 TPSC 在货架存储 980 小时后仍保持其初始 PCE 的 98%。此外，在 1 太阳光照下连续运行 300 小时后，采用 SC6A 的 TPSC 仍保持其初始 PCE 的 90%，而控制设备仅在 146 小时后就达到了相同的保留水平，这表明长期运行稳定性得到了增强。</w:t>
      </w:r>
    </w:p>
    <w:p>
      <w:pPr>
        <w:spacing w:before="0" w:after="200" w:lineRule="auto" w:line="276"/>
      </w:pPr>
      <w:r>
        <w:rPr>
          <w:b/>
        </w:rPr>
        <w:t xml:space="preserve">Abstract (EN): </w:t>
      </w:r>
      <w:r>
        <w:t>Self‐assembled monolayers (SAMs) represent an effective strategy for optimizing buried interfacial quality in tin‐based perovskite solar cells (TPSCs). Nevertheless, conventional SAMs often suffer from severe molecular agglomeration, deteriorating interface quality, and tend to adopt a “lying‐down” configuration on hole transport layers, leading to a reduced vertical dipole component and limited ability to tune mismatched energy level alignment. Herein, a multifunctional SAM, 4‐sulfocalix[6]arene (SC6A), is introduced to simultaneously regulate the buried interface and optimize band alignment in TPSCs. Owing to six anchoring sulfonate groups, SC6A forms robust multidentate interactions with NiO</w:t>
      </w:r>
      <w:r>
        <w:t xml:space="preserve"> </w:t>
      </w:r>
      <w:r>
        <w:t>x</w:t>
      </w:r>
      <w:r>
        <w:t xml:space="preserve"> </w:t>
      </w:r>
      <w:r>
        <w:t>, enabling homogeneous interfacial coverage and improved perovskite film growth. Meanwhile, SC6A possesses a large intrinsic molecular dipole and preferentially adopts a vertical orientation, which maximizes the effective dipole component normal to the interface, induces favorable band alignment, and accelerates charge extraction. As a result, TPSCs with SC6A exhibit a power conversion efficiency (PCE) of 16.46%. TPSCs with SC6A maintain 98% of their initial PCE after 980 h of shelf storage. Furthermore, the TPSC with SC6A maintains 90% of its initial PCE after 300 h of continuous operation under 1‐sun illumination, whereas the control device reaches the same retention level after only 146 h, demonstrating enhanced long‐term operational stability.</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75">
        <w:r>
          <w:rPr>
            <w:color w:val="1155CC"/>
            <w:u w:val="single"/>
          </w:rPr>
          <w:t>用于高电压宽温锂金属电池的不对称氟化磺酰胺电解质溶剂</w:t>
        </w:r>
      </w:hyperlink>
    </w:p>
    <w:p>
      <w:pPr>
        <w:spacing w:before="0" w:after="80"/>
      </w:pPr>
      <w:r>
        <w:rPr>
          <w:i/>
          <w:sz w:val="20"/>
        </w:rPr>
        <w:t>EN: Asymmetric fluorinated sulfonamide electrolyte solvent for high-voltage and wide-temperature Li-metal batteries</w:t>
      </w:r>
    </w:p>
    <w:p>
      <w:pPr>
        <w:spacing w:before="0" w:after="120"/>
      </w:pPr>
      <w:r>
        <w:rPr>
          <w:b/>
        </w:rPr>
        <w:t xml:space="preserve">Source: </w:t>
      </w:r>
      <w:r>
        <w:t>Physical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由于严重的界面寄生反应和结构退化，富镍正极在高电压（≥ 4.6 V）下的稳定循环面临着严峻的挑战，特别是在全气候条件下（即≤ -20 °C 和 ≥ 55 °C）。在此，我们合理设计并合成了一种不对称氟化磺酰胺溶剂N-乙基-N-甲基三氟甲磺酰胺，其中砜主链的氟化大大提高了氧化稳定性，同时不对称胺基的引入赋予了该溶剂较低的凝固点（-150℃以下）。这种含有 1 M 双（氟磺酰基）亚胺锂的溶剂具有高氧化稳定性（高于 5.0 V）和良好的锂可逆性（在 Li | |Cu 电池中高达 99.8%）。这种单盐单溶剂电解质能够形成高度稳定的富含 LiF 的固体电解质/阴极电解质界面，可实现 Li | 的稳定循环。 |Ni0.8Co0.1Mn0.1 电池在 -60 至 100 °C 的宽温度范围内承受 4.8 V 的高电压。引人注目的是，原型 5 Ah 级锂 | | Ni0.8Co0.1Mn0.1 软包电池在 4.7 V 和 0.1 C 的截止电压下，在 20 个循环中表现出 514 Wh kg−1 的高比能（基于所有组件的质量）。</w:t>
      </w:r>
    </w:p>
    <w:p>
      <w:pPr>
        <w:spacing w:before="0" w:after="200" w:lineRule="auto" w:line="276"/>
      </w:pPr>
      <w:r>
        <w:rPr>
          <w:b/>
        </w:rPr>
        <w:t xml:space="preserve">Abstract (EN): </w:t>
      </w:r>
      <w:r>
        <w:t>Stable cycling of Ni-rich positive electrodes under high voltages (≥ 4.6 V) is critically challenging due to severe interfacial parasitic reactions and structural degradation, especially under all-climate conditions (i.e., ≤ −20 °C and ≥ 55 °C). Herein, we rationally design and synthesize an asymmetric fluorinated sulfonamide solvent, N-ethyl-N-methyltrifluoromethane-sulfonamide, where the fluorination of sulfone backbone greatly promotes the oxidation stability, while the introduction of asymmetric amine group bestows the solvent with an low freezing point (below −150 °C). This obtained solvent, with 1 M lithium bis(fluorosulfonyl)imide, delivers high oxidation stability (above 5.0 V) and good Li reversibility (up to 99.8% in Li | |Cu cells). Coupled with its ability to form highly robust LiF-rich solid-electrolyte/cathode-electrolyte interphases, this single-salt single-solvent electrolyte enables stable cycling of Li | |Ni0.8Co0.1Mn0.1 cells under an high voltage of 4.8 V across an wide temperature of −60 to 100 °C. Remarkably, a prototype 5 Ah-level Li | | Ni0.8Co0.1Mn0.1 pouch cell at an cut-off voltage of 4.7 V and 0.1 C demonstrates a high specific energy (based on the mass of all components) of 514 Wh kg−1 over 20 cycles.</w:t>
      </w:r>
    </w:p>
    <w:p>
      <w:pPr>
        <w:spacing w:before="120" w:after="120"/>
      </w:pPr>
      <w:r>
        <w:rPr>
          <w:sz w:val="18"/>
        </w:rPr>
        <w:t>——————————————————————————————————————————————————————————————————————</w:t>
      </w:r>
    </w:p>
    <w:p>
      <w:pPr>
        <w:spacing w:before="160" w:after="40" w:line="240" w:lineRule="auto"/>
      </w:pPr>
      <w:r>
        <w:rPr>
          <w:b/>
        </w:rPr>
        <w:t xml:space="preserve">[2] </w:t>
      </w:r>
      <w:hyperlink r:id="rId76">
        <w:r>
          <w:rPr>
            <w:color w:val="1155CC"/>
            <w:u w:val="single"/>
          </w:rPr>
          <w:t>具有不对称氟烷氧基化有机硼酸盐阴离子化学的高压钠金属电池</w:t>
        </w:r>
      </w:hyperlink>
    </w:p>
    <w:p>
      <w:pPr>
        <w:spacing w:before="0" w:after="80"/>
      </w:pPr>
      <w:r>
        <w:rPr>
          <w:i/>
          <w:sz w:val="20"/>
        </w:rPr>
        <w:t>EN: High-Voltage Sodium–Metal Batteries with Asymmetric Fluoroalkoxylated Organoborate Anion Chemistry</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77">
        <w:r>
          <w:rPr>
            <w:color w:val="1155CC"/>
            <w:u w:val="single"/>
          </w:rPr>
          <w:t>10.1021/jacs.6c08026</w:t>
        </w:r>
      </w:hyperlink>
    </w:p>
    <w:p>
      <w:pPr>
        <w:spacing w:before="0" w:after="120"/>
      </w:pPr>
      <w:r>
        <w:rPr>
          <w:b/>
        </w:rPr>
        <w:t xml:space="preserve">Notes: </w:t>
      </w:r>
      <w:r>
        <w:t>abstract_source=crossref</w:t>
      </w:r>
    </w:p>
    <w:p>
      <w:pPr>
        <w:spacing w:before="0" w:after="80" w:lineRule="auto" w:line="276"/>
      </w:pPr>
      <w:r>
        <w:rPr>
          <w:b/>
        </w:rPr>
        <w:t xml:space="preserve">摘要（ZH）: </w:t>
      </w:r>
      <w:r>
        <w:t>摘要 钠（Na）金属的高反应活性限制了其与醚类电解质的相容性，而醚类较差的氧化稳定性阻碍了其与高压正极的耦合，从根本上限制了钠金属电池（SMB）的工作电压和能量密度。我们在这里提出了一种配位不对称策略，通过在醚电解质中通过路易斯酸碱加成反应原位生成不对称氟烷氧基化有机硼酸根阴离子[FB(OCH(CF3)2)3]−(BOF–)来协调这种热力学失配。不对称配体结构区分了氧化和氟化途径：可氧化的 B-O 部分介导受控的界面重建，而末端 B-F 单元提供氟用于化学钝化。这种自适应化学产生纳米级、保形、成分分级的中间相：富含氧化硼/碳氧化硼的阴极电解质中间相（CEI），可减轻醚氧化，以及双层无机-有机固体-电解质中间相（SEI），可调节钠沉积。纳米结构中间相可实现高度可逆的钠沉积/剥离，平均库仑效率 (CE) 为 99.98%，并可在易氧化的醚电解质中维持无阳极 SMB 的稳定 4.3 V 运行。这项工作将不对称硼配位建立为分子级设计原理，用于创建化学适应性界面，克服能量密集电化学系统中的氧化还原不对称性。</w:t>
      </w:r>
    </w:p>
    <w:p>
      <w:pPr>
        <w:spacing w:before="0" w:after="200" w:lineRule="auto" w:line="276"/>
      </w:pPr>
      <w:r>
        <w:rPr>
          <w:b/>
        </w:rPr>
        <w:t xml:space="preserve">Abstract (EN): </w:t>
      </w:r>
      <w:r>
        <w:t>The high reactivity of sodium (Na) metal restricts its compatibility to ether-based electrolytes, while the poor oxidative stability of ethers precludes their coupling to high-voltage cathodes, fundamentally limiting the operating voltage and energy density of sodium–metal batteries (SMBs). We present here a coordination-asymmetry strategy to reconcile this thermodynamic mismatch by generating in situ an asymmetric fluoroalkoxylated organoborate anion, [FB(OCH(CF3)2)3]− (BOF–), via a Lewis acid–base adduct reaction in ether electrolyte. The asymmetric ligand architecture differentiates oxidative and fluorination pathways: oxidizable B–O moieties mediate controlled interfacial reconstruction, whereas the terminal B–F units supply fluorine for chemical passivation. This self-adaptive chemistry yields nanoscale, conformal, compositionally graded interphases: a boron-oxide/boron-oxycarbide-rich cathode-electrolyte interphase (CEI) that mitigates ether oxidation and a bilayered inorganic–organic solid–electrolyte interphase (SEI) that regulates Na deposition. The nanostructured interphases enable highly reversible Na plating/stripping with an average Coulombic efficiency (CE) of 99.98% and sustain stable 4.3 V operation of anode-free SMBs in oxidation-prone ether electrolytes. This work establishes asymmetric boron coordination as a molecular-level design principle for creating chemically adaptive interphases that overcome the redox asymmetry in energy-dense electrochemical systems.</w:t>
      </w:r>
    </w:p>
    <w:p>
      <w:pPr>
        <w:spacing w:before="120" w:after="120"/>
      </w:pPr>
      <w:r>
        <w:rPr>
          <w:sz w:val="18"/>
        </w:rPr>
        <w:t>——————————————————————————————————————————————————————————————————————</w:t>
      </w:r>
    </w:p>
    <w:p>
      <w:pPr>
        <w:spacing w:before="160" w:after="40" w:line="240" w:lineRule="auto"/>
      </w:pPr>
      <w:r>
        <w:rPr>
          <w:b/>
        </w:rPr>
        <w:t xml:space="preserve">[3] </w:t>
      </w:r>
      <w:hyperlink r:id="rId78">
        <w:r>
          <w:rPr>
            <w:color w:val="1155CC"/>
            <w:u w:val="single"/>
          </w:rPr>
          <w:t>实用锂电池的缺电子物质驱动的相间转变</w:t>
        </w:r>
      </w:hyperlink>
    </w:p>
    <w:p>
      <w:pPr>
        <w:spacing w:before="0" w:after="80"/>
      </w:pPr>
      <w:r>
        <w:rPr>
          <w:i/>
          <w:sz w:val="20"/>
        </w:rPr>
        <w:t>EN: Electron-Deficient Species-Driven Interphase Transformation for Practical Lithium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79">
        <w:r>
          <w:rPr>
            <w:color w:val="1155CC"/>
            <w:u w:val="single"/>
          </w:rPr>
          <w:t>10.1021/jacs.6c09703</w:t>
        </w:r>
      </w:hyperlink>
    </w:p>
    <w:p>
      <w:pPr>
        <w:spacing w:before="0" w:after="120"/>
      </w:pPr>
      <w:r>
        <w:rPr>
          <w:b/>
        </w:rPr>
        <w:t xml:space="preserve">Notes: </w:t>
      </w:r>
      <w:r>
        <w:t>abstract_source=crossref</w:t>
      </w:r>
    </w:p>
    <w:p>
      <w:pPr>
        <w:spacing w:before="0" w:after="80" w:lineRule="auto" w:line="276"/>
      </w:pPr>
      <w:r>
        <w:rPr>
          <w:b/>
        </w:rPr>
        <w:t xml:space="preserve">摘要（ZH）: </w:t>
      </w:r>
      <w:r>
        <w:t>摘要 具有富镍层状正极的锂金属电池由于其高能量密度而成为有前途的候选者。然而，传统碳酸盐中形成的不稳定界面会加速过早的不可逆容量损失。在这项研究中，我们利用含硼 (B) 物质的缺电子性质，它可以引发不稳定烷基锂的链聚合。该过程有利于这些组分连续转化为稳定的含B聚合物，增强机械强度和离子电导率，最终实现动态界面转变。同时，富含多种盐阴离子的较小溶剂化结构的意外生成促进了 Li+ 的传输和富含 LiF 的界面的形成。这样的界面赋予Li||LiNi0.8Co0.1Mn0.1O2电池在4.6 V下稳定运行高达450次循环。即使是实用的1.5 Ah石墨软包电池在1600次循环后也能保持84%的容量。由于这种独特的原位机制的广泛适用性，它可以推广到各种基于LiPF6的碳酸盐电解质。我们的工作提供了一种低成本且易于实现的相间修改策略，为高能量密度电池铺平了道路，可以满足多样化和苛刻的操作条件。</w:t>
      </w:r>
    </w:p>
    <w:p>
      <w:pPr>
        <w:spacing w:before="0" w:after="200" w:lineRule="auto" w:line="276"/>
      </w:pPr>
      <w:r>
        <w:rPr>
          <w:b/>
        </w:rPr>
        <w:t xml:space="preserve">Abstract (EN): </w:t>
      </w:r>
      <w:r>
        <w:t>Lithium metal batteries with Ni-rich layered cathodes are promising candidates due to their high energy density; however, the unstable interphase formed in traditional carbonates accelerates premature irreversible capacity loss. In this study, we exploit the electron-deficient nature of boron (B)-containing species, which can initiate the chain polymerization of unstable alkyl lithium. This process facilitates the continuous conversion of these components into stable B-containing polymers, enhancing mechanical strength and ionic conductivity and ultimately achieving dynamic interphase transformation. Simultaneously, the unexpected generation of smaller solvation structures rich in multiple salt anions promotes Li+ transportation and the formation of LiF-rich interphases. Such an interphase bestows Li||LiNi0.8Co0.1Mn0.1O2 cells with a stable operation of up to 450 cycles under 4.6 V. Even practical 1.5 Ah graphite pouch cells can maintain 84% capacity after 1600 cycles. Thanks to the broad applicability of this unique in situ mechanism, it can be generalized to various LiPF6-based carbonate electrolytes. Our work provides a low-cost and highly accessible strategy for modifying the interphase, paving the way for high energy-density batteries that can meet diverse and demanding operating conditions.</w:t>
      </w:r>
    </w:p>
    <w:p>
      <w:pPr>
        <w:spacing w:before="120" w:after="120"/>
      </w:pPr>
      <w:r>
        <w:rPr>
          <w:sz w:val="18"/>
        </w:rPr>
        <w:t>——————————————————————————————————————————————————————————————————————</w:t>
      </w:r>
    </w:p>
    <w:p>
      <w:pPr>
        <w:spacing w:before="160" w:after="40" w:line="240" w:lineRule="auto"/>
      </w:pPr>
      <w:r>
        <w:rPr>
          <w:b/>
        </w:rPr>
        <w:t xml:space="preserve">[4] </w:t>
      </w:r>
      <w:hyperlink r:id="rId80">
        <w:r>
          <w:rPr>
            <w:color w:val="1155CC"/>
            <w:u w:val="single"/>
          </w:rPr>
          <w:t>促进相变以提高地球丰富的无序岩盐材料的性能</w:t>
        </w:r>
      </w:hyperlink>
    </w:p>
    <w:p>
      <w:pPr>
        <w:spacing w:before="0" w:after="80"/>
      </w:pPr>
      <w:r>
        <w:rPr>
          <w:i/>
          <w:sz w:val="20"/>
        </w:rPr>
        <w:t>EN: Facilitated Phase Transformation for Improved Performance of Earth‐Abundant Disordered Rocksalt Materials</w:t>
      </w:r>
    </w:p>
    <w:p>
      <w:pPr>
        <w:spacing w:before="0" w:after="120"/>
      </w:pPr>
      <w:r>
        <w:rPr>
          <w:b/>
        </w:rPr>
        <w:t xml:space="preserve">Source: </w:t>
      </w:r>
      <w:r>
        <w:t>Wiley: Advanced Energy Materials: Table of Contents</w:t>
      </w:r>
      <w:r>
        <w:t xml:space="preserve">    </w:t>
      </w:r>
      <w:r>
        <w:rPr>
          <w:b/>
        </w:rPr>
        <w:t xml:space="preserve">Pub date: </w:t>
      </w:r>
      <w:r>
        <w:t>2026-08-07 06:46:34+00:00</w:t>
      </w:r>
      <w:r>
        <w:t xml:space="preserve">    </w:t>
      </w:r>
      <w:r>
        <w:rPr>
          <w:b/>
        </w:rPr>
        <w:t xml:space="preserve">DOI: </w:t>
      </w:r>
      <w:hyperlink r:id="rId81">
        <w:r>
          <w:rPr>
            <w:color w:val="1155CC"/>
            <w:u w:val="single"/>
          </w:rPr>
          <w:t>10.1002/aenm.71399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随着对锂离子电池的需求不断增加，由于镍 (Ni) 和钴 (Co) 资源的高成本和稀缺性，对这些资源的依赖已成为一个关键问题。最近发现的富锰无序岩盐（DRX）氧化物表现出高能量密度和容量保留率，使其成为低成本可持续储能材料的有希望的候选者。这些富锰 DRX 材料在电化学循环过程中发生结构转变，形成部分尖晶石状有序相 (δ)，从而提高倍率性能和容量保持率。在这项工作中，δ是通过脱锂和加热形成的，这绕过了长循环形成δ的需要。此外，我们还确定了转化程度与脱锂水平和加热时间之间的相关性。</w:t>
      </w:r>
    </w:p>
    <w:p>
      <w:pPr>
        <w:spacing w:before="0" w:after="200" w:lineRule="auto" w:line="276"/>
      </w:pPr>
      <w:r>
        <w:rPr>
          <w:b/>
        </w:rPr>
        <w:t xml:space="preserve">Abstract (EN): </w:t>
      </w:r>
      <w:r>
        <w:t>With the increasing demand for Li‐ion batteries, the reliance on nickel (Ni) and cobalt (Co) has become a critical concern given the high cost and scarcity of these resources. The recently discovered Mn‐rich disordered rocksalt (DRX) oxides have demonstrated high energy density and capacity retention, positioning them as promising candidates for low‐cost sustainable energy storage materials. These Mn‐rich DRX materials undergo structural transformation into a partial spinel‐like ordering phase (δ) during electrochemical cycling, thereby enhancing the rate capability and capacity retention. In this work, δ is formed by delithiation and heating, which bypasses the need for long cycling to form δ. In addition, we identify the correlation between the degree of transformation and the delithiation level and heating time.</w:t>
      </w:r>
    </w:p>
    <w:p>
      <w:pPr>
        <w:spacing w:before="120" w:after="120"/>
      </w:pPr>
      <w:r>
        <w:rPr>
          <w:sz w:val="18"/>
        </w:rPr>
        <w:t>——————————————————————————————————————————————————————————————————————</w:t>
      </w:r>
    </w:p>
    <w:p>
      <w:pPr>
        <w:spacing w:before="160" w:after="40" w:line="240" w:lineRule="auto"/>
      </w:pPr>
      <w:r>
        <w:rPr>
          <w:b/>
        </w:rPr>
        <w:t xml:space="preserve">[5] </w:t>
      </w:r>
      <w:hyperlink r:id="rId82">
        <w:r>
          <w:rPr>
            <w:color w:val="1155CC"/>
            <w:u w:val="single"/>
          </w:rPr>
          <w:t>Cr/Br 掺杂诱导电子离域调节 Na4Fe3(PO4)2P2O7 阴极中的 D 带中心上移以解锁电子/离子传输</w:t>
        </w:r>
      </w:hyperlink>
    </w:p>
    <w:p>
      <w:pPr>
        <w:spacing w:before="0" w:after="80"/>
      </w:pPr>
      <w:r>
        <w:rPr>
          <w:i/>
          <w:sz w:val="20"/>
        </w:rPr>
        <w:t>EN: Cr/Br Doping Induced Electron Delocalization Tuning D‐Band Center Upshift in Na4Fe3(PO4)2P2O7 Cathode for Unlocking Electron/Ion Transport</w:t>
      </w:r>
    </w:p>
    <w:p>
      <w:pPr>
        <w:spacing w:before="0" w:after="120"/>
      </w:pPr>
      <w:r>
        <w:rPr>
          <w:b/>
        </w:rPr>
        <w:t xml:space="preserve">Source: </w:t>
      </w:r>
      <w:r>
        <w:t>Wiley: Advanced Energy Materials: Table of Contents</w:t>
      </w:r>
      <w:r>
        <w:t xml:space="preserve">    </w:t>
      </w:r>
      <w:r>
        <w:rPr>
          <w:b/>
        </w:rPr>
        <w:t xml:space="preserve">Pub date: </w:t>
      </w:r>
      <w:r>
        <w:t>2026-08-07 06:49:05+00:00</w:t>
      </w:r>
      <w:r>
        <w:t xml:space="preserve">    </w:t>
      </w:r>
      <w:r>
        <w:rPr>
          <w:b/>
        </w:rPr>
        <w:t xml:space="preserve">DOI: </w:t>
      </w:r>
      <w:hyperlink r:id="rId83">
        <w:r>
          <w:rPr>
            <w:color w:val="1155CC"/>
            <w:u w:val="single"/>
          </w:rPr>
          <w:t>10.1002/aenm.71298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由与聚阴离子的强共价键引起的 Fe 周围的电子局域化已被确定为 Na 电子转移能力差和离子扩散动力学缓慢的主要原因</w:t>
      </w:r>
      <w:r>
        <w:rPr>
          <w:vertAlign w:val="subscript"/>
        </w:rPr>
        <w:t>4</w:t>
      </w:r>
      <w:r>
        <w:t>铁</w:t>
      </w:r>
      <w:r>
        <w:rPr>
          <w:vertAlign w:val="subscript"/>
        </w:rPr>
        <w:t>3</w:t>
      </w:r>
      <w:r>
        <w:t>（采购订单</w:t>
      </w:r>
      <w:r>
        <w:rPr>
          <w:vertAlign w:val="subscript"/>
        </w:rPr>
        <w:t>4</w:t>
      </w:r>
      <w:r>
        <w:t>）</w:t>
      </w:r>
      <w:r>
        <w:rPr>
          <w:vertAlign w:val="subscript"/>
        </w:rPr>
        <w:t>2</w:t>
      </w:r>
      <w:r>
        <w:t>磷</w:t>
      </w:r>
      <w:r>
        <w:rPr>
          <w:vertAlign w:val="subscript"/>
        </w:rPr>
        <w:t>2</w:t>
      </w:r>
      <w:r>
        <w:t>氧</w:t>
      </w:r>
      <w:r>
        <w:rPr>
          <w:vertAlign w:val="subscript"/>
        </w:rPr>
        <w:t>7</w:t>
      </w:r>
      <w:r>
        <w:t>（NFPP）阴极，这限制了其在钠离子电池（SIB）中的高倍率性能。在此，提出了电子离域策略来克服这一挑战。具体来说，3d</w:t>
      </w:r>
      <w:r>
        <w:rPr>
          <w:vertAlign w:val="subscript"/>
        </w:rPr>
        <w:t>3</w:t>
      </w:r>
      <w:r>
        <w:t>（t</w:t>
      </w:r>
      <w:r>
        <w:t xml:space="preserve"> </w:t>
      </w:r>
      <w:r>
        <w:t>2克</w:t>
      </w:r>
      <w:r>
        <w:rPr>
          <w:vertAlign w:val="subscript"/>
        </w:rPr>
        <w:t>3</w:t>
      </w:r>
      <w:r>
        <w:t>e</w:t>
      </w:r>
      <w:r>
        <w:t xml:space="preserve"> </w:t>
      </w:r>
      <w:r>
        <w:t>克</w:t>
      </w:r>
      <w:r>
        <w:rPr>
          <w:vertAlign w:val="subscript"/>
        </w:rPr>
        <w:t>0</w:t>
      </w:r>
      <w:r>
        <w:t>) Cr 的电子排布</w:t>
      </w:r>
      <w:r>
        <w:t xml:space="preserve"> </w:t>
      </w:r>
      <w:r>
        <w:t>3+</w:t>
      </w:r>
      <w:r>
        <w:t xml:space="preserve"> </w:t>
      </w:r>
      <w:r>
        <w:t>以及 Br 的 4p 轨道效应</w:t>
      </w:r>
      <w:r>
        <w:t xml:space="preserve"> </w:t>
      </w:r>
      <w:r>
        <w:t>-</w:t>
      </w:r>
      <w:r>
        <w:t>降低氧周围的电子密度，驱动 Fe 3d 和 O 2p 之间的轨道重叠，并促进 Fe 3d 轨道中电子的离域。这促进了Fe d带中心向费米能级移动，从而提高了电子传输速率并降低了Na的扩散能垒</w:t>
      </w:r>
      <w:r>
        <w:t xml:space="preserve"> </w:t>
      </w:r>
      <w:r>
        <w:t>+</w:t>
      </w:r>
      <w:r>
        <w:t xml:space="preserve"> </w:t>
      </w:r>
      <w:r>
        <w:t>离子。此外，更强的Cr─O键可作为结构主链，增强结构稳定性，而梯度分布的Br</w:t>
      </w:r>
      <w:r>
        <w:t xml:space="preserve"> </w:t>
      </w:r>
      <w:r>
        <w:t>-</w:t>
      </w:r>
      <w:r>
        <w:t>离子减轻表面降解</w:t>
      </w:r>
    </w:p>
    <w:p>
      <w:pPr>
        <w:spacing w:before="0" w:after="200" w:lineRule="auto" w:line="276"/>
      </w:pPr>
      <w:r>
        <w:rPr>
          <w:b/>
        </w:rPr>
        <w:t xml:space="preserve">Abstract (EN): </w:t>
      </w:r>
      <w:r>
        <w:t>The electron localization around Fe, caused by strong covalent bonds with the polyanions, has been identified as the primary reason for poor electron‐transfer capability and slow ion diffusion kinetics of Na</w:t>
      </w:r>
      <w:r>
        <w:rPr>
          <w:vertAlign w:val="subscript"/>
        </w:rPr>
        <w:t>4</w:t>
      </w:r>
      <w:r>
        <w:t>Fe</w:t>
      </w:r>
      <w:r>
        <w:rPr>
          <w:vertAlign w:val="subscript"/>
        </w:rPr>
        <w:t>3</w:t>
      </w:r>
      <w:r>
        <w:t>(PO</w:t>
      </w:r>
      <w:r>
        <w:rPr>
          <w:vertAlign w:val="subscript"/>
        </w:rPr>
        <w:t>4</w:t>
      </w:r>
      <w:r>
        <w:t>)</w:t>
      </w:r>
      <w:r>
        <w:rPr>
          <w:vertAlign w:val="subscript"/>
        </w:rPr>
        <w:t>2</w:t>
      </w:r>
      <w:r>
        <w:t>P</w:t>
      </w:r>
      <w:r>
        <w:rPr>
          <w:vertAlign w:val="subscript"/>
        </w:rPr>
        <w:t>2</w:t>
      </w:r>
      <w:r>
        <w:t>O</w:t>
      </w:r>
      <w:r>
        <w:rPr>
          <w:vertAlign w:val="subscript"/>
        </w:rPr>
        <w:t>7</w:t>
      </w:r>
      <w:r>
        <w:t>(NFPP) cathodes, which limits its high‐rate performance in sodium‐ion batteries (SIBs). Herein, an electron delocalization strategy is proposed to overcome this challenge. Specifically, the 3d</w:t>
      </w:r>
      <w:r>
        <w:rPr>
          <w:vertAlign w:val="subscript"/>
        </w:rPr>
        <w:t>3</w:t>
      </w:r>
      <w:r>
        <w:t>(t</w:t>
      </w:r>
      <w:r>
        <w:t xml:space="preserve"> </w:t>
      </w:r>
      <w:r>
        <w:t>2g</w:t>
      </w:r>
      <w:r>
        <w:rPr>
          <w:vertAlign w:val="subscript"/>
        </w:rPr>
        <w:t>3</w:t>
      </w:r>
      <w:r>
        <w:t>e</w:t>
      </w:r>
      <w:r>
        <w:t xml:space="preserve"> </w:t>
      </w:r>
      <w:r>
        <w:t>g</w:t>
      </w:r>
      <w:r>
        <w:rPr>
          <w:vertAlign w:val="subscript"/>
        </w:rPr>
        <w:t>0</w:t>
      </w:r>
      <w:r>
        <w:t>) electronic configuration of Cr</w:t>
      </w:r>
      <w:r>
        <w:t xml:space="preserve"> </w:t>
      </w:r>
      <w:r>
        <w:t>3+</w:t>
      </w:r>
      <w:r>
        <w:t xml:space="preserve"> </w:t>
      </w:r>
      <w:r>
        <w:t>and the 4p orbital effects of Br</w:t>
      </w:r>
      <w:r>
        <w:t xml:space="preserve"> </w:t>
      </w:r>
      <w:r>
        <w:t>−</w:t>
      </w:r>
      <w:r>
        <w:t>reduce the electron density around oxygen, driving orbital overlap between Fe 3d and O 2p and facilitating the delocalization of electrons in Fe 3d orbitals. This promotes the Fe d‐band center toward Fermi level, thereby enhancing the electron transport rate and decreasing the diffusion energy barrier of Na</w:t>
      </w:r>
      <w:r>
        <w:t xml:space="preserve"> </w:t>
      </w:r>
      <w:r>
        <w:t>+</w:t>
      </w:r>
      <w:r>
        <w:t xml:space="preserve"> </w:t>
      </w:r>
      <w:r>
        <w:t>ions. Additionally, stronger Cr─O bonds serve as structural backbones to strengthen structural stability, while gradient‐distributed Br</w:t>
      </w:r>
      <w:r>
        <w:t xml:space="preserve"> </w:t>
      </w:r>
      <w:r>
        <w:t>−</w:t>
      </w:r>
      <w:r>
        <w:t>ions alleviate surface degradation. Therefore, the obtained NFPP‐Cr‐Br cathode exhibits surprising capacity (120.5 mAh g</w:t>
      </w:r>
      <w:r>
        <w:t xml:space="preserve"> </w:t>
      </w:r>
      <w:r>
        <w:t>−1</w:t>
      </w:r>
      <w:r>
        <w:t xml:space="preserve"> </w:t>
      </w:r>
      <w:r>
        <w:t>at 0.1C) and long‐term cycle stability at high rate (86.2% after 2000 cycles at 10C). It also demonstrates good compatibility with different hard carbon anodes, including in pouch cells (80.6% after 500 cycles at 1C). This work provides new perspective to design efficient polyanionic cathode through electronic structure modulation strategy for SIBs.</w:t>
      </w:r>
    </w:p>
    <w:p>
      <w:pPr>
        <w:spacing w:before="120" w:after="120"/>
      </w:pPr>
      <w:r>
        <w:rPr>
          <w:sz w:val="18"/>
        </w:rPr>
        <w:t>——————————————————————————————————————————————————————————————————————</w:t>
      </w:r>
    </w:p>
    <w:p>
      <w:pPr>
        <w:spacing w:before="160" w:after="40" w:line="240" w:lineRule="auto"/>
      </w:pPr>
      <w:r>
        <w:rPr>
          <w:b/>
        </w:rPr>
        <w:t xml:space="preserve">[6] </w:t>
      </w:r>
      <w:hyperlink r:id="rId84">
        <w:r>
          <w:rPr>
            <w:color w:val="1155CC"/>
            <w:u w:val="single"/>
          </w:rPr>
          <w:t>通过 Zr 柱柱和原位晶格匹配工程协同体表面调制将 LiCoO2 稳定在 4.65 V</w:t>
        </w:r>
      </w:hyperlink>
    </w:p>
    <w:p>
      <w:pPr>
        <w:spacing w:before="0" w:after="80"/>
      </w:pPr>
      <w:r>
        <w:rPr>
          <w:i/>
          <w:sz w:val="20"/>
        </w:rPr>
        <w:t>EN: Synergistic Bulk‐Surface Modulation Stabilizing LiCoO2 at 4.65 V via Zr‐Pillaring and In Situ Lattice‐Matching Engineering</w:t>
      </w:r>
    </w:p>
    <w:p>
      <w:pPr>
        <w:spacing w:before="0" w:after="120"/>
      </w:pPr>
      <w:r>
        <w:rPr>
          <w:b/>
        </w:rPr>
        <w:t xml:space="preserve">Source: </w:t>
      </w:r>
      <w:r>
        <w:t>Wiley: Angewandte Chemie International Edition: Table of Contents</w:t>
      </w:r>
      <w:r>
        <w:t xml:space="preserve">    </w:t>
      </w:r>
      <w:r>
        <w:rPr>
          <w:b/>
        </w:rPr>
        <w:t xml:space="preserve">Pub date: </w:t>
      </w:r>
      <w:r>
        <w:t>2026-08-07 13:13:26+00:00</w:t>
      </w:r>
      <w:r>
        <w:t xml:space="preserve">    </w:t>
      </w:r>
      <w:r>
        <w:rPr>
          <w:b/>
        </w:rPr>
        <w:t xml:space="preserve">DOI: </w:t>
      </w:r>
      <w:hyperlink r:id="rId85">
        <w:r>
          <w:rPr>
            <w:color w:val="1155CC"/>
            <w:u w:val="single"/>
          </w:rPr>
          <w:t>10.1002/anie.3474461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钴酸锂（LiCoO</w:t>
      </w:r>
      <w:r>
        <w:rPr>
          <w:vertAlign w:val="subscript"/>
        </w:rPr>
        <w:t>2</w:t>
      </w:r>
      <w:r>
        <w:t>，LCO）是高能量密度锂离子电池的关键正极材料，但其应用电压高于 4.55 V（相对于 Li/Li</w:t>
      </w:r>
      <w:r>
        <w:t xml:space="preserve"> </w:t>
      </w:r>
      <w:r>
        <w:t>+</w:t>
      </w:r>
      <w:r>
        <w:t xml:space="preserve"> </w:t>
      </w:r>
      <w:r>
        <w:t>）受到 O3→H1-3 相变、晶格氧损失和钴溶解导致的结构降解的严重限制。在这里，我们报告了一种将 Zr 柱柱化 (LZCO) 与原位 LiCoPO 相结合的协同体表面改性策略</w:t>
      </w:r>
      <w:r>
        <w:rPr>
          <w:vertAlign w:val="subscript"/>
        </w:rPr>
        <w:t>4</w:t>
      </w:r>
      <w:r>
        <w:t>涂层 (LZCO@P) 将 LCO 稳定在 4.65 V。Zr 柱化通过扩大 O 2p-Co 3d 带隙来稳定晶格并抑制相变，如密度泛函理论 (DFT) 所示，以减轻氧氧化还原活性。 LZCO 和 LiCoPO 之间的晶格匹配界面工程</w:t>
      </w:r>
      <w:r>
        <w:rPr>
          <w:vertAlign w:val="subscript"/>
        </w:rPr>
        <w:t>4</w:t>
      </w:r>
      <w:r>
        <w:t>涂层是界面 P-O 四面体形成的结果，增强了机械附着力并降低了 LZCO 的氧表面反应性。因此，LZCO@P 在 1 C (3.5–4.65 V) 下循环 1000 次后容量保持率为 80.8%，在 3 C (3.5–4.65 V) 下循环 1000 次后容量保持率为 91.2%。实用的 Li||LZCO@P 软包电池在 1 C (3.0–4.6 V) 下循环 160 次后仍保留 92.3% 的容量。协同体表面改性策略通过不同的机制做出贡献，全面提高了 LZCO@P 在 4.65 V 下的循环稳定性。</w:t>
      </w:r>
    </w:p>
    <w:p>
      <w:pPr>
        <w:spacing w:before="0" w:after="200" w:lineRule="auto" w:line="276"/>
      </w:pPr>
      <w:r>
        <w:rPr>
          <w:b/>
        </w:rPr>
        <w:t xml:space="preserve">Abstract (EN): </w:t>
      </w:r>
      <w:r>
        <w:t>Lithium cobalt oxide (LiCoO</w:t>
      </w:r>
      <w:r>
        <w:rPr>
          <w:vertAlign w:val="subscript"/>
        </w:rPr>
        <w:t>2</w:t>
      </w:r>
      <w:r>
        <w:t>, LCO) is a critical cathode material for high‐energy‐density lithium‐ion batteries, yet its application above 4.55 V (vs. Li/Li</w:t>
      </w:r>
      <w:r>
        <w:t xml:space="preserve"> </w:t>
      </w:r>
      <w:r>
        <w:t>+</w:t>
      </w:r>
      <w:r>
        <w:t xml:space="preserve"> </w:t>
      </w:r>
      <w:r>
        <w:t>) is severely limited by structural degradation via the O3→H1‐3 phase transition, lattice oxygen loss, and cobalt dissolution. Here, we report a synergistic bulk‐surface modification strategy combining Zr‐pillaring (LZCO) with in situ LiCoPO</w:t>
      </w:r>
      <w:r>
        <w:rPr>
          <w:vertAlign w:val="subscript"/>
        </w:rPr>
        <w:t>4</w:t>
      </w:r>
      <w:r>
        <w:t>coating (LZCO@P) to stabilize LCO at 4.65 V. Zr‐pillaring stabilizes the lattice and suppresses phase transition by expanding the O 2p‐Co 3d band gap, as suggested by density functional theory (DFT), to mitigate oxygen redox activity. Lattice‐matched interfacial engineering between LZCO and LiCoPO</w:t>
      </w:r>
      <w:r>
        <w:rPr>
          <w:vertAlign w:val="subscript"/>
        </w:rPr>
        <w:t>4</w:t>
      </w:r>
      <w:r>
        <w:t>coating results from interfacial P–O tetrahedral formation, which enhances mechanical adhesion and reduces oxygen surface reactivity of LZCO. Consequently, LZCO@P achieves 80.8% capacity retention after 1000 cycles at 1 C (3.5–4.65 V) and 91.2% after 1000 cycles at 3 C (3.5–4.65 V). A practical Li||LZCO@P pouch cell retains 92.3% capacity after 160 cycles at 1 C (3.0–4.6 V). The synergistic bulk‐surface modification strategy contributes through different mechanisms and comprehensively improves the cycling stability of LZCO@P at 4.65 V.</w:t>
      </w:r>
    </w:p>
    <w:p>
      <w:pPr>
        <w:spacing w:before="120" w:after="120"/>
      </w:pPr>
      <w:r>
        <w:rPr>
          <w:sz w:val="18"/>
        </w:rPr>
        <w:t>——————————————————————————————————————————————————————————————————————</w:t>
      </w:r>
    </w:p>
    <w:p>
      <w:pPr>
        <w:spacing w:before="160" w:after="40" w:line="240" w:lineRule="auto"/>
      </w:pPr>
      <w:r>
        <w:rPr>
          <w:b/>
        </w:rPr>
        <w:t xml:space="preserve">[7] </w:t>
      </w:r>
      <w:hyperlink r:id="rId86">
        <w:r>
          <w:rPr>
            <w:color w:val="1155CC"/>
            <w:u w:val="single"/>
          </w:rPr>
          <w:t>超低体积应变钠存储富锰 P2 型层状氧化物阴极中 Li+ 的柱撑效应</w:t>
        </w:r>
      </w:hyperlink>
    </w:p>
    <w:p>
      <w:pPr>
        <w:spacing w:before="0" w:after="80"/>
      </w:pPr>
      <w:r>
        <w:rPr>
          <w:i/>
          <w:sz w:val="20"/>
        </w:rPr>
        <w:t>EN: Pillaring Effect of Li+ in a Mn‑Rich P2-Type Layered Oxide Cathode with Ultra-Low Volume Strain for Sodium Storage</w:t>
      </w:r>
    </w:p>
    <w:p>
      <w:pPr>
        <w:spacing w:before="0" w:after="120"/>
      </w:pPr>
      <w:r>
        <w:rPr>
          <w:b/>
        </w:rPr>
        <w:t xml:space="preserve">Source: </w:t>
      </w:r>
      <w:r>
        <w:t>ACS Applied Materials &amp; Interfaces: Latest Articles (ACS Publications)</w:t>
      </w:r>
      <w:r>
        <w:t xml:space="preserve">    </w:t>
      </w:r>
      <w:r>
        <w:rPr>
          <w:b/>
        </w:rPr>
        <w:t xml:space="preserve">Pub date: </w:t>
      </w:r>
      <w:r>
        <w:t>2026-08-08 00:00:00+00:00</w:t>
      </w:r>
      <w:r>
        <w:t xml:space="preserve">    </w:t>
      </w:r>
      <w:r>
        <w:rPr>
          <w:b/>
        </w:rPr>
        <w:t xml:space="preserve">DOI: </w:t>
      </w:r>
      <w:hyperlink r:id="rId87">
        <w:r>
          <w:rPr>
            <w:color w:val="1155CC"/>
            <w:u w:val="single"/>
          </w:rPr>
          <w:t>10.1021/acsami.6c07999</w:t>
        </w:r>
      </w:hyperlink>
    </w:p>
    <w:p>
      <w:pPr>
        <w:spacing w:before="0" w:after="120"/>
      </w:pPr>
      <w:r>
        <w:rPr>
          <w:b/>
        </w:rPr>
        <w:t xml:space="preserve">Notes: </w:t>
      </w:r>
      <w:r>
        <w:t>abstract_source=crossref</w:t>
      </w:r>
    </w:p>
    <w:p>
      <w:pPr>
        <w:spacing w:before="0" w:after="80" w:lineRule="auto" w:line="276"/>
      </w:pPr>
      <w:r>
        <w:rPr>
          <w:b/>
        </w:rPr>
        <w:t xml:space="preserve">摘要（ZH）: </w:t>
      </w:r>
      <w:r>
        <w:t>摘要 富锰 P2 型氧化物通过锰氧化还原提供高容量，但其商业可行性因 Jahn-Teller 畸变和结构不稳定而受到阻碍。为了克服这些障碍，采用支柱策略来锚定层状框架，有效抑制晶格应变并确保长期循环稳定性。在这里，我们通过耦合 Ca/Mg/Ni/Ti 取代与 Na 层中受控的 Li+占据来调节多元素共掺杂 P2 骨架的配位化学，并系统地将组成调整为 Na0.8Li0.2Ca0.025Mg0.05Ni0.1Mn0.75Ti0.05O2 (NMNMT-20Li)。优化后的 NMNMT-20Li 可在 4.0 V 以上激活可逆阴离子氧化还原，并提供最高 120 mAh g−1 的可逆容量。原位 XRD 证明了类固溶体的演化，没有相变，并且在 2.0−4.3 V 范围内晶胞体积变化约为 0.9%。弛豫时间 (DRT) 的原位分布揭示了高度可逆的电荷转移和阴极电解质间相电阻。密度泛函理论（DFT）计算将层间Li视为“支柱”，可以平滑层间静电势并降低Na+迁移势垒，而过量的Li会引起传输阻塞。此外，NMNMT-20Li || HC全电池表现出241.3 Wh kg−1的高初始能量密度，并在200次循环后保留97.71%的容量，展示了其强大的实用前景。</w:t>
      </w:r>
    </w:p>
    <w:p>
      <w:pPr>
        <w:spacing w:before="0" w:after="200" w:lineRule="auto" w:line="276"/>
      </w:pPr>
      <w:r>
        <w:rPr>
          <w:b/>
        </w:rPr>
        <w:t xml:space="preserve">Abstract (EN): </w:t>
      </w:r>
      <w:r>
        <w:t>Mn-rich P2-type oxides offer high capacity via Mn redox, yet their commercial viability is stalled by Jahn−Teller distortions and structural instability. To overcome these hurdles, a pillaring strategy is employed to anchor the layered framework, effectively suppressing lattice strain and ensuring long-term cycling stability. Here, we regulate the coordination chemistry of a multielement co-doped P2 framework by coupling Ca/Mg/Ni/Ti substitution with controlled Li+ occupation in the Na layer and systematically tune the composition as Na0.8Li0.2Ca0.025Mg0.05Ni0.1Mn0.75Ti0.05O2 (NMNMT-20Li). The optimized NMNMT-20Li activates the reversible anionic redox above 4.0 V and delivers the highest reversible capacity of 120 mAh g−1. In situ XRD evidences a solid-solution-like evolution without a phase transition and an ultra-low unit-cell volume change of ∼0.9% within 2.0−4.3 V. In situ distribution of relaxation times (DRT) reveals highly reversible charge-transfer and cathode−electrolyte interphase resistances. Density functional theory (DFT) calculation identifies interlayer Li as a “pillar” that smooths electrostatic potential between layers and lowers Na+ migration barriers, while excessive Li induces transport blocking. Furthermore, the NMNMT-20Li || HC full cell exhibits a high initial energy density of 241.3 Wh kg−1 and retains 97.71% capacity after 200 cycles, demonstrating its strong practical promise.</w:t>
      </w:r>
    </w:p>
    <w:p>
      <w:pPr>
        <w:spacing w:before="120" w:after="120"/>
      </w:pPr>
      <w:r>
        <w:rPr>
          <w:sz w:val="18"/>
        </w:rPr>
        <w:t>——————————————————————————————————————————————————————————————————————</w:t>
      </w:r>
    </w:p>
    <w:p>
      <w:pPr>
        <w:spacing w:before="160" w:after="40" w:line="240" w:lineRule="auto"/>
      </w:pPr>
      <w:r>
        <w:rPr>
          <w:b/>
        </w:rPr>
        <w:t xml:space="preserve">[8] </w:t>
      </w:r>
      <w:hyperlink r:id="rId88">
        <w:r>
          <w:rPr>
            <w:color w:val="1155CC"/>
            <w:u w:val="single"/>
          </w:rPr>
          <w:t>通过原位熵工程解决结构电池中的机械电化学困境</w:t>
        </w:r>
      </w:hyperlink>
    </w:p>
    <w:p>
      <w:pPr>
        <w:spacing w:before="0" w:after="80"/>
      </w:pPr>
      <w:r>
        <w:rPr>
          <w:i/>
          <w:sz w:val="20"/>
        </w:rPr>
        <w:t>EN: Resolving the Mechano‐Electrochemical Dilemma in Structural Batteries via In Situ Entropy Engineering</w:t>
      </w:r>
    </w:p>
    <w:p>
      <w:pPr>
        <w:spacing w:before="0" w:after="120"/>
      </w:pPr>
      <w:r>
        <w:rPr>
          <w:b/>
        </w:rPr>
        <w:t xml:space="preserve">Source: </w:t>
      </w:r>
      <w:r>
        <w:t>Wiley: Advanced Energy Materials: Table of Contents</w:t>
      </w:r>
      <w:r>
        <w:t xml:space="preserve">    </w:t>
      </w:r>
      <w:r>
        <w:rPr>
          <w:b/>
        </w:rPr>
        <w:t xml:space="preserve">Pub date: </w:t>
      </w:r>
      <w:r>
        <w:t>2026-08-08 08:55:46+00:00</w:t>
      </w:r>
      <w:r>
        <w:t xml:space="preserve">    </w:t>
      </w:r>
      <w:r>
        <w:rPr>
          <w:b/>
        </w:rPr>
        <w:t xml:space="preserve">DOI: </w:t>
      </w:r>
      <w:hyperlink r:id="rId89">
        <w:r>
          <w:rPr>
            <w:color w:val="1155CC"/>
            <w:u w:val="single"/>
          </w:rPr>
          <w:t>10.1002/aenm.71423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结构电池（SB）为无质量能量存储提供了一种革命性的方法，但由于耦合的电化学和机械应力，特别是在使用高能层状阴极时，会遭受严重的容量退化和机械故障。在此，首创了原位熵工程策略来构建高度坚固的富镍结构阴极（SC）。多元素共掺杂会产生强烈的晶格钉扎效应，在热力学上抑制晶格氧逃逸，并本质上减轻连续锂化/脱锂过程中的内部各向异性应变。由此产生的 SB 集成到碳纤维集电器上，表现出能量和承载指标的出色平衡。它们具有 122.34 mAh g 的卓越比容量</w:t>
      </w:r>
      <w:r>
        <w:t xml:space="preserve"> </w:t>
      </w:r>
      <w:r>
        <w:t>-</w:t>
      </w:r>
      <w:r>
        <w:rPr>
          <w:vertAlign w:val="subscript"/>
        </w:rPr>
        <w:t>1</w:t>
      </w:r>
      <w:r>
        <w:t>在 0.3C 下，200 个循环后容量保持率为 82.25%，显着优于传统的 NCM811 基准。此外，SB 可承受宏观外部应力，拉伸强度为 206.05 MPa，弯曲强度为 122.35 MPa，同时在持续静态原位机械载荷下表现出接近零的容量退化。实验和理论见解共同证实，熵驱动的晶格稳定弥合了高能量密度和机械鲁棒性之间的关键差距，推动了无质量储能的实际发展。</w:t>
      </w:r>
    </w:p>
    <w:p>
      <w:pPr>
        <w:spacing w:before="0" w:after="200" w:lineRule="auto" w:line="276"/>
      </w:pPr>
      <w:r>
        <w:rPr>
          <w:b/>
        </w:rPr>
        <w:t xml:space="preserve">Abstract (EN): </w:t>
      </w:r>
      <w:r>
        <w:t>Structural batteries (SBs) offer a revolutionary approach to massless energy storage, but suffer from severe capacity degradation and mechanical failure due to coupled electrochemical and mechanical stresses, particularly when employing high‐energy layered cathodes. Herein, an in situ entropy engineering strategy is pioneered to construct a highly robust, nickel‐rich structural cathode (SC). Multi‐element co‐doping induces a strong lattice pinning effect, which thermodynamically suppresses lattice oxygen escape and intrinsically mitigates internal anisotropic strain during continuous lithiation/delithiation. Integrated onto carbon fiber current collectors, the resulting SBs exhibit an exceptional balance of energy and load‐bearing metrics. They deliver a superior specific capacity of 122.34 mAh g</w:t>
      </w:r>
      <w:r>
        <w:t xml:space="preserve"> </w:t>
      </w:r>
      <w:r>
        <w:t>−</w:t>
      </w:r>
      <w:r>
        <w:rPr>
          <w:vertAlign w:val="subscript"/>
        </w:rPr>
        <w:t>1</w:t>
      </w:r>
      <w:r>
        <w:t>at 0.3C with 82.25% capacity retention over 200 cycles, significantly outperforming conventional NCM811 benchmarks. Furthermore, the SBs withstand macroscopic external stresses, yielding a tensile strength of 206.05 MPa and a flexural strength of 122.35 MPa, while demonstrating near‐zero capacity degradation under sustained static in situ mechanical loads. Experimental and theoretical insights jointly confirm that entropy‐driven lattice stabilization bridges the critical gap between high energy density and mechanical robustness, propelling the practical development of massless energy storage.</w:t>
      </w:r>
    </w:p>
    <w:p>
      <w:pPr>
        <w:spacing w:before="120" w:after="120"/>
      </w:pPr>
      <w:r>
        <w:rPr>
          <w:sz w:val="18"/>
        </w:rPr>
        <w:t>——————————————————————————————————————————————————————————————————————</w:t>
      </w:r>
    </w:p>
    <w:p>
      <w:pPr>
        <w:spacing w:before="160" w:after="40" w:line="240" w:lineRule="auto"/>
      </w:pPr>
      <w:r>
        <w:rPr>
          <w:b/>
        </w:rPr>
        <w:t xml:space="preserve">[9] </w:t>
      </w:r>
      <w:hyperlink r:id="rId90">
        <w:r>
          <w:rPr>
            <w:color w:val="1155CC"/>
            <w:u w:val="single"/>
          </w:rPr>
          <w:t>通过共价束缚咪唑鎓阳离子调节聚丙烯酰胺水凝胶电解质中的均匀锌沉积以获得稳定的水性锌电池</w:t>
        </w:r>
      </w:hyperlink>
    </w:p>
    <w:p>
      <w:pPr>
        <w:spacing w:before="0" w:after="80"/>
      </w:pPr>
      <w:r>
        <w:rPr>
          <w:i/>
          <w:sz w:val="20"/>
        </w:rPr>
        <w:t>EN: Regulating Uniform Zinc Deposition via Covalently Tethered Imidazolium Cations in Polyacrylamide Hydrogel Electrolytes for Stable Aqueous Zinc Batteries</w:t>
      </w:r>
    </w:p>
    <w:p>
      <w:pPr>
        <w:spacing w:before="0" w:after="120"/>
      </w:pPr>
      <w:r>
        <w:rPr>
          <w:b/>
        </w:rPr>
        <w:t xml:space="preserve">Source: </w:t>
      </w:r>
      <w:r>
        <w:t>Wiley: Advanced Energy Materials: Table of Contents</w:t>
      </w:r>
      <w:r>
        <w:t xml:space="preserve">    </w:t>
      </w:r>
      <w:r>
        <w:rPr>
          <w:b/>
        </w:rPr>
        <w:t xml:space="preserve">Pub date: </w:t>
      </w:r>
      <w:r>
        <w:t>2026-08-08 09:06:10+00:00</w:t>
      </w:r>
      <w:r>
        <w:t xml:space="preserve">    </w:t>
      </w:r>
      <w:r>
        <w:rPr>
          <w:b/>
        </w:rPr>
        <w:t xml:space="preserve">DOI: </w:t>
      </w:r>
      <w:hyperlink r:id="rId91">
        <w:r>
          <w:rPr>
            <w:color w:val="1155CC"/>
            <w:u w:val="single"/>
          </w:rPr>
          <w:t>10.1002/aenm.71370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离子电池（AZIB）由于其本质安全性和低成本而成为下一代储能的有希望的候选者。然而，不可控的锌枝晶生长和界面副反应限制了它们的循环稳定性和实际应用。在此，我们描述了一种聚（离子液体）水凝胶电解质，它将带正电的咪唑基离子液体（VEMA）纳入聚丙烯酰胺（PAM）网络中以应对这些挑战。维伊姆</w:t>
      </w:r>
      <w:r>
        <w:t xml:space="preserve"> </w:t>
      </w:r>
      <w:r>
        <w:t>+</w:t>
      </w:r>
      <w:r>
        <w:t xml:space="preserve"> </w:t>
      </w:r>
      <w:r>
        <w:t>电解质中的阳离子发挥多种作用：均匀化界面电场、固定 SO</w:t>
      </w:r>
      <w:r>
        <w:rPr>
          <w:vertAlign w:val="subscript"/>
        </w:rPr>
        <w:t>4</w:t>
      </w:r>
      <w:r>
        <w:t>2−</w:t>
      </w:r>
      <w:r>
        <w:t>通过离子交换阴离子，固定 SO</w:t>
      </w:r>
      <w:r>
        <w:rPr>
          <w:vertAlign w:val="subscript"/>
        </w:rPr>
        <w:t>4</w:t>
      </w:r>
      <w:r>
        <w:t>2−</w:t>
      </w:r>
      <w:r>
        <w:t>通过离子交换去除阴离子，改善界面动力学并减轻浓差极化。理论和实验研究均表明 VEIM</w:t>
      </w:r>
      <w:r>
        <w:t xml:space="preserve"> </w:t>
      </w:r>
      <w:r>
        <w:t>+</w:t>
      </w:r>
      <w:r>
        <w:t xml:space="preserve"> </w:t>
      </w:r>
      <w:r>
        <w:t>优先吸附在锌表面，形成静电保护层，阻挡水分子，抑制寄生副反应，引导锌均匀沉积，同时抑制枝晶形成。由此产生的基于 VEMA 的电解质的 Zn||Zn 对称电池实现了 2800 小时的稳定循环，而 Zn||Cu 不对称电池的平均 CE 达到 99.3%。此外，Zn||V</w:t>
      </w:r>
      <w:r>
        <w:rPr>
          <w:vertAlign w:val="subscript"/>
        </w:rPr>
        <w:t>6</w:t>
      </w:r>
      <w:r>
        <w:t>氧</w:t>
      </w:r>
      <w:r>
        <w:rPr>
          <w:vertAlign w:val="subscript"/>
        </w:rPr>
        <w:t>13</w:t>
      </w:r>
      <w:r>
        <w:t>全细胞保留92.04%</w:t>
      </w:r>
    </w:p>
    <w:p>
      <w:pPr>
        <w:spacing w:before="0" w:after="200" w:lineRule="auto" w:line="276"/>
      </w:pPr>
      <w:r>
        <w:rPr>
          <w:b/>
        </w:rPr>
        <w:t xml:space="preserve">Abstract (EN): </w:t>
      </w:r>
      <w:r>
        <w:t>Aqueous zinc‐ion batteries (AZIBs) are promising candidates for next‐generation energy storage due to their intrinsic safety and low cost. However, the uncontrollable zinc dendrite growth and interfacial side reactions limit their cycling stability and practical application. Herein, we describe a poly(ionic liquid) hydrogel electrolyte that incorporates a positively charged imidazolium‐based ionic liquid (VEMA) into a polyacrylamide (PAM) network to address these challenges. The VEIM</w:t>
      </w:r>
      <w:r>
        <w:t xml:space="preserve"> </w:t>
      </w:r>
      <w:r>
        <w:t>+</w:t>
      </w:r>
      <w:r>
        <w:t xml:space="preserve"> </w:t>
      </w:r>
      <w:r>
        <w:t>cations in the electrolyte play a multi‐role: homogenizing the interfacial electric field, immobilizing SO</w:t>
      </w:r>
      <w:r>
        <w:rPr>
          <w:vertAlign w:val="subscript"/>
        </w:rPr>
        <w:t>4</w:t>
      </w:r>
      <w:r>
        <w:t>2−</w:t>
      </w:r>
      <w:r>
        <w:t>anions through ion exchange, immobilizing SO</w:t>
      </w:r>
      <w:r>
        <w:rPr>
          <w:vertAlign w:val="subscript"/>
        </w:rPr>
        <w:t>4</w:t>
      </w:r>
      <w:r>
        <w:t>2−</w:t>
      </w:r>
      <w:r>
        <w:t>anions through ion exchange, improving interfacial kinetics, and mitigating concentration polarization. Both theoretical and experimental investigations demonstrate that VEIM</w:t>
      </w:r>
      <w:r>
        <w:t xml:space="preserve"> </w:t>
      </w:r>
      <w:r>
        <w:t>+</w:t>
      </w:r>
      <w:r>
        <w:t xml:space="preserve"> </w:t>
      </w:r>
      <w:r>
        <w:t>preferentially adsorbs onto the zinc surface, forming an electrostatic protective layer that blocks water molecules, suppresses parasitic side reactions, and guides uniform zinc deposition while inhibiting dendrite formation. The resulting Zn||Zn symmetric cell of VEMA‐based electrolyte achieves stable cycling for 2800 h, and the Zn||Cu asymmetric cell attains an average CE of 99.3%. Furthermore, the Zn||V</w:t>
      </w:r>
      <w:r>
        <w:rPr>
          <w:vertAlign w:val="subscript"/>
        </w:rPr>
        <w:t>6</w:t>
      </w:r>
      <w:r>
        <w:t>O</w:t>
      </w:r>
      <w:r>
        <w:rPr>
          <w:vertAlign w:val="subscript"/>
        </w:rPr>
        <w:t>13</w:t>
      </w:r>
      <w:r>
        <w:t>full cell retains 92.04% capacity after 4000 cycles at 5 A g</w:t>
      </w:r>
      <w:r>
        <w:t xml:space="preserve"> </w:t>
      </w:r>
      <w:r>
        <w:t>−1</w:t>
      </w:r>
      <w:r>
        <w:t xml:space="preserve"> </w:t>
      </w:r>
      <w:r>
        <w:t>. This work provides a simple yet effective strategy for developing stable zinc anodes in AZIBs and offers a promising pathway toward practical applications.</w:t>
      </w:r>
    </w:p>
    <w:p>
      <w:pPr>
        <w:spacing w:before="120" w:after="120"/>
      </w:pPr>
      <w:r>
        <w:rPr>
          <w:sz w:val="18"/>
        </w:rPr>
        <w:t>——————————————————————————————————————————————————————————————————————</w:t>
      </w:r>
    </w:p>
    <w:p>
      <w:pPr>
        <w:spacing w:before="160" w:after="40" w:line="240" w:lineRule="auto"/>
      </w:pPr>
      <w:r>
        <w:rPr>
          <w:b/>
        </w:rPr>
        <w:t xml:space="preserve">[10] </w:t>
      </w:r>
      <w:hyperlink r:id="rId92">
        <w:r>
          <w:rPr>
            <w:color w:val="1155CC"/>
            <w:u w:val="single"/>
          </w:rPr>
          <w:t>用于高能量密度锂金属电池的一步熔融纺丝构建的 3D 微网络 Li/Al4Li9 复合负极</w:t>
        </w:r>
      </w:hyperlink>
    </w:p>
    <w:p>
      <w:pPr>
        <w:spacing w:before="0" w:after="80"/>
      </w:pPr>
      <w:r>
        <w:rPr>
          <w:i/>
          <w:sz w:val="20"/>
        </w:rPr>
        <w:t>EN: 3D Micro‐Network Li/Al4Li9 Composite Anodes Constructed by One‐Step Melt‐Spinning for High Energy Density Lithium Metal Batteries</w:t>
      </w:r>
    </w:p>
    <w:p>
      <w:pPr>
        <w:spacing w:before="0" w:after="120"/>
      </w:pPr>
      <w:r>
        <w:rPr>
          <w:b/>
        </w:rPr>
        <w:t xml:space="preserve">Source: </w:t>
      </w:r>
      <w:r>
        <w:t>Wiley: Advanced Energy Materials: Table of Contents</w:t>
      </w:r>
      <w:r>
        <w:t xml:space="preserve">    </w:t>
      </w:r>
      <w:r>
        <w:rPr>
          <w:b/>
        </w:rPr>
        <w:t xml:space="preserve">Pub date: </w:t>
      </w:r>
      <w:r>
        <w:t>2026-08-08 09:07:19+00:00</w:t>
      </w:r>
      <w:r>
        <w:t xml:space="preserve">    </w:t>
      </w:r>
      <w:r>
        <w:rPr>
          <w:b/>
        </w:rPr>
        <w:t xml:space="preserve">DOI: </w:t>
      </w:r>
      <w:hyperlink r:id="rId93">
        <w:r>
          <w:rPr>
            <w:color w:val="1155CC"/>
            <w:u w:val="single"/>
          </w:rPr>
          <w:t>10.1002/aenm.71402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锂金属阳极受到不均匀的锂沉积/剥离、界面副反应和体积膨胀的阻碍。锂合金负极被认为是解决这些问题的有效策略，但它们在循环过程中会出现结构退化。在此，3D微网络Li/Al</w:t>
      </w:r>
      <w:r>
        <w:rPr>
          <w:vertAlign w:val="subscript"/>
        </w:rPr>
        <w:t>4</w:t>
      </w:r>
      <w:r>
        <w:t>李</w:t>
      </w:r>
      <w:r>
        <w:rPr>
          <w:vertAlign w:val="subscript"/>
        </w:rPr>
        <w:t>9</w:t>
      </w:r>
      <w:r>
        <w:t>复合阳极是通过一步熔融纺丝制备的。通过调整冷却条件，系统地研究了合金带材的微观结构演变。最终，均匀的Li/Al</w:t>
      </w:r>
      <w:r>
        <w:rPr>
          <w:vertAlign w:val="subscript"/>
        </w:rPr>
        <w:t>4</w:t>
      </w:r>
      <w:r>
        <w:t>李</w:t>
      </w:r>
      <w:r>
        <w:rPr>
          <w:vertAlign w:val="subscript"/>
        </w:rPr>
        <w:t>9</w:t>
      </w:r>
      <w:r>
        <w:t>具有 3D 微网络的复合阳极是在铜辊速度为 2200 rpm 时实现的。本征Li/Al</w:t>
      </w:r>
      <w:r>
        <w:rPr>
          <w:vertAlign w:val="subscript"/>
        </w:rPr>
        <w:t>4</w:t>
      </w:r>
      <w:r>
        <w:t>李</w:t>
      </w:r>
      <w:r>
        <w:rPr>
          <w:vertAlign w:val="subscript"/>
        </w:rPr>
        <w:t>9</w:t>
      </w:r>
      <w:r>
        <w:t>复合阳极结构提供了协同功能：首先，互连的微网络提供了连续的电子/离子传输路径和丰富的反应界面，从而降低了成核势垒和均匀的镀/脱锂；第二，锂/铝</w:t>
      </w:r>
      <w:r>
        <w:rPr>
          <w:vertAlign w:val="subscript"/>
        </w:rPr>
        <w:t>4</w:t>
      </w:r>
      <w:r>
        <w:t>李</w:t>
      </w:r>
      <w:r>
        <w:rPr>
          <w:vertAlign w:val="subscript"/>
        </w:rPr>
        <w:t>9</w:t>
      </w:r>
      <w:r>
        <w:t>铝复合阳极</w:t>
      </w:r>
      <w:r>
        <w:rPr>
          <w:vertAlign w:val="subscript"/>
        </w:rPr>
        <w:t>4</w:t>
      </w:r>
      <w:r>
        <w:t>李</w:t>
      </w:r>
      <w:r>
        <w:rPr>
          <w:vertAlign w:val="subscript"/>
        </w:rPr>
        <w:t>9</w:t>
      </w:r>
      <w:r>
        <w:t>骨架表现出高杨氏模量，可缓冲体积膨胀和均匀的应力分布。原位光学显微镜和循环后 SEM 图像证实了 Li/Al</w:t>
      </w:r>
      <w:r>
        <w:rPr>
          <w:vertAlign w:val="subscript"/>
        </w:rPr>
        <w:t>4</w:t>
      </w:r>
    </w:p>
    <w:p>
      <w:pPr>
        <w:spacing w:before="0" w:after="200" w:lineRule="auto" w:line="276"/>
      </w:pPr>
      <w:r>
        <w:rPr>
          <w:b/>
        </w:rPr>
        <w:t xml:space="preserve">Abstract (EN): </w:t>
      </w:r>
      <w:r>
        <w:t>Lithium‐metal anodes are hindered by inhomogeneous lithium plating/stripping, interfacial side reactions, and volume expansion. The lithium alloy anodes are considered an effective strategy to resolve these problems, but they suffer from structural degradation during cycling. Herein, a 3D micro‐network Li/Al</w:t>
      </w:r>
      <w:r>
        <w:rPr>
          <w:vertAlign w:val="subscript"/>
        </w:rPr>
        <w:t>4</w:t>
      </w:r>
      <w:r>
        <w:t>Li</w:t>
      </w:r>
      <w:r>
        <w:rPr>
          <w:vertAlign w:val="subscript"/>
        </w:rPr>
        <w:t>9</w:t>
      </w:r>
      <w:r>
        <w:t>composite anode is fabricated via one‐step melt‐spinning. The microstructure evolution of the alloy ribbons is studied systematically by tuning the cooling conditions. Ultimately, a uniform Li/Al</w:t>
      </w:r>
      <w:r>
        <w:rPr>
          <w:vertAlign w:val="subscript"/>
        </w:rPr>
        <w:t>4</w:t>
      </w:r>
      <w:r>
        <w:t>Li</w:t>
      </w:r>
      <w:r>
        <w:rPr>
          <w:vertAlign w:val="subscript"/>
        </w:rPr>
        <w:t>9</w:t>
      </w:r>
      <w:r>
        <w:t>composite anode with a 3D micro‐network is achieved at a copper roller speed of 2200 rpm. The intrinsic Li/Al</w:t>
      </w:r>
      <w:r>
        <w:rPr>
          <w:vertAlign w:val="subscript"/>
        </w:rPr>
        <w:t>4</w:t>
      </w:r>
      <w:r>
        <w:t>Li</w:t>
      </w:r>
      <w:r>
        <w:rPr>
          <w:vertAlign w:val="subscript"/>
        </w:rPr>
        <w:t>9</w:t>
      </w:r>
      <w:r>
        <w:t>composite anode structure provides synergistic functions: first, the interconnected micro‐network provides continuous electron/ion transport pathways and abundant reaction interfaces, which lowers the nucleation barrier and uniform lithium plating/stripping; second, the Li/Al</w:t>
      </w:r>
      <w:r>
        <w:rPr>
          <w:vertAlign w:val="subscript"/>
        </w:rPr>
        <w:t>4</w:t>
      </w:r>
      <w:r>
        <w:t>Li</w:t>
      </w:r>
      <w:r>
        <w:rPr>
          <w:vertAlign w:val="subscript"/>
        </w:rPr>
        <w:t>9</w:t>
      </w:r>
      <w:r>
        <w:t>composite anode with Al</w:t>
      </w:r>
      <w:r>
        <w:rPr>
          <w:vertAlign w:val="subscript"/>
        </w:rPr>
        <w:t>4</w:t>
      </w:r>
      <w:r>
        <w:t>Li</w:t>
      </w:r>
      <w:r>
        <w:rPr>
          <w:vertAlign w:val="subscript"/>
        </w:rPr>
        <w:t>9</w:t>
      </w:r>
      <w:r>
        <w:t>skeleton shows high Young's modulus, which buffers volume expansion and uniform stress distribution. In situ optical microscopy and post‐cycling SEM images confirm the Li/Al</w:t>
      </w:r>
      <w:r>
        <w:rPr>
          <w:vertAlign w:val="subscript"/>
        </w:rPr>
        <w:t>4</w:t>
      </w:r>
      <w:r>
        <w:t>Li</w:t>
      </w:r>
      <w:r>
        <w:rPr>
          <w:vertAlign w:val="subscript"/>
        </w:rPr>
        <w:t>9</w:t>
      </w:r>
      <w:r>
        <w:t>composite anode exhibits excellent mitigate structural degradation ability. The Li/Al</w:t>
      </w:r>
      <w:r>
        <w:rPr>
          <w:vertAlign w:val="subscript"/>
        </w:rPr>
        <w:t>4</w:t>
      </w:r>
      <w:r>
        <w:t>Li</w:t>
      </w:r>
      <w:r>
        <w:rPr>
          <w:vertAlign w:val="subscript"/>
        </w:rPr>
        <w:t>9</w:t>
      </w:r>
      <w:r>
        <w:t>||Li/Al</w:t>
      </w:r>
      <w:r>
        <w:rPr>
          <w:vertAlign w:val="subscript"/>
        </w:rPr>
        <w:t>4</w:t>
      </w:r>
      <w:r>
        <w:t>Li</w:t>
      </w:r>
      <w:r>
        <w:rPr>
          <w:vertAlign w:val="subscript"/>
        </w:rPr>
        <w:t>9</w:t>
      </w:r>
      <w:r>
        <w:t>cells in ether‐based electrolyte demonstrate stable cycling for 1600 h at 1 mA cm</w:t>
      </w:r>
      <w:r>
        <w:t xml:space="preserve"> </w:t>
      </w:r>
      <w:r>
        <w:t>−</w:t>
      </w:r>
      <w:r>
        <w:rPr>
          <w:vertAlign w:val="subscript"/>
        </w:rPr>
        <w:t>2</w:t>
      </w:r>
      <w:r>
        <w:t>, 1 mAh cm</w:t>
      </w:r>
      <w:r>
        <w:t xml:space="preserve"> </w:t>
      </w:r>
      <w:r>
        <w:t>−</w:t>
      </w:r>
      <w:r>
        <w:rPr>
          <w:vertAlign w:val="subscript"/>
        </w:rPr>
        <w:t>2</w:t>
      </w:r>
      <w:r>
        <w:t>, and Li/Al</w:t>
      </w:r>
      <w:r>
        <w:rPr>
          <w:vertAlign w:val="subscript"/>
        </w:rPr>
        <w:t>4</w:t>
      </w:r>
      <w:r>
        <w:t>Li</w:t>
      </w:r>
      <w:r>
        <w:rPr>
          <w:vertAlign w:val="subscript"/>
        </w:rPr>
        <w:t>9</w:t>
      </w:r>
      <w:r>
        <w:t>||LiFePO</w:t>
      </w:r>
      <w:r>
        <w:rPr>
          <w:vertAlign w:val="subscript"/>
        </w:rPr>
        <w:t>4</w:t>
      </w:r>
      <w:r>
        <w:t>cells in carbonate‐based electrolyte retain 81.7% capacity after 204 cycles at 0.5 C. Impressively, the Li/Al</w:t>
      </w:r>
      <w:r>
        <w:rPr>
          <w:vertAlign w:val="subscript"/>
        </w:rPr>
        <w:t>4</w:t>
      </w:r>
      <w:r>
        <w:t>Li</w:t>
      </w:r>
      <w:r>
        <w:rPr>
          <w:vertAlign w:val="subscript"/>
        </w:rPr>
        <w:t>9</w:t>
      </w:r>
      <w:r>
        <w:t>composite anode is a promising anode for high‐energy‐density lithium metal batteries.</w:t>
      </w:r>
    </w:p>
    <w:p>
      <w:pPr>
        <w:spacing w:before="120" w:after="120"/>
      </w:pPr>
      <w:r>
        <w:rPr>
          <w:sz w:val="18"/>
        </w:rPr>
        <w:t>——————————————————————————————————————————————————————————————————————</w:t>
      </w:r>
    </w:p>
    <w:p>
      <w:pPr>
        <w:spacing w:before="160" w:after="40" w:line="240" w:lineRule="auto"/>
      </w:pPr>
      <w:r>
        <w:rPr>
          <w:b/>
        </w:rPr>
        <w:t xml:space="preserve">[11] </w:t>
      </w:r>
      <w:hyperlink r:id="rId94">
        <w:r>
          <w:rPr>
            <w:color w:val="1155CC"/>
            <w:u w:val="single"/>
          </w:rPr>
          <w:t>仿生多层固体电解质界面定制用于长寿命实用水性锌金属电池</w:t>
        </w:r>
      </w:hyperlink>
    </w:p>
    <w:p>
      <w:pPr>
        <w:spacing w:before="0" w:after="80"/>
      </w:pPr>
      <w:r>
        <w:rPr>
          <w:i/>
          <w:sz w:val="20"/>
        </w:rPr>
        <w:t>EN: Biomimetic Multilayer Solid‐Electrolyte Interphase Customization for Long‐Lifespan Practical Aqueous Zinc‐Metal Batteries</w:t>
      </w:r>
    </w:p>
    <w:p>
      <w:pPr>
        <w:spacing w:before="0" w:after="120"/>
      </w:pPr>
      <w:r>
        <w:rPr>
          <w:b/>
        </w:rPr>
        <w:t xml:space="preserve">Source: </w:t>
      </w:r>
      <w:r>
        <w:t>Wiley: Advanced Energy Materials: Table of Contents</w:t>
      </w:r>
      <w:r>
        <w:t xml:space="preserve">    </w:t>
      </w:r>
      <w:r>
        <w:rPr>
          <w:b/>
        </w:rPr>
        <w:t xml:space="preserve">Pub date: </w:t>
      </w:r>
      <w:r>
        <w:t>2026-08-08 09:08:06+00:00</w:t>
      </w:r>
      <w:r>
        <w:t xml:space="preserve">    </w:t>
      </w:r>
      <w:r>
        <w:rPr>
          <w:b/>
        </w:rPr>
        <w:t xml:space="preserve">DOI: </w:t>
      </w:r>
      <w:hyperlink r:id="rId95">
        <w:r>
          <w:rPr>
            <w:color w:val="1155CC"/>
            <w:u w:val="single"/>
          </w:rPr>
          <w:t>10.1002/aenm.71421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金属电池受到锌阳极突出的界面问题的阻碍，例如枝晶生长和复杂的副反应。原位构建稳定的固体电解质界面（SEI）来解决这些问题仍然是一个严峻的挑战，特别是在高电流密度和恶劣的温度条件下。在此，受植物表皮吸收营养物质的启发，构建了梯度仿生多层自组装SEI。这种多层仿生 SEI 集成了一个外部疏水层，可排斥水分子，形成贫水界面，抑制氢析出并促进 Zn</w:t>
      </w:r>
      <w:r>
        <w:t xml:space="preserve"> </w:t>
      </w:r>
      <w:r>
        <w:t>2+</w:t>
      </w:r>
      <w:r>
        <w:t xml:space="preserve"> </w:t>
      </w:r>
      <w:r>
        <w:t>去溶剂化。中间交联层稳定SEI结构并捕获SO</w:t>
      </w:r>
      <w:r>
        <w:rPr>
          <w:vertAlign w:val="subscript"/>
        </w:rPr>
        <w:t>4</w:t>
      </w:r>
      <w:r>
        <w:t>2−</w:t>
      </w:r>
      <w:r>
        <w:t>减轻副反应，实现动态界面调节。同时，最里面的吸附层调节Zn</w:t>
      </w:r>
      <w:r>
        <w:t xml:space="preserve"> </w:t>
      </w:r>
      <w:r>
        <w:t>2+</w:t>
      </w:r>
      <w:r>
        <w:t xml:space="preserve"> </w:t>
      </w:r>
      <w:r>
        <w:t>通量，促进沿（002）晶面的均匀平面沉积。得益于仿生梯度 SEI 的存在，Zn||Zn 电池在 20 mA cm 下的循环寿命超过 2250 小时</w:t>
      </w:r>
      <w:r>
        <w:t xml:space="preserve"> </w:t>
      </w:r>
      <w:r>
        <w:t>−2</w:t>
      </w:r>
      <w:r>
        <w:t xml:space="preserve"> </w:t>
      </w:r>
      <w:r>
        <w:t>，并在超高电流密度（50 和 100 mA cm</w:t>
      </w:r>
      <w:r>
        <w:t xml:space="preserve"> </w:t>
      </w:r>
      <w:r>
        <w:t>−2</w:t>
      </w:r>
      <w:r>
        <w:t xml:space="preserve"> </w:t>
      </w:r>
      <w:r>
        <w:t>），分别提供 12 250 和 1200 个周期。此外，软包电池与 I</w:t>
      </w:r>
      <w:r>
        <w:rPr>
          <w:vertAlign w:val="subscript"/>
        </w:rPr>
        <w:t>2</w:t>
      </w:r>
      <w:r>
        <w:t>提供 1.6 Ah。这种受生物启发的、定制的</w:t>
      </w:r>
    </w:p>
    <w:p>
      <w:pPr>
        <w:spacing w:before="0" w:after="200" w:lineRule="auto" w:line="276"/>
      </w:pPr>
      <w:r>
        <w:rPr>
          <w:b/>
        </w:rPr>
        <w:t xml:space="preserve">Abstract (EN): </w:t>
      </w:r>
      <w:r>
        <w:t>Aqueous zinc metal batteries are hindered by the prominent interfacial issues of the Zn anode, such as dendrite growth and intricate side reactions. The in situ construction of a stable solid‐electrolyte interphase (SEI) to address these issues remains a critical challenge, especially under high current density and harsh temperature conditions. Herein, inspired by the absorption of nutrients through plant epidermis, a gradient biomimetic multilayer self‐assembled SEI is constructed. This multilayer biomimetic SEI integrates an outer hydrophobic layer that repels water molecules to create a water‐poor interface, suppressing hydrogen evolution and facilitating Zn</w:t>
      </w:r>
      <w:r>
        <w:t xml:space="preserve"> </w:t>
      </w:r>
      <w:r>
        <w:t>2+</w:t>
      </w:r>
      <w:r>
        <w:t xml:space="preserve"> </w:t>
      </w:r>
      <w:r>
        <w:t>desolvation. The middle‐crosslinked layer stabilizes the SEI structure and captures SO</w:t>
      </w:r>
      <w:r>
        <w:rPr>
          <w:vertAlign w:val="subscript"/>
        </w:rPr>
        <w:t>4</w:t>
      </w:r>
      <w:r>
        <w:t>2−</w:t>
      </w:r>
      <w:r>
        <w:t>to mitigate side reactions, enabling dynamic interfacial regulation. Meanwhile, the innermost adsorption layer regulates Zn</w:t>
      </w:r>
      <w:r>
        <w:t xml:space="preserve"> </w:t>
      </w:r>
      <w:r>
        <w:t>2+</w:t>
      </w:r>
      <w:r>
        <w:t xml:space="preserve"> </w:t>
      </w:r>
      <w:r>
        <w:t>flux, promoting uniform planar deposition along the (002) crystal plane. Benefiting from the existence of biomimetic gradient SEI, the Zn||Zn cell delivers a cycling life of over 2250 h at 20 mA cm</w:t>
      </w:r>
      <w:r>
        <w:t xml:space="preserve"> </w:t>
      </w:r>
      <w:r>
        <w:t>−2</w:t>
      </w:r>
      <w:r>
        <w:t xml:space="preserve"> </w:t>
      </w:r>
      <w:r>
        <w:t>, and at ultrahigh current densities (50 and 100 mA cm</w:t>
      </w:r>
      <w:r>
        <w:t xml:space="preserve"> </w:t>
      </w:r>
      <w:r>
        <w:t>−2</w:t>
      </w:r>
      <w:r>
        <w:t xml:space="preserve"> </w:t>
      </w:r>
      <w:r>
        <w:t>), it delivers 12 250 and 1200 cycles, respectively. Furthermore, the pouch cells coupled with I</w:t>
      </w:r>
      <w:r>
        <w:rPr>
          <w:vertAlign w:val="subscript"/>
        </w:rPr>
        <w:t>2</w:t>
      </w:r>
      <w:r>
        <w:t>deliver 1.6 Ah. This bioinspired, customizable multilayer SEI achieves Ah‐scale performance and wide‐temperature adaptability, providing valuable insights into the advancement of practical aqueous batteries.</w:t>
      </w:r>
    </w:p>
    <w:p>
      <w:pPr>
        <w:spacing w:before="120" w:after="120"/>
      </w:pPr>
      <w:r>
        <w:rPr>
          <w:sz w:val="18"/>
        </w:rPr>
        <w:t>——————————————————————————————————————————————————————————————————————</w:t>
      </w:r>
    </w:p>
    <w:p>
      <w:pPr>
        <w:spacing w:before="160" w:after="40" w:line="240" w:lineRule="auto"/>
      </w:pPr>
      <w:r>
        <w:rPr>
          <w:b/>
        </w:rPr>
        <w:t xml:space="preserve">[12] </w:t>
      </w:r>
      <w:hyperlink r:id="rId96">
        <w:r>
          <w:rPr>
            <w:color w:val="1155CC"/>
            <w:u w:val="single"/>
          </w:rPr>
          <w:t>用于水系锌金属电池的可持续多功能天然高分子聚合物</w:t>
        </w:r>
      </w:hyperlink>
    </w:p>
    <w:p>
      <w:pPr>
        <w:spacing w:before="0" w:after="80"/>
      </w:pPr>
      <w:r>
        <w:rPr>
          <w:i/>
          <w:sz w:val="20"/>
        </w:rPr>
        <w:t>EN: Sustainable and Multifunctional Natural Macromolecular Polymers for Aqueous Zn Metal Batteries</w:t>
      </w:r>
    </w:p>
    <w:p>
      <w:pPr>
        <w:spacing w:before="0" w:after="120"/>
      </w:pPr>
      <w:r>
        <w:rPr>
          <w:b/>
        </w:rPr>
        <w:t xml:space="preserve">Source: </w:t>
      </w:r>
      <w:r>
        <w:t>Wiley: Advanced Materials: Table of Contents</w:t>
      </w:r>
      <w:r>
        <w:t xml:space="preserve">    </w:t>
      </w:r>
      <w:r>
        <w:rPr>
          <w:b/>
        </w:rPr>
        <w:t xml:space="preserve">Pub date: </w:t>
      </w:r>
      <w:r>
        <w:t>2026-08-08 09:14:31+00:00</w:t>
      </w:r>
      <w:r>
        <w:t xml:space="preserve">    </w:t>
      </w:r>
      <w:r>
        <w:rPr>
          <w:b/>
        </w:rPr>
        <w:t xml:space="preserve">DOI: </w:t>
      </w:r>
      <w:hyperlink r:id="rId97">
        <w:r>
          <w:rPr>
            <w:color w:val="1155CC"/>
            <w:u w:val="single"/>
          </w:rPr>
          <w:t>10.1002/adma.74525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水系锌离子电池（AZIB）因其固有的安全性、理想的容量和丰富的锌资源而成为一种极具竞争力的储能系统。然而，AZIB 的实际应用受到诸如锌阳极不受控制的枝晶生长、腐蚀和钝化等挑战的严重阻碍。天然高分子聚合物利用其多功能性、可持续性和具有卓越机械强度的多级结构，在开发优化锌阳极的有效策略方面表现出独特的潜力。该综述首次从微观和介观层面系统分析了天然聚合物的结构/表面特性及其对锌阳极的优化效果之间的结构-功能关系，并阐明了相关的调控机制。同时，根据不同的优化策略，对这些天然聚合物优化锌阳极的研究进展进行了梳理和分析，进一步阐明了天然聚合物的结构/性能、锌阳极优化策略和调控机制之间的相互关系。此外，该评论还确定并概述了天然聚合物在优化锌阳极方面面临的关键挑战。最终，这篇综述还为未来的研究方向和创新工程策略提供了一些前景，重点是天然聚合物来构建用于大规模应用的超稳定锌阳极</w:t>
      </w:r>
    </w:p>
    <w:p>
      <w:pPr>
        <w:spacing w:before="0" w:after="200" w:lineRule="auto" w:line="276"/>
      </w:pPr>
      <w:r>
        <w:rPr>
          <w:b/>
        </w:rPr>
        <w:t xml:space="preserve">Abstract (EN): </w:t>
      </w:r>
      <w:r>
        <w:t>Aqueous zinc‐ion batteries (AZIBs) have emerged as a highly competitive energy storage system, owing to their inherent safety, ideal capacity, and the abundance of zinc resources. However, the practical applications of AZIBs are significantly hampered by challenges such as uncontrolled dendrite growth, corrosion, and passivation of zinc anodes. Natural macromolecular polymers, leveraging their multifunctionality, sustainability, and multilevel structures featuring superior mechanical strength, demonstrate unique potential in the development of effective strategies for optimizing zinc anodes. This review is the first to systematically analyze, at both the microscopic and mesoscopic levels, the structure‐function relationships between the structural/surface characteristics of natural polymers and their optimization effect on zinc anodes, and elucidates the relevant regulatory mechanisms. Concurrently, the research progress on optimizing zinc anodes with these natural polymers is sorted out and analyzed according to different optimization strategies, further illustrating the interrelationship among the structure/properties of natural polymers, zinc anode optimization strategies, and regulatory mechanisms. Additionally, the review identifies and outlines the crucial challenges faced by natural polymers in terms of optimizing zinc anodes. Ultimately, this review also delivers some prospects for future research directions and innovative engineering strategies focusing on natural polymers to construct ultra‐stable zinc anodes for large‐scale applications.</w:t>
      </w:r>
    </w:p>
    <w:p>
      <w:pPr>
        <w:spacing w:before="120" w:after="120"/>
      </w:pPr>
      <w:r>
        <w:rPr>
          <w:sz w:val="18"/>
        </w:rPr>
        <w:t>——————————————————————————————————————————————————————————————————————</w:t>
      </w:r>
    </w:p>
    <w:p>
      <w:pPr>
        <w:spacing w:before="160" w:after="40" w:line="240" w:lineRule="auto"/>
      </w:pPr>
      <w:r>
        <w:rPr>
          <w:b/>
        </w:rPr>
        <w:t xml:space="preserve">[13] </w:t>
      </w:r>
      <w:hyperlink r:id="rId98">
        <w:r>
          <w:rPr>
            <w:color w:val="1155CC"/>
            <w:u w:val="single"/>
          </w:rPr>
          <w:t>离子桥使高容量和长循环水系锌硫电池的双界面工程成为可能</w:t>
        </w:r>
      </w:hyperlink>
    </w:p>
    <w:p>
      <w:pPr>
        <w:spacing w:before="0" w:after="80"/>
      </w:pPr>
      <w:r>
        <w:rPr>
          <w:i/>
          <w:sz w:val="20"/>
        </w:rPr>
        <w:t>EN: Ion Bridging Enables Dual‐Interface Engineering for High Capacity and Long Cycling Aqueous Zinc–Sulfur Battery</w:t>
      </w:r>
    </w:p>
    <w:p>
      <w:pPr>
        <w:spacing w:before="0" w:after="120"/>
      </w:pPr>
      <w:r>
        <w:rPr>
          <w:b/>
        </w:rPr>
        <w:t xml:space="preserve">Source: </w:t>
      </w:r>
      <w:r>
        <w:t>Wiley: Angewandte Chemie International Edition: Table of Contents</w:t>
      </w:r>
      <w:r>
        <w:t xml:space="preserve">    </w:t>
      </w:r>
      <w:r>
        <w:rPr>
          <w:b/>
        </w:rPr>
        <w:t xml:space="preserve">Pub date: </w:t>
      </w:r>
      <w:r>
        <w:t>2026-08-08 11:02:54+00:00</w:t>
      </w:r>
      <w:r>
        <w:t xml:space="preserve">    </w:t>
      </w:r>
      <w:r>
        <w:rPr>
          <w:b/>
        </w:rPr>
        <w:t xml:space="preserve">DOI: </w:t>
      </w:r>
      <w:hyperlink r:id="rId99">
        <w:r>
          <w:rPr>
            <w:color w:val="1155CC"/>
            <w:u w:val="single"/>
          </w:rPr>
          <w:t>10.1002/anie.9631813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硫电池（AZSB）由于其高能量密度和低成本而引起了广泛关注。然而，硫阴极有限的电化学可逆性和锌阳极的界面不稳定性阻碍了它们的实际应用。在这里，我们开发了一种功能化共溶剂电解质，其中包含非质子极性四甲基脲（TMU）和碘化钾（KI）作为协同添加剂，其中TMU调节Zn</w:t>
      </w:r>
      <w:r>
        <w:t xml:space="preserve"> </w:t>
      </w:r>
      <w:r>
        <w:t>2+</w:t>
      </w:r>
      <w:r>
        <w:t xml:space="preserve"> </w:t>
      </w:r>
      <w:r>
        <w:t>配位环境，并与碘化物配合构建电解质衍生的、界面限制的、配位介导的动态离子桥通路。该途径与 TMU 调节的 Zn 结合</w:t>
      </w:r>
      <w:r>
        <w:t xml:space="preserve"> </w:t>
      </w:r>
      <w:r>
        <w:t>2+</w:t>
      </w:r>
      <w:r>
        <w:t xml:space="preserve"> </w:t>
      </w:r>
      <w:r>
        <w:t>与我一起运输</w:t>
      </w:r>
      <w:r>
        <w:rPr>
          <w:vertAlign w:val="subscript"/>
        </w:rPr>
        <w:t>3</w:t>
      </w:r>
      <w:r>
        <w:t>-</w:t>
      </w:r>
      <w:r>
        <w:t>/我</w:t>
      </w:r>
      <w:r>
        <w:t xml:space="preserve"> </w:t>
      </w:r>
      <w:r>
        <w:t>-</w:t>
      </w:r>
      <w:r>
        <w:t>‐硫阴极界面介导的电荷转移，从而减少锌的动力学势垒</w:t>
      </w:r>
      <w:r>
        <w:t xml:space="preserve"> </w:t>
      </w:r>
      <w:r>
        <w:t>2+</w:t>
      </w:r>
      <w:r>
        <w:t xml:space="preserve"> </w:t>
      </w:r>
      <w:r>
        <w:t>运输和 ZnS 转化。同时，TMU/KI 调节的界面环境使 Zn 均匀化</w:t>
      </w:r>
      <w:r>
        <w:t xml:space="preserve"> </w:t>
      </w:r>
      <w:r>
        <w:t>2+</w:t>
      </w:r>
      <w:r>
        <w:t xml:space="preserve"> </w:t>
      </w:r>
      <w:r>
        <w:t>阳极处的助焊剂，促进均匀的镀锌/剥离，并抑制寄生反应。通过离子桥的协同调节，AZSB可提供759 mAh g的高比容量</w:t>
      </w:r>
      <w:r>
        <w:t xml:space="preserve"> </w:t>
      </w:r>
      <w:r>
        <w:t>−1</w:t>
      </w:r>
      <w:r>
        <w:t xml:space="preserve"> </w:t>
      </w:r>
      <w:r>
        <w:t>5安克时</w:t>
      </w:r>
      <w:r>
        <w:t xml:space="preserve"> </w:t>
      </w:r>
      <w:r>
        <w:t>−1</w:t>
      </w:r>
      <w:r>
        <w:t xml:space="preserve"> </w:t>
      </w:r>
      <w:r>
        <w:t>1000次循环后容量保持率保持在71.2%以上。这项工作提议</w:t>
      </w:r>
    </w:p>
    <w:p>
      <w:pPr>
        <w:spacing w:before="0" w:after="200" w:lineRule="auto" w:line="276"/>
      </w:pPr>
      <w:r>
        <w:rPr>
          <w:b/>
        </w:rPr>
        <w:t xml:space="preserve">Abstract (EN): </w:t>
      </w:r>
      <w:r>
        <w:t>Aqueous Zn–S batteries (AZSBs) have garnered significant attention owing to their high energy density and low cost. However, their practical application is hindered by the limited electrochemical reversibility of sulfur cathode and the interfacial instability of zinc anode. Here, we developed a functionalized co‐solvent electrolyte incorporating aprotic polar tetramethylurea (TMU) and potassium iodide (KI) as synergistic additives, where TMU regulates the Zn</w:t>
      </w:r>
      <w:r>
        <w:t xml:space="preserve"> </w:t>
      </w:r>
      <w:r>
        <w:t>2+</w:t>
      </w:r>
      <w:r>
        <w:t xml:space="preserve"> </w:t>
      </w:r>
      <w:r>
        <w:t>coordination environment and cooperates with iodide species to construct an electrolyte‐derived, interface‐confined, and coordination‐mediated dynamic ion bridge pathway. This pathway couples TMU‐regulated Zn</w:t>
      </w:r>
      <w:r>
        <w:t xml:space="preserve"> </w:t>
      </w:r>
      <w:r>
        <w:t>2+</w:t>
      </w:r>
      <w:r>
        <w:t xml:space="preserve"> </w:t>
      </w:r>
      <w:r>
        <w:t>transport with I</w:t>
      </w:r>
      <w:r>
        <w:rPr>
          <w:vertAlign w:val="subscript"/>
        </w:rPr>
        <w:t>3</w:t>
      </w:r>
      <w:r>
        <w:t>−</w:t>
      </w:r>
      <w:r>
        <w:t>/I</w:t>
      </w:r>
      <w:r>
        <w:t xml:space="preserve"> </w:t>
      </w:r>
      <w:r>
        <w:t>−</w:t>
      </w:r>
      <w:r>
        <w:t>‐mediated charge transfer at the sulfur cathode interface, thereby reducing the kinetic barriers for Zn</w:t>
      </w:r>
      <w:r>
        <w:t xml:space="preserve"> </w:t>
      </w:r>
      <w:r>
        <w:t>2+</w:t>
      </w:r>
      <w:r>
        <w:t xml:space="preserve"> </w:t>
      </w:r>
      <w:r>
        <w:t>transport and ZnS conversion. Meanwhile, the TMU/KI‐regulated interfacial environment homogenizes Zn</w:t>
      </w:r>
      <w:r>
        <w:t xml:space="preserve"> </w:t>
      </w:r>
      <w:r>
        <w:t>2+</w:t>
      </w:r>
      <w:r>
        <w:t xml:space="preserve"> </w:t>
      </w:r>
      <w:r>
        <w:t>flux at the anode, promotes uniform Zn plating/stripping, and suppresses parasitic reactions. Through the synergistic regulation of the ion bridge, the AZSB delivers a high specific capacity of 759 mAh g</w:t>
      </w:r>
      <w:r>
        <w:t xml:space="preserve"> </w:t>
      </w:r>
      <w:r>
        <w:t>−1</w:t>
      </w:r>
      <w:r>
        <w:t xml:space="preserve"> </w:t>
      </w:r>
      <w:r>
        <w:t>at 5 A g</w:t>
      </w:r>
      <w:r>
        <w:t xml:space="preserve"> </w:t>
      </w:r>
      <w:r>
        <w:t>−1</w:t>
      </w:r>
      <w:r>
        <w:t xml:space="preserve"> </w:t>
      </w:r>
      <w:r>
        <w:t>and maintains over 71.2% capacity retention after 1000 cycles. This work proposes a promising electrolyte design strategy for energetic AZSBs via synergistic regulation, offering a promising route toward next‐generation sustainable energy storage systems.</w:t>
      </w:r>
    </w:p>
    <w:p>
      <w:pPr>
        <w:spacing w:before="120" w:after="120"/>
      </w:pPr>
      <w:r>
        <w:rPr>
          <w:sz w:val="18"/>
        </w:rPr>
        <w:t>——————————————————————————————————————————————————————————————————————</w:t>
      </w:r>
    </w:p>
    <w:p>
      <w:pPr>
        <w:spacing w:before="160" w:after="40" w:line="240" w:lineRule="auto"/>
      </w:pPr>
      <w:r>
        <w:rPr>
          <w:b/>
        </w:rPr>
        <w:t xml:space="preserve">[14] </w:t>
      </w:r>
      <w:hyperlink r:id="rId100">
        <w:r>
          <w:rPr>
            <w:color w:val="1155CC"/>
            <w:u w:val="single"/>
          </w:rPr>
          <w:t>解锁水性锌卤电池中的双极电极-电解质固-固转换，以实现各种电池形式的高锌利用率</w:t>
        </w:r>
      </w:hyperlink>
    </w:p>
    <w:p>
      <w:pPr>
        <w:spacing w:before="0" w:after="80"/>
      </w:pPr>
      <w:r>
        <w:rPr>
          <w:i/>
          <w:sz w:val="20"/>
        </w:rPr>
        <w:t>EN: Unlocking bipolar electrode-electrolyte solid-solid conversion in aqueous zinc-halogen batteries for high Zn utilization across various cell formats</w:t>
      </w:r>
    </w:p>
    <w:p>
      <w:pPr>
        <w:spacing w:before="0" w:after="120"/>
      </w:pPr>
      <w:r>
        <w:rPr>
          <w:b/>
        </w:rPr>
        <w:t xml:space="preserve">Source: </w:t>
      </w:r>
      <w:r>
        <w:t>Physical sciences : Nature Communications subject feeds</w:t>
      </w:r>
      <w:r>
        <w:t xml:space="preserve">    </w:t>
      </w:r>
      <w:r>
        <w:rPr>
          <w:b/>
        </w:rPr>
        <w:t xml:space="preserve">Pub date: </w:t>
      </w:r>
      <w:r>
        <w:t>2026-08-10 00:00:00+00:00</w:t>
      </w:r>
    </w:p>
    <w:p>
      <w:pPr>
        <w:spacing w:before="0" w:after="120"/>
      </w:pPr>
      <w:r>
        <w:rPr>
          <w:b/>
        </w:rPr>
        <w:t xml:space="preserve">Notes: </w:t>
      </w:r>
      <w:r>
        <w:t>abstract_source=nature_html</w:t>
      </w:r>
    </w:p>
    <w:p>
      <w:pPr>
        <w:spacing w:before="0" w:after="80" w:lineRule="auto" w:line="276"/>
      </w:pPr>
      <w:r>
        <w:rPr>
          <w:b/>
        </w:rPr>
        <w:t xml:space="preserve">摘要（ZH）: </w:t>
      </w:r>
      <w:r>
        <w:t>对高能量密度电池日益增长的需求推动了水系锌基电池的实用化。然而，由于锌的可逆性和高负载正极的容量输出较差，硬币对称电池中实现的高锌利用率无法转化为全电池，尤其是大型软包电池。在这里，通过电极-电解质界面螯合的固-固界面转换机制有效地抑制了传统固-液转换机制下广泛存在的寄生反应。因此，硬币对称型、硬币型全型和袋型全型电池的锌利用率均较高（≥ 78.3%）。锌| |I2 软包电池（10 cm×10 cm）的比能量为 116.8 Wh kg−1（基于总质量），在 10 mA cm−2 下循环次数超过 850 次（容量保持率为 85.1%）。此外，固-固界面转化机制在卤素正极中表现出普遍性，推动了水性锌的实用化。 |卤素电池。</w:t>
      </w:r>
    </w:p>
    <w:p>
      <w:pPr>
        <w:spacing w:before="0" w:after="200" w:lineRule="auto" w:line="276"/>
      </w:pPr>
      <w:r>
        <w:rPr>
          <w:b/>
        </w:rPr>
        <w:t xml:space="preserve">Abstract (EN): </w:t>
      </w:r>
      <w:r>
        <w:t>The increasing demand for high-energy-density batteries pushes practical aqueous Zn-based batteries. However, high Zn utilization achieved in coin symmetric cells is unable to translate to full cells, especially large pouch cells, due to the poor reversibility of Zn and capacity output of high-loading positive electrodes. Here, solid-solid interfacial conversion mechanisms via chelation at electrodes-electrolyte interfaces effectively suppress parasitic reactions being widely prevalent under traditional solid-liquid conversion mechanisms. Consequently, high Zn utilization ( ≥ 78.3%) is unified across coin symmetric, coin full and pouch full cells. The Zn | |I2 pouch cell (10 cm×10 cm) demonstrates a specific energy of 116.8 Wh kg−1 (based on total mass) and over 850 cycles (85.1% capacity retention) at 10 mA cm−2. Furthermore, solid-solid interfacial conversion mechanisms exhibit universality across halogen positive electrodes, advancing practical aqueous Zn | |halogen batteries.</w:t>
      </w:r>
    </w:p>
    <w:p>
      <w:pPr>
        <w:spacing w:before="120" w:after="120"/>
      </w:pPr>
      <w:r>
        <w:rPr>
          <w:sz w:val="18"/>
        </w:rPr>
        <w:t>——————————————————————————————————————————————————————————————————————</w:t>
      </w:r>
    </w:p>
    <w:p>
      <w:pPr>
        <w:spacing w:before="160" w:after="40" w:line="240" w:lineRule="auto"/>
      </w:pPr>
      <w:r>
        <w:rPr>
          <w:b/>
        </w:rPr>
        <w:t xml:space="preserve">[15] </w:t>
      </w:r>
      <w:hyperlink r:id="rId101">
        <w:r>
          <w:rPr>
            <w:color w:val="1155CC"/>
            <w:u w:val="single"/>
          </w:rPr>
          <w:t>原子高自旋钴解锁了卓越水系锌锰电池的可逆多电子转移化学</w:t>
        </w:r>
      </w:hyperlink>
    </w:p>
    <w:p>
      <w:pPr>
        <w:spacing w:before="0" w:after="80"/>
      </w:pPr>
      <w:r>
        <w:rPr>
          <w:i/>
          <w:sz w:val="20"/>
        </w:rPr>
        <w:t>EN: Atomic High-Spin Cobalt Unlocks Reversible Multi-Electron Transfer Chemistry for Superb Aqueous Zn-Mn Batteries</w:t>
      </w:r>
    </w:p>
    <w:p>
      <w:pPr>
        <w:spacing w:before="0" w:after="120"/>
      </w:pPr>
      <w:r>
        <w:rPr>
          <w:b/>
        </w:rPr>
        <w:t xml:space="preserve">Source: </w:t>
      </w:r>
      <w:r>
        <w:t>Nano-Micro Letters</w:t>
      </w:r>
      <w:r>
        <w:t xml:space="preserve">    </w:t>
      </w:r>
      <w:r>
        <w:rPr>
          <w:b/>
        </w:rPr>
        <w:t xml:space="preserve">Pub date: </w:t>
      </w:r>
      <w:r>
        <w:t>2026-08-10 00:00:00+00:00</w:t>
      </w:r>
      <w:r>
        <w:t xml:space="preserve">    </w:t>
      </w:r>
      <w:r>
        <w:rPr>
          <w:b/>
        </w:rPr>
        <w:t xml:space="preserve">DOI: </w:t>
      </w:r>
      <w:hyperlink r:id="rId102">
        <w:r>
          <w:rPr>
            <w:color w:val="1155CC"/>
            <w:u w:val="single"/>
          </w:rPr>
          <w:t>10.1007/s40820-026-02328-z</w:t>
        </w:r>
      </w:hyperlink>
    </w:p>
    <w:p>
      <w:pPr>
        <w:spacing w:before="0" w:after="120"/>
      </w:pPr>
      <w:r>
        <w:rPr>
          <w:b/>
        </w:rPr>
        <w:t xml:space="preserve">Notes: </w:t>
      </w:r>
      <w:r>
        <w:t>abstract_source=rss_description</w:t>
      </w:r>
    </w:p>
    <w:p>
      <w:pPr>
        <w:spacing w:before="0" w:after="80" w:lineRule="auto" w:line="276"/>
      </w:pPr>
      <w:r>
        <w:rPr>
          <w:b/>
        </w:rPr>
        <w:t xml:space="preserve">摘要（ZH）: </w:t>
      </w:r>
      <w:r>
        <w:t>为了解决固有的不可逆相变问题，并在不添加酸和氧化还原介体的情况下促进沉积的“死”MnO2的重新溶解，我们通过原位拓扑相变策略将具有高自旋态的原子分散的Co原子引入到层状MnO2中，表示为Co-MnO2，从而解锁了优质Zn-Mn电池的可逆多电子转移化学。具体来说，Co-MnO2 中原子分布的 Co 原子有效调节 [MnO6] 八面体对称性，降低 Co-O 键共价，同时增强晶格氧活性。在此基础上，高自旋Co（t2g4eg2）极大地减轻了Jahn-Teller畸变，并促进沉积在阴极表面的电解MnO2从吸附的Mn2+完全转化为抑制“锰枝晶”，实现了具有高度热力学有利性的可逆MnO2/Mn3+和电解MnO2/Mn2+反应。得益于高自旋Co触发的“两步三电子”机制，Zn//Co-MnO2电池具有658 mAh g-1的出色容量和超过15,000次循环的超长寿命。这项工作揭示了过渡金属自旋态调制对于具有可逆多电子存储机制的能量密集且耐用的 Zn-MnO2 电池的关键作用。亮点：1 通过 CoMn-LDH 的原位拓扑相变实现嵌入层状 MnO2 中的原子分散的高自旋 Co 原子。2 高自旋 Co 通过调节 [MnO6] 的对称性并为晶格氧提供可用的过量电子，解锁 Co-MnO2 中的快速电极动力学。3 Co-Mn</w:t>
      </w:r>
    </w:p>
    <w:p>
      <w:pPr>
        <w:spacing w:before="0" w:after="200" w:lineRule="auto" w:line="276"/>
      </w:pPr>
      <w:r>
        <w:rPr>
          <w:b/>
        </w:rPr>
        <w:t xml:space="preserve">Abstract (EN): </w:t>
      </w:r>
      <w:r>
        <w:t>To settle inherent irreversible phase transition and motivate re-dissolution of deposited “dead” MnO2 without acid and redox mediator addition, we introduced atomic-dispersed Co atoms with high-spin state into layered MnO2, denoted as Co–MnO2, via an in situ topological phase transformation strategy, thereby unlocking reversible multi-electron transfer chemistry for superb Zn–Mn batteries. Specifically, atomic-distributed Co atoms within Co–MnO2 effectively modulate [MnO6] octahedral symmetry and reduce Co–O bond covalency along with enhanced lattice oxygen activity. Based on this, high-spin Co (t2g4eg2) greatly mitigates the Jahn–Teller distortion as well as promotes electrolytic MnO2 deposited onto the cathode surface completely converted from adsorbed Mn2+ for inhibited “Mn dendrites”, achieving reversible MnO2/Mn3+ and electrolytic MnO2/Mn2+ reactions with highly thermodynamical favorability. Benefiting from the “two-step, three-electron” mechanism triggered by high-spin Co, Zn//Co–MnO2 battery delivers an outstanding capacity of 658 mAh g–1 and ultra-long lifespan over 15,000 cycles. This work reveals the critical role of transition-metal spin state modulation for energy-dense and durable Zn-MnO2 batteries with reversible multi-electron storage mechanisms. Highlights:1 Atomically dispersed high-spin Co atoms embedded in layered MnO2 are realized via in-situ topological phase transformation from CoMn-LDH.2 High-spin Co unlocks fast electrode kinetics in Co-MnO2 by regulating the symmetry of [MnO6] and providing available excessive electrons to lattice oxygen.3 The Co-MnO2 exhibits dual-energy storage mechanisms of MnO2/Mn3+ in bulk and electrolytic MnO2/Mn2+ at interface in Mn2+ containing electrolyte.</w:t>
      </w:r>
    </w:p>
    <w:p>
      <w:pPr>
        <w:spacing w:before="120" w:after="120"/>
      </w:pPr>
      <w:r>
        <w:rPr>
          <w:sz w:val="18"/>
        </w:rPr>
        <w:t>——————————————————————————————————————————————————————————————————————</w:t>
      </w:r>
    </w:p>
    <w:p>
      <w:pPr>
        <w:spacing w:before="160" w:after="40" w:line="240" w:lineRule="auto"/>
      </w:pPr>
      <w:r>
        <w:rPr>
          <w:b/>
        </w:rPr>
        <w:t xml:space="preserve">[16] </w:t>
      </w:r>
      <w:hyperlink r:id="rId103">
        <w:r>
          <w:rPr>
            <w:color w:val="1155CC"/>
            <w:u w:val="single"/>
          </w:rPr>
          <w:t>实用锌离子软包电池中熵尖晶石氧化物中的多阳离子协同作用</w:t>
        </w:r>
      </w:hyperlink>
    </w:p>
    <w:p>
      <w:pPr>
        <w:spacing w:before="0" w:after="80"/>
      </w:pPr>
      <w:r>
        <w:rPr>
          <w:i/>
          <w:sz w:val="20"/>
        </w:rPr>
        <w:t>EN: Multi‐Cation Synergy in Medium‐Entropy Spinel Oxide for Practical Zn‐Ion Pouch Cells</w:t>
      </w:r>
    </w:p>
    <w:p>
      <w:pPr>
        <w:spacing w:before="0" w:after="120"/>
      </w:pPr>
      <w:r>
        <w:rPr>
          <w:b/>
        </w:rPr>
        <w:t xml:space="preserve">Source: </w:t>
      </w:r>
      <w:r>
        <w:t>Wiley: Advanced Energy Materials: Table of Contents</w:t>
      </w:r>
      <w:r>
        <w:t xml:space="preserve">    </w:t>
      </w:r>
      <w:r>
        <w:rPr>
          <w:b/>
        </w:rPr>
        <w:t xml:space="preserve">Pub date: </w:t>
      </w:r>
      <w:r>
        <w:t>2026-08-10 05:36:36+00:00</w:t>
      </w:r>
      <w:r>
        <w:t xml:space="preserve">    </w:t>
      </w:r>
      <w:r>
        <w:rPr>
          <w:b/>
        </w:rPr>
        <w:t xml:space="preserve">DOI: </w:t>
      </w:r>
      <w:hyperlink r:id="rId104">
        <w:r>
          <w:rPr>
            <w:color w:val="1155CC"/>
            <w:u w:val="single"/>
          </w:rPr>
          <w:t>10.1002/aenm.71420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用于水性锌离子电池（AZIB）的氧化锰阴极前景广阔，但由于溶解、结构崩溃和歧化而受到阻碍，限制了其实际应用。在此，我们报道了一种具有尖晶石结构的多阳离子协同中熵氧化物（MEO）阴极，Zn</w:t>
      </w:r>
      <w:r>
        <w:t xml:space="preserve"> </w:t>
      </w:r>
      <w:r>
        <w:t>0.86</w:t>
      </w:r>
      <w:r>
        <w:t xml:space="preserve"> </w:t>
      </w:r>
      <w:r>
        <w:t>钴</w:t>
      </w:r>
      <w:r>
        <w:t xml:space="preserve"> </w:t>
      </w:r>
      <w:r>
        <w:t>0.28</w:t>
      </w:r>
      <w:r>
        <w:t xml:space="preserve"> </w:t>
      </w:r>
      <w:r>
        <w:t>镍</w:t>
      </w:r>
      <w:r>
        <w:t xml:space="preserve"> </w:t>
      </w:r>
      <w:r>
        <w:t>0.04</w:t>
      </w:r>
      <w:r>
        <w:t xml:space="preserve"> </w:t>
      </w:r>
      <w:r>
        <w:t>铜</w:t>
      </w:r>
      <w:r>
        <w:t xml:space="preserve"> </w:t>
      </w:r>
      <w:r>
        <w:t>0.03</w:t>
      </w:r>
      <w:r>
        <w:t xml:space="preserve"> </w:t>
      </w:r>
      <w:r>
        <w:t>锰</w:t>
      </w:r>
      <w:r>
        <w:rPr>
          <w:vertAlign w:val="subscript"/>
        </w:rPr>
        <w:t>2</w:t>
      </w:r>
      <w:r>
        <w:t>氧</w:t>
      </w:r>
      <w:r>
        <w:rPr>
          <w:vertAlign w:val="subscript"/>
        </w:rPr>
        <w:t>4</w:t>
      </w:r>
      <w:r>
        <w:t>（ZCNCMO），旨在克服这些限制。理论和实验分析表明，将多个阳离子整合到单个尖晶石晶格中可以利用熵稳定来抑制元素偏析、晶格畸变和活性物质溶解，从而在循环过程中保持结构完整性。因此，Zn-ZCNCMO电池的比容量为520 mAh g</w:t>
      </w:r>
      <w:r>
        <w:t xml:space="preserve"> </w:t>
      </w:r>
      <w:r>
        <w:t>−1</w:t>
      </w:r>
      <w:r>
        <w:t xml:space="preserve"> </w:t>
      </w:r>
      <w:r>
        <w:t>0.5安克时</w:t>
      </w:r>
      <w:r>
        <w:t xml:space="preserve"> </w:t>
      </w:r>
      <w:r>
        <w:t>−1</w:t>
      </w:r>
      <w:r>
        <w:t xml:space="preserve"> </w:t>
      </w:r>
      <w:r>
        <w:t>，在 2 A g 下循环 2600 次后容量保持率为 98.3%</w:t>
      </w:r>
      <w:r>
        <w:t xml:space="preserve"> </w:t>
      </w:r>
      <w:r>
        <w:t>−1</w:t>
      </w:r>
      <w:r>
        <w:t xml:space="preserve"> </w:t>
      </w:r>
      <w:r>
        <w:t>。软包电池在 1000 次循环中具有出色的稳定性，能量密度为 239.9 Wh kg</w:t>
      </w:r>
      <w:r>
        <w:t xml:space="preserve"> </w:t>
      </w:r>
      <w:r>
        <w:t>−1</w:t>
      </w:r>
      <w:r>
        <w:t xml:space="preserve"> </w:t>
      </w:r>
      <w:r>
        <w:t>基于活性材料，实际重量为 56.3 Wh kg</w:t>
      </w:r>
      <w:r>
        <w:t xml:space="preserve"> </w:t>
      </w:r>
      <w:r>
        <w:t>−1</w:t>
      </w:r>
      <w:r>
        <w:t xml:space="preserve"> </w:t>
      </w:r>
      <w:r>
        <w:t>，它还集成了太阳能和风能，为消费电子产品提供卓越的性能</w:t>
      </w:r>
    </w:p>
    <w:p>
      <w:pPr>
        <w:spacing w:before="0" w:after="200" w:lineRule="auto" w:line="276"/>
      </w:pPr>
      <w:r>
        <w:rPr>
          <w:b/>
        </w:rPr>
        <w:t xml:space="preserve">Abstract (EN): </w:t>
      </w:r>
      <w:r>
        <w:t>Manganese oxide cathodes for aqueous zinc‐ion batteries (AZIBs) are promising yet hindered by dissolution, structural collapse, and disproportionation, limiting their practical application. Herein, we report a multi‐cation synergistic medium‐entropy oxide (MEO) cathode with a spinel structure, Zn</w:t>
      </w:r>
      <w:r>
        <w:t xml:space="preserve"> </w:t>
      </w:r>
      <w:r>
        <w:t>0.86</w:t>
      </w:r>
      <w:r>
        <w:t xml:space="preserve"> </w:t>
      </w:r>
      <w:r>
        <w:t>Co</w:t>
      </w:r>
      <w:r>
        <w:t xml:space="preserve"> </w:t>
      </w:r>
      <w:r>
        <w:t>0.28</w:t>
      </w:r>
      <w:r>
        <w:t xml:space="preserve"> </w:t>
      </w:r>
      <w:r>
        <w:t>Ni</w:t>
      </w:r>
      <w:r>
        <w:t xml:space="preserve"> </w:t>
      </w:r>
      <w:r>
        <w:t>0.04</w:t>
      </w:r>
      <w:r>
        <w:t xml:space="preserve"> </w:t>
      </w:r>
      <w:r>
        <w:t>Cu</w:t>
      </w:r>
      <w:r>
        <w:t xml:space="preserve"> </w:t>
      </w:r>
      <w:r>
        <w:t>0.03</w:t>
      </w:r>
      <w:r>
        <w:t xml:space="preserve"> </w:t>
      </w:r>
      <w:r>
        <w:t>Mn</w:t>
      </w:r>
      <w:r>
        <w:rPr>
          <w:vertAlign w:val="subscript"/>
        </w:rPr>
        <w:t>2</w:t>
      </w:r>
      <w:r>
        <w:t>O</w:t>
      </w:r>
      <w:r>
        <w:rPr>
          <w:vertAlign w:val="subscript"/>
        </w:rPr>
        <w:t>4</w:t>
      </w:r>
      <w:r>
        <w:t>(ZCNCMO), designed to overcome these limitations. Theoretical and experimental analyses demonstrate that integrating multiple cations into a single spinel lattice leverages entropy stabilization to suppress elemental segregation, lattice distortion, and active species dissolution, thereby preserving structural integrity during cycling. As a result, the Zn‐ZCNCMO battery delivers a specific capacity of 520 mAh g</w:t>
      </w:r>
      <w:r>
        <w:t xml:space="preserve"> </w:t>
      </w:r>
      <w:r>
        <w:t>−1</w:t>
      </w:r>
      <w:r>
        <w:t xml:space="preserve"> </w:t>
      </w:r>
      <w:r>
        <w:t>at 0.5 A g</w:t>
      </w:r>
      <w:r>
        <w:t xml:space="preserve"> </w:t>
      </w:r>
      <w:r>
        <w:t>−1</w:t>
      </w:r>
      <w:r>
        <w:t xml:space="preserve"> </w:t>
      </w:r>
      <w:r>
        <w:t>, and retains a capacity retention of 98.3% after 2600 cycles at 2 A g</w:t>
      </w:r>
      <w:r>
        <w:t xml:space="preserve"> </w:t>
      </w:r>
      <w:r>
        <w:t>−1</w:t>
      </w:r>
      <w:r>
        <w:t xml:space="preserve"> </w:t>
      </w:r>
      <w:r>
        <w:t>. The pouch cell delivers excellent stability over 1000 cycles and exhibits an energy density of 239.9 Wh kg</w:t>
      </w:r>
      <w:r>
        <w:t xml:space="preserve"> </w:t>
      </w:r>
      <w:r>
        <w:t>−1</w:t>
      </w:r>
      <w:r>
        <w:t xml:space="preserve"> </w:t>
      </w:r>
      <w:r>
        <w:t>based on active materials and practically 56.3 Wh kg</w:t>
      </w:r>
      <w:r>
        <w:t xml:space="preserve"> </w:t>
      </w:r>
      <w:r>
        <w:t>−1</w:t>
      </w:r>
      <w:r>
        <w:t xml:space="preserve"> </w:t>
      </w:r>
      <w:r>
        <w:t>, which is also integrated with solar and wind energy to power consumer electronics with exceptional safety under nail‐penetration and cutting tests.</w:t>
      </w:r>
    </w:p>
    <w:p>
      <w:pPr>
        <w:spacing w:before="120" w:after="120"/>
      </w:pPr>
      <w:r>
        <w:rPr>
          <w:sz w:val="18"/>
        </w:rPr>
        <w:t>——————————————————————————————————————————————————————————————————————</w:t>
      </w:r>
    </w:p>
    <w:p>
      <w:pPr>
        <w:spacing w:before="160" w:after="40" w:line="240" w:lineRule="auto"/>
      </w:pPr>
      <w:r>
        <w:rPr>
          <w:b/>
        </w:rPr>
        <w:t xml:space="preserve">[17] </w:t>
      </w:r>
      <w:hyperlink r:id="rId105">
        <w:r>
          <w:rPr>
            <w:color w:val="1155CC"/>
            <w:u w:val="single"/>
          </w:rPr>
          <w:t>通过热自驱动策略对富镍阴极进行整体由内而外的重构，以实现卓越的化学机械稳定性</w:t>
        </w:r>
      </w:hyperlink>
    </w:p>
    <w:p>
      <w:pPr>
        <w:spacing w:before="0" w:after="80"/>
      </w:pPr>
      <w:r>
        <w:rPr>
          <w:i/>
          <w:sz w:val="20"/>
        </w:rPr>
        <w:t>EN: Holistic Inside‐Out Reconfiguration of Ni‐Rich Cathodes via a Thermally Self‐Driven Strategy for Exceptional Chemomechanical Stability</w:t>
      </w:r>
    </w:p>
    <w:p>
      <w:pPr>
        <w:spacing w:before="0" w:after="120"/>
      </w:pPr>
      <w:r>
        <w:rPr>
          <w:b/>
        </w:rPr>
        <w:t xml:space="preserve">Source: </w:t>
      </w:r>
      <w:r>
        <w:t>Wiley: Advanced Materials: Table of Contents</w:t>
      </w:r>
      <w:r>
        <w:t xml:space="preserve">    </w:t>
      </w:r>
      <w:r>
        <w:rPr>
          <w:b/>
        </w:rPr>
        <w:t xml:space="preserve">Pub date: </w:t>
      </w:r>
      <w:r>
        <w:t>2026-08-10 08:06:15+00:00</w:t>
      </w:r>
      <w:r>
        <w:t xml:space="preserve">    </w:t>
      </w:r>
      <w:r>
        <w:rPr>
          <w:b/>
        </w:rPr>
        <w:t xml:space="preserve">DOI: </w:t>
      </w:r>
      <w:hyperlink r:id="rId106">
        <w:r>
          <w:rPr>
            <w:color w:val="1155CC"/>
            <w:u w:val="single"/>
          </w:rPr>
          <w:t>10.1002/adma.74572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富镍层状氧化物（LiNi</w:t>
      </w:r>
      <w:r>
        <w:t xml:space="preserve"> </w:t>
      </w:r>
      <w:r>
        <w:t>x</w:t>
      </w:r>
      <w:r>
        <w:t xml:space="preserve"> </w:t>
      </w:r>
      <w:r>
        <w:t>钴</w:t>
      </w:r>
      <w:r>
        <w:t xml:space="preserve"> </w:t>
      </w:r>
      <w:r>
        <w:t>y</w:t>
      </w:r>
      <w:r>
        <w:t xml:space="preserve"> </w:t>
      </w:r>
      <w:r>
        <w:t>锰</w:t>
      </w:r>
      <w:r>
        <w:t xml:space="preserve"> </w:t>
      </w:r>
      <w:r>
        <w:t>1−</w:t>
      </w:r>
      <w:r>
        <w:t xml:space="preserve"> </w:t>
      </w:r>
      <w:r>
        <w:t>x</w:t>
      </w:r>
      <w:r>
        <w:t xml:space="preserve"> </w:t>
      </w:r>
      <w:r>
        <w:t>-</w:t>
      </w:r>
      <w:r>
        <w:t xml:space="preserve"> </w:t>
      </w:r>
      <w:r>
        <w:t>y</w:t>
      </w:r>
      <w:r>
        <w:t xml:space="preserve"> </w:t>
      </w:r>
      <w:r>
        <w:t>氧</w:t>
      </w:r>
      <w:r>
        <w:rPr>
          <w:vertAlign w:val="subscript"/>
        </w:rPr>
        <w:t>2</w:t>
      </w:r>
      <w:r>
        <w:t>,</w:t>
      </w:r>
      <w:r>
        <w:t xml:space="preserve"> </w:t>
      </w:r>
      <w:r>
        <w:t>x</w:t>
      </w:r>
      <w:r>
        <w:t xml:space="preserve"> </w:t>
      </w:r>
      <w:r>
        <w:t>≥ 0.8）对于高能量密度锂离子电池来说是不可或缺的，但由于内部微裂纹和界面寄生副反应的协同作用，它们会遭受严重的化学机械退化。现有的策略本质上受到机械和化学不稳定性的解耦监管的影响，无法全面解决这些问题。在这里，我们开发了一种由硝酸盐热分解驱动的由内而外的结构重构策略，同时在单个煅烧步骤中定制 NCM811 的核心、块体和表面。这种重建产生了应力缓冲的中心孔隙结构，可以有效地均匀化各向异性晶格应变并抑制裂纹成核。同时，受监管的 Nd</w:t>
      </w:r>
      <w:r>
        <w:t xml:space="preserve"> </w:t>
      </w:r>
      <w:r>
        <w:t>3+</w:t>
      </w:r>
      <w:r>
        <w:t xml:space="preserve"> </w:t>
      </w:r>
      <w:r>
        <w:t>扩散形成相干 Nd</w:t>
      </w:r>
      <w:r>
        <w:rPr>
          <w:vertAlign w:val="subscript"/>
        </w:rPr>
        <w:t>4</w:t>
      </w:r>
      <w:r>
        <w:t>[锂镍]O</w:t>
      </w:r>
      <w:r>
        <w:rPr>
          <w:vertAlign w:val="subscript"/>
        </w:rPr>
        <w:t>8</w:t>
      </w:r>
      <w:r>
        <w:t>(NLNO) 钙钛矿相位于体晶格内，产生钉扎效应，稳定层状框架并增强</w:t>
      </w:r>
    </w:p>
    <w:p>
      <w:pPr>
        <w:spacing w:before="0" w:after="200" w:lineRule="auto" w:line="276"/>
      </w:pPr>
      <w:r>
        <w:rPr>
          <w:b/>
        </w:rPr>
        <w:t xml:space="preserve">Abstract (EN): </w:t>
      </w:r>
      <w:r>
        <w:t>Ni‐rich layered oxides (LiNi</w:t>
      </w:r>
      <w:r>
        <w:t xml:space="preserve"> </w:t>
      </w:r>
      <w:r>
        <w:t>x</w:t>
      </w:r>
      <w:r>
        <w:t xml:space="preserve"> </w:t>
      </w:r>
      <w:r>
        <w:t>Co</w:t>
      </w:r>
      <w:r>
        <w:t xml:space="preserve"> </w:t>
      </w:r>
      <w:r>
        <w:t>y</w:t>
      </w:r>
      <w:r>
        <w:t xml:space="preserve"> </w:t>
      </w:r>
      <w:r>
        <w:t>Mn</w:t>
      </w:r>
      <w:r>
        <w:t xml:space="preserve"> </w:t>
      </w:r>
      <w:r>
        <w:t>1−</w:t>
      </w:r>
      <w:r>
        <w:t xml:space="preserve"> </w:t>
      </w:r>
      <w:r>
        <w:t>x</w:t>
      </w:r>
      <w:r>
        <w:t xml:space="preserve"> </w:t>
      </w:r>
      <w:r>
        <w:t>−</w:t>
      </w:r>
      <w:r>
        <w:t xml:space="preserve"> </w:t>
      </w:r>
      <w:r>
        <w:t>y</w:t>
      </w:r>
      <w:r>
        <w:t xml:space="preserve"> </w:t>
      </w:r>
      <w:r>
        <w:t>O</w:t>
      </w:r>
      <w:r>
        <w:rPr>
          <w:vertAlign w:val="subscript"/>
        </w:rPr>
        <w:t>2</w:t>
      </w:r>
      <w:r>
        <w:t>,</w:t>
      </w:r>
      <w:r>
        <w:t xml:space="preserve"> </w:t>
      </w:r>
      <w:r>
        <w:t>x</w:t>
      </w:r>
      <w:r>
        <w:t xml:space="preserve"> </w:t>
      </w:r>
      <w:r>
        <w:t>≥ 0.8) are indispensable for high‐energy‐density lithium‐ion batteries, yet they suffer from severe chemomechanical degradation driven by the synergy of internal microcracking and interfacial parasitic side reactions. Existing strategies inherently suffer from decoupled regulation of mechanical and chemical instabilities that fail to address these issues holistically. Here, we develop an inside‐out structural reconfiguration strategy driven by the thermal decomposition of nitrates, concurrently tailoring the core, bulk, and surface of NCM811 in a single calcination step. This reconstruction generates a stress‐buffering central pore architecture that effectively homogenizes anisotropic lattice strain and suppresses crack nucleation. Concurrently, the regulated Nd</w:t>
      </w:r>
      <w:r>
        <w:t xml:space="preserve"> </w:t>
      </w:r>
      <w:r>
        <w:t>3+</w:t>
      </w:r>
      <w:r>
        <w:t xml:space="preserve"> </w:t>
      </w:r>
      <w:r>
        <w:t>diffusion forms a coherent Nd</w:t>
      </w:r>
      <w:r>
        <w:rPr>
          <w:vertAlign w:val="subscript"/>
        </w:rPr>
        <w:t>4</w:t>
      </w:r>
      <w:r>
        <w:t>[LiNi]O</w:t>
      </w:r>
      <w:r>
        <w:rPr>
          <w:vertAlign w:val="subscript"/>
        </w:rPr>
        <w:t>8</w:t>
      </w:r>
      <w:r>
        <w:t>(NLNO) perovskite phase within the bulk lattice, creating a pinning effect that stabilizes the layered framework and enhances charge transport. Furthermore, excess Nd‐species evolve into a conformal NLNO surface coating, acting as a physical barrier and oxygen reservoir to resist electrolyte attack and oxygen evolution. The modified cathode delivers an exceptional capacity retention (95.7% after 200 cycles at 4.5 V) and exceptional rate capability (157.1 mAh g</w:t>
      </w:r>
      <w:r>
        <w:t xml:space="preserve"> </w:t>
      </w:r>
      <w:r>
        <w:t>−1</w:t>
      </w:r>
      <w:r>
        <w:t xml:space="preserve"> </w:t>
      </w:r>
      <w:r>
        <w:t>at 5 C). Even under stringent conditions (4.6 V or 45°C), a superior retention of 87.8% is maintained after 200 cycles, demonstrating remarkable chemomechanical robustness.</w:t>
      </w:r>
    </w:p>
    <w:p>
      <w:pPr>
        <w:spacing w:before="120" w:after="120"/>
      </w:pPr>
      <w:r>
        <w:rPr>
          <w:sz w:val="18"/>
        </w:rPr>
        <w:t>——————————————————————————————————————————————————————————————————————</w:t>
      </w:r>
    </w:p>
    <w:p>
      <w:pPr>
        <w:spacing w:before="160" w:after="40" w:line="240" w:lineRule="auto"/>
      </w:pPr>
      <w:r>
        <w:rPr>
          <w:b/>
        </w:rPr>
        <w:t xml:space="preserve">[18] </w:t>
      </w:r>
      <w:hyperlink r:id="rId107">
        <w:r>
          <w:rPr>
            <w:color w:val="1155CC"/>
            <w:u w:val="single"/>
          </w:rPr>
          <w:t>用于高能量密度全固态电池的双粘合剂启用的 18 µm 厚高电导率硫化物电解质薄膜</w:t>
        </w:r>
      </w:hyperlink>
    </w:p>
    <w:p>
      <w:pPr>
        <w:spacing w:before="0" w:after="80"/>
      </w:pPr>
      <w:r>
        <w:rPr>
          <w:i/>
          <w:sz w:val="20"/>
        </w:rPr>
        <w:t>EN: Dual‐Binder‐Enabled 18‐µm‐Thick High‐Conductivity Sulfide Electrolyte Film for High‐Energy‐Density All‐Solid‐State Batteries</w:t>
      </w:r>
    </w:p>
    <w:p>
      <w:pPr>
        <w:spacing w:before="0" w:after="120"/>
      </w:pPr>
      <w:r>
        <w:rPr>
          <w:b/>
        </w:rPr>
        <w:t xml:space="preserve">Source: </w:t>
      </w:r>
      <w:r>
        <w:t>Wiley: Advanced Materials: Table of Contents</w:t>
      </w:r>
      <w:r>
        <w:t xml:space="preserve">    </w:t>
      </w:r>
      <w:r>
        <w:rPr>
          <w:b/>
        </w:rPr>
        <w:t xml:space="preserve">Pub date: </w:t>
      </w:r>
      <w:r>
        <w:t>2026-08-10 08:15:02+00:00</w:t>
      </w:r>
      <w:r>
        <w:t xml:space="preserve">    </w:t>
      </w:r>
      <w:r>
        <w:rPr>
          <w:b/>
        </w:rPr>
        <w:t xml:space="preserve">DOI: </w:t>
      </w:r>
      <w:hyperlink r:id="rId108">
        <w:r>
          <w:rPr>
            <w:color w:val="1155CC"/>
            <w:u w:val="single"/>
          </w:rPr>
          <w:t>10.1002/adma.74533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薄、高离子电导率硫化物固态电解质（SSE）薄膜的开发对于实现高能量密度全固态电池（ASSB）至关重要。然而，传统的化学惰性粘合剂不可避免地阻碍SSE薄膜内的锂离子传输动力学，并且潜在的锂离子传输机制仍然难以捉摸。在这项工作中，我们报告了一种锂离子导电聚合物粘合剂（LiTFSI-PMEMA），并通过干法加工将其与SSE集成，以制造超薄SSE薄膜（USF）。所得 USF 厚度仅为 18 µm，并具有 1.56 mS cm 的高离子电导率</w:t>
      </w:r>
      <w:r>
        <w:t xml:space="preserve"> </w:t>
      </w:r>
      <w:r>
        <w:t>−1</w:t>
      </w:r>
      <w:r>
        <w:t xml:space="preserve"> </w:t>
      </w:r>
      <w:r>
        <w:t>。通过结合低温透射电子显微镜（cryo-TEM）、固态核磁共振（ssNMR）和理论模拟，我们提出了一种Li</w:t>
      </w:r>
      <w:r>
        <w:t xml:space="preserve"> </w:t>
      </w:r>
      <w:r>
        <w:t>+</w:t>
      </w:r>
      <w:r>
        <w:t xml:space="preserve"> </w:t>
      </w:r>
      <w:r>
        <w:t>输运模型中，SSE 相提供主要传导路径，而聚合物粘合剂和 SSE/聚合物接触区域可以辅助局部 Li</w:t>
      </w:r>
      <w:r>
        <w:t xml:space="preserve"> </w:t>
      </w:r>
      <w:r>
        <w:t>+</w:t>
      </w:r>
      <w:r>
        <w:t xml:space="preserve"> </w:t>
      </w:r>
      <w:r>
        <w:t>相邻 SSE 粒子之间的传输连续性。当在 ASSB 中实施时，USF 表现出卓越的界面相容性和动力学稳定性，可实现长期循环寿命，在 1500 次循环中容量保持率为 70.3%。此外，LiNi</w:t>
      </w:r>
      <w:r>
        <w:t xml:space="preserve"> </w:t>
      </w:r>
      <w:r>
        <w:t>0.7</w:t>
      </w:r>
      <w:r>
        <w:t xml:space="preserve"> </w:t>
      </w:r>
      <w:r>
        <w:t>钴</w:t>
      </w:r>
      <w:r>
        <w:t xml:space="preserve"> </w:t>
      </w:r>
      <w:r>
        <w:t>0.2</w:t>
      </w:r>
      <w:r>
        <w:t xml:space="preserve"> </w:t>
      </w:r>
      <w:r>
        <w:t>锰</w:t>
      </w:r>
      <w:r>
        <w:t xml:space="preserve"> </w:t>
      </w:r>
      <w:r>
        <w:t>0.1</w:t>
      </w:r>
      <w:r>
        <w:t xml:space="preserve"> </w:t>
      </w:r>
      <w:r>
        <w:t>氧</w:t>
      </w:r>
      <w:r>
        <w:rPr>
          <w:vertAlign w:val="subscript"/>
        </w:rPr>
        <w:t>2</w:t>
      </w:r>
      <w:r>
        <w:t>||USF||nSi 软包电池提供高堆叠级别</w:t>
      </w:r>
    </w:p>
    <w:p>
      <w:pPr>
        <w:spacing w:before="0" w:after="200" w:lineRule="auto" w:line="276"/>
      </w:pPr>
      <w:r>
        <w:rPr>
          <w:b/>
        </w:rPr>
        <w:t xml:space="preserve">Abstract (EN): </w:t>
      </w:r>
      <w:r>
        <w:t>The development of ultrathin, high ionic conductivity sulfide solid‐state electrolytes (SSEs) film is essential for achieving high‐energy‐density all‐solid‐state batteries (ASSBs). However, conventional chemically inert binders inevitably impede Li‐ion transport kinetics within SSE films, and the underlying Li‐ion transport mechanisms remain elusive. In this work, we report an Li‐ion‐conductive polymer binder (LiTFSI‐PMEMA) and integrate it with SSEs via dry processing to fabricate an ultrathin SSE film (USF). The resulting USF is only 18 µm thick and exhibits a high ionic conductivity of 1.56 mS cm</w:t>
      </w:r>
      <w:r>
        <w:t xml:space="preserve"> </w:t>
      </w:r>
      <w:r>
        <w:t>‒1</w:t>
      </w:r>
      <w:r>
        <w:t xml:space="preserve"> </w:t>
      </w:r>
      <w:r>
        <w:t>. By combining cryogenic transmission electron microscopy (cryo‐TEM), solid‐state nuclear magnetic resonance (ssNMR), and theoretical simulations, we propose an Li</w:t>
      </w:r>
      <w:r>
        <w:t xml:space="preserve"> </w:t>
      </w:r>
      <w:r>
        <w:t>+</w:t>
      </w:r>
      <w:r>
        <w:t xml:space="preserve"> </w:t>
      </w:r>
      <w:r>
        <w:t>transport model in which the SSE phase provides the dominant conduction pathway, while the polymer binder and SSEs/polymer contact regions can assist local Li</w:t>
      </w:r>
      <w:r>
        <w:t xml:space="preserve"> </w:t>
      </w:r>
      <w:r>
        <w:t>+</w:t>
      </w:r>
      <w:r>
        <w:t xml:space="preserve"> </w:t>
      </w:r>
      <w:r>
        <w:t>transport continuity between neighboring SSE particles. When implemented in ASSBs, the USF exhibits exceptional interfacial compatibility and kinetic stability, enabling a long‐term cycling life with 70.3% capacity retention over 1500 cycles. Furthermore, a LiNi</w:t>
      </w:r>
      <w:r>
        <w:t xml:space="preserve"> </w:t>
      </w:r>
      <w:r>
        <w:t>0.7</w:t>
      </w:r>
      <w:r>
        <w:t xml:space="preserve"> </w:t>
      </w:r>
      <w:r>
        <w:t>Co</w:t>
      </w:r>
      <w:r>
        <w:t xml:space="preserve"> </w:t>
      </w:r>
      <w:r>
        <w:t>0.2</w:t>
      </w:r>
      <w:r>
        <w:t xml:space="preserve"> </w:t>
      </w:r>
      <w:r>
        <w:t>Mn</w:t>
      </w:r>
      <w:r>
        <w:t xml:space="preserve"> </w:t>
      </w:r>
      <w:r>
        <w:t>0.1</w:t>
      </w:r>
      <w:r>
        <w:t xml:space="preserve"> </w:t>
      </w:r>
      <w:r>
        <w:t>O</w:t>
      </w:r>
      <w:r>
        <w:rPr>
          <w:vertAlign w:val="subscript"/>
        </w:rPr>
        <w:t>2</w:t>
      </w:r>
      <w:r>
        <w:t>||USF||nSi pouch cell delivers a high stack‐level energy density of 322.7 Wh kg</w:t>
      </w:r>
      <w:r>
        <w:t xml:space="preserve"> </w:t>
      </w:r>
      <w:r>
        <w:t>‒1</w:t>
      </w:r>
      <w:r>
        <w:t xml:space="preserve"> </w:t>
      </w:r>
      <w:r>
        <w:t>. This work provides crucial insights into the multiphase Li‐ion transport kinetics and demonstrates a scalable manufacturing strategy for sulfide‐based ASSBs.</w:t>
      </w:r>
    </w:p>
    <w:p>
      <w:pPr>
        <w:spacing w:before="120" w:after="120"/>
      </w:pPr>
      <w:r>
        <w:rPr>
          <w:sz w:val="18"/>
        </w:rPr>
        <w:t>——————————————————————————————————————————————————————————————————————</w:t>
      </w:r>
    </w:p>
    <w:p>
      <w:pPr>
        <w:spacing w:before="160" w:after="40" w:line="240" w:lineRule="auto"/>
      </w:pPr>
      <w:r>
        <w:rPr>
          <w:b/>
        </w:rPr>
        <w:t xml:space="preserve">[19] </w:t>
      </w:r>
      <w:hyperlink r:id="rId109">
        <w:r>
          <w:rPr>
            <w:color w:val="1155CC"/>
            <w:u w:val="single"/>
          </w:rPr>
          <w:t>富锂层状氧化物的高压可逆氧氧化还原</w:t>
        </w:r>
      </w:hyperlink>
    </w:p>
    <w:p>
      <w:pPr>
        <w:spacing w:before="0" w:after="80"/>
      </w:pPr>
      <w:r>
        <w:rPr>
          <w:i/>
          <w:sz w:val="20"/>
        </w:rPr>
        <w:t>EN: Reversible Oxygen Redox in High Voltage for Lithium-Rich Layered Oxides</w:t>
      </w:r>
    </w:p>
    <w:p>
      <w:pPr>
        <w:spacing w:before="0" w:after="120"/>
      </w:pPr>
      <w:r>
        <w:rPr>
          <w:b/>
        </w:rPr>
        <w:t xml:space="preserve">Source: </w:t>
      </w:r>
      <w:r>
        <w:t>Journal of the American Chemical Society: Latest Articles (ACS Publications)</w:t>
      </w:r>
      <w:r>
        <w:t xml:space="preserve">    </w:t>
      </w:r>
      <w:r>
        <w:rPr>
          <w:b/>
        </w:rPr>
        <w:t xml:space="preserve">Pub date: </w:t>
      </w:r>
      <w:r>
        <w:t>2026-08-11 00:00:00+00:00</w:t>
      </w:r>
      <w:r>
        <w:t xml:space="preserve">    </w:t>
      </w:r>
      <w:r>
        <w:rPr>
          <w:b/>
        </w:rPr>
        <w:t xml:space="preserve">DOI: </w:t>
      </w:r>
      <w:hyperlink r:id="rId110">
        <w:r>
          <w:rPr>
            <w:color w:val="1155CC"/>
            <w:u w:val="single"/>
          </w:rPr>
          <w:t>10.1021/jacs.6c07357</w:t>
        </w:r>
      </w:hyperlink>
    </w:p>
    <w:p>
      <w:pPr>
        <w:spacing w:before="0" w:after="120"/>
      </w:pPr>
      <w:r>
        <w:rPr>
          <w:b/>
        </w:rPr>
        <w:t xml:space="preserve">Notes: </w:t>
      </w:r>
      <w:r>
        <w:t>abstract_source=crossref</w:t>
      </w:r>
    </w:p>
    <w:p>
      <w:pPr>
        <w:spacing w:before="0" w:after="80" w:lineRule="auto" w:line="276"/>
      </w:pPr>
      <w:r>
        <w:rPr>
          <w:b/>
        </w:rPr>
        <w:t xml:space="preserve">摘要（ZH）: </w:t>
      </w:r>
      <w:r>
        <w:t>摘要 富锂层状氧化物以过渡金属层中的锂离子为特征，可以通过引入氧氧化还原作用显着提高电池能量密度。然而，这些阴极经常遭受显着的电压滞后，导致放电期间相当大的能量损失。在此，我们提出了一种O3型阴极Li0.63[Li0.20Mn0.80]O2，通过电解液中P3-Na0.60[Li0.20Mn0.80]O2的自发离子交换，保留了带状有序的超结构。该阴极在 4.2-4.7 V 电压范围内表现出可逆的氧还原平台，在初始放电期间表现出最小的电压损失（滞后）。当电压下限降低至 3.0 V 时，平台消失。原位 XRD 和 STEM 表明没有显着的结构变化。进一步的光谱测试和DFT计算表明，充电过程中由于电荷转移，可逆氧反应被Mn反应取代，导致放电平台消失。我们的研究结果表明，富锂层状氧化物阴极在没有电压滞后的情况下运行的潜力，并表明高电压下的结构退化并不是导致不可逆氧反应的唯一因素。</w:t>
      </w:r>
    </w:p>
    <w:p>
      <w:pPr>
        <w:spacing w:before="0" w:after="200" w:lineRule="auto" w:line="276"/>
      </w:pPr>
      <w:r>
        <w:rPr>
          <w:b/>
        </w:rPr>
        <w:t xml:space="preserve">Abstract (EN): </w:t>
      </w:r>
      <w:r>
        <w:t>Lithium-rich layered oxides, characterized by Li ions in the transition-metal layers, can significantly increase battery energy density through the introduction of oxygen redox. However, these cathodes often suffer from substantial voltage hysteresis, leading to a considerable energy loss during discharge. Herein, we present an O3-type cathode, Li0.63[Li0.20Mn0.80]O2, through the spontaneous ion exchange of P3–Na0.60[Li0.20Mn0.80]O2 in the electrolyte, which retains the ribbon-ordered superstructure. This cathode exhibits a reversible oxygen reduction plateau within the 4.2–4.7 V voltage range, exhibiting minimal voltage loss (hysteresis) during the initial discharge. When the lower voltage limit is reduced to 3.0 V, the plateau disappears. In situ XRD and STEM indicate that there is no significant structural change. Further spectral tests and DFT calculations show that the reversible oxygen reaction is replaced by the Mn reaction during the charging process due to charge transfer, resulting in the disappearance of the discharging plateau. Our findings suggest the potential for lithium-rich layered oxide cathodes to operate without voltage hysteresis and suggest that structural degradation at high voltage is not the only factor causing irreversible oxygen reaction.</w:t>
      </w:r>
    </w:p>
    <w:p>
      <w:pPr>
        <w:spacing w:before="120" w:after="120"/>
      </w:pPr>
      <w:r>
        <w:rPr>
          <w:sz w:val="18"/>
        </w:rPr>
        <w:t>——————————————————————————————————————————————————————————————————————</w:t>
      </w:r>
    </w:p>
    <w:p>
      <w:pPr>
        <w:spacing w:before="160" w:after="40" w:line="240" w:lineRule="auto"/>
      </w:pPr>
      <w:r>
        <w:rPr>
          <w:b/>
        </w:rPr>
        <w:t xml:space="preserve">[20] </w:t>
      </w:r>
      <w:hyperlink r:id="rId111">
        <w:r>
          <w:rPr>
            <w:color w:val="1155CC"/>
            <w:u w:val="single"/>
          </w:rPr>
          <w:t>原位嵌入式催化位点加速高性能钠硫电池的氧化还原动力学</w:t>
        </w:r>
      </w:hyperlink>
    </w:p>
    <w:p>
      <w:pPr>
        <w:spacing w:before="0" w:after="80"/>
      </w:pPr>
      <w:r>
        <w:rPr>
          <w:i/>
          <w:sz w:val="20"/>
        </w:rPr>
        <w:t>EN: In Situ Embedded Catalytic Sites Accelerate Redox Kinetics for High‐Performance Sodium–Sulfur Batteries</w:t>
      </w:r>
    </w:p>
    <w:p>
      <w:pPr>
        <w:spacing w:before="0" w:after="120"/>
      </w:pPr>
      <w:r>
        <w:rPr>
          <w:b/>
        </w:rPr>
        <w:t xml:space="preserve">Source: </w:t>
      </w:r>
      <w:r>
        <w:t>Wiley: Advanced Materials: Table of Contents</w:t>
      </w:r>
      <w:r>
        <w:t xml:space="preserve">    </w:t>
      </w:r>
      <w:r>
        <w:rPr>
          <w:b/>
        </w:rPr>
        <w:t xml:space="preserve">Pub date: </w:t>
      </w:r>
      <w:r>
        <w:t>2026-08-12 07:38:02+00:00</w:t>
      </w:r>
      <w:r>
        <w:t xml:space="preserve">    </w:t>
      </w:r>
      <w:r>
        <w:rPr>
          <w:b/>
        </w:rPr>
        <w:t xml:space="preserve">DOI: </w:t>
      </w:r>
      <w:hyperlink r:id="rId112">
        <w:r>
          <w:rPr>
            <w:color w:val="1155CC"/>
            <w:u w:val="single"/>
          </w:rPr>
          <w:t>10.1002/adma.74611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钠硫（Na-S）电池受到缓慢的硫转化动力学和多硫化物溶解的阻碍。尽管广泛引入催化剂来改善动力学，但关键问题仍然是多硫化物如何有效地接近催化位点，特别是在追求高度受限的硫氧化还原途径时。在这里，我们将催化剂的可及性作为重点，并证明基于原位嵌入催化位点的合成策略可以最大限度地提高催化可及性和效率。通过自下而上、前体集成的主体合成路线，我们原位嵌入了 Nb</w:t>
      </w:r>
      <w:r>
        <w:rPr>
          <w:vertAlign w:val="subscript"/>
        </w:rPr>
        <w:t>2</w:t>
      </w:r>
      <w:r>
        <w:t>氧</w:t>
      </w:r>
      <w:r>
        <w:rPr>
          <w:vertAlign w:val="subscript"/>
        </w:rPr>
        <w:t>5</w:t>
      </w:r>
      <w:r>
        <w:t>催化剂进入碳纳米管，同时形成广泛的纳米孔隙。随后的硫浸渍产生阴极结构（I-Nb</w:t>
      </w:r>
      <w:r>
        <w:rPr>
          <w:vertAlign w:val="subscript"/>
        </w:rPr>
        <w:t>2</w:t>
      </w:r>
      <w:r>
        <w:t>氧</w:t>
      </w:r>
      <w:r>
        <w:rPr>
          <w:vertAlign w:val="subscript"/>
        </w:rPr>
        <w:t>5</w:t>
      </w:r>
      <w:r>
        <w:t>@C–S）具有丰富的催化剂-孔-硫三相界面。结果，I-Nb</w:t>
      </w:r>
      <w:r>
        <w:rPr>
          <w:vertAlign w:val="subscript"/>
        </w:rPr>
        <w:t>2</w:t>
      </w:r>
      <w:r>
        <w:t>氧</w:t>
      </w:r>
      <w:r>
        <w:rPr>
          <w:vertAlign w:val="subscript"/>
        </w:rPr>
        <w:t>5</w:t>
      </w:r>
      <w:r>
        <w:t>@C−S 是文献中最有前途的硫利用率之一，达到 1540 mAh g</w:t>
      </w:r>
      <w:r>
        <w:t xml:space="preserve"> </w:t>
      </w:r>
      <w:r>
        <w:t>−1</w:t>
      </w:r>
      <w:r>
        <w:t xml:space="preserve"> </w:t>
      </w:r>
      <w:r>
        <w:t>0.1 C 和 1044 mAh g</w:t>
      </w:r>
      <w:r>
        <w:t xml:space="preserve"> </w:t>
      </w:r>
      <w:r>
        <w:t>−1</w:t>
      </w:r>
      <w:r>
        <w:t xml:space="preserve"> </w:t>
      </w:r>
      <w:r>
        <w:t>在 3 C 下，超过 1500 次循环后，每个循环的容量衰减为 0.027%。相比之下，具有空间隔离的 Nb 的对应物</w:t>
      </w:r>
      <w:r>
        <w:rPr>
          <w:vertAlign w:val="subscript"/>
        </w:rPr>
        <w:t>2</w:t>
      </w:r>
      <w:r>
        <w:t>氧</w:t>
      </w:r>
      <w:r>
        <w:rPr>
          <w:vertAlign w:val="subscript"/>
        </w:rPr>
        <w:t>5</w:t>
      </w:r>
      <w:r>
        <w:t>和硫表现出缺乏ca</w:t>
      </w:r>
    </w:p>
    <w:p>
      <w:pPr>
        <w:spacing w:before="0" w:after="200" w:lineRule="auto" w:line="276"/>
      </w:pPr>
      <w:r>
        <w:rPr>
          <w:b/>
        </w:rPr>
        <w:t xml:space="preserve">Abstract (EN): </w:t>
      </w:r>
      <w:r>
        <w:t>Sodium–sulfur (Na–S) batteries are hindered by sluggish sulfur conversion kinetics and polysulfides dissolution. Although catalysts are widely introduced to improve kinetics, the crucial question persists in how catalytic sites can be effectively accessible to polysulfides especially when pursuing a highly confined sulfur redox pathway. Here we bring catalyst accessibility into focus and demonstrate that a synthetic strategy based on in situ embedded catalytic sites maximizes catalytic accessibility and efficiency. Through a bottom‐up, precursor‐integrated host synthesis route, we in situ embedded Nb</w:t>
      </w:r>
      <w:r>
        <w:rPr>
          <w:vertAlign w:val="subscript"/>
        </w:rPr>
        <w:t>2</w:t>
      </w:r>
      <w:r>
        <w:t>O</w:t>
      </w:r>
      <w:r>
        <w:rPr>
          <w:vertAlign w:val="subscript"/>
        </w:rPr>
        <w:t>5</w:t>
      </w:r>
      <w:r>
        <w:t>catalyst into carbon nanotubes in parallel with formation of extensive nanoporosity. Subsequent sulfur impregnation yields a cathode structure (I‐Nb</w:t>
      </w:r>
      <w:r>
        <w:rPr>
          <w:vertAlign w:val="subscript"/>
        </w:rPr>
        <w:t>2</w:t>
      </w:r>
      <w:r>
        <w:t>O</w:t>
      </w:r>
      <w:r>
        <w:rPr>
          <w:vertAlign w:val="subscript"/>
        </w:rPr>
        <w:t>5</w:t>
      </w:r>
      <w:r>
        <w:t>@C–S) featuring abundant catalyst–pore–sulfur triple‐phase interfaces. As a result, I‐Nb</w:t>
      </w:r>
      <w:r>
        <w:rPr>
          <w:vertAlign w:val="subscript"/>
        </w:rPr>
        <w:t>2</w:t>
      </w:r>
      <w:r>
        <w:t>O</w:t>
      </w:r>
      <w:r>
        <w:rPr>
          <w:vertAlign w:val="subscript"/>
        </w:rPr>
        <w:t>5</w:t>
      </w:r>
      <w:r>
        <w:t>@C−S delivers among the most promising sulfur utilization in literature, achieving 1540 mAh g</w:t>
      </w:r>
      <w:r>
        <w:t xml:space="preserve"> </w:t>
      </w:r>
      <w:r>
        <w:t>−1</w:t>
      </w:r>
      <w:r>
        <w:t xml:space="preserve"> </w:t>
      </w:r>
      <w:r>
        <w:t>at 0.1 C, and 1044 mAh g</w:t>
      </w:r>
      <w:r>
        <w:t xml:space="preserve"> </w:t>
      </w:r>
      <w:r>
        <w:t>−1</w:t>
      </w:r>
      <w:r>
        <w:t xml:space="preserve"> </w:t>
      </w:r>
      <w:r>
        <w:t>at 3 C with a low‐capacity decay of 0.027% per cycle over 1500 cycles. In contrast, a counterpart with spatially isolated Nb</w:t>
      </w:r>
      <w:r>
        <w:rPr>
          <w:vertAlign w:val="subscript"/>
        </w:rPr>
        <w:t>2</w:t>
      </w:r>
      <w:r>
        <w:t>O</w:t>
      </w:r>
      <w:r>
        <w:rPr>
          <w:vertAlign w:val="subscript"/>
        </w:rPr>
        <w:t>5</w:t>
      </w:r>
      <w:r>
        <w:t>and sulfur exhibits deficient catalytic accessibility and negligible improvement in sulfur redox kinetics. Kinetic diagnostics, combined with niobium K‐edge and operando sulfur K‐edge x‐ray absorption spectroscopy, reveal that direct accessibility of catalytic sites to sulfur is essential for synergizing polysulfide confinement and kinetic improvement.</w:t>
      </w:r>
    </w:p>
    <w:p>
      <w:pPr>
        <w:spacing w:before="120" w:after="120"/>
      </w:pPr>
      <w:r>
        <w:rPr>
          <w:sz w:val="18"/>
        </w:rPr>
        <w:t>——————————————————————————————————————————————————————————————————————</w:t>
      </w:r>
    </w:p>
    <w:p>
      <w:pPr>
        <w:spacing w:before="160" w:after="40" w:line="240" w:lineRule="auto"/>
      </w:pPr>
      <w:r>
        <w:rPr>
          <w:b/>
        </w:rPr>
        <w:t xml:space="preserve">[21] </w:t>
      </w:r>
      <w:hyperlink r:id="rId113">
        <w:r>
          <w:rPr>
            <w:color w:val="1155CC"/>
            <w:u w:val="single"/>
          </w:rPr>
          <w:t>定制先进钠离子电池高熵普鲁士蓝阴极材料中的非常规氰缺陷</w:t>
        </w:r>
      </w:hyperlink>
    </w:p>
    <w:p>
      <w:pPr>
        <w:spacing w:before="0" w:after="80"/>
      </w:pPr>
      <w:r>
        <w:rPr>
          <w:i/>
          <w:sz w:val="20"/>
        </w:rPr>
        <w:t>EN: Tailoring Unconventional Cyanogen Defect in High‐Entropy Prussian Blue Cathode Material for Advanced Sodium‐Ion Batteries</w:t>
      </w:r>
    </w:p>
    <w:p>
      <w:pPr>
        <w:spacing w:before="0" w:after="120"/>
      </w:pPr>
      <w:r>
        <w:rPr>
          <w:b/>
        </w:rPr>
        <w:t xml:space="preserve">Source: </w:t>
      </w:r>
      <w:r>
        <w:t>Wiley: Advanced Materials: Table of Contents</w:t>
      </w:r>
      <w:r>
        <w:t xml:space="preserve">    </w:t>
      </w:r>
      <w:r>
        <w:rPr>
          <w:b/>
        </w:rPr>
        <w:t xml:space="preserve">Pub date: </w:t>
      </w:r>
      <w:r>
        <w:t>2026-08-12 11:43:08+00:00</w:t>
      </w:r>
      <w:r>
        <w:t xml:space="preserve">    </w:t>
      </w:r>
      <w:r>
        <w:rPr>
          <w:b/>
        </w:rPr>
        <w:t xml:space="preserve">DOI: </w:t>
      </w:r>
      <w:hyperlink r:id="rId114">
        <w:r>
          <w:rPr>
            <w:color w:val="1155CC"/>
            <w:u w:val="single"/>
          </w:rPr>
          <w:t>10.1002/adma.74630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高熵普鲁士蓝类似物（PBA）是有前途的钠离子电池（SIB）阴极。然而，固有的[Fe(CN)</w:t>
      </w:r>
      <w:r>
        <w:rPr>
          <w:vertAlign w:val="subscript"/>
        </w:rPr>
        <w:t>6</w:t>
      </w:r>
      <w:r>
        <w:t>]</w:t>
      </w:r>
      <w:r>
        <w:t xml:space="preserve"> </w:t>
      </w:r>
      <w:r>
        <w:t>4–</w:t>
      </w:r>
      <w:r>
        <w:t xml:space="preserve"> </w:t>
      </w:r>
      <w:r>
        <w:t>缺陷会恶化电化学动力学和相稳定性。在此，一种不寻常的氰化物（CN</w:t>
      </w:r>
      <w:r>
        <w:t xml:space="preserve"> </w:t>
      </w:r>
      <w:r>
        <w:t>–</w:t>
      </w:r>
      <w:r>
        <w:t xml:space="preserve"> </w:t>
      </w:r>
      <w:r>
        <w:t>）空位是在高熵 PBA（HE-Cu-PA，Na</w:t>
      </w:r>
      <w:r>
        <w:t xml:space="preserve"> </w:t>
      </w:r>
      <w:r>
        <w:t>1.58</w:t>
      </w:r>
      <w:r>
        <w:t xml:space="preserve"> </w:t>
      </w:r>
      <w:r>
        <w:t>锰</w:t>
      </w:r>
      <w:r>
        <w:t xml:space="preserve"> </w:t>
      </w:r>
      <w:r>
        <w:t>0.191</w:t>
      </w:r>
      <w:r>
        <w:t xml:space="preserve"> </w:t>
      </w:r>
      <w:r>
        <w:t>铁</w:t>
      </w:r>
      <w:r>
        <w:t xml:space="preserve"> </w:t>
      </w:r>
      <w:r>
        <w:t>0.2</w:t>
      </w:r>
      <w:r>
        <w:t xml:space="preserve"> </w:t>
      </w:r>
      <w:r>
        <w:t>钴</w:t>
      </w:r>
      <w:r>
        <w:t xml:space="preserve"> </w:t>
      </w:r>
      <w:r>
        <w:t>0.195</w:t>
      </w:r>
      <w:r>
        <w:t xml:space="preserve"> </w:t>
      </w:r>
      <w:r>
        <w:t>镍</w:t>
      </w:r>
      <w:r>
        <w:t xml:space="preserve"> </w:t>
      </w:r>
      <w:r>
        <w:t>0.2</w:t>
      </w:r>
      <w:r>
        <w:t xml:space="preserve"> </w:t>
      </w:r>
      <w:r>
        <w:t>铜</w:t>
      </w:r>
      <w:r>
        <w:t xml:space="preserve"> </w:t>
      </w:r>
      <w:r>
        <w:t>0.19</w:t>
      </w:r>
      <w:r>
        <w:t xml:space="preserve"> </w:t>
      </w:r>
      <w:r>
        <w:t>[铁(CN)</w:t>
      </w:r>
      <w:r>
        <w:t xml:space="preserve"> </w:t>
      </w:r>
      <w:r>
        <w:t>5.85</w:t>
      </w:r>
      <w:r>
        <w:t xml:space="preserve"> </w:t>
      </w:r>
      <w:r>
        <w:t>]），通过植酸（PA）辅助共沉淀法构建，作为SIB的阴极材料。精确设计的高熵 CN 组合物</w:t>
      </w:r>
      <w:r>
        <w:t xml:space="preserve"> </w:t>
      </w:r>
      <w:r>
        <w:t>–</w:t>
      </w:r>
      <w:r>
        <w:t xml:space="preserve"> </w:t>
      </w:r>
      <w:r>
        <w:t>缺陷产生适应性配位柔性位点和局部电子离域区域，协同增强结构稳定性、电化学动力学和氧化还原可逆性。大尺寸[Fe(CN)</w:t>
      </w:r>
      <w:r>
        <w:rPr>
          <w:vertAlign w:val="subscript"/>
        </w:rPr>
        <w:t>6</w:t>
      </w:r>
      <w:r>
        <w:t>]</w:t>
      </w:r>
      <w:r>
        <w:t xml:space="preserve"> </w:t>
      </w:r>
      <w:r>
        <w:t>4–</w:t>
      </w:r>
      <w:r>
        <w:t xml:space="preserve"> </w:t>
      </w:r>
      <w:r>
        <w:t>无PA高熵PBA（HE-Cu）中的空位表现出较差的电子转移能力和累积的晶格应变，而Ti产生的静态局部晶格畸变</w:t>
      </w:r>
      <w:r>
        <w:t xml:space="preserve"> </w:t>
      </w:r>
      <w:r>
        <w:t>3+</w:t>
      </w:r>
      <w:r>
        <w:t xml:space="preserve"> </w:t>
      </w:r>
      <w:r>
        <w:t>氮</w:t>
      </w:r>
      <w:r>
        <w:rPr>
          <w:vertAlign w:val="subscript"/>
        </w:rPr>
        <w:t>6</w:t>
      </w:r>
      <w:r>
        <w:t>高熵复合八面体</w:t>
      </w:r>
    </w:p>
    <w:p>
      <w:pPr>
        <w:spacing w:before="0" w:after="200" w:lineRule="auto" w:line="276"/>
      </w:pPr>
      <w:r>
        <w:rPr>
          <w:b/>
        </w:rPr>
        <w:t xml:space="preserve">Abstract (EN): </w:t>
      </w:r>
      <w:r>
        <w:t>High‐entropy Prussian blue analogues (PBAs) are promising cathodes for sodium‐ion batteries (SIBs). However, inherent [Fe(CN)</w:t>
      </w:r>
      <w:r>
        <w:rPr>
          <w:vertAlign w:val="subscript"/>
        </w:rPr>
        <w:t>6</w:t>
      </w:r>
      <w:r>
        <w:t>]</w:t>
      </w:r>
      <w:r>
        <w:t xml:space="preserve"> </w:t>
      </w:r>
      <w:r>
        <w:t>4–</w:t>
      </w:r>
      <w:r>
        <w:t xml:space="preserve"> </w:t>
      </w:r>
      <w:r>
        <w:t>defects deteriorate electrochemical kinetics and phase stability. Herein, an unusual cyanide (CN</w:t>
      </w:r>
      <w:r>
        <w:t xml:space="preserve"> </w:t>
      </w:r>
      <w:r>
        <w:t>–</w:t>
      </w:r>
      <w:r>
        <w:t xml:space="preserve"> </w:t>
      </w:r>
      <w:r>
        <w:t>) vacancy is tailored in high‐entropy PBA (HE‐Cu‐PA, Na</w:t>
      </w:r>
      <w:r>
        <w:t xml:space="preserve"> </w:t>
      </w:r>
      <w:r>
        <w:t>1.58</w:t>
      </w:r>
      <w:r>
        <w:t xml:space="preserve"> </w:t>
      </w:r>
      <w:r>
        <w:t>Mn</w:t>
      </w:r>
      <w:r>
        <w:t xml:space="preserve"> </w:t>
      </w:r>
      <w:r>
        <w:t>0.191</w:t>
      </w:r>
      <w:r>
        <w:t xml:space="preserve"> </w:t>
      </w:r>
      <w:r>
        <w:t>Fe</w:t>
      </w:r>
      <w:r>
        <w:t xml:space="preserve"> </w:t>
      </w:r>
      <w:r>
        <w:t>0.2</w:t>
      </w:r>
      <w:r>
        <w:t xml:space="preserve"> </w:t>
      </w:r>
      <w:r>
        <w:t>Co</w:t>
      </w:r>
      <w:r>
        <w:t xml:space="preserve"> </w:t>
      </w:r>
      <w:r>
        <w:t>0.195</w:t>
      </w:r>
      <w:r>
        <w:t xml:space="preserve"> </w:t>
      </w:r>
      <w:r>
        <w:t>Ni</w:t>
      </w:r>
      <w:r>
        <w:t xml:space="preserve"> </w:t>
      </w:r>
      <w:r>
        <w:t>0.2</w:t>
      </w:r>
      <w:r>
        <w:t xml:space="preserve"> </w:t>
      </w:r>
      <w:r>
        <w:t>Cu</w:t>
      </w:r>
      <w:r>
        <w:t xml:space="preserve"> </w:t>
      </w:r>
      <w:r>
        <w:t>0.19</w:t>
      </w:r>
      <w:r>
        <w:t xml:space="preserve"> </w:t>
      </w:r>
      <w:r>
        <w:t>[Fe(CN)</w:t>
      </w:r>
      <w:r>
        <w:t xml:space="preserve"> </w:t>
      </w:r>
      <w:r>
        <w:t>5.85</w:t>
      </w:r>
      <w:r>
        <w:t xml:space="preserve"> </w:t>
      </w:r>
      <w:r>
        <w:t>]), constructed via a phytic acid (PA) assisted coprecipitation method, as cathode material for SIBs. The precisely designed high‐entropy composition with CN</w:t>
      </w:r>
      <w:r>
        <w:t xml:space="preserve"> </w:t>
      </w:r>
      <w:r>
        <w:t>–</w:t>
      </w:r>
      <w:r>
        <w:t xml:space="preserve"> </w:t>
      </w:r>
      <w:r>
        <w:t>defects create adaptive coordination flexible sites and local electronic delocalization regions, synergistically enhancing structural stability, electrochemical dynamics, and redox reversibility. The large‐sized [Fe(CN)</w:t>
      </w:r>
      <w:r>
        <w:rPr>
          <w:vertAlign w:val="subscript"/>
        </w:rPr>
        <w:t>6</w:t>
      </w:r>
      <w:r>
        <w:t>]</w:t>
      </w:r>
      <w:r>
        <w:t xml:space="preserve"> </w:t>
      </w:r>
      <w:r>
        <w:t>4–</w:t>
      </w:r>
      <w:r>
        <w:t xml:space="preserve"> </w:t>
      </w:r>
      <w:r>
        <w:t>vacancy in PA‐free high‐entropy PBA (HE‐Cu) exhibits poor electronic transfer capability and accumulated lattice strain, while static local lattice distortion generated by Ti</w:t>
      </w:r>
      <w:r>
        <w:t xml:space="preserve"> </w:t>
      </w:r>
      <w:r>
        <w:t>3+</w:t>
      </w:r>
      <w:r>
        <w:t xml:space="preserve"> </w:t>
      </w:r>
      <w:r>
        <w:t>N</w:t>
      </w:r>
      <w:r>
        <w:rPr>
          <w:vertAlign w:val="subscript"/>
        </w:rPr>
        <w:t>6</w:t>
      </w:r>
      <w:r>
        <w:t>octahedron in high‐entropy composition (HE‐Ti‐PA) causes large lattice stress and Na‐ion diffusion barrier. The complex structural evolution (monoclinic ↔ cubic ↔ tetragonal) originated from Jahn–Teller effect and octahedron instability can be completely restrained in HE‐Cu‐PA, achieving a zero‐strain solid‐solution Na‐ion storage mechanism, where Mn, Fe, Co, and Cu‐ions act as redox sites for charge compensation. Therefore, HE‐Cu‐PA delivers high initial capacity of 117.6 mAh·g</w:t>
      </w:r>
      <w:r>
        <w:t xml:space="preserve"> </w:t>
      </w:r>
      <w:r>
        <w:t>−1</w:t>
      </w:r>
      <w:r>
        <w:t xml:space="preserve"> </w:t>
      </w:r>
      <w:r>
        <w:t>, superior rate capability and ultra‐long lifespan over 6000 cycles with ultra‐low decay‐rate of 0.0085% per cycle. And ultra‐long cycling lifetime over 4000 cycles can be acquired for high‐energy‐density (338.0 Wh·kg</w:t>
      </w:r>
      <w:r>
        <w:t xml:space="preserve"> </w:t>
      </w:r>
      <w:r>
        <w:t>−1</w:t>
      </w:r>
      <w:r>
        <w:t xml:space="preserve"> </w:t>
      </w:r>
      <w:r>
        <w:t>) quasi‐solid‐state Na‐ion full batteries.</w:t>
      </w:r>
    </w:p>
    <w:p>
      <w:pPr>
        <w:spacing w:before="120" w:after="120"/>
      </w:pPr>
      <w:r>
        <w:rPr>
          <w:sz w:val="18"/>
        </w:rPr>
        <w:t>——————————————————————————————————————————————————————————————————————</w:t>
      </w:r>
    </w:p>
    <w:p>
      <w:pPr>
        <w:spacing w:before="160" w:after="40" w:line="240" w:lineRule="auto"/>
      </w:pPr>
      <w:r>
        <w:rPr>
          <w:b/>
        </w:rPr>
        <w:t xml:space="preserve">[22] </w:t>
      </w:r>
      <w:hyperlink r:id="rId115">
        <w:r>
          <w:rPr>
            <w:color w:val="1155CC"/>
            <w:u w:val="single"/>
          </w:rPr>
          <w:t>可充电碱性 MnO2 阴极中 Bi 和 Mn 之间的氧化电化学耦合</w:t>
        </w:r>
      </w:hyperlink>
    </w:p>
    <w:p>
      <w:pPr>
        <w:spacing w:before="0" w:after="80"/>
      </w:pPr>
      <w:r>
        <w:rPr>
          <w:i/>
          <w:sz w:val="20"/>
        </w:rPr>
        <w:t>EN: Oxidative Electrochemical Coupling Between Bi and Mn in Rechargeable Alkaline MnO2 Cathodes</w:t>
      </w:r>
    </w:p>
    <w:p>
      <w:pPr>
        <w:spacing w:before="0" w:after="120"/>
      </w:pPr>
      <w:r>
        <w:rPr>
          <w:b/>
        </w:rPr>
        <w:t xml:space="preserve">Source: </w:t>
      </w:r>
      <w:r>
        <w:t>ACS Applied Materials &amp; Interfaces: Latest Articles (ACS Publications)</w:t>
      </w:r>
      <w:r>
        <w:t xml:space="preserve">    </w:t>
      </w:r>
      <w:r>
        <w:rPr>
          <w:b/>
        </w:rPr>
        <w:t xml:space="preserve">Pub date: </w:t>
      </w:r>
      <w:r>
        <w:t>2026-08-13 00:00:00+00:00</w:t>
      </w:r>
      <w:r>
        <w:t xml:space="preserve">    </w:t>
      </w:r>
      <w:r>
        <w:rPr>
          <w:b/>
        </w:rPr>
        <w:t xml:space="preserve">DOI: </w:t>
      </w:r>
      <w:hyperlink r:id="rId116">
        <w:r>
          <w:rPr>
            <w:color w:val="1155CC"/>
            <w:u w:val="single"/>
          </w:rPr>
          <w:t>10.1021/acsami.6c09783</w:t>
        </w:r>
      </w:hyperlink>
    </w:p>
    <w:p>
      <w:pPr>
        <w:spacing w:before="0" w:after="120"/>
      </w:pPr>
      <w:r>
        <w:rPr>
          <w:b/>
        </w:rPr>
        <w:t xml:space="preserve">Notes: </w:t>
      </w:r>
      <w:r>
        <w:t>abstract_source=crossref</w:t>
      </w:r>
    </w:p>
    <w:p>
      <w:pPr>
        <w:spacing w:before="0" w:after="80" w:lineRule="auto" w:line="276"/>
      </w:pPr>
      <w:r>
        <w:rPr>
          <w:b/>
        </w:rPr>
        <w:t xml:space="preserve">摘要（ZH）: </w:t>
      </w:r>
      <w:r>
        <w:t>摘要 Bi改性MnO2阴极是可充电碱性锌电池的一项使能技术，目前正在深入研究低成本、可持续、不易燃的电网规模储能技术。尽管 Bi 对 MnO2 可充电性的影响已为人所知数十年，但其机制仍然是该领域长期面临的挑战。在这里，我们详细介绍了具有商业相关面积容量（12 mAh/cm2）的电极中 Bi 和 Mn 之间的氧化电化学耦合。具体来说，原位 X 射线吸收光谱和微分容量分析表明，与 Bi 氧化相关的电化学容量转移到预计仅发生 Mn 氧化的电压范围。当已知在没有 Bi 的情况下发生 Mn3O4 形成失败时，这种氧化偶联就会精确发生，并且与充电过程中 β'-MnOOH 中间体存在的电位范围一致。 Bi-Mn 偶联对 β'-MnOOH 的稳定作用揭示了其在可充电性中的关键作用，因为这种中间体是未改性电极中 Mn3O4 的主要材料来源。只有总 Bi 容量的一小部分（相当于大约 2 wt% Bi2O3）参与了这种耦合，并且证明了可充电性的总体程度是由溶解的 Bi 离子通过 MnO2 活性材料的微孔结构扩散来控制的。与这种传输受限的情况一致，在结构上将 Bi3+ 直接纳入 MnO2 晶格中被证明会适得其反，因为它支撑结构并阻碍电子</w:t>
      </w:r>
    </w:p>
    <w:p>
      <w:pPr>
        <w:spacing w:before="0" w:after="200" w:lineRule="auto" w:line="276"/>
      </w:pPr>
      <w:r>
        <w:rPr>
          <w:b/>
        </w:rPr>
        <w:t xml:space="preserve">Abstract (EN): </w:t>
      </w:r>
      <w:r>
        <w:t>The Bi-modified MnO2 cathode is an enabling technology for rechargeable alkaline Zn batteries, which are under intense study for low-cost, sustainable, non-flammable grid-scale energy storage. Although the effect of Bi on MnO2 rechargeability has been known for decades, its mechanism has remained a longstanding challenge in the field. Here, we detail an oxidative electrochemical coupling between Bi and Mn in electrodes of commercially relevant areal capacity (12 mAh/cm2). Specifically, operando X-ray absorption spectroscopy and differential capacity analysis reveal that electrochemical capacity associated with Bi oxidation is shifted up into a voltage range where only Mn oxidation is expected. This oxidative coupling occurs precisely when failure by Mn3O4 formation is known to occur in the absence of Bi, and coincides with the potential range at which the β′-MnOOH intermediate exists during charge. The stabilization of β′-MnOOH by Bi-Mn coupling reveals its critical role in rechargeability, as this intermediate is the primary material source of Mn3O4 in unmodified electrodes. Only a small fraction of the total Bi capacity, corresponding to approximately 2 wt % Bi2O3, participates in this coupling, and it is demonstrated that the overall extent of rechargeability is controlled by the diffusion of dissolved Bi ions through the microporous structure of the MnO2 active material. Consistent with this transport-limited scenario, structurally incorporating Bi3+ directly into the MnO2 lattice is shown to be counterproductive, as it pillars the structure and impedes the electrochemical conversion it was intended to assist.</w:t>
      </w:r>
    </w:p>
    <w:p>
      <w:pPr>
        <w:spacing w:before="120" w:after="120"/>
      </w:pPr>
      <w:r>
        <w:rPr>
          <w:sz w:val="18"/>
        </w:rPr>
        <w:t>——————————————————————————————————————————————————————————————————————</w:t>
      </w:r>
    </w:p>
    <w:p>
      <w:pPr>
        <w:spacing w:before="160" w:after="40" w:line="240" w:lineRule="auto"/>
      </w:pPr>
      <w:r>
        <w:rPr>
          <w:b/>
        </w:rPr>
        <w:t xml:space="preserve">[23] </w:t>
      </w:r>
      <w:hyperlink r:id="rId117">
        <w:r>
          <w:rPr>
            <w:color w:val="1155CC"/>
            <w:u w:val="single"/>
          </w:rPr>
          <w:t>吡啶介体可实现具有 Li2S 阴极的高效、长循环无阳极/无锂硫电池</w:t>
        </w:r>
      </w:hyperlink>
    </w:p>
    <w:p>
      <w:pPr>
        <w:spacing w:before="0" w:after="80"/>
      </w:pPr>
      <w:r>
        <w:rPr>
          <w:i/>
          <w:sz w:val="20"/>
        </w:rPr>
        <w:t>EN: A Pyridine Mediator Enables High‐Efficiency, Long‐Cycling Anode‐Less/Free Lithium–Sulfur Batteries With Li2S Cathodes</w:t>
      </w:r>
    </w:p>
    <w:p>
      <w:pPr>
        <w:spacing w:before="0" w:after="120"/>
      </w:pPr>
      <w:r>
        <w:rPr>
          <w:b/>
        </w:rPr>
        <w:t xml:space="preserve">Source: </w:t>
      </w:r>
      <w:r>
        <w:t>Wiley: Advanced Materials: Table of Contents</w:t>
      </w:r>
      <w:r>
        <w:t xml:space="preserve">    </w:t>
      </w:r>
      <w:r>
        <w:rPr>
          <w:b/>
        </w:rPr>
        <w:t xml:space="preserve">Pub date: </w:t>
      </w:r>
      <w:r>
        <w:t>2026-08-13 05:28:42+00:00</w:t>
      </w:r>
      <w:r>
        <w:t xml:space="preserve">    </w:t>
      </w:r>
      <w:r>
        <w:rPr>
          <w:b/>
        </w:rPr>
        <w:t xml:space="preserve">DOI: </w:t>
      </w:r>
      <w:hyperlink r:id="rId118">
        <w:r>
          <w:rPr>
            <w:color w:val="1155CC"/>
            <w:u w:val="single"/>
          </w:rPr>
          <w:t>10.1002/adma.74616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硫化锂（Li</w:t>
      </w:r>
      <w:r>
        <w:rPr>
          <w:vertAlign w:val="subscript"/>
        </w:rPr>
        <w:t>2</w:t>
      </w:r>
      <w:r>
        <w:t>S）是一种很有前景的高容量正极材料。重要的是，它可以提供锂源，使锂电池具有无阳极/无阳极配置。然而，李</w:t>
      </w:r>
      <w:r>
        <w:rPr>
          <w:vertAlign w:val="subscript"/>
        </w:rPr>
        <w:t>2</w:t>
      </w:r>
      <w:r>
        <w:t>S导电性差、极化高、材料利用率低以及穿梭效应，严重制约了电池的长循环性能。在此，吡啶-2-硫醇锂（PySLi）被提议作为Li的多功能介体</w:t>
      </w:r>
      <w:r>
        <w:rPr>
          <w:vertAlign w:val="subscript"/>
        </w:rPr>
        <w:t>2</w:t>
      </w:r>
      <w:r>
        <w:t>S基无阳极/无阳极电池。研究表明PySLi可以改变Li的反应途径</w:t>
      </w:r>
      <w:r>
        <w:rPr>
          <w:vertAlign w:val="subscript"/>
        </w:rPr>
        <w:t>2</w:t>
      </w:r>
      <w:r>
        <w:t>S，全面增强其电化学氧化还原动力学和稳定性。结果表明，Li||Li 的能量效率</w:t>
      </w:r>
      <w:r>
        <w:rPr>
          <w:vertAlign w:val="subscript"/>
        </w:rPr>
        <w:t>2</w:t>
      </w:r>
      <w:r>
        <w:t>使用 PySLi 的 S 电池在 0.1 C 至 3 C 速率的满量程范围内稳定在约 80%，这比没有 PySLi 的 S 电池高得多（0.1 C 时为 49%，3 C 时为 22%）。锂金属负极的稳定性也得到改善，在200次循环中保持&gt;98%的高库仑效率，并在1000小时内保持稳定的脱锂/镀锂行为。此外，基于Li的无阳极电池</w:t>
      </w:r>
      <w:r>
        <w:rPr>
          <w:vertAlign w:val="subscript"/>
        </w:rPr>
        <w:t>2</w:t>
      </w:r>
      <w:r>
        <w:t>S阴极可正常工作150个循环，无阳极软包电池可保持稳定的性能200个循环。这种多功能介体为Li的应用提供了新的策略</w:t>
      </w:r>
      <w:r>
        <w:rPr>
          <w:vertAlign w:val="subscript"/>
        </w:rPr>
        <w:t>2</w:t>
      </w:r>
    </w:p>
    <w:p>
      <w:pPr>
        <w:spacing w:before="0" w:after="200" w:lineRule="auto" w:line="276"/>
      </w:pPr>
      <w:r>
        <w:rPr>
          <w:b/>
        </w:rPr>
        <w:t xml:space="preserve">Abstract (EN): </w:t>
      </w:r>
      <w:r>
        <w:t>Lithium sulfide (Li</w:t>
      </w:r>
      <w:r>
        <w:rPr>
          <w:vertAlign w:val="subscript"/>
        </w:rPr>
        <w:t>2</w:t>
      </w:r>
      <w:r>
        <w:t>S) is a promising high‐capacity cathode material. Importantly, it can provide lithium source, enabling lithium batteries with an anode‐less/free configuration. However, Li</w:t>
      </w:r>
      <w:r>
        <w:rPr>
          <w:vertAlign w:val="subscript"/>
        </w:rPr>
        <w:t>2</w:t>
      </w:r>
      <w:r>
        <w:t>S suffers from poor conductivity, high polarization, low material utilization, as well as the shuttle effect, severely restricting the long cycling performance of batteries. Herein, lithium pyridine‐2‐thiolate (PySLi) is proposed as a multifunctional mediator for Li</w:t>
      </w:r>
      <w:r>
        <w:rPr>
          <w:vertAlign w:val="subscript"/>
        </w:rPr>
        <w:t>2</w:t>
      </w:r>
      <w:r>
        <w:t>S‐based anode‐less/free batteries. It is revealed that PySLi can modify the reaction pathway of Li</w:t>
      </w:r>
      <w:r>
        <w:rPr>
          <w:vertAlign w:val="subscript"/>
        </w:rPr>
        <w:t>2</w:t>
      </w:r>
      <w:r>
        <w:t>S, comprehensively enhancing its electrochemical redox kinetics and stability. Results show that the energy efficiency of the Li||Li</w:t>
      </w:r>
      <w:r>
        <w:rPr>
          <w:vertAlign w:val="subscript"/>
        </w:rPr>
        <w:t>2</w:t>
      </w:r>
      <w:r>
        <w:t>S cell with PySLi stabilizes at ∼80% in the full‐scale range from 0.1 C to 3 C rate, which is much higher than that without PySLi (49% at 0.1 C and 22% at 3 C). The stability of the lithium metal anode is also improved, maintaining a high coulombic efficiency of &amp;gt;98% for 200 cycles and stable lithium stripping/plating behavior for 1000 h. Moreover, an anode‐free battery based on Li</w:t>
      </w:r>
      <w:r>
        <w:rPr>
          <w:vertAlign w:val="subscript"/>
        </w:rPr>
        <w:t>2</w:t>
      </w:r>
      <w:r>
        <w:t>S cathode works normally for 150 cycles, and an anode‐less pouch cell retains steady performance for 200 cycles. This multifunctional mediator provides a new strategy for the application of Li</w:t>
      </w:r>
      <w:r>
        <w:rPr>
          <w:vertAlign w:val="subscript"/>
        </w:rPr>
        <w:t>2</w:t>
      </w:r>
      <w:r>
        <w:t>S and stable anode‐less/free batteries with high energy density.</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119">
        <w:r>
          <w:rPr>
            <w:color w:val="1155CC"/>
            <w:u w:val="single"/>
          </w:rPr>
          <w:t>用于稳定硅 90+ 阳极的时空耦合硫化学</w:t>
        </w:r>
      </w:hyperlink>
    </w:p>
    <w:p>
      <w:pPr>
        <w:spacing w:before="0" w:after="80"/>
      </w:pPr>
      <w:r>
        <w:rPr>
          <w:i/>
          <w:sz w:val="20"/>
        </w:rPr>
        <w:t>EN: Spatiotemporally coupled sulfur chemistry for stable silicon-90+ anodes</w:t>
      </w:r>
    </w:p>
    <w:p>
      <w:pPr>
        <w:spacing w:before="0" w:after="120"/>
      </w:pPr>
      <w:r>
        <w:rPr>
          <w:b/>
        </w:rPr>
        <w:t xml:space="preserve">Source: </w:t>
      </w:r>
      <w:r>
        <w:t>Physical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硅基材料是诱人的电池阳极，可显着提高当今可充电锂离子电池的性能指标；然而，它们的结构退化，以及电极-电解质界面中令人讨厌的副反应，极大地阻碍了实际条件下能量承诺的实现。在此，我们引入时空耦合的硫化学作为一种有效的解毒剂，以应对近全硅阳极的体积变化和结构完整性，并同时调节电极-电解质界面层的固有特性，包括弹性和离子扩散率。通过在硅上覆盖均匀的元素硫层可以很容易地实现硫调节方法，这与锂离子电池行业现有的生产设施高度兼容。原型LiNi0.9Co0.05Mn0.05O2 | |安时级 (7.3 Ah) 的 Si90+ 软包电池可提供出色的性能，同时通过能量密度（电池为 1190 Wh L−1）、比能量（电池为 416 Wh kg−1）和循环寿命（1700 次循环后容量保持率为 80%）来评估。鉴于电池性能和实际适用性的显着提高，硫调节的 Si90+ 阳极可以被认为是提供可靠电源并快速将新兴应用变为现实的游戏规则改变者。</w:t>
      </w:r>
    </w:p>
    <w:p>
      <w:pPr>
        <w:spacing w:before="0" w:after="200" w:lineRule="auto" w:line="276"/>
      </w:pPr>
      <w:r>
        <w:rPr>
          <w:b/>
        </w:rPr>
        <w:t xml:space="preserve">Abstract (EN): </w:t>
      </w:r>
      <w:r>
        <w:t>Silicon-based materials stand as tantalizing battery anodes for markedly advancing performance indicators of today’s rechargeable lithium-ion batteries; however, their structural degradations, together with detestable side reactions residing in electrode-electrolyte interphases, greatly hinder the delivery of energy promises under practical conditions. Herein, we introduce the spatiotemporally coupled sulfur chemistry as an effective antidote to cope with the volume change and structural integrity of near-full silicon anodes, and concurrently modulate inherent properties of electrode-electrolyte interphases layers enlisting elasticity and ion diffusivity. The sulfur regulated approach is readily achieved by overlaying silicon with a homogenous layer of elemental sulfur, which is highly compatible with present production facilities for lithium-ion batteries industry. The prototype LiNi0.9Co0.05Mn0.05O2 | |Si90+ pouch cell at ampere-hour level (7.3 Ah) delivers great performances assessed simultaneously by energy density (1190 Wh L−1 for cell), specific energy (416 Wh kg−1 for cell), and cycle life (80% capacity retention after 1700 cycles). In light of the significantly improved battery performance and practical applicability, the sulfur regulated Si90+ anodes thus could be considered as a game-changer for offering reliable power source and rapidly turning emerging applications into reality.</w:t>
      </w:r>
    </w:p>
    <w:p>
      <w:pPr>
        <w:spacing w:before="120" w:after="120"/>
      </w:pPr>
      <w:r>
        <w:rPr>
          <w:sz w:val="18"/>
        </w:rPr>
        <w:t>——————————————————————————————————————————————————————————————————————</w:t>
      </w:r>
    </w:p>
    <w:p>
      <w:pPr>
        <w:spacing w:before="160" w:after="40" w:line="240" w:lineRule="auto"/>
      </w:pPr>
      <w:r>
        <w:rPr>
          <w:b/>
        </w:rPr>
        <w:t xml:space="preserve">[2] </w:t>
      </w:r>
      <w:hyperlink r:id="rId120">
        <w:r>
          <w:rPr>
            <w:color w:val="1155CC"/>
            <w:u w:val="single"/>
          </w:rPr>
          <w:t>原子工程分级多孔生物质碳：从多尺度设计到先进的能量存储和基础原理</w:t>
        </w:r>
      </w:hyperlink>
    </w:p>
    <w:p>
      <w:pPr>
        <w:spacing w:before="0" w:after="80"/>
      </w:pPr>
      <w:r>
        <w:rPr>
          <w:i/>
          <w:sz w:val="20"/>
        </w:rPr>
        <w:t>EN: Atomically engineered hierarchical porous biomass carbon: from multiscale design to advanced energy storage and fundamentals</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121">
        <w:r>
          <w:rPr>
            <w:color w:val="1155CC"/>
            <w:u w:val="single"/>
          </w:rPr>
          <w:t>10.1016/j.apenergy.2026.128573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76">
        <w:r>
          <w:rPr>
            <w:color w:val="1155CC"/>
            <w:u w:val="single"/>
          </w:rPr>
          <w:t>具有不对称氟烷氧基化有机硼酸盐阴离子化学的高压钠金属电池</w:t>
        </w:r>
      </w:hyperlink>
    </w:p>
    <w:p>
      <w:pPr>
        <w:spacing w:before="0" w:after="80"/>
      </w:pPr>
      <w:r>
        <w:rPr>
          <w:i/>
          <w:sz w:val="20"/>
        </w:rPr>
        <w:t>EN: High-Voltage Sodium–Metal Batteries with Asymmetric Fluoroalkoxylated Organoborate Anion Chemistry</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77">
        <w:r>
          <w:rPr>
            <w:color w:val="1155CC"/>
            <w:u w:val="single"/>
          </w:rPr>
          <w:t>10.1021/jacs.6c08026</w:t>
        </w:r>
      </w:hyperlink>
    </w:p>
    <w:p>
      <w:pPr>
        <w:spacing w:before="0" w:after="120"/>
      </w:pPr>
      <w:r>
        <w:rPr>
          <w:b/>
        </w:rPr>
        <w:t xml:space="preserve">Notes: </w:t>
      </w:r>
      <w:r>
        <w:t>abstract_source=crossref</w:t>
      </w:r>
    </w:p>
    <w:p>
      <w:pPr>
        <w:spacing w:before="0" w:after="80" w:lineRule="auto" w:line="276"/>
      </w:pPr>
      <w:r>
        <w:rPr>
          <w:b/>
        </w:rPr>
        <w:t xml:space="preserve">摘要（ZH）: </w:t>
      </w:r>
      <w:r>
        <w:t>摘要 钠（Na）金属的高反应活性限制了其与醚类电解质的相容性，而醚类较差的氧化稳定性阻碍了其与高压正极的耦合，从根本上限制了钠金属电池（SMB）的工作电压和能量密度。我们在这里提出了一种配位不对称策略，通过在醚电解质中通过路易斯酸碱加成反应原位生成不对称氟烷氧基化有机硼酸根阴离子[FB(OCH(CF3)2)3]−(BOF–)来协调这种热力学失配。不对称配体结构区分了氧化和氟化途径：可氧化的 B-O 部分介导受控的界面重建，而末端 B-F 单元提供氟用于化学钝化。这种自适应化学产生纳米级、保形、成分分级的中间相：富含氧化硼/碳氧化硼的阴极电解质中间相（CEI），可减轻醚氧化，以及双层无机-有机固体-电解质中间相（SEI），可调节钠沉积。纳米结构中间相可实现高度可逆的钠沉积/剥离，平均库仑效率 (CE) 为 99.98%，并可在易氧化的醚电解质中维持无阳极 SMB 的稳定 4.3 V 运行。这项工作将不对称硼配位建立为分子级设计原理，用于创建化学适应性界面，克服能量密集电化学系统中的氧化还原不对称性。</w:t>
      </w:r>
    </w:p>
    <w:p>
      <w:pPr>
        <w:spacing w:before="0" w:after="200" w:lineRule="auto" w:line="276"/>
      </w:pPr>
      <w:r>
        <w:rPr>
          <w:b/>
        </w:rPr>
        <w:t xml:space="preserve">Abstract (EN): </w:t>
      </w:r>
      <w:r>
        <w:t>The high reactivity of sodium (Na) metal restricts its compatibility to ether-based electrolytes, while the poor oxidative stability of ethers precludes their coupling to high-voltage cathodes, fundamentally limiting the operating voltage and energy density of sodium–metal batteries (SMBs). We present here a coordination-asymmetry strategy to reconcile this thermodynamic mismatch by generating in situ an asymmetric fluoroalkoxylated organoborate anion, [FB(OCH(CF3)2)3]− (BOF–), via a Lewis acid–base adduct reaction in ether electrolyte. The asymmetric ligand architecture differentiates oxidative and fluorination pathways: oxidizable B–O moieties mediate controlled interfacial reconstruction, whereas the terminal B–F units supply fluorine for chemical passivation. This self-adaptive chemistry yields nanoscale, conformal, compositionally graded interphases: a boron-oxide/boron-oxycarbide-rich cathode-electrolyte interphase (CEI) that mitigates ether oxidation and a bilayered inorganic–organic solid–electrolyte interphase (SEI) that regulates Na deposition. The nanostructured interphases enable highly reversible Na plating/stripping with an average Coulombic efficiency (CE) of 99.98% and sustain stable 4.3 V operation of anode-free SMBs in oxidation-prone ether electrolytes. This work establishes asymmetric boron coordination as a molecular-level design principle for creating chemically adaptive interphases that overcome the redox asymmetry in energy-dense electrochemical systems.</w:t>
      </w:r>
    </w:p>
    <w:p>
      <w:pPr>
        <w:spacing w:before="120" w:after="120"/>
      </w:pPr>
      <w:r>
        <w:rPr>
          <w:sz w:val="18"/>
        </w:rPr>
        <w:t>——————————————————————————————————————————————————————————————————————</w:t>
      </w:r>
    </w:p>
    <w:p>
      <w:pPr>
        <w:spacing w:before="160" w:after="40" w:line="240" w:lineRule="auto"/>
      </w:pPr>
      <w:r>
        <w:rPr>
          <w:b/>
        </w:rPr>
        <w:t xml:space="preserve">[4] </w:t>
      </w:r>
      <w:hyperlink r:id="rId122">
        <w:r>
          <w:rPr>
            <w:color w:val="1155CC"/>
            <w:u w:val="single"/>
          </w:rPr>
          <w:t>将空心钙钛矿氟化物封装在原子嵌锰氮掺杂碳纤维中，用于无阳极 5 V 级锂金属电池</w:t>
        </w:r>
      </w:hyperlink>
    </w:p>
    <w:p>
      <w:pPr>
        <w:spacing w:before="0" w:after="80"/>
      </w:pPr>
      <w:r>
        <w:rPr>
          <w:i/>
          <w:sz w:val="20"/>
        </w:rPr>
        <w:t>EN: Encapsulating Hollow Perovskite Fluorides in Atomic Mn‐Embedded N‐Doped Carbon Fibers for Anode‐Less 5 V‐Class Li Metal Batteries</w:t>
      </w:r>
    </w:p>
    <w:p>
      <w:pPr>
        <w:spacing w:before="0" w:after="120"/>
      </w:pPr>
      <w:r>
        <w:rPr>
          <w:b/>
        </w:rPr>
        <w:t xml:space="preserve">Source: </w:t>
      </w:r>
      <w:r>
        <w:t>Wiley: Advanced Materials: Table of Contents</w:t>
      </w:r>
      <w:r>
        <w:t xml:space="preserve">    </w:t>
      </w:r>
      <w:r>
        <w:rPr>
          <w:b/>
        </w:rPr>
        <w:t xml:space="preserve">Pub date: </w:t>
      </w:r>
      <w:r>
        <w:t>2026-08-07 03:22:49+00:00</w:t>
      </w:r>
      <w:r>
        <w:t xml:space="preserve">    </w:t>
      </w:r>
      <w:r>
        <w:rPr>
          <w:b/>
        </w:rPr>
        <w:t xml:space="preserve">DOI: </w:t>
      </w:r>
      <w:hyperlink r:id="rId123">
        <w:r>
          <w:rPr>
            <w:color w:val="1155CC"/>
            <w:u w:val="single"/>
          </w:rPr>
          <w:t>10.1002/adma.74484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阳极锂金属电池（ALLMB）保证了高能量密度，但面临着严峻的挑战，例如枝晶生长、体积变化大以及重铜集流体造成的能量密度牺牲。在此，我们报道了一种三维（3D）轻质主体，包含封装原子分散的Mn-N位点的N掺杂碳大孔纤维和空心NaMg(Mn)F</w:t>
      </w:r>
      <w:r>
        <w:rPr>
          <w:vertAlign w:val="subscript"/>
        </w:rPr>
        <w:t>3</w:t>
      </w:r>
      <w:r>
        <w:t>ALLMB 的立方体 (NMMF@Mn/N-CMF)。分散良好的 Mn-N 位点和中空 NMMF 立方体充当亲锂成核位点，促进中空纤维的外表面和内表面均匀的锂核生长。 3D 大孔网络和内部中空结构可通过适应体积变化和降低局部电流密度来减轻结构应力并均匀化锂生长。因此，NMMF@Mn/N-CMF 主体在 5.0 mA cm 电流下 1500 个循环的平均库仑效率为 98.9%</w:t>
      </w:r>
      <w:r>
        <w:t xml:space="preserve"> </w:t>
      </w:r>
      <w:r>
        <w:t>−2</w:t>
      </w:r>
      <w:r>
        <w:t xml:space="preserve"> </w:t>
      </w:r>
      <w:r>
        <w:t>。与 LiNi 配对时</w:t>
      </w:r>
      <w:r>
        <w:t xml:space="preserve"> </w:t>
      </w:r>
      <w:r>
        <w:t>0.5</w:t>
      </w:r>
      <w:r>
        <w:t xml:space="preserve"> </w:t>
      </w:r>
      <w:r>
        <w:t>锰</w:t>
      </w:r>
      <w:r>
        <w:t xml:space="preserve"> </w:t>
      </w:r>
      <w:r>
        <w:t>1.5</w:t>
      </w:r>
      <w:r>
        <w:t xml:space="preserve"> </w:t>
      </w:r>
      <w:r>
        <w:t>氧</w:t>
      </w:r>
      <w:r>
        <w:rPr>
          <w:vertAlign w:val="subscript"/>
        </w:rPr>
        <w:t>4</w:t>
      </w:r>
      <w:r>
        <w:t>阴极，组装的 5 V 级无阳极软包电池具有增强的稳定性，在 120 个循环中容量保持率为 95.8%。此外，0.31 Ah 软包电池在无阳极条件下的能量密度为 536 Wh kg</w:t>
      </w:r>
      <w:r>
        <w:t xml:space="preserve"> </w:t>
      </w:r>
      <w:r>
        <w:t>−1</w:t>
      </w:r>
      <w:r>
        <w:t xml:space="preserve"> </w:t>
      </w:r>
      <w:r>
        <w:t>，根据电极活性材料计算。</w:t>
      </w:r>
    </w:p>
    <w:p>
      <w:pPr>
        <w:spacing w:before="0" w:after="200" w:lineRule="auto" w:line="276"/>
      </w:pPr>
      <w:r>
        <w:rPr>
          <w:b/>
        </w:rPr>
        <w:t xml:space="preserve">Abstract (EN): </w:t>
      </w:r>
      <w:r>
        <w:t>Anode‐less Li metal batteries (ALLMBs) guarantee high energy density but face critical challenges such as dendrite growth, large volume change, and energy density sacrifice imposed by heavy Cu current collectors. Herein, we report a three‐dimensional (3D) lightweight host comprising N‐doped carbon macroporous fibers encapsulating atomically dispersed Mn‐N sites and hollow NaMg(Mn)F</w:t>
      </w:r>
      <w:r>
        <w:rPr>
          <w:vertAlign w:val="subscript"/>
        </w:rPr>
        <w:t>3</w:t>
      </w:r>
      <w:r>
        <w:t>cubes (NMMF@Mn/N‐CMFs) for ALLMBs. The well‐dispersed Mn‐N sites and hollow NMMF cubes function as lithiophilic nucleation sites to promote uniform Li nucleus growth on both the external and internal surfaces of the hollow fibers. The 3D macroporous networks and internal hollow structures mitigate structural stress and uniformize Li growth by accommodating volume change and decreasing local current density. As a result, the NMMF@Mn/N‐CMFs host displays an average Coulombic efficiency of 98.9% for 1500 cycles at 5.0 mA cm</w:t>
      </w:r>
      <w:r>
        <w:t xml:space="preserve"> </w:t>
      </w:r>
      <w:r>
        <w:t>−2</w:t>
      </w:r>
      <w:r>
        <w:t xml:space="preserve"> </w:t>
      </w:r>
      <w:r>
        <w:t>. When paired with a LiNi</w:t>
      </w:r>
      <w:r>
        <w:t xml:space="preserve"> </w:t>
      </w:r>
      <w:r>
        <w:t>0.5</w:t>
      </w:r>
      <w:r>
        <w:t xml:space="preserve"> </w:t>
      </w:r>
      <w:r>
        <w:t>Mn</w:t>
      </w:r>
      <w:r>
        <w:t xml:space="preserve"> </w:t>
      </w:r>
      <w:r>
        <w:t>1.5</w:t>
      </w:r>
      <w:r>
        <w:t xml:space="preserve"> </w:t>
      </w:r>
      <w:r>
        <w:t>O</w:t>
      </w:r>
      <w:r>
        <w:rPr>
          <w:vertAlign w:val="subscript"/>
        </w:rPr>
        <w:t>4</w:t>
      </w:r>
      <w:r>
        <w:t>cathode, the assembled 5 V‐class anode‐less pouch cell delivers enhanced stability with 95.8% capacity retention over 120 cycles. Besides, a 0.31 Ah pouch cell under anode‐less conditions shows an energy density of 536 Wh kg</w:t>
      </w:r>
      <w:r>
        <w:t xml:space="preserve"> </w:t>
      </w:r>
      <w:r>
        <w:t>−1</w:t>
      </w:r>
      <w:r>
        <w:t xml:space="preserve"> </w:t>
      </w:r>
      <w:r>
        <w:t>, calculated based on the active materials of electrodes.</w:t>
      </w:r>
    </w:p>
    <w:p>
      <w:pPr>
        <w:spacing w:before="120" w:after="120"/>
      </w:pPr>
      <w:r>
        <w:rPr>
          <w:sz w:val="18"/>
        </w:rPr>
        <w:t>——————————————————————————————————————————————————————————————————————</w:t>
      </w:r>
    </w:p>
    <w:p>
      <w:pPr>
        <w:spacing w:before="160" w:after="40" w:line="240" w:lineRule="auto"/>
      </w:pPr>
      <w:r>
        <w:rPr>
          <w:b/>
        </w:rPr>
        <w:t xml:space="preserve">[5] </w:t>
      </w:r>
      <w:hyperlink r:id="rId124">
        <w:r>
          <w:rPr>
            <w:color w:val="1155CC"/>
            <w:u w:val="single"/>
          </w:rPr>
          <w:t>通过甘氨酸辅助阳极氧化和阴极沉积增强Li+存储的纳米异质结构TiO2-TiO-TiN/MoO3-x-Mo2N复合LIB阳极</w:t>
        </w:r>
      </w:hyperlink>
    </w:p>
    <w:p>
      <w:pPr>
        <w:spacing w:before="0" w:after="80"/>
      </w:pPr>
      <w:r>
        <w:rPr>
          <w:i/>
          <w:sz w:val="20"/>
        </w:rPr>
        <w:t>EN: Nano‐Heterostructured TiO2‐TiO‐TiN/MoO3‐x‐Mo2N Composite LIB Anode With Enhanced Li+ Storage via Glycine‐assisted Anodization and Cathodic Deposition</w:t>
      </w:r>
    </w:p>
    <w:p>
      <w:pPr>
        <w:spacing w:before="0" w:after="120"/>
      </w:pPr>
      <w:r>
        <w:rPr>
          <w:b/>
        </w:rPr>
        <w:t xml:space="preserve">Source: </w:t>
      </w:r>
      <w:r>
        <w:t>Wiley: Advanced Energy Materials: Table of Contents</w:t>
      </w:r>
      <w:r>
        <w:t xml:space="preserve">    </w:t>
      </w:r>
      <w:r>
        <w:rPr>
          <w:b/>
        </w:rPr>
        <w:t xml:space="preserve">Pub date: </w:t>
      </w:r>
      <w:r>
        <w:t>2026-08-07 06:50:03+00:00</w:t>
      </w:r>
      <w:r>
        <w:t xml:space="preserve">    </w:t>
      </w:r>
      <w:r>
        <w:rPr>
          <w:b/>
        </w:rPr>
        <w:t xml:space="preserve">DOI: </w:t>
      </w:r>
      <w:hyperlink r:id="rId125">
        <w:r>
          <w:rPr>
            <w:color w:val="1155CC"/>
            <w:u w:val="single"/>
          </w:rPr>
          <w:t>10.1002/aenm.71387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为了满足锂离子电池（LIB）高容量和安全阳极材料不断增长的需求，我们报告了一种低成本、可扩展的策略来制造纳米异质结构TiO</w:t>
      </w:r>
      <w:r>
        <w:rPr>
          <w:vertAlign w:val="subscript"/>
        </w:rPr>
        <w:t>2</w:t>
      </w:r>
      <w:r>
        <w:t>-TiO-TiN/MoO</w:t>
      </w:r>
      <w:r>
        <w:t xml:space="preserve"> </w:t>
      </w:r>
      <w:r>
        <w:t>3-x</w:t>
      </w:r>
      <w:r>
        <w:t xml:space="preserve"> </w:t>
      </w:r>
      <w:r>
        <w:t>‐钼</w:t>
      </w:r>
      <w:r>
        <w:rPr>
          <w:vertAlign w:val="subscript"/>
        </w:rPr>
        <w:t>2</w:t>
      </w:r>
      <w:r>
        <w:t>N（TTT/MM）复合薄膜直接在钛基体上形成。通过将甘氨酸辅助阳极氧化与氮化钼中的阴极沉积相结合</w:t>
      </w:r>
      <w:r>
        <w:rPr>
          <w:vertAlign w:val="subscript"/>
        </w:rPr>
        <w:t>7</w:t>
      </w:r>
      <w:r>
        <w:t>氧</w:t>
      </w:r>
      <w:r>
        <w:rPr>
          <w:vertAlign w:val="subscript"/>
        </w:rPr>
        <w:t>24</w:t>
      </w:r>
      <w:r>
        <w:t>6−</w:t>
      </w:r>
      <w:r>
        <w:t>电解质中，含钼物质被纳入纳米多孔 TTT 薄膜中。由此产生的不含粘合剂和添加剂的完全电化学活性薄膜具有 2639.0 µAh cm 的高面积放电容量</w:t>
      </w:r>
      <w:r>
        <w:t xml:space="preserve"> </w:t>
      </w:r>
      <w:r>
        <w:t>−2</w:t>
      </w:r>
      <w:r>
        <w:t xml:space="preserve"> </w:t>
      </w:r>
      <w:r>
        <w:t>在充电/放电循环期间，比原始 TTT 矩阵高出近七倍。即使在 1000 µA cm 的高电流密度下，电荷转移电阻也仅降低至原始基质的 20%</w:t>
      </w:r>
      <w:r>
        <w:t xml:space="preserve"> </w:t>
      </w:r>
      <w:r>
        <w:t>−2</w:t>
      </w:r>
      <w:r>
        <w:t xml:space="preserve"> </w:t>
      </w:r>
      <w:r>
        <w:t>，薄膜保留了 1000 µAh cm 以上的面积容量</w:t>
      </w:r>
      <w:r>
        <w:t xml:space="preserve"> </w:t>
      </w:r>
      <w:r>
        <w:t>−2</w:t>
      </w:r>
      <w:r>
        <w:t xml:space="preserve"> </w:t>
      </w:r>
      <w:r>
        <w:t>具有 59.1% 的高留存率。这些性能增强源于甘氨酸高电流快速生长的协同效应，促进更厚、更均匀的 TTT 薄膜形成，同时引入高容量含钼物质和缺陷辅助电荷传输。这部作品展示了</w:t>
      </w:r>
    </w:p>
    <w:p>
      <w:pPr>
        <w:spacing w:before="0" w:after="200" w:lineRule="auto" w:line="276"/>
      </w:pPr>
      <w:r>
        <w:rPr>
          <w:b/>
        </w:rPr>
        <w:t xml:space="preserve">Abstract (EN): </w:t>
      </w:r>
      <w:r>
        <w:t>To meet the growing demand for high‐capacity and safe anode materials for lithium‐ion batteries (LIBs), we report a low‐cost, scalable strategy to fabricate a nano‐heterostructured TiO</w:t>
      </w:r>
      <w:r>
        <w:rPr>
          <w:vertAlign w:val="subscript"/>
        </w:rPr>
        <w:t>2</w:t>
      </w:r>
      <w:r>
        <w:t>‐TiO‐TiN/MoO</w:t>
      </w:r>
      <w:r>
        <w:t xml:space="preserve"> </w:t>
      </w:r>
      <w:r>
        <w:t>3‐x</w:t>
      </w:r>
      <w:r>
        <w:t xml:space="preserve"> </w:t>
      </w:r>
      <w:r>
        <w:t>‐Mo</w:t>
      </w:r>
      <w:r>
        <w:rPr>
          <w:vertAlign w:val="subscript"/>
        </w:rPr>
        <w:t>2</w:t>
      </w:r>
      <w:r>
        <w:t>N (TTT/MM) composite film directly on titanium substrates. By combining glycine‐assisted anodization with cathodic deposition in a nitric‐based Mo</w:t>
      </w:r>
      <w:r>
        <w:rPr>
          <w:vertAlign w:val="subscript"/>
        </w:rPr>
        <w:t>7</w:t>
      </w:r>
      <w:r>
        <w:t>O</w:t>
      </w:r>
      <w:r>
        <w:rPr>
          <w:vertAlign w:val="subscript"/>
        </w:rPr>
        <w:t>24</w:t>
      </w:r>
      <w:r>
        <w:t>6−</w:t>
      </w:r>
      <w:r>
        <w:t>electrolyte, Mo‐containing species are incorporated into the nanoporous TTT film. The resulting binder‐ and additive‐free, fully electrochemically active film delivers a high areal discharge capacity of 2639.0 µAh cm</w:t>
      </w:r>
      <w:r>
        <w:t xml:space="preserve"> </w:t>
      </w:r>
      <w:r>
        <w:t>−2</w:t>
      </w:r>
      <w:r>
        <w:t xml:space="preserve"> </w:t>
      </w:r>
      <w:r>
        <w:t>during charge/discharge cycling, nearly seven times higher than that of the pristine TTT matrix. Charge‐transfer resistance is reduced to only 20% of that of the original matrix, and even at a high current density of 1000 µA cm</w:t>
      </w:r>
      <w:r>
        <w:t xml:space="preserve"> </w:t>
      </w:r>
      <w:r>
        <w:t>−2</w:t>
      </w:r>
      <w:r>
        <w:t xml:space="preserve"> </w:t>
      </w:r>
      <w:r>
        <w:t>, the film retains an areal capacity above 1000 µAh cm</w:t>
      </w:r>
      <w:r>
        <w:t xml:space="preserve"> </w:t>
      </w:r>
      <w:r>
        <w:t>−2</w:t>
      </w:r>
      <w:r>
        <w:t xml:space="preserve"> </w:t>
      </w:r>
      <w:r>
        <w:t>with 59.1% high‐rate retention. These performance enhancements originate from the synergistic effects of glycine‐enabled high‐current rapid growth, which promotes thicker and more uniform TTT film formation, together with the introduction of high‐capacity Mo‐containing species and defect‐assisted charge transport. This work demonstrates that TiO</w:t>
      </w:r>
      <w:r>
        <w:rPr>
          <w:vertAlign w:val="subscript"/>
        </w:rPr>
        <w:t>2</w:t>
      </w:r>
      <w:r>
        <w:t>‐TiO‐TiN/MoO</w:t>
      </w:r>
      <w:r>
        <w:t xml:space="preserve"> </w:t>
      </w:r>
      <w:r>
        <w:t>3‐x</w:t>
      </w:r>
      <w:r>
        <w:t xml:space="preserve"> </w:t>
      </w:r>
      <w:r>
        <w:t>‐Mo</w:t>
      </w:r>
      <w:r>
        <w:rPr>
          <w:vertAlign w:val="subscript"/>
        </w:rPr>
        <w:t>2</w:t>
      </w:r>
      <w:r>
        <w:t>N is a highly promising LIB anode, combining high performance with scalable, low‐cost fabrication for next‐generation energy storage applications.</w:t>
      </w:r>
    </w:p>
    <w:p>
      <w:pPr>
        <w:spacing w:before="120" w:after="120"/>
      </w:pPr>
      <w:r>
        <w:rPr>
          <w:sz w:val="18"/>
        </w:rPr>
        <w:t>——————————————————————————————————————————————————————————————————————</w:t>
      </w:r>
    </w:p>
    <w:p>
      <w:pPr>
        <w:spacing w:before="160" w:after="40" w:line="240" w:lineRule="auto"/>
      </w:pPr>
      <w:r>
        <w:rPr>
          <w:b/>
        </w:rPr>
        <w:t xml:space="preserve">[6] </w:t>
      </w:r>
      <w:hyperlink r:id="rId126">
        <w:r>
          <w:rPr>
            <w:color w:val="1155CC"/>
            <w:u w:val="single"/>
          </w:rPr>
          <w:t>用于预测水系锌电池库仑效率的电子耦合界面能量描述符</w:t>
        </w:r>
      </w:hyperlink>
    </w:p>
    <w:p>
      <w:pPr>
        <w:spacing w:before="0" w:after="80"/>
      </w:pPr>
      <w:r>
        <w:rPr>
          <w:i/>
          <w:sz w:val="20"/>
        </w:rPr>
        <w:t>EN: An Electronically Coupled Interfacial Energy Descriptor for Predicting Coulombic Efficiency in Aqueous Zinc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2026-08-08 00:00:00+00:00</w:t>
      </w:r>
      <w:r>
        <w:t xml:space="preserve">    </w:t>
      </w:r>
      <w:r>
        <w:rPr>
          <w:b/>
        </w:rPr>
        <w:t xml:space="preserve">DOI: </w:t>
      </w:r>
      <w:hyperlink r:id="rId127">
        <w:r>
          <w:rPr>
            <w:color w:val="1155CC"/>
            <w:u w:val="single"/>
          </w:rPr>
          <w:t>10.1021/jacs.6c08057</w:t>
        </w:r>
      </w:hyperlink>
    </w:p>
    <w:p>
      <w:pPr>
        <w:spacing w:before="0" w:after="120"/>
      </w:pPr>
      <w:r>
        <w:rPr>
          <w:b/>
        </w:rPr>
        <w:t xml:space="preserve">Notes: </w:t>
      </w:r>
      <w:r>
        <w:t>abstract_source=crossref</w:t>
      </w:r>
    </w:p>
    <w:p>
      <w:pPr>
        <w:spacing w:before="0" w:after="80" w:lineRule="auto" w:line="276"/>
      </w:pPr>
      <w:r>
        <w:rPr>
          <w:b/>
        </w:rPr>
        <w:t xml:space="preserve">摘要（ZH）: </w:t>
      </w:r>
      <w:r>
        <w:t>摘要 固液界面决定了水系电池的性能和寿命。虽然合理设计的电解质添加剂提供了稳定这些界面的有效策略，但添加剂和金属表面之间复杂的相互作用很难通过实验分离，从而阻碍了最佳添加剂的预测设计。在这里，我们引入了一种电子耦合界面能量描述符（ΔG），它可以定量捕获添加剂-金属相互作用。通过将锌表面添加剂吸附和界面电荷转移的能量贡献统一为单一指标，ΔG 提供了界面稳定性的基本测量方法。将该描述符与内在分子特性相结合，我们开发了一个机器学习框架，可以准确预测不同添加剂系列的库仑效率，成功地将季戊四醇（PTT）识别为具有最小化 ΔG 值的高效候选者。 ZnSO4 电解液采用 PTT 添加剂配制而成，可实现高度可逆的镀锌和退镀，平均库仑效率为 99.71%，可维持稳定循环超过 1000 小时，其性能优于内在分子描述符预测的添加剂，循环寿命延长 2 倍。由此产生的 Zn-I2 全电池在高温和贫电解质条件下也能维持稳定的循环。从机理上讲，具有最小ΔG值的添加剂优先积聚在界面处以排出水分子，促进由PTT-和</w:t>
      </w:r>
    </w:p>
    <w:p>
      <w:pPr>
        <w:spacing w:before="0" w:after="200" w:lineRule="auto" w:line="276"/>
      </w:pPr>
      <w:r>
        <w:rPr>
          <w:b/>
        </w:rPr>
        <w:t xml:space="preserve">Abstract (EN): </w:t>
      </w:r>
      <w:r>
        <w:t>Solid–liquid interfaces dictate the performance and longevity of aqueous batteries. While rationally designed electrolyte additives offer a potent strategy to stabilize these interfaces, the complex interactions between additives and metal surfaces are difficult to isolate experimentally, hindering the predictive design of optimal additives. Here, we introduce an electronically coupled interfacial energy descriptor (ΔG) that quantitatively captures additive-metal interactions. By unifying the energetic contributions of additive adsorption and interfacial charge transfer at the zinc surface into a single metric, ΔG provides a fundamental measure of interfacial stability. Integrating this descriptor with intrinsic molecular properties, we develop a machine learning framework that accurately predicts Coulombic efficiency across different additive families, successfully identifying pentaerythritol (PTT) as a highly effective candidate with a minimized ΔG value. Formulated with PTT additive, the ZnSO4 electrolyte enables highly reversible zinc plating and stripping with an average Coulombic efficiency of 99.71%, sustaining stable cycling for over 1000 h, outperforming additives predicted by intrinsic molecular descriptors with a 2-fold longer cycle life. The resulting Zn–I2 full cells also sustain stable cycling under high-temperature and lean electrolyte conditions. Mechanistically, additives with minimized ΔG values preferentially accumulate at the interface to expel water molecules, promoting the formation of a robust solid electrolyte interphase composed of PTT- and anion-derived species. By redefining interfacial interactions through electronic-energetic coupling, this work provides a physically interpretable data-driven framework for additives screening in aqueous Zinc-ion batteries.</w:t>
      </w:r>
    </w:p>
    <w:p>
      <w:pPr>
        <w:spacing w:before="120" w:after="120"/>
      </w:pPr>
      <w:r>
        <w:rPr>
          <w:sz w:val="18"/>
        </w:rPr>
        <w:t>——————————————————————————————————————————————————————————————————————</w:t>
      </w:r>
    </w:p>
    <w:p>
      <w:pPr>
        <w:spacing w:before="160" w:after="40" w:line="240" w:lineRule="auto"/>
      </w:pPr>
      <w:r>
        <w:rPr>
          <w:b/>
        </w:rPr>
        <w:t xml:space="preserve">[7] </w:t>
      </w:r>
      <w:hyperlink r:id="rId128">
        <w:r>
          <w:rPr>
            <w:color w:val="1155CC"/>
            <w:u w:val="single"/>
          </w:rPr>
          <w:t>定制水屏蔽双电层和疏水固体电解质界面用于无寄生反应的锌金属阳极</w:t>
        </w:r>
      </w:hyperlink>
    </w:p>
    <w:p>
      <w:pPr>
        <w:spacing w:before="0" w:after="80"/>
      </w:pPr>
      <w:r>
        <w:rPr>
          <w:i/>
          <w:sz w:val="20"/>
        </w:rPr>
        <w:t>EN: Tailoring Water-Shielding Electric Double Layer and Hydrophobic Solid Electrolyte Interphase for Parasitic Reaction-Free Zinc Metal Anode</w:t>
      </w:r>
    </w:p>
    <w:p>
      <w:pPr>
        <w:spacing w:before="0" w:after="120"/>
      </w:pPr>
      <w:r>
        <w:rPr>
          <w:b/>
        </w:rPr>
        <w:t xml:space="preserve">Source: </w:t>
      </w:r>
      <w:r>
        <w:t>ACS Applied Materials &amp; Interfaces: Latest Articles (ACS Publications)</w:t>
      </w:r>
      <w:r>
        <w:t xml:space="preserve">    </w:t>
      </w:r>
      <w:r>
        <w:rPr>
          <w:b/>
        </w:rPr>
        <w:t xml:space="preserve">Pub date: </w:t>
      </w:r>
      <w:r>
        <w:t>2026-08-08 00:00:00+00:00</w:t>
      </w:r>
      <w:r>
        <w:t xml:space="preserve">    </w:t>
      </w:r>
      <w:r>
        <w:rPr>
          <w:b/>
        </w:rPr>
        <w:t xml:space="preserve">DOI: </w:t>
      </w:r>
      <w:hyperlink r:id="rId129">
        <w:r>
          <w:rPr>
            <w:color w:val="1155CC"/>
            <w:u w:val="single"/>
          </w:rPr>
          <w:t>10.1021/acsami.6c09535</w:t>
        </w:r>
      </w:hyperlink>
    </w:p>
    <w:p>
      <w:pPr>
        <w:spacing w:before="0" w:after="120"/>
      </w:pPr>
      <w:r>
        <w:rPr>
          <w:b/>
        </w:rPr>
        <w:t xml:space="preserve">Notes: </w:t>
      </w:r>
      <w:r>
        <w:t>abstract_source=crossref</w:t>
      </w:r>
    </w:p>
    <w:p>
      <w:pPr>
        <w:spacing w:before="0" w:after="80" w:lineRule="auto" w:line="276"/>
      </w:pPr>
      <w:r>
        <w:rPr>
          <w:b/>
        </w:rPr>
        <w:t xml:space="preserve">摘要（ZH）: </w:t>
      </w:r>
      <w:r>
        <w:t>摘要 水系锌离子电池（AZIB）因其优异的安全性、经济性和环保性等内在优点而引起了人们的广泛关注。然而，实际部署受到锌金属阳极（ZMA）上H2O引起的寄生反应的极大限制，例如析氢反应（HER）和界面钝化。在此，我们提出了一种协同界面调节策略来减轻这些寄生反应。通过利用直链脂肪酸（SFA）分子的亲锌羧基和疏水性烷基链，在ZMA|电解质界面处同时原位构建H2O屏蔽双电层（EDL）和疏水性固体电解质界面（SEI）。这种集成的 H2O 屏蔽 EDL 和疏水性 SEI 框架有效抑制了 H2O 诱导的寄生反应，增强了 Zn2+ 沉积的稳定性，凸显了协调调节的关键作用。在使用月桂酸（基于 C12 的 SFA）的最佳条件下，Zn||Zn 对称电池在 1 mA cm−2 和 1 mA h cm−2 下具有超过 5785 小时的卓越可逆循环寿命。此外，全电池表现出优异的循环稳定性，在 5 A g−1 下稳定循环 1500 次后仍保留了 75.4% 的初始容量。这项工作为实现稳定、高性能的 ZMA 提供了一种有前途的策略，并为推进 AZIBs 技术开辟了道路。</w:t>
      </w:r>
    </w:p>
    <w:p>
      <w:pPr>
        <w:spacing w:before="0" w:after="200" w:lineRule="auto" w:line="276"/>
      </w:pPr>
      <w:r>
        <w:rPr>
          <w:b/>
        </w:rPr>
        <w:t xml:space="preserve">Abstract (EN): </w:t>
      </w:r>
      <w:r>
        <w:t>Aqueous zinc-ion batteries (AZIBs) have attracted considerable interest due to their intrinsic merits, such as excellent safety, affordability, and eco-friendliness. However, the practical deployment is greatly limited by H2O-induced parasitic reactions at the zinc metal anode (ZMA), such as the hydrogen evolution reaction (HER) and interfacial passivation. Herein, we propose a synergistic interfacial-regulation strategy to mitigate these parasitic reactions. By leveraging the zincophilic carboxyl groups and hydrophobic alkyl chains of straight-chain fatty acid (SFA) molecules, a H2O-shielding electric double layer (EDL) and a hydrophobic solid electrolyte interphase (SEI) are simultaneously constructed in situ at the ZMA|electrolyte interface. This integrated H2O-shielding EDL and hydrophobic SEI framework effectively suppresses H2O-induced parasitic reactions and enhances the stability of Zn2+ deposition, highlighting the critical role of coordinated regulation. Under optimal conditions using lauric acid (a C12-based SFA), the Zn||Zn symmetric cell delivers an exceptional reversible cycle life exceeding 5785 h at 1 mA cm−2 and 1 mA h cm−2. Furthermore, the full cell exhibits excellent cycling stability, retaining 75.4% of its initial capacity after 1500 stable cycles at 5 A g−1. This work provides a promising strategy for achieving stable, high-performance ZMA and opens avenues for advancing AZIBs technology.</w:t>
      </w:r>
    </w:p>
    <w:p>
      <w:pPr>
        <w:spacing w:before="120" w:after="120"/>
      </w:pPr>
      <w:r>
        <w:rPr>
          <w:sz w:val="18"/>
        </w:rPr>
        <w:t>——————————————————————————————————————————————————————————————————————</w:t>
      </w:r>
    </w:p>
    <w:p>
      <w:pPr>
        <w:spacing w:before="160" w:after="40" w:line="240" w:lineRule="auto"/>
      </w:pPr>
      <w:r>
        <w:rPr>
          <w:b/>
        </w:rPr>
        <w:t xml:space="preserve">[8] </w:t>
      </w:r>
      <w:hyperlink r:id="rId90">
        <w:r>
          <w:rPr>
            <w:color w:val="1155CC"/>
            <w:u w:val="single"/>
          </w:rPr>
          <w:t>通过共价束缚咪唑鎓阳离子调节聚丙烯酰胺水凝胶电解质中的均匀锌沉积以获得稳定的水性锌电池</w:t>
        </w:r>
      </w:hyperlink>
    </w:p>
    <w:p>
      <w:pPr>
        <w:spacing w:before="0" w:after="80"/>
      </w:pPr>
      <w:r>
        <w:rPr>
          <w:i/>
          <w:sz w:val="20"/>
        </w:rPr>
        <w:t>EN: Regulating Uniform Zinc Deposition via Covalently Tethered Imidazolium Cations in Polyacrylamide Hydrogel Electrolytes for Stable Aqueous Zinc Batteries</w:t>
      </w:r>
    </w:p>
    <w:p>
      <w:pPr>
        <w:spacing w:before="0" w:after="120"/>
      </w:pPr>
      <w:r>
        <w:rPr>
          <w:b/>
        </w:rPr>
        <w:t xml:space="preserve">Source: </w:t>
      </w:r>
      <w:r>
        <w:t>Wiley: Advanced Energy Materials: Table of Contents</w:t>
      </w:r>
      <w:r>
        <w:t xml:space="preserve">    </w:t>
      </w:r>
      <w:r>
        <w:rPr>
          <w:b/>
        </w:rPr>
        <w:t xml:space="preserve">Pub date: </w:t>
      </w:r>
      <w:r>
        <w:t>2026-08-08 09:06:10+00:00</w:t>
      </w:r>
      <w:r>
        <w:t xml:space="preserve">    </w:t>
      </w:r>
      <w:r>
        <w:rPr>
          <w:b/>
        </w:rPr>
        <w:t xml:space="preserve">DOI: </w:t>
      </w:r>
      <w:hyperlink r:id="rId91">
        <w:r>
          <w:rPr>
            <w:color w:val="1155CC"/>
            <w:u w:val="single"/>
          </w:rPr>
          <w:t>10.1002/aenm.71370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离子电池（AZIB）由于其本质安全性和低成本而成为下一代储能的有希望的候选者。然而，不可控的锌枝晶生长和界面副反应限制了它们的循环稳定性和实际应用。在此，我们描述了一种聚（离子液体）水凝胶电解质，它将带正电的咪唑基离子液体（VEMA）纳入聚丙烯酰胺（PAM）网络中以应对这些挑战。维伊姆</w:t>
      </w:r>
      <w:r>
        <w:t xml:space="preserve"> </w:t>
      </w:r>
      <w:r>
        <w:t>+</w:t>
      </w:r>
      <w:r>
        <w:t xml:space="preserve"> </w:t>
      </w:r>
      <w:r>
        <w:t>电解质中的阳离子发挥多种作用：均匀化界面电场、固定 SO</w:t>
      </w:r>
      <w:r>
        <w:rPr>
          <w:vertAlign w:val="subscript"/>
        </w:rPr>
        <w:t>4</w:t>
      </w:r>
      <w:r>
        <w:t>2−</w:t>
      </w:r>
      <w:r>
        <w:t>通过离子交换阴离子，固定 SO</w:t>
      </w:r>
      <w:r>
        <w:rPr>
          <w:vertAlign w:val="subscript"/>
        </w:rPr>
        <w:t>4</w:t>
      </w:r>
      <w:r>
        <w:t>2−</w:t>
      </w:r>
      <w:r>
        <w:t>通过离子交换去除阴离子，改善界面动力学并减轻浓差极化。理论和实验研究均表明 VEIM</w:t>
      </w:r>
      <w:r>
        <w:t xml:space="preserve"> </w:t>
      </w:r>
      <w:r>
        <w:t>+</w:t>
      </w:r>
      <w:r>
        <w:t xml:space="preserve"> </w:t>
      </w:r>
      <w:r>
        <w:t>优先吸附在锌表面，形成静电保护层，阻挡水分子，抑制寄生副反应，引导锌均匀沉积，同时抑制枝晶形成。由此产生的基于 VEMA 的电解质的 Zn||Zn 对称电池实现了 2800 小时的稳定循环，而 Zn||Cu 不对称电池的平均 CE 达到 99.3%。此外，Zn||V</w:t>
      </w:r>
      <w:r>
        <w:rPr>
          <w:vertAlign w:val="subscript"/>
        </w:rPr>
        <w:t>6</w:t>
      </w:r>
      <w:r>
        <w:t>氧</w:t>
      </w:r>
      <w:r>
        <w:rPr>
          <w:vertAlign w:val="subscript"/>
        </w:rPr>
        <w:t>13</w:t>
      </w:r>
      <w:r>
        <w:t>全细胞保留92.04%</w:t>
      </w:r>
    </w:p>
    <w:p>
      <w:pPr>
        <w:spacing w:before="0" w:after="200" w:lineRule="auto" w:line="276"/>
      </w:pPr>
      <w:r>
        <w:rPr>
          <w:b/>
        </w:rPr>
        <w:t xml:space="preserve">Abstract (EN): </w:t>
      </w:r>
      <w:r>
        <w:t>Aqueous zinc‐ion batteries (AZIBs) are promising candidates for next‐generation energy storage due to their intrinsic safety and low cost. However, the uncontrollable zinc dendrite growth and interfacial side reactions limit their cycling stability and practical application. Herein, we describe a poly(ionic liquid) hydrogel electrolyte that incorporates a positively charged imidazolium‐based ionic liquid (VEMA) into a polyacrylamide (PAM) network to address these challenges. The VEIM</w:t>
      </w:r>
      <w:r>
        <w:t xml:space="preserve"> </w:t>
      </w:r>
      <w:r>
        <w:t>+</w:t>
      </w:r>
      <w:r>
        <w:t xml:space="preserve"> </w:t>
      </w:r>
      <w:r>
        <w:t>cations in the electrolyte play a multi‐role: homogenizing the interfacial electric field, immobilizing SO</w:t>
      </w:r>
      <w:r>
        <w:rPr>
          <w:vertAlign w:val="subscript"/>
        </w:rPr>
        <w:t>4</w:t>
      </w:r>
      <w:r>
        <w:t>2−</w:t>
      </w:r>
      <w:r>
        <w:t>anions through ion exchange, immobilizing SO</w:t>
      </w:r>
      <w:r>
        <w:rPr>
          <w:vertAlign w:val="subscript"/>
        </w:rPr>
        <w:t>4</w:t>
      </w:r>
      <w:r>
        <w:t>2−</w:t>
      </w:r>
      <w:r>
        <w:t>anions through ion exchange, improving interfacial kinetics, and mitigating concentration polarization. Both theoretical and experimental investigations demonstrate that VEIM</w:t>
      </w:r>
      <w:r>
        <w:t xml:space="preserve"> </w:t>
      </w:r>
      <w:r>
        <w:t>+</w:t>
      </w:r>
      <w:r>
        <w:t xml:space="preserve"> </w:t>
      </w:r>
      <w:r>
        <w:t>preferentially adsorbs onto the zinc surface, forming an electrostatic protective layer that blocks water molecules, suppresses parasitic side reactions, and guides uniform zinc deposition while inhibiting dendrite formation. The resulting Zn||Zn symmetric cell of VEMA‐based electrolyte achieves stable cycling for 2800 h, and the Zn||Cu asymmetric cell attains an average CE of 99.3%. Furthermore, the Zn||V</w:t>
      </w:r>
      <w:r>
        <w:rPr>
          <w:vertAlign w:val="subscript"/>
        </w:rPr>
        <w:t>6</w:t>
      </w:r>
      <w:r>
        <w:t>O</w:t>
      </w:r>
      <w:r>
        <w:rPr>
          <w:vertAlign w:val="subscript"/>
        </w:rPr>
        <w:t>13</w:t>
      </w:r>
      <w:r>
        <w:t>full cell retains 92.04% capacity after 4000 cycles at 5 A g</w:t>
      </w:r>
      <w:r>
        <w:t xml:space="preserve"> </w:t>
      </w:r>
      <w:r>
        <w:t>−1</w:t>
      </w:r>
      <w:r>
        <w:t xml:space="preserve"> </w:t>
      </w:r>
      <w:r>
        <w:t>. This work provides a simple yet effective strategy for developing stable zinc anodes in AZIBs and offers a promising pathway toward practical applications.</w:t>
      </w:r>
    </w:p>
    <w:p>
      <w:pPr>
        <w:spacing w:before="120" w:after="120"/>
      </w:pPr>
      <w:r>
        <w:rPr>
          <w:sz w:val="18"/>
        </w:rPr>
        <w:t>——————————————————————————————————————————————————————————————————————</w:t>
      </w:r>
    </w:p>
    <w:p>
      <w:pPr>
        <w:spacing w:before="160" w:after="40" w:line="240" w:lineRule="auto"/>
      </w:pPr>
      <w:r>
        <w:rPr>
          <w:b/>
        </w:rPr>
        <w:t xml:space="preserve">[9] </w:t>
      </w:r>
      <w:hyperlink r:id="rId92">
        <w:r>
          <w:rPr>
            <w:color w:val="1155CC"/>
            <w:u w:val="single"/>
          </w:rPr>
          <w:t>用于高能量密度锂金属电池的一步熔融纺丝构建的 3D 微网络 Li/Al4Li9 复合负极</w:t>
        </w:r>
      </w:hyperlink>
    </w:p>
    <w:p>
      <w:pPr>
        <w:spacing w:before="0" w:after="80"/>
      </w:pPr>
      <w:r>
        <w:rPr>
          <w:i/>
          <w:sz w:val="20"/>
        </w:rPr>
        <w:t>EN: 3D Micro‐Network Li/Al4Li9 Composite Anodes Constructed by One‐Step Melt‐Spinning for High Energy Density Lithium Metal Batteries</w:t>
      </w:r>
    </w:p>
    <w:p>
      <w:pPr>
        <w:spacing w:before="0" w:after="120"/>
      </w:pPr>
      <w:r>
        <w:rPr>
          <w:b/>
        </w:rPr>
        <w:t xml:space="preserve">Source: </w:t>
      </w:r>
      <w:r>
        <w:t>Wiley: Advanced Energy Materials: Table of Contents</w:t>
      </w:r>
      <w:r>
        <w:t xml:space="preserve">    </w:t>
      </w:r>
      <w:r>
        <w:rPr>
          <w:b/>
        </w:rPr>
        <w:t xml:space="preserve">Pub date: </w:t>
      </w:r>
      <w:r>
        <w:t>2026-08-08 09:07:19+00:00</w:t>
      </w:r>
      <w:r>
        <w:t xml:space="preserve">    </w:t>
      </w:r>
      <w:r>
        <w:rPr>
          <w:b/>
        </w:rPr>
        <w:t xml:space="preserve">DOI: </w:t>
      </w:r>
      <w:hyperlink r:id="rId93">
        <w:r>
          <w:rPr>
            <w:color w:val="1155CC"/>
            <w:u w:val="single"/>
          </w:rPr>
          <w:t>10.1002/aenm.71402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锂金属阳极受到不均匀的锂沉积/剥离、界面副反应和体积膨胀的阻碍。锂合金负极被认为是解决这些问题的有效策略，但它们在循环过程中会出现结构退化。在此，3D微网络Li/Al</w:t>
      </w:r>
      <w:r>
        <w:rPr>
          <w:vertAlign w:val="subscript"/>
        </w:rPr>
        <w:t>4</w:t>
      </w:r>
      <w:r>
        <w:t>李</w:t>
      </w:r>
      <w:r>
        <w:rPr>
          <w:vertAlign w:val="subscript"/>
        </w:rPr>
        <w:t>9</w:t>
      </w:r>
      <w:r>
        <w:t>复合阳极是通过一步熔融纺丝制备的。通过调整冷却条件，系统地研究了合金带材的微观结构演变。最终，均匀的Li/Al</w:t>
      </w:r>
      <w:r>
        <w:rPr>
          <w:vertAlign w:val="subscript"/>
        </w:rPr>
        <w:t>4</w:t>
      </w:r>
      <w:r>
        <w:t>李</w:t>
      </w:r>
      <w:r>
        <w:rPr>
          <w:vertAlign w:val="subscript"/>
        </w:rPr>
        <w:t>9</w:t>
      </w:r>
      <w:r>
        <w:t>具有 3D 微网络的复合阳极是在铜辊速度为 2200 rpm 时实现的。本征Li/Al</w:t>
      </w:r>
      <w:r>
        <w:rPr>
          <w:vertAlign w:val="subscript"/>
        </w:rPr>
        <w:t>4</w:t>
      </w:r>
      <w:r>
        <w:t>李</w:t>
      </w:r>
      <w:r>
        <w:rPr>
          <w:vertAlign w:val="subscript"/>
        </w:rPr>
        <w:t>9</w:t>
      </w:r>
      <w:r>
        <w:t>复合阳极结构提供了协同功能：首先，互连的微网络提供了连续的电子/离子传输路径和丰富的反应界面，从而降低了成核势垒和均匀的镀/脱锂；第二，锂/铝</w:t>
      </w:r>
      <w:r>
        <w:rPr>
          <w:vertAlign w:val="subscript"/>
        </w:rPr>
        <w:t>4</w:t>
      </w:r>
      <w:r>
        <w:t>李</w:t>
      </w:r>
      <w:r>
        <w:rPr>
          <w:vertAlign w:val="subscript"/>
        </w:rPr>
        <w:t>9</w:t>
      </w:r>
      <w:r>
        <w:t>铝复合阳极</w:t>
      </w:r>
      <w:r>
        <w:rPr>
          <w:vertAlign w:val="subscript"/>
        </w:rPr>
        <w:t>4</w:t>
      </w:r>
      <w:r>
        <w:t>李</w:t>
      </w:r>
      <w:r>
        <w:rPr>
          <w:vertAlign w:val="subscript"/>
        </w:rPr>
        <w:t>9</w:t>
      </w:r>
      <w:r>
        <w:t>骨架表现出高杨氏模量，可缓冲体积膨胀和均匀的应力分布。原位光学显微镜和循环后 SEM 图像证实了 Li/Al</w:t>
      </w:r>
      <w:r>
        <w:rPr>
          <w:vertAlign w:val="subscript"/>
        </w:rPr>
        <w:t>4</w:t>
      </w:r>
    </w:p>
    <w:p>
      <w:pPr>
        <w:spacing w:before="0" w:after="200" w:lineRule="auto" w:line="276"/>
      </w:pPr>
      <w:r>
        <w:rPr>
          <w:b/>
        </w:rPr>
        <w:t xml:space="preserve">Abstract (EN): </w:t>
      </w:r>
      <w:r>
        <w:t>Lithium‐metal anodes are hindered by inhomogeneous lithium plating/stripping, interfacial side reactions, and volume expansion. The lithium alloy anodes are considered an effective strategy to resolve these problems, but they suffer from structural degradation during cycling. Herein, a 3D micro‐network Li/Al</w:t>
      </w:r>
      <w:r>
        <w:rPr>
          <w:vertAlign w:val="subscript"/>
        </w:rPr>
        <w:t>4</w:t>
      </w:r>
      <w:r>
        <w:t>Li</w:t>
      </w:r>
      <w:r>
        <w:rPr>
          <w:vertAlign w:val="subscript"/>
        </w:rPr>
        <w:t>9</w:t>
      </w:r>
      <w:r>
        <w:t>composite anode is fabricated via one‐step melt‐spinning. The microstructure evolution of the alloy ribbons is studied systematically by tuning the cooling conditions. Ultimately, a uniform Li/Al</w:t>
      </w:r>
      <w:r>
        <w:rPr>
          <w:vertAlign w:val="subscript"/>
        </w:rPr>
        <w:t>4</w:t>
      </w:r>
      <w:r>
        <w:t>Li</w:t>
      </w:r>
      <w:r>
        <w:rPr>
          <w:vertAlign w:val="subscript"/>
        </w:rPr>
        <w:t>9</w:t>
      </w:r>
      <w:r>
        <w:t>composite anode with a 3D micro‐network is achieved at a copper roller speed of 2200 rpm. The intrinsic Li/Al</w:t>
      </w:r>
      <w:r>
        <w:rPr>
          <w:vertAlign w:val="subscript"/>
        </w:rPr>
        <w:t>4</w:t>
      </w:r>
      <w:r>
        <w:t>Li</w:t>
      </w:r>
      <w:r>
        <w:rPr>
          <w:vertAlign w:val="subscript"/>
        </w:rPr>
        <w:t>9</w:t>
      </w:r>
      <w:r>
        <w:t>composite anode structure provides synergistic functions: first, the interconnected micro‐network provides continuous electron/ion transport pathways and abundant reaction interfaces, which lowers the nucleation barrier and uniform lithium plating/stripping; second, the Li/Al</w:t>
      </w:r>
      <w:r>
        <w:rPr>
          <w:vertAlign w:val="subscript"/>
        </w:rPr>
        <w:t>4</w:t>
      </w:r>
      <w:r>
        <w:t>Li</w:t>
      </w:r>
      <w:r>
        <w:rPr>
          <w:vertAlign w:val="subscript"/>
        </w:rPr>
        <w:t>9</w:t>
      </w:r>
      <w:r>
        <w:t>composite anode with Al</w:t>
      </w:r>
      <w:r>
        <w:rPr>
          <w:vertAlign w:val="subscript"/>
        </w:rPr>
        <w:t>4</w:t>
      </w:r>
      <w:r>
        <w:t>Li</w:t>
      </w:r>
      <w:r>
        <w:rPr>
          <w:vertAlign w:val="subscript"/>
        </w:rPr>
        <w:t>9</w:t>
      </w:r>
      <w:r>
        <w:t>skeleton shows high Young's modulus, which buffers volume expansion and uniform stress distribution. In situ optical microscopy and post‐cycling SEM images confirm the Li/Al</w:t>
      </w:r>
      <w:r>
        <w:rPr>
          <w:vertAlign w:val="subscript"/>
        </w:rPr>
        <w:t>4</w:t>
      </w:r>
      <w:r>
        <w:t>Li</w:t>
      </w:r>
      <w:r>
        <w:rPr>
          <w:vertAlign w:val="subscript"/>
        </w:rPr>
        <w:t>9</w:t>
      </w:r>
      <w:r>
        <w:t>composite anode exhibits excellent mitigate structural degradation ability. The Li/Al</w:t>
      </w:r>
      <w:r>
        <w:rPr>
          <w:vertAlign w:val="subscript"/>
        </w:rPr>
        <w:t>4</w:t>
      </w:r>
      <w:r>
        <w:t>Li</w:t>
      </w:r>
      <w:r>
        <w:rPr>
          <w:vertAlign w:val="subscript"/>
        </w:rPr>
        <w:t>9</w:t>
      </w:r>
      <w:r>
        <w:t>||Li/Al</w:t>
      </w:r>
      <w:r>
        <w:rPr>
          <w:vertAlign w:val="subscript"/>
        </w:rPr>
        <w:t>4</w:t>
      </w:r>
      <w:r>
        <w:t>Li</w:t>
      </w:r>
      <w:r>
        <w:rPr>
          <w:vertAlign w:val="subscript"/>
        </w:rPr>
        <w:t>9</w:t>
      </w:r>
      <w:r>
        <w:t>cells in ether‐based electrolyte demonstrate stable cycling for 1600 h at 1 mA cm</w:t>
      </w:r>
      <w:r>
        <w:t xml:space="preserve"> </w:t>
      </w:r>
      <w:r>
        <w:t>−</w:t>
      </w:r>
      <w:r>
        <w:rPr>
          <w:vertAlign w:val="subscript"/>
        </w:rPr>
        <w:t>2</w:t>
      </w:r>
      <w:r>
        <w:t>, 1 mAh cm</w:t>
      </w:r>
      <w:r>
        <w:t xml:space="preserve"> </w:t>
      </w:r>
      <w:r>
        <w:t>−</w:t>
      </w:r>
      <w:r>
        <w:rPr>
          <w:vertAlign w:val="subscript"/>
        </w:rPr>
        <w:t>2</w:t>
      </w:r>
      <w:r>
        <w:t>, and Li/Al</w:t>
      </w:r>
      <w:r>
        <w:rPr>
          <w:vertAlign w:val="subscript"/>
        </w:rPr>
        <w:t>4</w:t>
      </w:r>
      <w:r>
        <w:t>Li</w:t>
      </w:r>
      <w:r>
        <w:rPr>
          <w:vertAlign w:val="subscript"/>
        </w:rPr>
        <w:t>9</w:t>
      </w:r>
      <w:r>
        <w:t>||LiFePO</w:t>
      </w:r>
      <w:r>
        <w:rPr>
          <w:vertAlign w:val="subscript"/>
        </w:rPr>
        <w:t>4</w:t>
      </w:r>
      <w:r>
        <w:t>cells in carbonate‐based electrolyte retain 81.7% capacity after 204 cycles at 0.5 C. Impressively, the Li/Al</w:t>
      </w:r>
      <w:r>
        <w:rPr>
          <w:vertAlign w:val="subscript"/>
        </w:rPr>
        <w:t>4</w:t>
      </w:r>
      <w:r>
        <w:t>Li</w:t>
      </w:r>
      <w:r>
        <w:rPr>
          <w:vertAlign w:val="subscript"/>
        </w:rPr>
        <w:t>9</w:t>
      </w:r>
      <w:r>
        <w:t>composite anode is a promising anode for high‐energy‐density lithium metal batteries.</w:t>
      </w:r>
    </w:p>
    <w:p>
      <w:pPr>
        <w:spacing w:before="120" w:after="120"/>
      </w:pPr>
      <w:r>
        <w:rPr>
          <w:sz w:val="18"/>
        </w:rPr>
        <w:t>——————————————————————————————————————————————————————————————————————</w:t>
      </w:r>
    </w:p>
    <w:p>
      <w:pPr>
        <w:spacing w:before="160" w:after="40" w:line="240" w:lineRule="auto"/>
      </w:pPr>
      <w:r>
        <w:rPr>
          <w:b/>
        </w:rPr>
        <w:t xml:space="preserve">[10] </w:t>
      </w:r>
      <w:hyperlink r:id="rId94">
        <w:r>
          <w:rPr>
            <w:color w:val="1155CC"/>
            <w:u w:val="single"/>
          </w:rPr>
          <w:t>仿生多层固体电解质界面定制用于长寿命实用水性锌金属电池</w:t>
        </w:r>
      </w:hyperlink>
    </w:p>
    <w:p>
      <w:pPr>
        <w:spacing w:before="0" w:after="80"/>
      </w:pPr>
      <w:r>
        <w:rPr>
          <w:i/>
          <w:sz w:val="20"/>
        </w:rPr>
        <w:t>EN: Biomimetic Multilayer Solid‐Electrolyte Interphase Customization for Long‐Lifespan Practical Aqueous Zinc‐Metal Batteries</w:t>
      </w:r>
    </w:p>
    <w:p>
      <w:pPr>
        <w:spacing w:before="0" w:after="120"/>
      </w:pPr>
      <w:r>
        <w:rPr>
          <w:b/>
        </w:rPr>
        <w:t xml:space="preserve">Source: </w:t>
      </w:r>
      <w:r>
        <w:t>Wiley: Advanced Energy Materials: Table of Contents</w:t>
      </w:r>
      <w:r>
        <w:t xml:space="preserve">    </w:t>
      </w:r>
      <w:r>
        <w:rPr>
          <w:b/>
        </w:rPr>
        <w:t xml:space="preserve">Pub date: </w:t>
      </w:r>
      <w:r>
        <w:t>2026-08-08 09:08:06+00:00</w:t>
      </w:r>
      <w:r>
        <w:t xml:space="preserve">    </w:t>
      </w:r>
      <w:r>
        <w:rPr>
          <w:b/>
        </w:rPr>
        <w:t xml:space="preserve">DOI: </w:t>
      </w:r>
      <w:hyperlink r:id="rId95">
        <w:r>
          <w:rPr>
            <w:color w:val="1155CC"/>
            <w:u w:val="single"/>
          </w:rPr>
          <w:t>10.1002/aenm.71421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金属电池受到锌阳极突出的界面问题的阻碍，例如枝晶生长和复杂的副反应。原位构建稳定的固体电解质界面（SEI）来解决这些问题仍然是一个严峻的挑战，特别是在高电流密度和恶劣的温度条件下。在此，受植物表皮吸收营养物质的启发，构建了梯度仿生多层自组装SEI。这种多层仿生 SEI 集成了一个外部疏水层，可排斥水分子，形成贫水界面，抑制氢析出并促进 Zn</w:t>
      </w:r>
      <w:r>
        <w:t xml:space="preserve"> </w:t>
      </w:r>
      <w:r>
        <w:t>2+</w:t>
      </w:r>
      <w:r>
        <w:t xml:space="preserve"> </w:t>
      </w:r>
      <w:r>
        <w:t>去溶剂化。中间交联层稳定SEI结构并捕获SO</w:t>
      </w:r>
      <w:r>
        <w:rPr>
          <w:vertAlign w:val="subscript"/>
        </w:rPr>
        <w:t>4</w:t>
      </w:r>
      <w:r>
        <w:t>2−</w:t>
      </w:r>
      <w:r>
        <w:t>减轻副反应，实现动态界面调节。同时，最里面的吸附层调节Zn</w:t>
      </w:r>
      <w:r>
        <w:t xml:space="preserve"> </w:t>
      </w:r>
      <w:r>
        <w:t>2+</w:t>
      </w:r>
      <w:r>
        <w:t xml:space="preserve"> </w:t>
      </w:r>
      <w:r>
        <w:t>通量，促进沿（002）晶面的均匀平面沉积。得益于仿生梯度 SEI 的存在，Zn||Zn 电池在 20 mA cm 下的循环寿命超过 2250 小时</w:t>
      </w:r>
      <w:r>
        <w:t xml:space="preserve"> </w:t>
      </w:r>
      <w:r>
        <w:t>−2</w:t>
      </w:r>
      <w:r>
        <w:t xml:space="preserve"> </w:t>
      </w:r>
      <w:r>
        <w:t>，并在超高电流密度（50 和 100 mA cm</w:t>
      </w:r>
      <w:r>
        <w:t xml:space="preserve"> </w:t>
      </w:r>
      <w:r>
        <w:t>−2</w:t>
      </w:r>
      <w:r>
        <w:t xml:space="preserve"> </w:t>
      </w:r>
      <w:r>
        <w:t>），分别提供 12 250 和 1200 个周期。此外，软包电池与 I</w:t>
      </w:r>
      <w:r>
        <w:rPr>
          <w:vertAlign w:val="subscript"/>
        </w:rPr>
        <w:t>2</w:t>
      </w:r>
      <w:r>
        <w:t>提供 1.6 Ah。这种受生物启发的、定制的</w:t>
      </w:r>
    </w:p>
    <w:p>
      <w:pPr>
        <w:spacing w:before="0" w:after="200" w:lineRule="auto" w:line="276"/>
      </w:pPr>
      <w:r>
        <w:rPr>
          <w:b/>
        </w:rPr>
        <w:t xml:space="preserve">Abstract (EN): </w:t>
      </w:r>
      <w:r>
        <w:t>Aqueous zinc metal batteries are hindered by the prominent interfacial issues of the Zn anode, such as dendrite growth and intricate side reactions. The in situ construction of a stable solid‐electrolyte interphase (SEI) to address these issues remains a critical challenge, especially under high current density and harsh temperature conditions. Herein, inspired by the absorption of nutrients through plant epidermis, a gradient biomimetic multilayer self‐assembled SEI is constructed. This multilayer biomimetic SEI integrates an outer hydrophobic layer that repels water molecules to create a water‐poor interface, suppressing hydrogen evolution and facilitating Zn</w:t>
      </w:r>
      <w:r>
        <w:t xml:space="preserve"> </w:t>
      </w:r>
      <w:r>
        <w:t>2+</w:t>
      </w:r>
      <w:r>
        <w:t xml:space="preserve"> </w:t>
      </w:r>
      <w:r>
        <w:t>desolvation. The middle‐crosslinked layer stabilizes the SEI structure and captures SO</w:t>
      </w:r>
      <w:r>
        <w:rPr>
          <w:vertAlign w:val="subscript"/>
        </w:rPr>
        <w:t>4</w:t>
      </w:r>
      <w:r>
        <w:t>2−</w:t>
      </w:r>
      <w:r>
        <w:t>to mitigate side reactions, enabling dynamic interfacial regulation. Meanwhile, the innermost adsorption layer regulates Zn</w:t>
      </w:r>
      <w:r>
        <w:t xml:space="preserve"> </w:t>
      </w:r>
      <w:r>
        <w:t>2+</w:t>
      </w:r>
      <w:r>
        <w:t xml:space="preserve"> </w:t>
      </w:r>
      <w:r>
        <w:t>flux, promoting uniform planar deposition along the (002) crystal plane. Benefiting from the existence of biomimetic gradient SEI, the Zn||Zn cell delivers a cycling life of over 2250 h at 20 mA cm</w:t>
      </w:r>
      <w:r>
        <w:t xml:space="preserve"> </w:t>
      </w:r>
      <w:r>
        <w:t>−2</w:t>
      </w:r>
      <w:r>
        <w:t xml:space="preserve"> </w:t>
      </w:r>
      <w:r>
        <w:t>, and at ultrahigh current densities (50 and 100 mA cm</w:t>
      </w:r>
      <w:r>
        <w:t xml:space="preserve"> </w:t>
      </w:r>
      <w:r>
        <w:t>−2</w:t>
      </w:r>
      <w:r>
        <w:t xml:space="preserve"> </w:t>
      </w:r>
      <w:r>
        <w:t>), it delivers 12 250 and 1200 cycles, respectively. Furthermore, the pouch cells coupled with I</w:t>
      </w:r>
      <w:r>
        <w:rPr>
          <w:vertAlign w:val="subscript"/>
        </w:rPr>
        <w:t>2</w:t>
      </w:r>
      <w:r>
        <w:t>deliver 1.6 Ah. This bioinspired, customizable multilayer SEI achieves Ah‐scale performance and wide‐temperature adaptability, providing valuable insights into the advancement of practical aqueous batteries.</w:t>
      </w:r>
    </w:p>
    <w:p>
      <w:pPr>
        <w:spacing w:before="120" w:after="120"/>
      </w:pPr>
      <w:r>
        <w:rPr>
          <w:sz w:val="18"/>
        </w:rPr>
        <w:t>——————————————————————————————————————————————————————————————————————</w:t>
      </w:r>
    </w:p>
    <w:p>
      <w:pPr>
        <w:spacing w:before="160" w:after="40" w:line="240" w:lineRule="auto"/>
      </w:pPr>
      <w:r>
        <w:rPr>
          <w:b/>
        </w:rPr>
        <w:t xml:space="preserve">[11] </w:t>
      </w:r>
      <w:hyperlink r:id="rId96">
        <w:r>
          <w:rPr>
            <w:color w:val="1155CC"/>
            <w:u w:val="single"/>
          </w:rPr>
          <w:t>用于水系锌金属电池的可持续多功能天然高分子聚合物</w:t>
        </w:r>
      </w:hyperlink>
    </w:p>
    <w:p>
      <w:pPr>
        <w:spacing w:before="0" w:after="80"/>
      </w:pPr>
      <w:r>
        <w:rPr>
          <w:i/>
          <w:sz w:val="20"/>
        </w:rPr>
        <w:t>EN: Sustainable and Multifunctional Natural Macromolecular Polymers for Aqueous Zn Metal Batteries</w:t>
      </w:r>
    </w:p>
    <w:p>
      <w:pPr>
        <w:spacing w:before="0" w:after="120"/>
      </w:pPr>
      <w:r>
        <w:rPr>
          <w:b/>
        </w:rPr>
        <w:t xml:space="preserve">Source: </w:t>
      </w:r>
      <w:r>
        <w:t>Wiley: Advanced Materials: Table of Contents</w:t>
      </w:r>
      <w:r>
        <w:t xml:space="preserve">    </w:t>
      </w:r>
      <w:r>
        <w:rPr>
          <w:b/>
        </w:rPr>
        <w:t xml:space="preserve">Pub date: </w:t>
      </w:r>
      <w:r>
        <w:t>2026-08-08 09:14:31+00:00</w:t>
      </w:r>
      <w:r>
        <w:t xml:space="preserve">    </w:t>
      </w:r>
      <w:r>
        <w:rPr>
          <w:b/>
        </w:rPr>
        <w:t xml:space="preserve">DOI: </w:t>
      </w:r>
      <w:hyperlink r:id="rId97">
        <w:r>
          <w:rPr>
            <w:color w:val="1155CC"/>
            <w:u w:val="single"/>
          </w:rPr>
          <w:t>10.1002/adma.74525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水系锌离子电池（AZIB）因其固有的安全性、理想的容量和丰富的锌资源而成为一种极具竞争力的储能系统。然而，AZIB 的实际应用受到诸如锌阳极不受控制的枝晶生长、腐蚀和钝化等挑战的严重阻碍。天然高分子聚合物利用其多功能性、可持续性和具有卓越机械强度的多级结构，在开发优化锌阳极的有效策略方面表现出独特的潜力。该综述首次从微观和介观层面系统分析了天然聚合物的结构/表面特性及其对锌阳极的优化效果之间的结构-功能关系，并阐明了相关的调控机制。同时，根据不同的优化策略，对这些天然聚合物优化锌阳极的研究进展进行了梳理和分析，进一步阐明了天然聚合物的结构/性能、锌阳极优化策略和调控机制之间的相互关系。此外，该评论还确定并概述了天然聚合物在优化锌阳极方面面临的关键挑战。最终，这篇综述还为未来的研究方向和创新工程策略提供了一些前景，重点是天然聚合物来构建用于大规模应用的超稳定锌阳极</w:t>
      </w:r>
    </w:p>
    <w:p>
      <w:pPr>
        <w:spacing w:before="0" w:after="200" w:lineRule="auto" w:line="276"/>
      </w:pPr>
      <w:r>
        <w:rPr>
          <w:b/>
        </w:rPr>
        <w:t xml:space="preserve">Abstract (EN): </w:t>
      </w:r>
      <w:r>
        <w:t>Aqueous zinc‐ion batteries (AZIBs) have emerged as a highly competitive energy storage system, owing to their inherent safety, ideal capacity, and the abundance of zinc resources. However, the practical applications of AZIBs are significantly hampered by challenges such as uncontrolled dendrite growth, corrosion, and passivation of zinc anodes. Natural macromolecular polymers, leveraging their multifunctionality, sustainability, and multilevel structures featuring superior mechanical strength, demonstrate unique potential in the development of effective strategies for optimizing zinc anodes. This review is the first to systematically analyze, at both the microscopic and mesoscopic levels, the structure‐function relationships between the structural/surface characteristics of natural polymers and their optimization effect on zinc anodes, and elucidates the relevant regulatory mechanisms. Concurrently, the research progress on optimizing zinc anodes with these natural polymers is sorted out and analyzed according to different optimization strategies, further illustrating the interrelationship among the structure/properties of natural polymers, zinc anode optimization strategies, and regulatory mechanisms. Additionally, the review identifies and outlines the crucial challenges faced by natural polymers in terms of optimizing zinc anodes. Ultimately, this review also delivers some prospects for future research directions and innovative engineering strategies focusing on natural polymers to construct ultra‐stable zinc anodes for large‐scale applications.</w:t>
      </w:r>
    </w:p>
    <w:p>
      <w:pPr>
        <w:spacing w:before="120" w:after="120"/>
      </w:pPr>
      <w:r>
        <w:rPr>
          <w:sz w:val="18"/>
        </w:rPr>
        <w:t>——————————————————————————————————————————————————————————————————————</w:t>
      </w:r>
    </w:p>
    <w:p>
      <w:pPr>
        <w:spacing w:before="160" w:after="40" w:line="240" w:lineRule="auto"/>
      </w:pPr>
      <w:r>
        <w:rPr>
          <w:b/>
        </w:rPr>
        <w:t xml:space="preserve">[12] </w:t>
      </w:r>
      <w:hyperlink r:id="rId98">
        <w:r>
          <w:rPr>
            <w:color w:val="1155CC"/>
            <w:u w:val="single"/>
          </w:rPr>
          <w:t>离子桥使高容量和长循环水系锌硫电池的双界面工程成为可能</w:t>
        </w:r>
      </w:hyperlink>
    </w:p>
    <w:p>
      <w:pPr>
        <w:spacing w:before="0" w:after="80"/>
      </w:pPr>
      <w:r>
        <w:rPr>
          <w:i/>
          <w:sz w:val="20"/>
        </w:rPr>
        <w:t>EN: Ion Bridging Enables Dual‐Interface Engineering for High Capacity and Long Cycling Aqueous Zinc–Sulfur Battery</w:t>
      </w:r>
    </w:p>
    <w:p>
      <w:pPr>
        <w:spacing w:before="0" w:after="120"/>
      </w:pPr>
      <w:r>
        <w:rPr>
          <w:b/>
        </w:rPr>
        <w:t xml:space="preserve">Source: </w:t>
      </w:r>
      <w:r>
        <w:t>Wiley: Angewandte Chemie International Edition: Table of Contents</w:t>
      </w:r>
      <w:r>
        <w:t xml:space="preserve">    </w:t>
      </w:r>
      <w:r>
        <w:rPr>
          <w:b/>
        </w:rPr>
        <w:t xml:space="preserve">Pub date: </w:t>
      </w:r>
      <w:r>
        <w:t>2026-08-08 11:02:54+00:00</w:t>
      </w:r>
      <w:r>
        <w:t xml:space="preserve">    </w:t>
      </w:r>
      <w:r>
        <w:rPr>
          <w:b/>
        </w:rPr>
        <w:t xml:space="preserve">DOI: </w:t>
      </w:r>
      <w:hyperlink r:id="rId99">
        <w:r>
          <w:rPr>
            <w:color w:val="1155CC"/>
            <w:u w:val="single"/>
          </w:rPr>
          <w:t>10.1002/anie.9631813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硫电池（AZSB）由于其高能量密度和低成本而引起了广泛关注。然而，硫阴极有限的电化学可逆性和锌阳极的界面不稳定性阻碍了它们的实际应用。在这里，我们开发了一种功能化共溶剂电解质，其中包含非质子极性四甲基脲（TMU）和碘化钾（KI）作为协同添加剂，其中TMU调节Zn</w:t>
      </w:r>
      <w:r>
        <w:t xml:space="preserve"> </w:t>
      </w:r>
      <w:r>
        <w:t>2+</w:t>
      </w:r>
      <w:r>
        <w:t xml:space="preserve"> </w:t>
      </w:r>
      <w:r>
        <w:t>配位环境，并与碘化物配合构建电解质衍生的、界面限制的、配位介导的动态离子桥通路。该途径与 TMU 调节的 Zn 结合</w:t>
      </w:r>
      <w:r>
        <w:t xml:space="preserve"> </w:t>
      </w:r>
      <w:r>
        <w:t>2+</w:t>
      </w:r>
      <w:r>
        <w:t xml:space="preserve"> </w:t>
      </w:r>
      <w:r>
        <w:t>与我一起运输</w:t>
      </w:r>
      <w:r>
        <w:rPr>
          <w:vertAlign w:val="subscript"/>
        </w:rPr>
        <w:t>3</w:t>
      </w:r>
      <w:r>
        <w:t>-</w:t>
      </w:r>
      <w:r>
        <w:t>/我</w:t>
      </w:r>
      <w:r>
        <w:t xml:space="preserve"> </w:t>
      </w:r>
      <w:r>
        <w:t>-</w:t>
      </w:r>
      <w:r>
        <w:t>‐硫阴极界面介导的电荷转移，从而减少锌的动力学势垒</w:t>
      </w:r>
      <w:r>
        <w:t xml:space="preserve"> </w:t>
      </w:r>
      <w:r>
        <w:t>2+</w:t>
      </w:r>
      <w:r>
        <w:t xml:space="preserve"> </w:t>
      </w:r>
      <w:r>
        <w:t>运输和 ZnS 转化。同时，TMU/KI 调节的界面环境使 Zn 均匀化</w:t>
      </w:r>
      <w:r>
        <w:t xml:space="preserve"> </w:t>
      </w:r>
      <w:r>
        <w:t>2+</w:t>
      </w:r>
      <w:r>
        <w:t xml:space="preserve"> </w:t>
      </w:r>
      <w:r>
        <w:t>阳极处的助焊剂，促进均匀的镀锌/剥离，并抑制寄生反应。通过离子桥的协同调节，AZSB可提供759 mAh g的高比容量</w:t>
      </w:r>
      <w:r>
        <w:t xml:space="preserve"> </w:t>
      </w:r>
      <w:r>
        <w:t>−1</w:t>
      </w:r>
      <w:r>
        <w:t xml:space="preserve"> </w:t>
      </w:r>
      <w:r>
        <w:t>5安克时</w:t>
      </w:r>
      <w:r>
        <w:t xml:space="preserve"> </w:t>
      </w:r>
      <w:r>
        <w:t>−1</w:t>
      </w:r>
      <w:r>
        <w:t xml:space="preserve"> </w:t>
      </w:r>
      <w:r>
        <w:t>1000次循环后容量保持率保持在71.2%以上。这项工作提议</w:t>
      </w:r>
    </w:p>
    <w:p>
      <w:pPr>
        <w:spacing w:before="0" w:after="200" w:lineRule="auto" w:line="276"/>
      </w:pPr>
      <w:r>
        <w:rPr>
          <w:b/>
        </w:rPr>
        <w:t xml:space="preserve">Abstract (EN): </w:t>
      </w:r>
      <w:r>
        <w:t>Aqueous Zn–S batteries (AZSBs) have garnered significant attention owing to their high energy density and low cost. However, their practical application is hindered by the limited electrochemical reversibility of sulfur cathode and the interfacial instability of zinc anode. Here, we developed a functionalized co‐solvent electrolyte incorporating aprotic polar tetramethylurea (TMU) and potassium iodide (KI) as synergistic additives, where TMU regulates the Zn</w:t>
      </w:r>
      <w:r>
        <w:t xml:space="preserve"> </w:t>
      </w:r>
      <w:r>
        <w:t>2+</w:t>
      </w:r>
      <w:r>
        <w:t xml:space="preserve"> </w:t>
      </w:r>
      <w:r>
        <w:t>coordination environment and cooperates with iodide species to construct an electrolyte‐derived, interface‐confined, and coordination‐mediated dynamic ion bridge pathway. This pathway couples TMU‐regulated Zn</w:t>
      </w:r>
      <w:r>
        <w:t xml:space="preserve"> </w:t>
      </w:r>
      <w:r>
        <w:t>2+</w:t>
      </w:r>
      <w:r>
        <w:t xml:space="preserve"> </w:t>
      </w:r>
      <w:r>
        <w:t>transport with I</w:t>
      </w:r>
      <w:r>
        <w:rPr>
          <w:vertAlign w:val="subscript"/>
        </w:rPr>
        <w:t>3</w:t>
      </w:r>
      <w:r>
        <w:t>−</w:t>
      </w:r>
      <w:r>
        <w:t>/I</w:t>
      </w:r>
      <w:r>
        <w:t xml:space="preserve"> </w:t>
      </w:r>
      <w:r>
        <w:t>−</w:t>
      </w:r>
      <w:r>
        <w:t>‐mediated charge transfer at the sulfur cathode interface, thereby reducing the kinetic barriers for Zn</w:t>
      </w:r>
      <w:r>
        <w:t xml:space="preserve"> </w:t>
      </w:r>
      <w:r>
        <w:t>2+</w:t>
      </w:r>
      <w:r>
        <w:t xml:space="preserve"> </w:t>
      </w:r>
      <w:r>
        <w:t>transport and ZnS conversion. Meanwhile, the TMU/KI‐regulated interfacial environment homogenizes Zn</w:t>
      </w:r>
      <w:r>
        <w:t xml:space="preserve"> </w:t>
      </w:r>
      <w:r>
        <w:t>2+</w:t>
      </w:r>
      <w:r>
        <w:t xml:space="preserve"> </w:t>
      </w:r>
      <w:r>
        <w:t>flux at the anode, promotes uniform Zn plating/stripping, and suppresses parasitic reactions. Through the synergistic regulation of the ion bridge, the AZSB delivers a high specific capacity of 759 mAh g</w:t>
      </w:r>
      <w:r>
        <w:t xml:space="preserve"> </w:t>
      </w:r>
      <w:r>
        <w:t>−1</w:t>
      </w:r>
      <w:r>
        <w:t xml:space="preserve"> </w:t>
      </w:r>
      <w:r>
        <w:t>at 5 A g</w:t>
      </w:r>
      <w:r>
        <w:t xml:space="preserve"> </w:t>
      </w:r>
      <w:r>
        <w:t>−1</w:t>
      </w:r>
      <w:r>
        <w:t xml:space="preserve"> </w:t>
      </w:r>
      <w:r>
        <w:t>and maintains over 71.2% capacity retention after 1000 cycles. This work proposes a promising electrolyte design strategy for energetic AZSBs via synergistic regulation, offering a promising route toward next‐generation sustainable energy storage systems.</w:t>
      </w:r>
    </w:p>
    <w:p>
      <w:pPr>
        <w:spacing w:before="120" w:after="120"/>
      </w:pPr>
      <w:r>
        <w:rPr>
          <w:sz w:val="18"/>
        </w:rPr>
        <w:t>——————————————————————————————————————————————————————————————————————</w:t>
      </w:r>
    </w:p>
    <w:p>
      <w:pPr>
        <w:spacing w:before="160" w:after="40" w:line="240" w:lineRule="auto"/>
      </w:pPr>
      <w:r>
        <w:rPr>
          <w:b/>
        </w:rPr>
        <w:t xml:space="preserve">[13] </w:t>
      </w:r>
      <w:hyperlink r:id="rId100">
        <w:r>
          <w:rPr>
            <w:color w:val="1155CC"/>
            <w:u w:val="single"/>
          </w:rPr>
          <w:t>解锁水性锌卤电池中的双极电极-电解质固-固转换，以实现各种电池形式的高锌利用率</w:t>
        </w:r>
      </w:hyperlink>
    </w:p>
    <w:p>
      <w:pPr>
        <w:spacing w:before="0" w:after="80"/>
      </w:pPr>
      <w:r>
        <w:rPr>
          <w:i/>
          <w:sz w:val="20"/>
        </w:rPr>
        <w:t>EN: Unlocking bipolar electrode-electrolyte solid-solid conversion in aqueous zinc-halogen batteries for high Zn utilization across various cell formats</w:t>
      </w:r>
    </w:p>
    <w:p>
      <w:pPr>
        <w:spacing w:before="0" w:after="120"/>
      </w:pPr>
      <w:r>
        <w:rPr>
          <w:b/>
        </w:rPr>
        <w:t xml:space="preserve">Source: </w:t>
      </w:r>
      <w:r>
        <w:t>Physical sciences : Nature Communications subject feeds</w:t>
      </w:r>
      <w:r>
        <w:t xml:space="preserve">    </w:t>
      </w:r>
      <w:r>
        <w:rPr>
          <w:b/>
        </w:rPr>
        <w:t xml:space="preserve">Pub date: </w:t>
      </w:r>
      <w:r>
        <w:t>2026-08-10 00:00:00+00:00</w:t>
      </w:r>
    </w:p>
    <w:p>
      <w:pPr>
        <w:spacing w:before="0" w:after="120"/>
      </w:pPr>
      <w:r>
        <w:rPr>
          <w:b/>
        </w:rPr>
        <w:t xml:space="preserve">Notes: </w:t>
      </w:r>
      <w:r>
        <w:t>abstract_source=nature_html</w:t>
      </w:r>
    </w:p>
    <w:p>
      <w:pPr>
        <w:spacing w:before="0" w:after="80" w:lineRule="auto" w:line="276"/>
      </w:pPr>
      <w:r>
        <w:rPr>
          <w:b/>
        </w:rPr>
        <w:t xml:space="preserve">摘要（ZH）: </w:t>
      </w:r>
      <w:r>
        <w:t>对高能量密度电池日益增长的需求推动了水系锌基电池的实用化。然而，由于锌的可逆性和高负载正极的容量输出较差，硬币对称电池中实现的高锌利用率无法转化为全电池，尤其是大型软包电池。在这里，通过电极-电解质界面螯合的固-固界面转换机制有效地抑制了传统固-液转换机制下广泛存在的寄生反应。因此，硬币对称型、硬币型全型和袋型全型电池的锌利用率均较高（≥ 78.3%）。锌| |I2 软包电池（10 cm×10 cm）的比能量为 116.8 Wh kg−1（基于总质量），在 10 mA cm−2 下循环次数超过 850 次（容量保持率为 85.1%）。此外，固-固界面转化机制在卤素正极中表现出普遍性，推动了水性锌的实用化。 |卤素电池。</w:t>
      </w:r>
    </w:p>
    <w:p>
      <w:pPr>
        <w:spacing w:before="0" w:after="200" w:lineRule="auto" w:line="276"/>
      </w:pPr>
      <w:r>
        <w:rPr>
          <w:b/>
        </w:rPr>
        <w:t xml:space="preserve">Abstract (EN): </w:t>
      </w:r>
      <w:r>
        <w:t>The increasing demand for high-energy-density batteries pushes practical aqueous Zn-based batteries. However, high Zn utilization achieved in coin symmetric cells is unable to translate to full cells, especially large pouch cells, due to the poor reversibility of Zn and capacity output of high-loading positive electrodes. Here, solid-solid interfacial conversion mechanisms via chelation at electrodes-electrolyte interfaces effectively suppress parasitic reactions being widely prevalent under traditional solid-liquid conversion mechanisms. Consequently, high Zn utilization ( ≥ 78.3%) is unified across coin symmetric, coin full and pouch full cells. The Zn | |I2 pouch cell (10 cm×10 cm) demonstrates a specific energy of 116.8 Wh kg−1 (based on total mass) and over 850 cycles (85.1% capacity retention) at 10 mA cm−2. Furthermore, solid-solid interfacial conversion mechanisms exhibit universality across halogen positive electrodes, advancing practical aqueous Zn | |halogen batteries.</w:t>
      </w:r>
    </w:p>
    <w:p>
      <w:pPr>
        <w:spacing w:before="120" w:after="120"/>
      </w:pPr>
      <w:r>
        <w:rPr>
          <w:sz w:val="18"/>
        </w:rPr>
        <w:t>——————————————————————————————————————————————————————————————————————</w:t>
      </w:r>
    </w:p>
    <w:p>
      <w:pPr>
        <w:spacing w:before="160" w:after="40" w:line="240" w:lineRule="auto"/>
      </w:pPr>
      <w:r>
        <w:rPr>
          <w:b/>
        </w:rPr>
        <w:t xml:space="preserve">[14] </w:t>
      </w:r>
      <w:hyperlink r:id="rId130">
        <w:r>
          <w:rPr>
            <w:color w:val="1155CC"/>
            <w:u w:val="single"/>
          </w:rPr>
          <w:t>通过竞争性配位解耦离子偶极子相互作用，获得耐用的无枝晶锌金属电池</w:t>
        </w:r>
      </w:hyperlink>
    </w:p>
    <w:p>
      <w:pPr>
        <w:spacing w:before="0" w:after="80"/>
      </w:pPr>
      <w:r>
        <w:rPr>
          <w:i/>
          <w:sz w:val="20"/>
        </w:rPr>
        <w:t>EN: Decoupling Ion–Dipole Interactions via Competitive Coordination for Durable Dendrite-Free Zinc Metal Batteries</w:t>
      </w:r>
    </w:p>
    <w:p>
      <w:pPr>
        <w:spacing w:before="0" w:after="120"/>
      </w:pPr>
      <w:r>
        <w:rPr>
          <w:b/>
        </w:rPr>
        <w:t xml:space="preserve">Source: </w:t>
      </w:r>
      <w:r>
        <w:t>Nano-Micro Letters</w:t>
      </w:r>
      <w:r>
        <w:t xml:space="preserve">    </w:t>
      </w:r>
      <w:r>
        <w:rPr>
          <w:b/>
        </w:rPr>
        <w:t xml:space="preserve">Pub date: </w:t>
      </w:r>
      <w:r>
        <w:t>2026-08-10 00:00:00+00:00</w:t>
      </w:r>
      <w:r>
        <w:t xml:space="preserve">    </w:t>
      </w:r>
      <w:r>
        <w:rPr>
          <w:b/>
        </w:rPr>
        <w:t xml:space="preserve">DOI: </w:t>
      </w:r>
      <w:hyperlink r:id="rId131">
        <w:r>
          <w:rPr>
            <w:color w:val="1155CC"/>
            <w:u w:val="single"/>
          </w:rPr>
          <w:t>10.1007/s40820-026-02306-5</w:t>
        </w:r>
      </w:hyperlink>
    </w:p>
    <w:p>
      <w:pPr>
        <w:spacing w:before="0" w:after="120"/>
      </w:pPr>
      <w:r>
        <w:rPr>
          <w:b/>
        </w:rPr>
        <w:t xml:space="preserve">Notes: </w:t>
      </w:r>
      <w:r>
        <w:t>abstract_source=rss_description</w:t>
      </w:r>
    </w:p>
    <w:p>
      <w:pPr>
        <w:spacing w:before="0" w:after="80" w:lineRule="auto" w:line="276"/>
      </w:pPr>
      <w:r>
        <w:rPr>
          <w:b/>
        </w:rPr>
        <w:t xml:space="preserve">摘要（ZH）: </w:t>
      </w:r>
      <w:r>
        <w:t>水性锌金属电池（AZMB）以高安全性和高能量密度而闻名，但受到亥姆霍兹平面层周围的严峻挑战（例如Zn2+和H2O之间的强离子偶极相互作用）的限制，导致去溶剂化过程缓慢、传输动力学有限以及相应的较高势垒。为了重建离子偶极环境，提出了采用 L-肌肽 (L-CN) 的高永久偶极矩的界面化学，削弱 Zn2+ 和 H2O 之间的相互作用，实现拥挤的 Zn2+ 导电结构，加速去溶剂化动力学。结果表明，L-CN和Zn2+之间的强亲和力使L-CN分子能够排斥H2O，重新配置内亥姆霍兹平面层，从而抑制活性水分子形成析氢反应。因此，采用亥姆霍兹平面调制的Zn//Zn对称电池实现了长达7000小时的长寿命、99.72%的高库仑效率以及高放电深度（85.4%）的高稳定性。采用最佳电解质组装的 Zn//V2O5−x 全电池在 1 A g−1、N/P 比为 3.98 下循环 500 次后，容量为 289 mAh g−1。令人印象深刻的是，具有最佳电解质的大型软包电池可稳定循环200次，为重构亥姆霍兹平面以实现高性能AZMB提供了光明的前景。亮点：1引入竞争性永久偶极L-肌肽（L-CN）与Zn2+–H2O溶剂化壳中的Zn2+相互作用，形成Zn2+(L-CN)y(H2O)x结构，增强脱溶剂化</w:t>
      </w:r>
    </w:p>
    <w:p>
      <w:pPr>
        <w:spacing w:before="0" w:after="200" w:lineRule="auto" w:line="276"/>
      </w:pPr>
      <w:r>
        <w:rPr>
          <w:b/>
        </w:rPr>
        <w:t xml:space="preserve">Abstract (EN): </w:t>
      </w:r>
      <w:r>
        <w:t>The aqueous zinc metal batteries (AZMBs) are famous for high-safety and high-energy-density, but limited by severe challenges around the Helmholtz plane layer such as the strong ion–dipole interactions between Zn2+ and H2O, resulting in slow desolvation processes and limited transport kinetics as well as corresponding higher barriers. To reconstruct the ion–dipole surroundings, the interface chemistry of employing a high permanent dipole moment of L-Carnosine (L-CN) has been proposed, weakening the interactions between Zn2+ and H2O to realize a crowded Zn2+-conductive structure, accelerating the desolvation kinetics. As revealed, the strong affinity between L-CN and Zn2+ enables the L-CN molecules to repulse H2O, reconfiguring the inner Helmholtz plane layer, thereby inhibiting the active water molecular to form hydrogen evolution reactions. Consequently, the Zn//Zn symmetric cells with Helmholtz plane modulation achieve a long lifespan up to 7000 h, a high Coulombic efficiency of 99.72%, and a high stabilization at high depth of discharge (85.4%). The assembled Zn//V2O5−x full cell with optimal electrolyte delivers the capacity of 289 mAh g−1 after 500 cycles at 1 A g−1 under an N/P ratio of 3.98. Impressively, the large-scale pouch cell with optimal electrolyte stabilizes for 200 cycles, offering the bright future of reconstructing Helmholtz plane for achieving high-performance AZMBs. Highlights:1 A competitive permanent dipole L-Carnosine (L-CN) is introduced to interact with Zn2+ in the Zn2+–H2O solvation shell and form Zn2+(L-CN)y(H2O)x structure, enhancing the desolvation kinetics of [Zn(H2O)6]2+ and diffusion kinetics of zinc ions/atoms.2 The L-CN molecule forms a crowded Zn2+-conductive structure and remodels the inner Helmholtz plane layer with abundant Zn2+ flux, enabling durable dendrite-free Zn deposition.3 The cells with optimal electrolyte stabilize for 7000 h, a high Coulombic efficiency of 99.72%, and even stabilize over 200 h under a high depth of discharge of 85.4%. The assembled Zn//V2O5−x full cell delivers the capacity of 289 mAh g−1 after 500 cycles at 1 A g−1 under an N/P ratio of 3.98.</w:t>
      </w:r>
    </w:p>
    <w:p>
      <w:pPr>
        <w:spacing w:before="120" w:after="120"/>
      </w:pPr>
      <w:r>
        <w:rPr>
          <w:sz w:val="18"/>
        </w:rPr>
        <w:t>——————————————————————————————————————————————————————————————————————</w:t>
      </w:r>
    </w:p>
    <w:p>
      <w:pPr>
        <w:spacing w:before="160" w:after="40" w:line="240" w:lineRule="auto"/>
      </w:pPr>
      <w:r>
        <w:rPr>
          <w:b/>
        </w:rPr>
        <w:t xml:space="preserve">[15] </w:t>
      </w:r>
      <w:hyperlink r:id="rId107">
        <w:r>
          <w:rPr>
            <w:color w:val="1155CC"/>
            <w:u w:val="single"/>
          </w:rPr>
          <w:t>用于高能量密度全固态电池的双粘合剂启用的 18 µm 厚高电导率硫化物电解质薄膜</w:t>
        </w:r>
      </w:hyperlink>
    </w:p>
    <w:p>
      <w:pPr>
        <w:spacing w:before="0" w:after="80"/>
      </w:pPr>
      <w:r>
        <w:rPr>
          <w:i/>
          <w:sz w:val="20"/>
        </w:rPr>
        <w:t>EN: Dual‐Binder‐Enabled 18‐µm‐Thick High‐Conductivity Sulfide Electrolyte Film for High‐Energy‐Density All‐Solid‐State Batteries</w:t>
      </w:r>
    </w:p>
    <w:p>
      <w:pPr>
        <w:spacing w:before="0" w:after="120"/>
      </w:pPr>
      <w:r>
        <w:rPr>
          <w:b/>
        </w:rPr>
        <w:t xml:space="preserve">Source: </w:t>
      </w:r>
      <w:r>
        <w:t>Wiley: Advanced Materials: Table of Contents</w:t>
      </w:r>
      <w:r>
        <w:t xml:space="preserve">    </w:t>
      </w:r>
      <w:r>
        <w:rPr>
          <w:b/>
        </w:rPr>
        <w:t xml:space="preserve">Pub date: </w:t>
      </w:r>
      <w:r>
        <w:t>2026-08-10 08:15:02+00:00</w:t>
      </w:r>
      <w:r>
        <w:t xml:space="preserve">    </w:t>
      </w:r>
      <w:r>
        <w:rPr>
          <w:b/>
        </w:rPr>
        <w:t xml:space="preserve">DOI: </w:t>
      </w:r>
      <w:hyperlink r:id="rId108">
        <w:r>
          <w:rPr>
            <w:color w:val="1155CC"/>
            <w:u w:val="single"/>
          </w:rPr>
          <w:t>10.1002/adma.74533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薄、高离子电导率硫化物固态电解质（SSE）薄膜的开发对于实现高能量密度全固态电池（ASSB）至关重要。然而，传统的化学惰性粘合剂不可避免地阻碍SSE薄膜内的锂离子传输动力学，并且潜在的锂离子传输机制仍然难以捉摸。在这项工作中，我们报告了一种锂离子导电聚合物粘合剂（LiTFSI-PMEMA），并通过干法加工将其与SSE集成，以制造超薄SSE薄膜（USF）。所得 USF 厚度仅为 18 µm，并具有 1.56 mS cm 的高离子电导率</w:t>
      </w:r>
      <w:r>
        <w:t xml:space="preserve"> </w:t>
      </w:r>
      <w:r>
        <w:t>−1</w:t>
      </w:r>
      <w:r>
        <w:t xml:space="preserve"> </w:t>
      </w:r>
      <w:r>
        <w:t>。通过结合低温透射电子显微镜（cryo-TEM）、固态核磁共振（ssNMR）和理论模拟，我们提出了一种Li</w:t>
      </w:r>
      <w:r>
        <w:t xml:space="preserve"> </w:t>
      </w:r>
      <w:r>
        <w:t>+</w:t>
      </w:r>
      <w:r>
        <w:t xml:space="preserve"> </w:t>
      </w:r>
      <w:r>
        <w:t>输运模型中，SSE 相提供主要传导路径，而聚合物粘合剂和 SSE/聚合物接触区域可以辅助局部 Li</w:t>
      </w:r>
      <w:r>
        <w:t xml:space="preserve"> </w:t>
      </w:r>
      <w:r>
        <w:t>+</w:t>
      </w:r>
      <w:r>
        <w:t xml:space="preserve"> </w:t>
      </w:r>
      <w:r>
        <w:t>相邻 SSE 粒子之间的传输连续性。当在 ASSB 中实施时，USF 表现出卓越的界面相容性和动力学稳定性，可实现长期循环寿命，在 1500 次循环中容量保持率为 70.3%。此外，LiNi</w:t>
      </w:r>
      <w:r>
        <w:t xml:space="preserve"> </w:t>
      </w:r>
      <w:r>
        <w:t>0.7</w:t>
      </w:r>
      <w:r>
        <w:t xml:space="preserve"> </w:t>
      </w:r>
      <w:r>
        <w:t>钴</w:t>
      </w:r>
      <w:r>
        <w:t xml:space="preserve"> </w:t>
      </w:r>
      <w:r>
        <w:t>0.2</w:t>
      </w:r>
      <w:r>
        <w:t xml:space="preserve"> </w:t>
      </w:r>
      <w:r>
        <w:t>锰</w:t>
      </w:r>
      <w:r>
        <w:t xml:space="preserve"> </w:t>
      </w:r>
      <w:r>
        <w:t>0.1</w:t>
      </w:r>
      <w:r>
        <w:t xml:space="preserve"> </w:t>
      </w:r>
      <w:r>
        <w:t>氧</w:t>
      </w:r>
      <w:r>
        <w:rPr>
          <w:vertAlign w:val="subscript"/>
        </w:rPr>
        <w:t>2</w:t>
      </w:r>
      <w:r>
        <w:t>||USF||nSi 软包电池提供高堆叠级别</w:t>
      </w:r>
    </w:p>
    <w:p>
      <w:pPr>
        <w:spacing w:before="0" w:after="200" w:lineRule="auto" w:line="276"/>
      </w:pPr>
      <w:r>
        <w:rPr>
          <w:b/>
        </w:rPr>
        <w:t xml:space="preserve">Abstract (EN): </w:t>
      </w:r>
      <w:r>
        <w:t>The development of ultrathin, high ionic conductivity sulfide solid‐state electrolytes (SSEs) film is essential for achieving high‐energy‐density all‐solid‐state batteries (ASSBs). However, conventional chemically inert binders inevitably impede Li‐ion transport kinetics within SSE films, and the underlying Li‐ion transport mechanisms remain elusive. In this work, we report an Li‐ion‐conductive polymer binder (LiTFSI‐PMEMA) and integrate it with SSEs via dry processing to fabricate an ultrathin SSE film (USF). The resulting USF is only 18 µm thick and exhibits a high ionic conductivity of 1.56 mS cm</w:t>
      </w:r>
      <w:r>
        <w:t xml:space="preserve"> </w:t>
      </w:r>
      <w:r>
        <w:t>‒1</w:t>
      </w:r>
      <w:r>
        <w:t xml:space="preserve"> </w:t>
      </w:r>
      <w:r>
        <w:t>. By combining cryogenic transmission electron microscopy (cryo‐TEM), solid‐state nuclear magnetic resonance (ssNMR), and theoretical simulations, we propose an Li</w:t>
      </w:r>
      <w:r>
        <w:t xml:space="preserve"> </w:t>
      </w:r>
      <w:r>
        <w:t>+</w:t>
      </w:r>
      <w:r>
        <w:t xml:space="preserve"> </w:t>
      </w:r>
      <w:r>
        <w:t>transport model in which the SSE phase provides the dominant conduction pathway, while the polymer binder and SSEs/polymer contact regions can assist local Li</w:t>
      </w:r>
      <w:r>
        <w:t xml:space="preserve"> </w:t>
      </w:r>
      <w:r>
        <w:t>+</w:t>
      </w:r>
      <w:r>
        <w:t xml:space="preserve"> </w:t>
      </w:r>
      <w:r>
        <w:t>transport continuity between neighboring SSE particles. When implemented in ASSBs, the USF exhibits exceptional interfacial compatibility and kinetic stability, enabling a long‐term cycling life with 70.3% capacity retention over 1500 cycles. Furthermore, a LiNi</w:t>
      </w:r>
      <w:r>
        <w:t xml:space="preserve"> </w:t>
      </w:r>
      <w:r>
        <w:t>0.7</w:t>
      </w:r>
      <w:r>
        <w:t xml:space="preserve"> </w:t>
      </w:r>
      <w:r>
        <w:t>Co</w:t>
      </w:r>
      <w:r>
        <w:t xml:space="preserve"> </w:t>
      </w:r>
      <w:r>
        <w:t>0.2</w:t>
      </w:r>
      <w:r>
        <w:t xml:space="preserve"> </w:t>
      </w:r>
      <w:r>
        <w:t>Mn</w:t>
      </w:r>
      <w:r>
        <w:t xml:space="preserve"> </w:t>
      </w:r>
      <w:r>
        <w:t>0.1</w:t>
      </w:r>
      <w:r>
        <w:t xml:space="preserve"> </w:t>
      </w:r>
      <w:r>
        <w:t>O</w:t>
      </w:r>
      <w:r>
        <w:rPr>
          <w:vertAlign w:val="subscript"/>
        </w:rPr>
        <w:t>2</w:t>
      </w:r>
      <w:r>
        <w:t>||USF||nSi pouch cell delivers a high stack‐level energy density of 322.7 Wh kg</w:t>
      </w:r>
      <w:r>
        <w:t xml:space="preserve"> </w:t>
      </w:r>
      <w:r>
        <w:t>‒1</w:t>
      </w:r>
      <w:r>
        <w:t xml:space="preserve"> </w:t>
      </w:r>
      <w:r>
        <w:t>. This work provides crucial insights into the multiphase Li‐ion transport kinetics and demonstrates a scalable manufacturing strategy for sulfide‐based ASSBs.</w:t>
      </w:r>
    </w:p>
    <w:p>
      <w:pPr>
        <w:spacing w:before="120" w:after="120"/>
      </w:pPr>
      <w:r>
        <w:rPr>
          <w:sz w:val="18"/>
        </w:rPr>
        <w:t>——————————————————————————————————————————————————————————————————————</w:t>
      </w:r>
    </w:p>
    <w:p>
      <w:pPr>
        <w:spacing w:before="160" w:after="40" w:line="240" w:lineRule="auto"/>
      </w:pPr>
      <w:r>
        <w:rPr>
          <w:b/>
        </w:rPr>
        <w:t xml:space="preserve">[16] </w:t>
      </w:r>
      <w:hyperlink r:id="rId132">
        <w:r>
          <w:rPr>
            <w:color w:val="1155CC"/>
            <w:u w:val="single"/>
          </w:rPr>
          <w:t>解码无锂阳极系统中电偶腐蚀驱动的脱锂机制</w:t>
        </w:r>
      </w:hyperlink>
    </w:p>
    <w:p>
      <w:pPr>
        <w:spacing w:before="0" w:after="80"/>
      </w:pPr>
      <w:r>
        <w:rPr>
          <w:i/>
          <w:sz w:val="20"/>
        </w:rPr>
        <w:t>EN: Decoding a Galvanic Corrosion-Driven Lithium Stripping Mechanism in Lithium-Free Anode Systems</w:t>
      </w:r>
    </w:p>
    <w:p>
      <w:pPr>
        <w:spacing w:before="0" w:after="120"/>
      </w:pPr>
      <w:r>
        <w:rPr>
          <w:b/>
        </w:rPr>
        <w:t xml:space="preserve">Source: </w:t>
      </w:r>
      <w:r>
        <w:t>ACS Energy Letters: Latest Articles (ACS Publications)</w:t>
      </w:r>
      <w:r>
        <w:t xml:space="preserve">    </w:t>
      </w:r>
      <w:r>
        <w:rPr>
          <w:b/>
        </w:rPr>
        <w:t xml:space="preserve">Pub date: </w:t>
      </w:r>
      <w:r>
        <w:t>2026-08-11 00:00:00+00:00</w:t>
      </w:r>
      <w:r>
        <w:t xml:space="preserve">    </w:t>
      </w:r>
      <w:r>
        <w:rPr>
          <w:b/>
        </w:rPr>
        <w:t xml:space="preserve">DOI: </w:t>
      </w:r>
      <w:hyperlink r:id="rId133">
        <w:r>
          <w:rPr>
            <w:color w:val="1155CC"/>
            <w:u w:val="single"/>
          </w:rPr>
          <w:t>10.1021/acsenergylett.6c00721</w:t>
        </w:r>
      </w:hyperlink>
    </w:p>
    <w:p>
      <w:pPr>
        <w:spacing w:before="0" w:after="120"/>
      </w:pPr>
      <w:r>
        <w:rPr>
          <w:b/>
        </w:rPr>
        <w:t xml:space="preserve">Notes: </w:t>
      </w:r>
      <w:r>
        <w:t>abstract_source=crossref</w:t>
      </w:r>
    </w:p>
    <w:p>
      <w:pPr>
        <w:spacing w:before="0" w:after="80" w:lineRule="auto" w:line="276"/>
      </w:pPr>
      <w:r>
        <w:rPr>
          <w:b/>
        </w:rPr>
        <w:t xml:space="preserve">摘要（ZH）: </w:t>
      </w:r>
      <w:r>
        <w:t>摘要：无锂锂金属电池（LFLMB）通过消除多余的锂来提高电池级能量密度，但对库仑效率（CE）损失仍然敏感。在这里，我们将 Li/Cu 界面处的电偶腐蚀确定为一种被忽视的失效机制，它会扭曲 CE 测量并改变锂剥离路径，导致不活跃的锂积累。使用操作可视化、建模和 DFT 计算，我们表明腐蚀驱动的过程会破坏电子连接并引起不均匀剥离。我们进一步证明，维持渗透电子途径可以调节锂的去除并减少死锂的形成。由于这种导电框架可以通过冶金或涂层方法引入，因此这项工作建立了一种设计原则，用于提高无锂和传统锂金属负极中的锂可逆性。</w:t>
      </w:r>
    </w:p>
    <w:p>
      <w:pPr>
        <w:spacing w:before="0" w:after="200" w:lineRule="auto" w:line="276"/>
      </w:pPr>
      <w:r>
        <w:rPr>
          <w:b/>
        </w:rPr>
        <w:t xml:space="preserve">Abstract (EN): </w:t>
      </w:r>
      <w:r>
        <w:t>Li-free lithium metal batteries (LFLMBs) increase cell-level energy density by eliminating excess lithium but remain sensitive to Coulombic efficiency (CE) losses. Here, we identify galvanic corrosion at the Li/Cu interface as an overlooked failure mechanism that distorts CE measurements and alters lithium stripping pathways, leading to inactive lithium accumulation. Using operando visualization, modeling, and DFT calculations, we show that corrosion-driven processes disrupt electronic connectivity and induce nonuniform stripping. We further demonstrate that maintaining percolating electronic pathways regulates lithium removal and reduces dead lithium formation. Because such conductive frameworks can be introduced through metallurgical or coating approaches, this work establishes a design principle for improving lithium reversibility in both Li-free and conventional lithium metal anodes.</w:t>
      </w:r>
    </w:p>
    <w:p>
      <w:pPr>
        <w:spacing w:before="120" w:after="120"/>
      </w:pPr>
      <w:r>
        <w:rPr>
          <w:sz w:val="18"/>
        </w:rPr>
        <w:t>——————————————————————————————————————————————————————————————————————</w:t>
      </w:r>
    </w:p>
    <w:p>
      <w:pPr>
        <w:spacing w:before="160" w:after="40" w:line="240" w:lineRule="auto"/>
      </w:pPr>
      <w:r>
        <w:rPr>
          <w:b/>
        </w:rPr>
        <w:t xml:space="preserve">[17] </w:t>
      </w:r>
      <w:hyperlink r:id="rId134">
        <w:r>
          <w:rPr>
            <w:color w:val="1155CC"/>
            <w:u w:val="single"/>
          </w:rPr>
          <w:t>通过相场建模揭示锂-固体电解质界面的时间和几何驱动的空隙动力学</w:t>
        </w:r>
      </w:hyperlink>
    </w:p>
    <w:p>
      <w:pPr>
        <w:spacing w:before="0" w:after="80"/>
      </w:pPr>
      <w:r>
        <w:rPr>
          <w:i/>
          <w:sz w:val="20"/>
        </w:rPr>
        <w:t>EN: Time- and Geometry-Driven Void Dynamics at the Lithium-Solid Electrolyte Interface Revealed by Phase-Field Modeling</w:t>
      </w:r>
    </w:p>
    <w:p>
      <w:pPr>
        <w:spacing w:before="0" w:after="120"/>
      </w:pPr>
      <w:r>
        <w:rPr>
          <w:b/>
        </w:rPr>
        <w:t xml:space="preserve">Source: </w:t>
      </w:r>
      <w:r>
        <w:t>ACS Applied Materials &amp; Interfaces: Latest Articles (ACS Publications)</w:t>
      </w:r>
      <w:r>
        <w:t xml:space="preserve">    </w:t>
      </w:r>
      <w:r>
        <w:rPr>
          <w:b/>
        </w:rPr>
        <w:t xml:space="preserve">Pub date: </w:t>
      </w:r>
      <w:r>
        <w:t>2026-08-11 00:00:00+00:00</w:t>
      </w:r>
      <w:r>
        <w:t xml:space="preserve">    </w:t>
      </w:r>
      <w:r>
        <w:rPr>
          <w:b/>
        </w:rPr>
        <w:t xml:space="preserve">DOI: </w:t>
      </w:r>
      <w:hyperlink r:id="rId135">
        <w:r>
          <w:rPr>
            <w:color w:val="1155CC"/>
            <w:u w:val="single"/>
          </w:rPr>
          <w:t>10.1021/acsami.6c06437</w:t>
        </w:r>
      </w:hyperlink>
    </w:p>
    <w:p>
      <w:pPr>
        <w:spacing w:before="0" w:after="120"/>
      </w:pPr>
      <w:r>
        <w:rPr>
          <w:b/>
        </w:rPr>
        <w:t xml:space="preserve">Notes: </w:t>
      </w:r>
      <w:r>
        <w:t>abstract_source=crossref</w:t>
      </w:r>
    </w:p>
    <w:p>
      <w:pPr>
        <w:spacing w:before="0" w:after="80" w:lineRule="auto" w:line="276"/>
      </w:pPr>
      <w:r>
        <w:rPr>
          <w:b/>
        </w:rPr>
        <w:t xml:space="preserve">摘要（ZH）: </w:t>
      </w:r>
      <w:r>
        <w:t>摘要 锂/固体电解质（Li/SE）界面处的界面空隙形成是固态锂金属电池的主要降解机制，导致接触损耗、电流局域化和枝晶引起的失效。在这里，采用完全耦合的电化学机械相场框架来研究实际循环协议、界面形态和堆栈压力下的空隙演化。我们证明，空隙增长基本上是时间主导的，表明固定时间循环协议歪曲了在固定容量操作下观察到的退化趋势。由于延长的剥离持续时间，较低的电流密度会促进严重的空洞生长，而较高的电流密度会抑制空洞扩张，同时放大电流局部化。确定了一个临界空隙尺寸，低于该尺寸，蠕变介导的锂流动能够使空隙闭合，该阈值随着电流密度的增加而减小。我们进一步表明，空隙几何形状、SE 表面粗糙度和缺陷定位（而不仅仅是空隙面积）控制着界面稳定性和有效电流密度放大。堆叠压力减少了空隙面积，但并不能普遍改善接触或界面稳定性，其结果很大程度上取决于空隙形态。这些发现为固态锂金属电池的界面工程、循环策略和压力管理提供了基于物理的设计指南。</w:t>
      </w:r>
    </w:p>
    <w:p>
      <w:pPr>
        <w:spacing w:before="0" w:after="200" w:lineRule="auto" w:line="276"/>
      </w:pPr>
      <w:r>
        <w:rPr>
          <w:b/>
        </w:rPr>
        <w:t xml:space="preserve">Abstract (EN): </w:t>
      </w:r>
      <w:r>
        <w:t>Interfacial void formation at the lithium/solid electrolyte (Li/SE) interface is a primary degradation mechanism in solid-state lithium-metal batteries, leading to contact loss, current localization, and dendrite-induced failure. Here, a fully coupled electro-chemo-mechanical phase-field framework is employed to investigate void evolution under realistic cycling protocols, interfacial morphologies, and stack pressures. We demonstrate that void growth is fundamentally time-dominated, showing that fixed-time cycling protocols misrepresent degradation trends observed under fixed-capacity operation. Lower current densities promote severe void growth due to prolonged stripping durations, whereas higher current densities suppress void expansion while amplifying current localization. A critical void size is identified below which creep-mediated lithium flow enables void closure, with this threshold decreasing with increasing current density. We further show that void geometry, SE surface roughness, and defect positioning—not void area alone—govern interfacial stability and effective current density amplification. Stack pressure reduces void area but does not universally improve contact or interfacial stability, with outcomes strongly dependent on void morphology. These findings provide physics-based design guidelines for interface engineering, cycling strategies, and pressure management in solid-state lithium-metal batteries.</w:t>
      </w:r>
    </w:p>
    <w:p>
      <w:pPr>
        <w:spacing w:before="120" w:after="120"/>
      </w:pPr>
      <w:r>
        <w:rPr>
          <w:sz w:val="18"/>
        </w:rPr>
        <w:t>——————————————————————————————————————————————————————————————————————</w:t>
      </w:r>
    </w:p>
    <w:p>
      <w:pPr>
        <w:spacing w:before="160" w:after="40" w:line="240" w:lineRule="auto"/>
      </w:pPr>
      <w:r>
        <w:rPr>
          <w:b/>
        </w:rPr>
        <w:t xml:space="preserve">[18] </w:t>
      </w:r>
      <w:hyperlink r:id="rId136">
        <w:r>
          <w:rPr>
            <w:color w:val="1155CC"/>
            <w:u w:val="single"/>
          </w:rPr>
          <w:t>集成结构锚固与内置 3D 离子通道的网状铝硅阳极，用于高功率密度全固态锂电池</w:t>
        </w:r>
      </w:hyperlink>
    </w:p>
    <w:p>
      <w:pPr>
        <w:spacing w:before="0" w:after="80"/>
      </w:pPr>
      <w:r>
        <w:rPr>
          <w:i/>
          <w:sz w:val="20"/>
        </w:rPr>
        <w:t>EN: Net-like Al–Si Anode Integrating Structural Anchoring with Built-In 3D Ion Channels for High-Power-Density All-Solid-State Lithium Batteries</w:t>
      </w:r>
    </w:p>
    <w:p>
      <w:pPr>
        <w:spacing w:before="0" w:after="120"/>
      </w:pPr>
      <w:r>
        <w:rPr>
          <w:b/>
        </w:rPr>
        <w:t xml:space="preserve">Source: </w:t>
      </w:r>
      <w:r>
        <w:t>ACS Applied Materials &amp; Interfaces: Latest Articles (ACS Publications)</w:t>
      </w:r>
      <w:r>
        <w:t xml:space="preserve">    </w:t>
      </w:r>
      <w:r>
        <w:rPr>
          <w:b/>
        </w:rPr>
        <w:t xml:space="preserve">Pub date: </w:t>
      </w:r>
      <w:r>
        <w:t>2026-08-11 00:00:00+00:00</w:t>
      </w:r>
      <w:r>
        <w:t xml:space="preserve">    </w:t>
      </w:r>
      <w:r>
        <w:rPr>
          <w:b/>
        </w:rPr>
        <w:t xml:space="preserve">DOI: </w:t>
      </w:r>
      <w:hyperlink r:id="rId137">
        <w:r>
          <w:rPr>
            <w:color w:val="1155CC"/>
            <w:u w:val="single"/>
          </w:rPr>
          <w:t>10.1021/acsami.6c10310</w:t>
        </w:r>
      </w:hyperlink>
    </w:p>
    <w:p>
      <w:pPr>
        <w:spacing w:before="0" w:after="120"/>
      </w:pPr>
      <w:r>
        <w:rPr>
          <w:b/>
        </w:rPr>
        <w:t xml:space="preserve">Notes: </w:t>
      </w:r>
      <w:r>
        <w:t>abstract_source=crossref</w:t>
      </w:r>
    </w:p>
    <w:p>
      <w:pPr>
        <w:spacing w:before="0" w:after="80" w:lineRule="auto" w:line="276"/>
      </w:pPr>
      <w:r>
        <w:rPr>
          <w:b/>
        </w:rPr>
        <w:t xml:space="preserve">摘要（ZH）: </w:t>
      </w:r>
      <w:r>
        <w:t>摘要 铝（Al）由于其高理论比容量和本质上较低的成本，作为全固态锂电池（ASSLB）的负极材料具有广阔的前景。然而，其实际应用受到急剧的体积膨胀和不均匀的锂化以及随后的界面化学电化学降解的严重限制。在这里，我们通过共晶成分工程和有针对性的预锂化策略在 Al88Si12-10%Li 阳极中合成了网状“膨胀锚”结构。该结构利用Al和Si之间固有的热力学和动力学差异来引导纳米级锂-硅扩展网络的形成。预形成的网络不仅对Al颗粒施加可控的压缩预应力以适应体积膨胀，而且还构建了连续的3D锂离子传输路径以加深可逆（脱）锂化深度。双重功能可将电极膨胀从 45.5% 减少到 14.7%，而无需颗粒粉碎。由此产生的全电池可提供高达 10C 的卓越倍率能力，并在 6C 下保持稳定循环 500 个周期，容量保持率为 75.6%。此外，它在高面积负载（超过 4 mA h·cm–2）下表现出强大的性能，提供高达 1200 W·kg–1 的具有竞争力的电极级功率密度。这种设计的微观结构工程为下一代 ASSLB 中高性能合金阳极的开发建立了可扩展的途径。</w:t>
      </w:r>
    </w:p>
    <w:p>
      <w:pPr>
        <w:spacing w:before="0" w:after="200" w:lineRule="auto" w:line="276"/>
      </w:pPr>
      <w:r>
        <w:rPr>
          <w:b/>
        </w:rPr>
        <w:t xml:space="preserve">Abstract (EN): </w:t>
      </w:r>
      <w:r>
        <w:t>Aluminum (Al) holds great promise as an anode material for all-solid-state lithium batteries (ASSLBs), owing to its high theoretical specific capacity and intrinsically low cost. Nevertheless, its practical implementation is critically constrained by dramatic volume expansion and uneven lithiation, along with the subsequent interfacial chemo-electrochemical degradation. Here, we synthesized a net-like "expansion anchor" structure in an Al88Si12-10%Li anode via eutectic composition engineering and a targeted pre-lithiation strategy. This architecture exploits the inherent thermodynamic and kinetic disparities between Al and Si to guide the formation of a nanoscale lithium–silicon expanded network. The pre-formed network not only imposes controllable compressive pre-stress on the Al particles to accommodate the volume expansion but also constructs continuous 3D lithium-ion transport pathways to deepen the reversible (de)lithiation depth. Dual functions reduce the electrode expansion from 45.5 to 14.7% without particle pulverization. The resultant full cells deliver exceptional rate capability up to 10C and maintain stable cycling at 6C for 500 cycles with 75.6% capacity retention. Furthermore, it exhibits robust performance under high areal loading (over 4 mA h·cm–2), delivering a competitive electrode-level power density of up to 1200 W·kg–1. This designed microstructural engineering establishes a scalable pathway for the development of high-performance alloy anodes in next-generation ASSLBs.</w:t>
      </w:r>
    </w:p>
    <w:p>
      <w:pPr>
        <w:spacing w:before="120" w:after="120"/>
      </w:pPr>
      <w:r>
        <w:rPr>
          <w:sz w:val="18"/>
        </w:rPr>
        <w:t>——————————————————————————————————————————————————————————————————————</w:t>
      </w:r>
    </w:p>
    <w:p>
      <w:pPr>
        <w:spacing w:before="160" w:after="40" w:line="240" w:lineRule="auto"/>
      </w:pPr>
      <w:r>
        <w:rPr>
          <w:b/>
        </w:rPr>
        <w:t xml:space="preserve">[19] </w:t>
      </w:r>
      <w:hyperlink r:id="rId138">
        <w:r>
          <w:rPr>
            <w:color w:val="1155CC"/>
            <w:u w:val="single"/>
          </w:rPr>
          <w:t>通过电场调制增强钠离子跨固体电解质界面的传输</w:t>
        </w:r>
      </w:hyperlink>
    </w:p>
    <w:p>
      <w:pPr>
        <w:spacing w:before="0" w:after="80"/>
      </w:pPr>
      <w:r>
        <w:rPr>
          <w:i/>
          <w:sz w:val="20"/>
        </w:rPr>
        <w:t>EN: Enhanced Sodium-Ion Transport across Solid Electrolyte Interphase via Electric-Field Modulation</w:t>
      </w:r>
    </w:p>
    <w:p>
      <w:pPr>
        <w:spacing w:before="0" w:after="120"/>
      </w:pPr>
      <w:r>
        <w:rPr>
          <w:b/>
        </w:rPr>
        <w:t xml:space="preserve">Source: </w:t>
      </w:r>
      <w:r>
        <w:t>Journal of the American Chemical Society: Latest Articles (ACS Publications)</w:t>
      </w:r>
      <w:r>
        <w:t xml:space="preserve">    </w:t>
      </w:r>
      <w:r>
        <w:rPr>
          <w:b/>
        </w:rPr>
        <w:t xml:space="preserve">Pub date: </w:t>
      </w:r>
      <w:r>
        <w:t>2026-08-11 00:00:00+00:00</w:t>
      </w:r>
      <w:r>
        <w:t xml:space="preserve">    </w:t>
      </w:r>
      <w:r>
        <w:rPr>
          <w:b/>
        </w:rPr>
        <w:t xml:space="preserve">DOI: </w:t>
      </w:r>
      <w:hyperlink r:id="rId139">
        <w:r>
          <w:rPr>
            <w:color w:val="1155CC"/>
            <w:u w:val="single"/>
          </w:rPr>
          <w:t>10.1021/jacs.6c08495</w:t>
        </w:r>
      </w:hyperlink>
    </w:p>
    <w:p>
      <w:pPr>
        <w:spacing w:before="0" w:after="120"/>
      </w:pPr>
      <w:r>
        <w:rPr>
          <w:b/>
        </w:rPr>
        <w:t xml:space="preserve">Notes: </w:t>
      </w:r>
      <w:r>
        <w:t>abstract_source=crossref</w:t>
      </w:r>
    </w:p>
    <w:p>
      <w:pPr>
        <w:spacing w:before="0" w:after="80" w:lineRule="auto" w:line="276"/>
      </w:pPr>
      <w:r>
        <w:rPr>
          <w:b/>
        </w:rPr>
        <w:t xml:space="preserve">摘要（ZH）: </w:t>
      </w:r>
      <w:r>
        <w:t>摘要 固体电解质界面（SEI）的离子传输特性关键控制着可充电电池的动力学和循环稳定性。然而，对这种动态多组分界面内离子传输的机制理解仍然有限。在这项研究中，我们证明了 SEI 内部电场的空间变化决定了 Na+ 传输机制的根本转变。在靠近电极的薄 SEI 区域内，强电场占主导地位，使 Na+ 能够以最小的散射进行弹道传输，从而促进离子快速迁移。相反，在电场减弱的较厚 SEI 区域，频繁的离子碰撞占主导地位，导致扩散传输和离子迁移率降低。为了验证这一机制，我们结合分子动力学和密度泛函理论模拟来评估基于盐-溶剂相互作用的电解质还原性。这些计算见解得到原位、无损恒电位计时库仑技术的补充，以定量确定 SEI 形成电荷。对 23 种代表性电解质的系统评估揭示了 SEI 形成电荷和 SEI 电阻 (RSEI) 之间的强相关性，与电场依赖的离子传输模型 (R2 = 0.993) 一致。值得注意的是，八种电解质的 SEI 形成电荷低于 50% 且 RSEI 较低，证明抑制 SEI 形成可促进弹道式 Na+ 迁移。最佳电解质是 1 M NaPF6 的四乙二醇二甲醚 (TEGDME) 溶液，可形成</w:t>
      </w:r>
    </w:p>
    <w:p>
      <w:pPr>
        <w:spacing w:before="0" w:after="200" w:lineRule="auto" w:line="276"/>
      </w:pPr>
      <w:r>
        <w:rPr>
          <w:b/>
        </w:rPr>
        <w:t xml:space="preserve">Abstract (EN): </w:t>
      </w:r>
      <w:r>
        <w:t>The ion transport properties of the solid electrolyte interphase (SEI) critically govern the kinetics and cycling stability of rechargeable batteries. However, a mechanistic understanding of ion transport within this dynamic, multicomponent interphase remains limited. In this study, we demonstrate that spatial variations in the internal electric field across the SEI dictates a fundamental transition in Na+ transport mechanisms. Within the thin SEI region adjacent to the electrode, a strong electric field dominates, enabling ballistic Na+ transport with minimal scattering and thus facilitating rapid ion migration. In contrast, in thicker SEI regions where the electric field is attenuated, frequent ion collisions dominate, resulting in diffusive transport and reduced ion mobility. To validate this mechanism, we combined molecular dynamics and density functional theory simulations to evaluate electrolyte reducibility based on salt–solvent interactions. These computational insights are complemented by in situ, nondestructive potentiostatic chronocoulometry technique to quantitatively determine SEI formation charge. A systematic evaluation of 23 representative electrolytes reveals a strong correlation between SEI formation charge and SEI resistance (RSEI), consistent with the electric-field-dependent ion transport model (R2 = 0.993). Notably, eight electrolytes exhibit SEI formation charges below 50% and low RSEI, proving suppressed SEI formation promotes ballistic Na+ migration. The optimal electrolyte, 1 M NaPF6 in tetraethylene glycol dimethyl ether (TEGDME), forms a ∼21 nm SEI with merely 31.7% charge loss. Na||hard carbon cells using this electrolyte achieve 24.48 Ω cm2 interfacial impedance and retain 99.4% capacity after 1200 cycles. This work offers a mechanistic framework for designing high-performance interphases through electrolyte engineering.</w:t>
      </w:r>
    </w:p>
    <w:p>
      <w:pPr>
        <w:spacing w:before="120" w:after="120"/>
      </w:pPr>
      <w:r>
        <w:rPr>
          <w:sz w:val="18"/>
        </w:rPr>
        <w:t>——————————————————————————————————————————————————————————————————————</w:t>
      </w:r>
    </w:p>
    <w:p>
      <w:pPr>
        <w:spacing w:before="160" w:after="40" w:line="240" w:lineRule="auto"/>
      </w:pPr>
      <w:r>
        <w:rPr>
          <w:b/>
        </w:rPr>
        <w:t xml:space="preserve">[20] </w:t>
      </w:r>
      <w:hyperlink r:id="rId140">
        <w:r>
          <w:rPr>
            <w:color w:val="1155CC"/>
            <w:u w:val="single"/>
          </w:rPr>
          <w:t>具有封装结构的 FeS2-MoS2 异质结构工程可实现长期稳定性和快速动力学钠离子电池阳极</w:t>
        </w:r>
      </w:hyperlink>
    </w:p>
    <w:p>
      <w:pPr>
        <w:spacing w:before="0" w:after="80"/>
      </w:pPr>
      <w:r>
        <w:rPr>
          <w:i/>
          <w:sz w:val="20"/>
        </w:rPr>
        <w:t>EN: Heterostructure Engineering of FeS2–MoS2 with Encapsulated Architecture for Long-Term Stability and Fast Kinetics Sodium-Ion Battery Anodes</w:t>
      </w:r>
    </w:p>
    <w:p>
      <w:pPr>
        <w:spacing w:before="0" w:after="120"/>
      </w:pPr>
      <w:r>
        <w:rPr>
          <w:b/>
        </w:rPr>
        <w:t xml:space="preserve">Source: </w:t>
      </w:r>
      <w:r>
        <w:t>ACS Applied Materials &amp; Interfaces: Latest Articles (ACS Publications)</w:t>
      </w:r>
      <w:r>
        <w:t xml:space="preserve">    </w:t>
      </w:r>
      <w:r>
        <w:rPr>
          <w:b/>
        </w:rPr>
        <w:t xml:space="preserve">Pub date: </w:t>
      </w:r>
      <w:r>
        <w:t>2026-08-12 00:00:00+00:00</w:t>
      </w:r>
      <w:r>
        <w:t xml:space="preserve">    </w:t>
      </w:r>
      <w:r>
        <w:rPr>
          <w:b/>
        </w:rPr>
        <w:t xml:space="preserve">DOI: </w:t>
      </w:r>
      <w:hyperlink r:id="rId141">
        <w:r>
          <w:rPr>
            <w:color w:val="1155CC"/>
            <w:u w:val="single"/>
          </w:rPr>
          <w:t>10.1021/acsami.6c09879</w:t>
        </w:r>
      </w:hyperlink>
    </w:p>
    <w:p>
      <w:pPr>
        <w:spacing w:before="0" w:after="120"/>
      </w:pPr>
      <w:r>
        <w:rPr>
          <w:b/>
        </w:rPr>
        <w:t xml:space="preserve">Notes: </w:t>
      </w:r>
      <w:r>
        <w:t>abstract_source=crossref</w:t>
      </w:r>
    </w:p>
    <w:p>
      <w:pPr>
        <w:spacing w:before="0" w:after="80" w:lineRule="auto" w:line="276"/>
      </w:pPr>
      <w:r>
        <w:rPr>
          <w:b/>
        </w:rPr>
        <w:t xml:space="preserve">摘要（ZH）: </w:t>
      </w:r>
      <w:r>
        <w:t>摘要 转化型过渡金属硫化物（TMS），特别是黄铁矿相 FeS2，由于其高理论容量而成为有前途的阳极。然而，它们的实际应用受到导电性差、体积膨胀严重、反应动力学缓慢和多硫化物穿梭等固有缺陷的阻碍。在此，合成了 FeS2-MoS2 异质结构复合材料来克服这些限制。在这种独特的结构中，立方相 FeS2 颗粒被封装在层状 MoS2 纳米片内，自组装成~2.8 μm 的花状球体。异质结构有效地减轻了体积膨胀和多硫化物穿梭。电化学测试表明，FeS2-MoS2 阳极的性能显着优于其单个成分，在 200 mA g-1 电流下经过 100 次循环后，可提供 762.8 mA h g-1 的高比容量。此外，它还表现出卓越的长期稳定性，在 2000 mA g-1 下循环 1600 次后容量为 620.1 mA h g-1。动力学分析揭示了与纯 FeS2 或 MoS2 相比，主导的电容行为和加速的 Na+ 扩散动力学。此外，该复合材料还具有出色的温度适应性，在 –25 °C 时提供 353.9 mA h g–1（1800 次循环，1000 mA g–1），在 45 °C 时提供 570.4 mA h g–1（1000 次循环，2000 mA g–1）。采用 Na3V2(PO4)3 阴极的全电池测试证实了该材料的实际可行性，在 0.5 C 下达到 97.3 mA h g-1。这项工作强调了 FeS2-MoS2 异质结构作为先进 SIB 的一种经济高效且极具前景的阳极候选材料。</w:t>
      </w:r>
    </w:p>
    <w:p>
      <w:pPr>
        <w:spacing w:before="0" w:after="200" w:lineRule="auto" w:line="276"/>
      </w:pPr>
      <w:r>
        <w:rPr>
          <w:b/>
        </w:rPr>
        <w:t xml:space="preserve">Abstract (EN): </w:t>
      </w:r>
      <w:r>
        <w:t>Conversion-type transition metal sulfides (TMSs), particularly pyrite-phase FeS2, are promising anodes due to their high theoretical capacity. However, their practical application is hindered by intrinsic drawbacks such as poor electrical conductivity, severe volume expansion, sluggish reaction kinetics, and polysulfide shuttling. Herein, a FeS2–MoS2 heterostructure composite is synthesized to overcome these limitations. In this unique structure, cubic-phase FeS2 particles are encapsulated within layered MoS2 nanosheets, self-assembling into ∼2.8 μm flower-like spheres. The heterostructure effectively mitigates volume expansion and polysulfide shuttling. Electrochemical tests demonstrate that the FeS2–MoS2 anode significantly outperforms its individual constituents, delivering a high specific capacity of 762.8 mA h g–1 at 200 mA g–1 after 100 cycles. Furthermore, it exhibits exceptional long-term stability with a capacity of 620.1 mA h g–1 after 1600 cycles at 2000 mA g–1. Kinetic analysis reveals dominant capacitive behavior and accelerated Na+ diffusion kinetics compared to pure FeS2 or MoS2. Additionally, the composite displays excellent temperature adaptability, delivering 353.9 mA h g–1 at –25 °C (1800 cycles, 1000 mA g–1) and 570.4 mA h g–1 at 45 °C (1000 cycles, 2000 mA g–1). Full-cell tests employing Na3V2(PO4)3 cathode confirm the practical viability of the material, achieving 97.3 mA h g–1 at 0.5 C. This work highlights the FeS2–MoS2 heterostructure as a cost-effective and highly promising anode candidate for advanced SIBs.</w:t>
      </w:r>
    </w:p>
    <w:p>
      <w:pPr>
        <w:spacing w:before="120" w:after="120"/>
      </w:pPr>
      <w:r>
        <w:rPr>
          <w:sz w:val="18"/>
        </w:rPr>
        <w:t>——————————————————————————————————————————————————————————————————————</w:t>
      </w:r>
    </w:p>
    <w:p>
      <w:pPr>
        <w:spacing w:before="160" w:after="40" w:line="240" w:lineRule="auto"/>
      </w:pPr>
      <w:r>
        <w:rPr>
          <w:b/>
        </w:rPr>
        <w:t xml:space="preserve">[21] </w:t>
      </w:r>
      <w:hyperlink r:id="rId142">
        <w:r>
          <w:rPr>
            <w:color w:val="1155CC"/>
            <w:u w:val="single"/>
          </w:rPr>
          <w:t>用于高度可逆水性锌粉电池的完全干法处理的电极</w:t>
        </w:r>
      </w:hyperlink>
    </w:p>
    <w:p>
      <w:pPr>
        <w:spacing w:before="0" w:after="80"/>
      </w:pPr>
      <w:r>
        <w:rPr>
          <w:i/>
          <w:sz w:val="20"/>
        </w:rPr>
        <w:t>EN: Fully dry-processed electrodes for highly reversible aqueous zinc powder-based batteries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43">
        <w:r>
          <w:rPr>
            <w:color w:val="1155CC"/>
            <w:u w:val="single"/>
          </w:rPr>
          <w:t>10.1126/sciadv.aeh1116</w:t>
        </w:r>
      </w:hyperlink>
    </w:p>
    <w:p>
      <w:pPr>
        <w:spacing w:before="0" w:after="120"/>
      </w:pPr>
      <w:r>
        <w:rPr>
          <w:b/>
        </w:rPr>
        <w:t xml:space="preserve">Notes: </w:t>
      </w:r>
      <w:r>
        <w:t>abstract_source=crossref</w:t>
      </w:r>
    </w:p>
    <w:p>
      <w:pPr>
        <w:spacing w:before="0" w:after="80" w:lineRule="auto" w:line="276"/>
      </w:pPr>
      <w:r>
        <w:rPr>
          <w:b/>
        </w:rPr>
        <w:t xml:space="preserve">摘要（ZH）: </w:t>
      </w:r>
      <w:r>
        <w:t>水系锌离子电池发展迅速，但实际部署受到过高的正负极（N/P）比（&gt;50）的限制，从而降低了能量密度。锌粉阳极可以降低N/P，但其高比表面积会加速寄生反应并缩短使用寿命。在这里，我们报道了一种具有非电化学驱动的固体电解质界面（SEI）的高负载和高度可逆的干法锌粉阳极。干法工艺保留了磷酸钠 SEI 前体在整个阳极的均匀分布，在电解质接触时触发磷酸锌基 SEI 的自发形成，从而抑制析氢和锌腐蚀。将此阳极与干处理阴极（90 mg cm</w:t>
      </w:r>
      <w:r>
        <w:t xml:space="preserve"> </w:t>
      </w:r>
      <w:r>
        <w:t>−2</w:t>
      </w:r>
      <w:r>
        <w:t xml:space="preserve"> </w:t>
      </w:r>
      <w:r>
        <w:t>; 12.5毫安厘米</w:t>
      </w:r>
      <w:r>
        <w:t xml:space="preserve"> </w:t>
      </w:r>
      <w:r>
        <w:t>−2</w:t>
      </w:r>
      <w:r>
        <w:t xml:space="preserve"> </w:t>
      </w:r>
      <w:r>
        <w:t>）产生完全干燥处理的水性锌电池。软包电池在 N/P ~ 3 下循环 530 次后容量保持率为 88.8%，尽管阴极负载增加了约 20 倍，但其性能仍优于之前的锌粉系统，并为实际电网规模存储的高能量密度水性锌电池提供了一条可扩展的途径。</w:t>
      </w:r>
    </w:p>
    <w:p>
      <w:pPr>
        <w:spacing w:before="0" w:after="200" w:lineRule="auto" w:line="276"/>
      </w:pPr>
      <w:r>
        <w:rPr>
          <w:b/>
        </w:rPr>
        <w:t xml:space="preserve">Abstract (EN): </w:t>
      </w:r>
      <w:r>
        <w:t>Aqueous zinc-ion batteries have advanced rapidly, but practical deployment is limited by excessive negative-to-positive (N/P) ratios (&amp;gt;50), decreasing the energy density. Zinc powder anodes can lower N/P, yet their high specific surface area accelerates parasitic reactions and shortens lifespan. Here we report a high-loading and highly reversible dry-processed zinc powder anode with a non-electrochemically driven solid-electrolyte interphase (SEI). The dry process retains a homogeneous distribution of a sodium phosphate SEI precursor throughout the anodes, triggering spontaneous formation of a zinc phosphate-based SEI upon electrolyte contact that suppresses hydrogen evolution and zinc corrosion. Coupling this anode with dry-processed cathodes (90 mg cm</w:t>
      </w:r>
      <w:r>
        <w:t xml:space="preserve"> </w:t>
      </w:r>
      <w:r>
        <w:t>−2</w:t>
      </w:r>
      <w:r>
        <w:t xml:space="preserve"> </w:t>
      </w:r>
      <w:r>
        <w:t>; 12.5 mAh cm</w:t>
      </w:r>
      <w:r>
        <w:t xml:space="preserve"> </w:t>
      </w:r>
      <w:r>
        <w:t>−2</w:t>
      </w:r>
      <w:r>
        <w:t xml:space="preserve"> </w:t>
      </w:r>
      <w:r>
        <w:t>) yields the fully dry-processed aqueous zinc battery. A pouch cell delivers 88.8% capacity retention after 530 cycles at N/P ∼ 3, outperforming prior zinc powder systems despite ∼20-fold higher cathode loadings and providing a scalable path to high-energy-density aqueous zinc batteries for practical grid-scale storage.</w:t>
      </w:r>
    </w:p>
    <w:p>
      <w:pPr>
        <w:spacing w:before="120" w:after="120"/>
      </w:pPr>
      <w:r>
        <w:rPr>
          <w:sz w:val="18"/>
        </w:rPr>
        <w:t>——————————————————————————————————————————————————————————————————————</w:t>
      </w:r>
    </w:p>
    <w:p>
      <w:pPr>
        <w:spacing w:before="160" w:after="40" w:line="240" w:lineRule="auto"/>
      </w:pPr>
      <w:r>
        <w:rPr>
          <w:b/>
        </w:rPr>
        <w:t xml:space="preserve">[22] </w:t>
      </w:r>
      <w:hyperlink r:id="rId144">
        <w:r>
          <w:rPr>
            <w:color w:val="1155CC"/>
            <w:u w:val="single"/>
          </w:rPr>
          <w:t>氧化还原配体耦合化学重编程将电池废料转化为用于闭环储能的金属有机电极</w:t>
        </w:r>
      </w:hyperlink>
    </w:p>
    <w:p>
      <w:pPr>
        <w:spacing w:before="0" w:after="80"/>
      </w:pPr>
      <w:r>
        <w:rPr>
          <w:i/>
          <w:sz w:val="20"/>
        </w:rPr>
        <w:t>EN: Redox‐Ligand‐Coupled Chemical Reprogramming of Battery Waste Into Metal–Organic Electrodes for Closed‐Loop Energy Storage</w:t>
      </w:r>
    </w:p>
    <w:p>
      <w:pPr>
        <w:spacing w:before="0" w:after="120"/>
      </w:pPr>
      <w:r>
        <w:rPr>
          <w:b/>
        </w:rPr>
        <w:t xml:space="preserve">Source: </w:t>
      </w:r>
      <w:r>
        <w:t>Wiley: Advanced Materials: Table of Contents</w:t>
      </w:r>
      <w:r>
        <w:t xml:space="preserve">    </w:t>
      </w:r>
      <w:r>
        <w:rPr>
          <w:b/>
        </w:rPr>
        <w:t xml:space="preserve">Pub date: </w:t>
      </w:r>
      <w:r>
        <w:t>2026-08-12 07:33:44+00:00</w:t>
      </w:r>
      <w:r>
        <w:t xml:space="preserve">    </w:t>
      </w:r>
      <w:r>
        <w:rPr>
          <w:b/>
        </w:rPr>
        <w:t xml:space="preserve">DOI: </w:t>
      </w:r>
      <w:hyperlink r:id="rId145">
        <w:r>
          <w:rPr>
            <w:color w:val="1155CC"/>
            <w:u w:val="single"/>
          </w:rPr>
          <w:t>10.1002/adma.74588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可持续的电池废物管理需要超越元素回收，转向全组件再利用。在这里，我们报告了一种氧化还原配体耦合的化学重编程策略，该策略将电池废料中化学上不同的成分转化为功能性储能材料。使用钴酸锂</w:t>
      </w:r>
      <w:r>
        <w:rPr>
          <w:vertAlign w:val="subscript"/>
        </w:rPr>
        <w:t>2</w:t>
      </w:r>
      <w:r>
        <w:t>以聚对苯二甲酸乙二醇酯（PET）为模型体系，PET解聚产生的对苯二甲酸酯和乙二醇作为配位配体、质子源和还原剂协同作用，使得正极材料在水热条件下溶解并原位重构为氧化还原活性金属有机骨架（对苯二甲酸钴，CoTPA），无需外部浸出剂或还原剂。这种自我强化的反应网络将聚合物解聚与阴极解构结合在一起，消除了外部试剂和复杂的分离过程。由此产生的 CoTPA 阳极可提供约 1170 mAh g 的可逆容量</w:t>
      </w:r>
      <w:r>
        <w:t xml:space="preserve"> </w:t>
      </w:r>
      <w:r>
        <w:t>−1</w:t>
      </w:r>
      <w:r>
        <w:t xml:space="preserve"> </w:t>
      </w:r>
      <w:r>
        <w:t>0.1 A g 时</w:t>
      </w:r>
      <w:r>
        <w:t xml:space="preserve"> </w:t>
      </w:r>
      <w:r>
        <w:t>−1</w:t>
      </w:r>
      <w:r>
        <w:t xml:space="preserve"> </w:t>
      </w:r>
      <w:r>
        <w:t>，并在 1 A g 下循环 500 次后保留其初始容量的 92.1%</w:t>
      </w:r>
      <w:r>
        <w:t xml:space="preserve"> </w:t>
      </w:r>
      <w:r>
        <w:t>−1</w:t>
      </w:r>
      <w:r>
        <w:t xml:space="preserve"> </w:t>
      </w:r>
      <w:r>
        <w:t>。当与再生石墨 (RG) 集成时，CoTPA 可实现能量密度为 304 Wh kg 的电池级闭环双离子电池 (DIB)</w:t>
      </w:r>
      <w:r>
        <w:t xml:space="preserve"> </w:t>
      </w:r>
      <w:r>
        <w:t>−1</w:t>
      </w:r>
      <w:r>
        <w:t xml:space="preserve"> </w:t>
      </w:r>
      <w:r>
        <w:t>（基于活性物质总质量）。该策略已扩展到层状氧化物阴极和多种 PET 来源。超越常规</w:t>
      </w:r>
    </w:p>
    <w:p>
      <w:pPr>
        <w:spacing w:before="0" w:after="200" w:lineRule="auto" w:line="276"/>
      </w:pPr>
      <w:r>
        <w:rPr>
          <w:b/>
        </w:rPr>
        <w:t xml:space="preserve">Abstract (EN): </w:t>
      </w:r>
      <w:r>
        <w:t>Sustainable battery waste management requires moving beyond element recovery toward full‐component reutilization. Here, we report a redox‐ligand‐coupled chemical reprogramming strategy that transforms chemically distinct components of battery waste into functional energy storage materials. Using LiCoO</w:t>
      </w:r>
      <w:r>
        <w:rPr>
          <w:vertAlign w:val="subscript"/>
        </w:rPr>
        <w:t>2</w:t>
      </w:r>
      <w:r>
        <w:t>and polyethylene terephthalate (PET) as a model system, terephthalate and ethylene glycol generated from PET depolymerization act synergistically as coordinating ligands, proton sources, and reductants, enabling the dissolution of cathode materials and their in situ reconstruction into a redox‐active metal–organic framework (cobalt terephthalate, CoTPA) under hydrothermal conditions without external leaching agents or reductants. This self‐reinforcing reaction network couples polymer depolymerization with cathode deconstruction, eliminating external reagents and complex separation processes. The resulting CoTPA anode delivers a reversible capacity of ≈1170 mAh g</w:t>
      </w:r>
      <w:r>
        <w:t xml:space="preserve"> </w:t>
      </w:r>
      <w:r>
        <w:t>−1</w:t>
      </w:r>
      <w:r>
        <w:t xml:space="preserve"> </w:t>
      </w:r>
      <w:r>
        <w:t>at 0.1 A g</w:t>
      </w:r>
      <w:r>
        <w:t xml:space="preserve"> </w:t>
      </w:r>
      <w:r>
        <w:t>−1</w:t>
      </w:r>
      <w:r>
        <w:t xml:space="preserve"> </w:t>
      </w:r>
      <w:r>
        <w:t>, and retains 92.1% of its initial capacity after 500 cycles at 1 A g</w:t>
      </w:r>
      <w:r>
        <w:t xml:space="preserve"> </w:t>
      </w:r>
      <w:r>
        <w:t>−1</w:t>
      </w:r>
      <w:r>
        <w:t xml:space="preserve"> </w:t>
      </w:r>
      <w:r>
        <w:t>. When integrated with regenerated graphite (RG), CoTPA enables a battery‐level closed‐loop dual‐ion battery (DIB) with an energy density of 304 Wh kg</w:t>
      </w:r>
      <w:r>
        <w:t xml:space="preserve"> </w:t>
      </w:r>
      <w:r>
        <w:t>−1</w:t>
      </w:r>
      <w:r>
        <w:t xml:space="preserve"> </w:t>
      </w:r>
      <w:r>
        <w:t>(based on total active material mass). The strategy is extended to layered oxide cathodes and diverse PET sources. Beyond conventional recycling, this work establishes a chemistry‐driven paradigm that reprograms waste components into value‐added functional materials, offering a scalable pathway toward circular energy storage.</w:t>
      </w:r>
    </w:p>
    <w:p>
      <w:pPr>
        <w:spacing w:before="120" w:after="120"/>
      </w:pPr>
      <w:r>
        <w:rPr>
          <w:sz w:val="18"/>
        </w:rPr>
        <w:t>——————————————————————————————————————————————————————————————————————</w:t>
      </w:r>
    </w:p>
    <w:p>
      <w:pPr>
        <w:spacing w:before="160" w:after="40" w:line="240" w:lineRule="auto"/>
      </w:pPr>
      <w:r>
        <w:rPr>
          <w:b/>
        </w:rPr>
        <w:t xml:space="preserve">[23] </w:t>
      </w:r>
      <w:hyperlink r:id="rId146">
        <w:r>
          <w:rPr>
            <w:color w:val="1155CC"/>
            <w:u w:val="single"/>
          </w:rPr>
          <w:t>应力离域与锂化均质化的耦合：集成碳氧化硅-石墨阳极的全向共形界面</w:t>
        </w:r>
      </w:hyperlink>
    </w:p>
    <w:p>
      <w:pPr>
        <w:spacing w:before="0" w:after="80"/>
      </w:pPr>
      <w:r>
        <w:rPr>
          <w:i/>
          <w:sz w:val="20"/>
        </w:rPr>
        <w:t>EN: Coupling Stress Delocalization With Lithiation Homogenization: Omnidirectional Conformal Interface Integrating Silicon Oxycarbide–Graphite Anode</w:t>
      </w:r>
    </w:p>
    <w:p>
      <w:pPr>
        <w:spacing w:before="0" w:after="120"/>
      </w:pPr>
      <w:r>
        <w:rPr>
          <w:b/>
        </w:rPr>
        <w:t xml:space="preserve">Source: </w:t>
      </w:r>
      <w:r>
        <w:t>Wiley: Advanced Materials: Table of Contents</w:t>
      </w:r>
      <w:r>
        <w:t xml:space="preserve">    </w:t>
      </w:r>
      <w:r>
        <w:rPr>
          <w:b/>
        </w:rPr>
        <w:t xml:space="preserve">Pub date: </w:t>
      </w:r>
      <w:r>
        <w:t>2026-08-12 07:52:17+00:00</w:t>
      </w:r>
      <w:r>
        <w:t xml:space="preserve">    </w:t>
      </w:r>
      <w:r>
        <w:rPr>
          <w:b/>
        </w:rPr>
        <w:t xml:space="preserve">DOI: </w:t>
      </w:r>
      <w:hyperlink r:id="rId147">
        <w:r>
          <w:rPr>
            <w:color w:val="1155CC"/>
            <w:u w:val="single"/>
          </w:rPr>
          <w:t>10.1002/adma.74587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硅基阳极与石墨集成已被广泛认为是追求高能量密度锂离子电池（LIB）的有效策略。然而，异质界面产生的“应力奇点”效应逐渐导致界面滑移并进一步引发电隔离，从根本上导致电极内的机械故障和动力学异质性。在此，我们在开发的全向共形界面SiOC-石墨（OSiOCG）电极中实现了碳氧化硅（SiOC）和离散石墨域之间的共形互锁，以克服“应力奇点”效应。从机械角度来看，全向共形界面有效地将局部刺穿力转化为静压分布的压缩力，有效消除了“应力奇异”效应。从动力学上讲，它将电子/锂离子转移的孤立位点交联成整个界面上的 3D 渗透网络。这减轻了局部极化，调节活性成分的锂化顺序和深度，并进一步消散集中应力。 OSiOCG 电极可实现 2000 次循环的稳定循环（每个循环平均容量衰减 &lt; 0.005%）、优化的倍率性能（4C 时容量增加 19.3%，10C 时容量增加 12.8%），并在软包电池中验证了有效的实用性（4C 时容量保持率为 88.3%）。这项工作揭示了硅基石墨复合电极内的界面应力离域，同时为长期可靠性铺平了道路</w:t>
      </w:r>
    </w:p>
    <w:p>
      <w:pPr>
        <w:spacing w:before="0" w:after="200" w:lineRule="auto" w:line="276"/>
      </w:pPr>
      <w:r>
        <w:rPr>
          <w:b/>
        </w:rPr>
        <w:t xml:space="preserve">Abstract (EN): </w:t>
      </w:r>
      <w:r>
        <w:t>Integrating Si‐based anodes with graphite has been widely recognized as an effective strategy for pursuing high‐energy‐density lithium‐ion batteries (LIBs). However, the “stress singularity” effect arising from heterogeneous interfaces gradually leads to interfacial slippage and further triggers electrical isolation, fundamentally resulting in mechanical failure and kinetic heterogeneity within the electrode. Herein, we realize conformal interlocking between silicon oxycarbide (SiOC) and discrete graphite domains in developed omnidirectional conformal interface SiOC–graphite (OSiOCG) electrodes to overcome the “stress singularity” effect. Mechanically, the omnidirectional conformal interface effectively transforms localized piercing force into hydrostatically distributed compressive force, effectively dissipating the “stress singularity” effect. Kinetically, it crosslinks isolated sites of transfer of electron/Li‐ion into 3D‐percolation networks across the entire interface. This mitigates local polarization, regulates the sequence and depth of lithiation for active components, and further dissipates the concentrated stress. The OSiOCG electrodes deliver stabilized cycling for 2000 cycles (average capacity decay &amp;lt; 0.005% per cycle), optimized rate capability (capacity increases of 19.3% at 4C and 12.8% at 10C), and effective practicality validated in pouch cells (88.3% capacity retention at 4C). This work sheds light on interfacial stress delocalization within Si‐based graphite composite electrodes while paving the way for long‐term reliability enhancement of commercialized high‐energy‐density LIBs.</w:t>
      </w:r>
    </w:p>
    <w:p>
      <w:pPr>
        <w:spacing w:before="120" w:after="120"/>
      </w:pPr>
      <w:r>
        <w:rPr>
          <w:sz w:val="18"/>
        </w:rPr>
        <w:t>——————————————————————————————————————————————————————————————————————</w:t>
      </w:r>
    </w:p>
    <w:p>
      <w:pPr>
        <w:spacing w:before="160" w:after="40" w:line="240" w:lineRule="auto"/>
      </w:pPr>
      <w:r>
        <w:rPr>
          <w:b/>
        </w:rPr>
        <w:t xml:space="preserve">[24] </w:t>
      </w:r>
      <w:hyperlink r:id="rId148">
        <w:r>
          <w:rPr>
            <w:color w:val="1155CC"/>
            <w:u w:val="single"/>
          </w:rPr>
          <w:t>通过逐步筛选具有梯度内置电场的三元异质结构用于低温下高度可逆的钠存储</w:t>
        </w:r>
      </w:hyperlink>
    </w:p>
    <w:p>
      <w:pPr>
        <w:spacing w:before="0" w:after="80"/>
      </w:pPr>
      <w:r>
        <w:rPr>
          <w:i/>
          <w:sz w:val="20"/>
        </w:rPr>
        <w:t>EN: Ternary Heterostructures With Gradient Built‐In Electric Fields Through Stepwise Screening for Highly Reversible Sodium Storage at Low Temperature</w:t>
      </w:r>
    </w:p>
    <w:p>
      <w:pPr>
        <w:spacing w:before="0" w:after="120"/>
      </w:pPr>
      <w:r>
        <w:rPr>
          <w:b/>
        </w:rPr>
        <w:t xml:space="preserve">Source: </w:t>
      </w:r>
      <w:r>
        <w:t>Wiley: Advanced Materials: Table of Contents</w:t>
      </w:r>
      <w:r>
        <w:t xml:space="preserve">    </w:t>
      </w:r>
      <w:r>
        <w:rPr>
          <w:b/>
        </w:rPr>
        <w:t xml:space="preserve">Pub date: </w:t>
      </w:r>
      <w:r>
        <w:t>2026-08-12 08:11:54+00:00</w:t>
      </w:r>
      <w:r>
        <w:t xml:space="preserve">    </w:t>
      </w:r>
      <w:r>
        <w:rPr>
          <w:b/>
        </w:rPr>
        <w:t xml:space="preserve">DOI: </w:t>
      </w:r>
      <w:hyperlink r:id="rId149">
        <w:r>
          <w:rPr>
            <w:color w:val="1155CC"/>
            <w:u w:val="single"/>
          </w:rPr>
          <w:t>10.1002/adma.74590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异质结构工程被认为是改善低温（LT）钠储存的一种有前途的方法。然而，传统双组分异质结的试错制造方法以及界面控制尺寸不足导致效率低下且电化学性能提升有限。在此，提出了一种以理论描述符为指导的筛选驱动策略来识别 MoS2</w:t>
      </w:r>
      <w:r>
        <w:rPr>
          <w:vertAlign w:val="subscript"/>
        </w:rPr>
        <w:t>2</w:t>
      </w:r>
      <w:r>
        <w:t>/MoO</w:t>
      </w:r>
      <w:r>
        <w:rPr>
          <w:vertAlign w:val="subscript"/>
        </w:rPr>
        <w:t>2</w:t>
      </w:r>
      <w:r>
        <w:t>作为提高 LT 钠存储性能的最佳二元异质结构。重要的是，这一结果揭示了异质结构构型和电化学性能之间的明确关系，其中功函数（</w:t>
      </w:r>
      <w:r>
        <w:t xml:space="preserve"> </w:t>
      </w:r>
      <w:r>
        <w:t>瓦</w:t>
      </w:r>
      <w:r>
        <w:t xml:space="preserve"> </w:t>
      </w:r>
      <w:r>
        <w:t>f</w:t>
      </w:r>
      <w:r>
        <w:t xml:space="preserve"> </w:t>
      </w:r>
      <w:r>
        <w:t>) 差异和由此产生的电荷重新分布调节 Na</w:t>
      </w:r>
      <w:r>
        <w:t xml:space="preserve"> </w:t>
      </w:r>
      <w:r>
        <w:t>+</w:t>
      </w:r>
      <w:r>
        <w:t xml:space="preserve"> </w:t>
      </w:r>
      <w:r>
        <w:t>存储行为。受这种理解的启发，Ti</w:t>
      </w:r>
      <w:r>
        <w:rPr>
          <w:vertAlign w:val="subscript"/>
        </w:rPr>
        <w:t>3</w:t>
      </w:r>
      <w:r>
        <w:t>C</w:t>
      </w:r>
      <w:r>
        <w:rPr>
          <w:vertAlign w:val="subscript"/>
        </w:rPr>
        <w:t>2</w:t>
      </w:r>
      <w:r>
        <w:t>时间</w:t>
      </w:r>
      <w:r>
        <w:t xml:space="preserve"> </w:t>
      </w:r>
      <w:r>
        <w:t>x</w:t>
      </w:r>
      <w:r>
        <w:t xml:space="preserve"> </w:t>
      </w:r>
      <w:r>
        <w:t>引入MXene构建级联多接口系统</w:t>
      </w:r>
      <w:r>
        <w:t xml:space="preserve"> </w:t>
      </w:r>
      <w:r>
        <w:t>瓦</w:t>
      </w:r>
      <w:r>
        <w:t xml:space="preserve"> </w:t>
      </w:r>
      <w:r>
        <w:t>f</w:t>
      </w:r>
      <w:r>
        <w:t xml:space="preserve"> </w:t>
      </w:r>
      <w:r>
        <w:t>对准，建立梯度内置电场，克服传统二元异质结构的局部调制。这种异质结构诱导出一个电子富集区域，充当Na</w:t>
      </w:r>
      <w:r>
        <w:t xml:space="preserve"> </w:t>
      </w:r>
      <w:r>
        <w:t>+</w:t>
      </w:r>
    </w:p>
    <w:p>
      <w:pPr>
        <w:spacing w:before="0" w:after="200" w:lineRule="auto" w:line="276"/>
      </w:pPr>
      <w:r>
        <w:rPr>
          <w:b/>
        </w:rPr>
        <w:t xml:space="preserve">Abstract (EN): </w:t>
      </w:r>
      <w:r>
        <w:t>Heterostructure engineering is considered a promising approach to improve sodium storage at low temperatures (LTs). However, the trial‐and‐error fabrication method as well as insufficient interface control dimensions in traditional two‐component heterojunctions result in low efficiency and limited electrochemical performance improvement. Herein, a screening‐driven strategy guided by theoretical descriptors is proposed to identify MoS</w:t>
      </w:r>
      <w:r>
        <w:rPr>
          <w:vertAlign w:val="subscript"/>
        </w:rPr>
        <w:t>2</w:t>
      </w:r>
      <w:r>
        <w:t>/MoO</w:t>
      </w:r>
      <w:r>
        <w:rPr>
          <w:vertAlign w:val="subscript"/>
        </w:rPr>
        <w:t>2</w:t>
      </w:r>
      <w:r>
        <w:t>as the optimal binary heterostructure for improving sodium storage performance at LTs. Importantly, this result reveals a clear relationship between heterostructure configuration and electrochemical performance, where the work function (</w:t>
      </w:r>
      <w:r>
        <w:t xml:space="preserve"> </w:t>
      </w:r>
      <w:r>
        <w:t>W</w:t>
      </w:r>
      <w:r>
        <w:t xml:space="preserve"> </w:t>
      </w:r>
      <w:r>
        <w:t>f</w:t>
      </w:r>
      <w:r>
        <w:t xml:space="preserve"> </w:t>
      </w:r>
      <w:r>
        <w:t>) difference and the resulting charge redistribution regulate Na</w:t>
      </w:r>
      <w:r>
        <w:t xml:space="preserve"> </w:t>
      </w:r>
      <w:r>
        <w:t>+</w:t>
      </w:r>
      <w:r>
        <w:t xml:space="preserve"> </w:t>
      </w:r>
      <w:r>
        <w:t>storage behavior. Inspired by this understanding, Ti</w:t>
      </w:r>
      <w:r>
        <w:rPr>
          <w:vertAlign w:val="subscript"/>
        </w:rPr>
        <w:t>3</w:t>
      </w:r>
      <w:r>
        <w:t>C</w:t>
      </w:r>
      <w:r>
        <w:rPr>
          <w:vertAlign w:val="subscript"/>
        </w:rPr>
        <w:t>2</w:t>
      </w:r>
      <w:r>
        <w:t>T</w:t>
      </w:r>
      <w:r>
        <w:t xml:space="preserve"> </w:t>
      </w:r>
      <w:r>
        <w:t>x</w:t>
      </w:r>
      <w:r>
        <w:t xml:space="preserve"> </w:t>
      </w:r>
      <w:r>
        <w:t>MXene is introduced to construct a multi‐interface system with cascaded</w:t>
      </w:r>
      <w:r>
        <w:t xml:space="preserve"> </w:t>
      </w:r>
      <w:r>
        <w:t>W</w:t>
      </w:r>
      <w:r>
        <w:t xml:space="preserve"> </w:t>
      </w:r>
      <w:r>
        <w:t>f</w:t>
      </w:r>
      <w:r>
        <w:t xml:space="preserve"> </w:t>
      </w:r>
      <w:r>
        <w:t>alignment, establishing a gradient built‐in electric field that overcomes the localized modulation of conventional binary heterostructures. Such heterostructure induces an electron‐enriched region that acts as a Na</w:t>
      </w:r>
      <w:r>
        <w:t xml:space="preserve"> </w:t>
      </w:r>
      <w:r>
        <w:t>+</w:t>
      </w:r>
      <w:r>
        <w:t xml:space="preserve"> </w:t>
      </w:r>
      <w:r>
        <w:t>reservoir, thereby facilitating efficient Na</w:t>
      </w:r>
      <w:r>
        <w:t xml:space="preserve"> </w:t>
      </w:r>
      <w:r>
        <w:t>+</w:t>
      </w:r>
      <w:r>
        <w:t xml:space="preserve"> </w:t>
      </w:r>
      <w:r>
        <w:t>storage and transport at LTs. Meanwhile, the multiphase heterointerface optimizes the reaction pathway and mitigates kinetic limitations. Consequently, the MoS</w:t>
      </w:r>
      <w:r>
        <w:rPr>
          <w:vertAlign w:val="subscript"/>
        </w:rPr>
        <w:t>2</w:t>
      </w:r>
      <w:r>
        <w:t>/MoO</w:t>
      </w:r>
      <w:r>
        <w:rPr>
          <w:vertAlign w:val="subscript"/>
        </w:rPr>
        <w:t>2</w:t>
      </w:r>
      <w:r>
        <w:t>/Ti</w:t>
      </w:r>
      <w:r>
        <w:rPr>
          <w:vertAlign w:val="subscript"/>
        </w:rPr>
        <w:t>3</w:t>
      </w:r>
      <w:r>
        <w:t>C</w:t>
      </w:r>
      <w:r>
        <w:rPr>
          <w:vertAlign w:val="subscript"/>
        </w:rPr>
        <w:t>2</w:t>
      </w:r>
      <w:r>
        <w:t>T</w:t>
      </w:r>
      <w:r>
        <w:t xml:space="preserve"> </w:t>
      </w:r>
      <w:r>
        <w:t>x</w:t>
      </w:r>
      <w:r>
        <w:t xml:space="preserve"> </w:t>
      </w:r>
      <w:r>
        <w:t>ternary heterostructure delivers high reversible capacity, excellent rate performance, and robust cycling stability even at −20°C. This work establishes a general and predictive strategy for accelerating the rational design of high‐performance electrodes through the proposed screening framework.</w:t>
      </w:r>
    </w:p>
    <w:p>
      <w:pPr>
        <w:spacing w:before="120" w:after="120"/>
      </w:pPr>
      <w:r>
        <w:rPr>
          <w:sz w:val="18"/>
        </w:rPr>
        <w:t>——————————————————————————————————————————————————————————————————————</w:t>
      </w:r>
    </w:p>
    <w:p>
      <w:pPr>
        <w:spacing w:before="160" w:after="40" w:line="240" w:lineRule="auto"/>
      </w:pPr>
      <w:r>
        <w:rPr>
          <w:b/>
        </w:rPr>
        <w:t xml:space="preserve">[25] </w:t>
      </w:r>
      <w:hyperlink r:id="rId150">
        <w:r>
          <w:rPr>
            <w:color w:val="1155CC"/>
            <w:u w:val="single"/>
          </w:rPr>
          <w:t>链刚性调节树脂衍生硬碳中的闭孔和石墨间域通道，用于快速高原钠存储</w:t>
        </w:r>
      </w:hyperlink>
    </w:p>
    <w:p>
      <w:pPr>
        <w:spacing w:before="0" w:after="80"/>
      </w:pPr>
      <w:r>
        <w:rPr>
          <w:i/>
          <w:sz w:val="20"/>
        </w:rPr>
        <w:t>EN: Chain Rigidity Modulating Closed Pore and Inter‐Graphitic Domain Channels in Resin‐Derived Hard Carbon for Fast Plateau Sodium Storage</w:t>
      </w:r>
    </w:p>
    <w:p>
      <w:pPr>
        <w:spacing w:before="0" w:after="120"/>
      </w:pPr>
      <w:r>
        <w:rPr>
          <w:b/>
        </w:rPr>
        <w:t xml:space="preserve">Source: </w:t>
      </w:r>
      <w:r>
        <w:t>Wiley: Angewandte Chemie International Edition: Table of Contents</w:t>
      </w:r>
      <w:r>
        <w:t xml:space="preserve">    </w:t>
      </w:r>
      <w:r>
        <w:rPr>
          <w:b/>
        </w:rPr>
        <w:t xml:space="preserve">Pub date: </w:t>
      </w:r>
      <w:r>
        <w:t>2026-08-12 17:03:18+00:00</w:t>
      </w:r>
      <w:r>
        <w:t xml:space="preserve">    </w:t>
      </w:r>
      <w:r>
        <w:rPr>
          <w:b/>
        </w:rPr>
        <w:t xml:space="preserve">DOI: </w:t>
      </w:r>
      <w:hyperlink r:id="rId151">
        <w:r>
          <w:rPr>
            <w:color w:val="1155CC"/>
            <w:u w:val="single"/>
          </w:rPr>
          <w:t>10.1002/anie.6458234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硬碳（HC）是最具商业前景的钠离子电池负极材料；然而，其有限的闭孔含量和固有的缓慢离子扩散严重限制了其平台容量和倍率性能。在此，我们提出了一种链刚性工程策略，以促进树脂衍生的 HC 中闭孔和石墨域通道的形成，从而实现协同优化平台容量和倍率性能。利用Zn之间的弱配位增强3-氨基苯酚-甲醛树脂的链刚性</w:t>
      </w:r>
      <w:r>
        <w:t xml:space="preserve"> </w:t>
      </w:r>
      <w:r>
        <w:t>2+</w:t>
      </w:r>
      <w:r>
        <w:t xml:space="preserve"> </w:t>
      </w:r>
      <w:r>
        <w:t>和3-氨基苯酚的氨基抑制聚合过程中氨基位点介导的柔性桥接途径。链刚性的提高在树脂中引入了丰富的链间空隙，促进了HC中闭孔的形成；同时，它有效抑制碳层重排，在短而薄的石墨域之间构建丰富的离子扩散通道，并扩大层间距，从而显着增强体扩散动力学。因此，优化后的 HC 具有 437.9 mAh g 的超高可逆容量</w:t>
      </w:r>
      <w:r>
        <w:t xml:space="preserve"> </w:t>
      </w:r>
      <w:r>
        <w:t>−1</w:t>
      </w:r>
      <w:r>
        <w:t xml:space="preserve"> </w:t>
      </w:r>
      <w:r>
        <w:t>平台容量为 309.9 mAh g</w:t>
      </w:r>
      <w:r>
        <w:t xml:space="preserve"> </w:t>
      </w:r>
      <w:r>
        <w:t>−1</w:t>
      </w:r>
      <w:r>
        <w:t xml:space="preserve"> </w:t>
      </w:r>
      <w:r>
        <w:t>和优异的倍率性能（293.4 mAh g</w:t>
      </w:r>
      <w:r>
        <w:t xml:space="preserve"> </w:t>
      </w:r>
      <w:r>
        <w:t>−1</w:t>
      </w:r>
      <w:r>
        <w:t xml:space="preserve"> </w:t>
      </w:r>
      <w:r>
        <w:t>2A g 时</w:t>
      </w:r>
      <w:r>
        <w:t xml:space="preserve"> </w:t>
      </w:r>
      <w:r>
        <w:t>−1</w:t>
      </w:r>
      <w:r>
        <w:t xml:space="preserve"> </w:t>
      </w:r>
      <w:r>
        <w:t>）。这项工作深入了解了聚合物链刚性在促进</w:t>
      </w:r>
    </w:p>
    <w:p>
      <w:pPr>
        <w:spacing w:before="0" w:after="200" w:lineRule="auto" w:line="276"/>
      </w:pPr>
      <w:r>
        <w:rPr>
          <w:b/>
        </w:rPr>
        <w:t xml:space="preserve">Abstract (EN): </w:t>
      </w:r>
      <w:r>
        <w:t>Hard carbon (HC) stands as the most commercially promising anode material for sodium‐ion batteries; however, its limited closed‐pore content and inherently sluggish ion diffusion severely restrict its plateau capacity and rate performance. Herein, we propose a chain rigidity engineering strategy to promote the formation of closed pores and inter‐graphitic domain channels in resin‐derived HC, enabling synergistic optimization plateau capacity and rate capability. The chain rigidity of 3‐aminophenol‐formaldehyde resin was enhanced by utilizing the weak coordination between Zn</w:t>
      </w:r>
      <w:r>
        <w:t xml:space="preserve"> </w:t>
      </w:r>
      <w:r>
        <w:t>2+</w:t>
      </w:r>
      <w:r>
        <w:t xml:space="preserve"> </w:t>
      </w:r>
      <w:r>
        <w:t>and the amino group of 3‐aminophenol to suppress the amino‐site‐mediated flexible bridging pathway during polymerization. Improved chain rigidity introduces rich inter‐chain voids in the resin, promoting the formation of closed pores in HC; meanwhile, it effectively suppresses carbon layer rearrangement to construct abundant ion diffusion channels between short and thin graphitic domains together with enlarged interlayer spacing, thereby significantly enhancing bulk diffusion kinetics. As a result, the optimized HC delivers an ultrahigh reversible capacity of 437.9 mAh g</w:t>
      </w:r>
      <w:r>
        <w:t xml:space="preserve"> </w:t>
      </w:r>
      <w:r>
        <w:t>−1</w:t>
      </w:r>
      <w:r>
        <w:t xml:space="preserve"> </w:t>
      </w:r>
      <w:r>
        <w:t>with a plateau capacity of 309.9 mAh g</w:t>
      </w:r>
      <w:r>
        <w:t xml:space="preserve"> </w:t>
      </w:r>
      <w:r>
        <w:t>−1</w:t>
      </w:r>
      <w:r>
        <w:t xml:space="preserve"> </w:t>
      </w:r>
      <w:r>
        <w:t>and excellent rate performance (293.4 mAh g</w:t>
      </w:r>
      <w:r>
        <w:t xml:space="preserve"> </w:t>
      </w:r>
      <w:r>
        <w:t>−1</w:t>
      </w:r>
      <w:r>
        <w:t xml:space="preserve"> </w:t>
      </w:r>
      <w:r>
        <w:t>at 2 A g</w:t>
      </w:r>
      <w:r>
        <w:t xml:space="preserve"> </w:t>
      </w:r>
      <w:r>
        <w:t>−1</w:t>
      </w:r>
      <w:r>
        <w:t xml:space="preserve"> </w:t>
      </w:r>
      <w:r>
        <w:t>). This work provides insights into the role of polymer chain rigidity in promoting the formation of closed pores and ion diffusion channels in HC.</w:t>
      </w:r>
    </w:p>
    <w:p>
      <w:pPr>
        <w:spacing w:before="120" w:after="120"/>
      </w:pPr>
      <w:r>
        <w:rPr>
          <w:sz w:val="18"/>
        </w:rPr>
        <w:t>——————————————————————————————————————————————————————————————————————</w:t>
      </w:r>
    </w:p>
    <w:p>
      <w:pPr>
        <w:spacing w:before="160" w:after="40" w:line="240" w:lineRule="auto"/>
      </w:pPr>
      <w:r>
        <w:rPr>
          <w:b/>
        </w:rPr>
        <w:t xml:space="preserve">[26] </w:t>
      </w:r>
      <w:hyperlink r:id="rId152">
        <w:r>
          <w:rPr>
            <w:color w:val="1155CC"/>
            <w:u w:val="single"/>
          </w:rPr>
          <w:t>多尺度限制电解质可实现低温稳定的水性锌碘电池</w:t>
        </w:r>
      </w:hyperlink>
    </w:p>
    <w:p>
      <w:pPr>
        <w:spacing w:before="0" w:after="80"/>
      </w:pPr>
      <w:r>
        <w:rPr>
          <w:i/>
          <w:sz w:val="20"/>
        </w:rPr>
        <w:t>EN: Multiscale Confinement Electrolyte Enables Low‐Temperature Stable Aqueous Zinc‐Iodine Batteries</w:t>
      </w:r>
    </w:p>
    <w:p>
      <w:pPr>
        <w:spacing w:before="0" w:after="120"/>
      </w:pPr>
      <w:r>
        <w:rPr>
          <w:b/>
        </w:rPr>
        <w:t xml:space="preserve">Source: </w:t>
      </w:r>
      <w:r>
        <w:t>Wiley: Advanced Energy Materials: Table of Contents</w:t>
      </w:r>
      <w:r>
        <w:t xml:space="preserve">    </w:t>
      </w:r>
      <w:r>
        <w:rPr>
          <w:b/>
        </w:rPr>
        <w:t xml:space="preserve">Pub date: </w:t>
      </w:r>
      <w:r>
        <w:t>2026-08-13 07:20:43+00:00</w:t>
      </w:r>
      <w:r>
        <w:t xml:space="preserve">    </w:t>
      </w:r>
      <w:r>
        <w:rPr>
          <w:b/>
        </w:rPr>
        <w:t xml:space="preserve">DOI: </w:t>
      </w:r>
      <w:hyperlink r:id="rId153">
        <w:r>
          <w:rPr>
            <w:color w:val="1155CC"/>
            <w:u w:val="single"/>
          </w:rPr>
          <w:t>10.1002/aenm.71384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水系锌碘电池是安全、低成本储能的有希望的候选者，但由于电解质冻结、碘溶解、离子传输缓慢和界面不稳定，在低温和高倍率条件下会严重退化。在此，我们通过引入高浓度Ca(ClO</w:t>
      </w:r>
      <w:r>
        <w:rPr>
          <w:vertAlign w:val="subscript"/>
        </w:rPr>
        <w:t>4</w:t>
      </w:r>
      <w:r>
        <w:t>）</w:t>
      </w:r>
      <w:r>
        <w:rPr>
          <w:vertAlign w:val="subscript"/>
        </w:rPr>
        <w:t>2</w:t>
      </w:r>
      <w:r>
        <w:t>和少量淀粉成Zn(OTf)</w:t>
      </w:r>
      <w:r>
        <w:rPr>
          <w:vertAlign w:val="subscript"/>
        </w:rPr>
        <w:t>2</w:t>
      </w:r>
      <w:r>
        <w:t>系统同时调节溶剂化结构、碘化学和电极界面。钙的强水化能力</w:t>
      </w:r>
      <w:r>
        <w:t xml:space="preserve"> </w:t>
      </w:r>
      <w:r>
        <w:t>2+</w:t>
      </w:r>
      <w:r>
        <w:t xml:space="preserve"> </w:t>
      </w:r>
      <w:r>
        <w:t>重建氢键网络，降低水活性，抑制冰结晶，并在零下温度下保持离子传输。与此同时，钙</w:t>
      </w:r>
      <w:r>
        <w:t xml:space="preserve"> </w:t>
      </w:r>
      <w:r>
        <w:t>2+</w:t>
      </w:r>
      <w:r>
        <w:t xml:space="preserve"> </w:t>
      </w:r>
      <w:r>
        <w:t>通过强静电相互作用限制碘化物和聚碘化物物质，从而抑制 I</w:t>
      </w:r>
      <w:r>
        <w:rPr>
          <w:vertAlign w:val="subscript"/>
        </w:rPr>
        <w:t>2</w:t>
      </w:r>
      <w:r>
        <w:t>溶解，抑制穿梭效应，并减少活性物质损失。淀粉进一步在锌阳极上构建界面限制层，抑制寄生反应，减少副产物的形成，并引导均匀的锌沉积。受益于这些协同效应，Zn||I</w:t>
      </w:r>
      <w:r>
        <w:rPr>
          <w:vertAlign w:val="subscript"/>
        </w:rPr>
        <w:t>2</w:t>
      </w:r>
      <w:r>
        <w:t>电池具有 15 A g 的卓越倍率能力</w:t>
      </w:r>
      <w:r>
        <w:t xml:space="preserve"> </w:t>
      </w:r>
      <w:r>
        <w:t>−1</w:t>
      </w:r>
      <w:r>
        <w:t xml:space="preserve"> </w:t>
      </w:r>
      <w:r>
        <w:t>并实现超稳定循环</w:t>
      </w:r>
    </w:p>
    <w:p>
      <w:pPr>
        <w:spacing w:before="0" w:after="200" w:lineRule="auto" w:line="276"/>
      </w:pPr>
      <w:r>
        <w:rPr>
          <w:b/>
        </w:rPr>
        <w:t xml:space="preserve">Abstract (EN): </w:t>
      </w:r>
      <w:r>
        <w:t>Aqueous zinc‐iodine batteries are promising candidates for safe and low‐cost energy storage but suffer from severe degradation under low‐temperature and high‐rate conditions due to electrolyte freezing, iodine dissolution, sluggish ion transport, and interfacial instability. Herein, we report a multiscale confinement electrolyte by introducing high‐concentration Ca(ClO</w:t>
      </w:r>
      <w:r>
        <w:rPr>
          <w:vertAlign w:val="subscript"/>
        </w:rPr>
        <w:t>4</w:t>
      </w:r>
      <w:r>
        <w:t>)</w:t>
      </w:r>
      <w:r>
        <w:rPr>
          <w:vertAlign w:val="subscript"/>
        </w:rPr>
        <w:t>2</w:t>
      </w:r>
      <w:r>
        <w:t>and a small amount of starch into a Zn(OTf)</w:t>
      </w:r>
      <w:r>
        <w:rPr>
          <w:vertAlign w:val="subscript"/>
        </w:rPr>
        <w:t>2</w:t>
      </w:r>
      <w:r>
        <w:t>system to regulate solvation structure, iodine chemistry, and electrode interfaces simultaneously. The strong hydration capability of Ca</w:t>
      </w:r>
      <w:r>
        <w:t xml:space="preserve"> </w:t>
      </w:r>
      <w:r>
        <w:t>2+</w:t>
      </w:r>
      <w:r>
        <w:t xml:space="preserve"> </w:t>
      </w:r>
      <w:r>
        <w:t>reconstructs the hydrogen‐bond network, reduces water activity, suppresses ice crystallization, and preserves ion transport at subzero temperatures. Meanwhile, Ca</w:t>
      </w:r>
      <w:r>
        <w:t xml:space="preserve"> </w:t>
      </w:r>
      <w:r>
        <w:t>2+</w:t>
      </w:r>
      <w:r>
        <w:t xml:space="preserve"> </w:t>
      </w:r>
      <w:r>
        <w:t>confines iodide and polyiodide species through strong electrostatic interactions, thereby suppressing I</w:t>
      </w:r>
      <w:r>
        <w:rPr>
          <w:vertAlign w:val="subscript"/>
        </w:rPr>
        <w:t>2</w:t>
      </w:r>
      <w:r>
        <w:t>dissolution, inhibiting shuttle effects, and mitigating active material loss. Starch further constructs an interfacial confinement layer on the Zn anode, inhibiting parasitic reactions, reducing by‐product formation, and guiding uniform Zn deposition. Benefiting from these synergistic effects, Zn||I</w:t>
      </w:r>
      <w:r>
        <w:rPr>
          <w:vertAlign w:val="subscript"/>
        </w:rPr>
        <w:t>2</w:t>
      </w:r>
      <w:r>
        <w:t>batteries deliver an exceptional rate capability of 15 A g</w:t>
      </w:r>
      <w:r>
        <w:t xml:space="preserve"> </w:t>
      </w:r>
      <w:r>
        <w:t>−1</w:t>
      </w:r>
      <w:r>
        <w:t xml:space="preserve"> </w:t>
      </w:r>
      <w:r>
        <w:t>and achieve ultrastable cycling over 60 000 cycles at this ultrahigh rate. Moreover, the batteries operate reliably at –40°C, delivering over 3600 h of cycling at 0.5 A g</w:t>
      </w:r>
      <w:r>
        <w:t xml:space="preserve"> </w:t>
      </w:r>
      <w:r>
        <w:t>−1</w:t>
      </w:r>
      <w:r>
        <w:t xml:space="preserve"> </w:t>
      </w:r>
      <w:r>
        <w:t>with 95.8% capacity retention. High‐loading pouch cells and a preliminary 1.1 Ah‐level demonstration further confirm the practical scale‐up potential of this electrolyte strategy.</w:t>
      </w:r>
    </w:p>
    <w:p>
      <w:pPr>
        <w:spacing w:before="120" w:after="120"/>
      </w:pPr>
      <w:r>
        <w:rPr>
          <w:sz w:val="18"/>
        </w:rPr>
        <w:t>——————————————————————————————————————————————————————————————————————</w:t>
      </w:r>
    </w:p>
    <w:p>
      <w:pPr>
        <w:spacing w:before="160" w:after="40" w:line="240" w:lineRule="auto"/>
      </w:pPr>
      <w:r>
        <w:rPr>
          <w:b/>
        </w:rPr>
        <w:t xml:space="preserve">[27] </w:t>
      </w:r>
      <w:hyperlink r:id="rId154">
        <w:r>
          <w:rPr>
            <w:color w:val="1155CC"/>
            <w:u w:val="single"/>
          </w:rPr>
          <w:t>缺陷拓扑控制石墨阳极的锂化途径</w:t>
        </w:r>
      </w:hyperlink>
    </w:p>
    <w:p>
      <w:pPr>
        <w:spacing w:before="0" w:after="80"/>
      </w:pPr>
      <w:r>
        <w:rPr>
          <w:i/>
          <w:sz w:val="20"/>
        </w:rPr>
        <w:t>EN: Defect Topology Governs Lithiation Pathways in Graphite Anodes</w:t>
      </w:r>
    </w:p>
    <w:p>
      <w:pPr>
        <w:spacing w:before="0" w:after="120"/>
      </w:pPr>
      <w:r>
        <w:rPr>
          <w:b/>
        </w:rPr>
        <w:t xml:space="preserve">Source: </w:t>
      </w:r>
      <w:r>
        <w:t>Wiley: Advanced Energy Materials: Table of Contents</w:t>
      </w:r>
      <w:r>
        <w:t xml:space="preserve">    </w:t>
      </w:r>
      <w:r>
        <w:rPr>
          <w:b/>
        </w:rPr>
        <w:t xml:space="preserve">Pub date: </w:t>
      </w:r>
      <w:r>
        <w:t>2026-08-13 07:22:16+00:00</w:t>
      </w:r>
      <w:r>
        <w:t xml:space="preserve">    </w:t>
      </w:r>
      <w:r>
        <w:rPr>
          <w:b/>
        </w:rPr>
        <w:t xml:space="preserve">DOI: </w:t>
      </w:r>
      <w:hyperlink r:id="rId155">
        <w:r>
          <w:rPr>
            <w:color w:val="1155CC"/>
            <w:u w:val="single"/>
          </w:rPr>
          <w:t>10.1002/aenm.71430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石墨阳极的电化学行为受到结构无序的强烈影响，但石墨结晶度通常使用平均描述符来描述，但不能解决潜在的缺陷情况。在这里，我们研究了一系列工业相关的石墨样品，将高分辨率同步加速器 X 射线衍射与基于故障的平面缺陷分析和操作测量相结合。我们表明，具有相似平均晶体学特征的石墨跨越了由堆垛层错、菱面体（3R）共生和乱层夹层的不同组合定义的不同缺陷拓扑区域。</w:t>
      </w:r>
      <w:r>
        <w:t xml:space="preserve"> </w:t>
      </w:r>
      <w:r>
        <w:t>操作</w:t>
      </w:r>
      <w:r>
        <w:t xml:space="preserve"> </w:t>
      </w:r>
      <w:r>
        <w:t>衍射表明，锂插入并不是在理想的 2H 主体内开始，而是优先通过堆垛层错和 3R 相关环境进行，这些环境提供了结构上可访问的插入途径。相比之下，乱层夹层不参与早期锂嵌入，并与可逆容量降低相关。这些结果表明，石墨行为受缺陷拓扑控制，而不是受单一程度的无序控制，并强调需要缺陷解决的结构描述符来合理化石墨中的锂嵌入机制。</w:t>
      </w:r>
    </w:p>
    <w:p>
      <w:pPr>
        <w:spacing w:before="0" w:after="200" w:lineRule="auto" w:line="276"/>
      </w:pPr>
      <w:r>
        <w:rPr>
          <w:b/>
        </w:rPr>
        <w:t xml:space="preserve">Abstract (EN): </w:t>
      </w:r>
      <w:r>
        <w:t>The electrochemical behavior of graphite anodes is strongly affected by structural disorder, yet graphite crystallinity is often described using averaged descriptors that do not resolve the underlying defect landscape. Here, we investigate a series of industrially relevant graphite samples combining high‑resolution synchrotron x‑ray diffraction with FAULTS‐based analysis of planar defects and operando measurements. We show that graphites with similar average crystallographic signatures span distinct defect‑topology regimes defined by different combinations of stacking faults, rhombohedral (3R) intergrowths and turbostratic interlayers.</w:t>
      </w:r>
      <w:r>
        <w:t xml:space="preserve"> </w:t>
      </w:r>
      <w:r>
        <w:t>Operando</w:t>
      </w:r>
      <w:r>
        <w:t xml:space="preserve"> </w:t>
      </w:r>
      <w:r>
        <w:t>diffraction reveals that lithium insertion does not initiate within an ideal 2H host, but proceeds preferentially through stacking‑faulted and 3R‑related environments, which provide structurally accessible insertion pathways. In contrast, turbostratic interlayers do not participate in early lithium insertion and correlate with reduced reversible capacity. These results demonstrate that graphite behavior is governed by defect topology rather than by a single degree of disorder and highlight the need for defect‑resolved structural descriptors to rationalize lithium intercalation mechanisms in graphite.</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75">
        <w:r>
          <w:rPr>
            <w:color w:val="1155CC"/>
            <w:u w:val="single"/>
          </w:rPr>
          <w:t>用于高电压宽温锂金属电池的不对称氟化磺酰胺电解质溶剂</w:t>
        </w:r>
      </w:hyperlink>
    </w:p>
    <w:p>
      <w:pPr>
        <w:spacing w:before="0" w:after="80"/>
      </w:pPr>
      <w:r>
        <w:rPr>
          <w:i/>
          <w:sz w:val="20"/>
        </w:rPr>
        <w:t>EN: Asymmetric fluorinated sulfonamide electrolyte solvent for high-voltage and wide-temperature Li-metal batteries</w:t>
      </w:r>
    </w:p>
    <w:p>
      <w:pPr>
        <w:spacing w:before="0" w:after="120"/>
      </w:pPr>
      <w:r>
        <w:rPr>
          <w:b/>
        </w:rPr>
        <w:t xml:space="preserve">Source: </w:t>
      </w:r>
      <w:r>
        <w:t>Physical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由于严重的界面寄生反应和结构退化，富镍正极在高电压（≥ 4.6 V）下的稳定循环面临着严峻的挑战，特别是在全气候条件下（即≤ -20 °C 和 ≥ 55 °C）。在此，我们合理设计并合成了一种不对称氟化磺酰胺溶剂N-乙基-N-甲基三氟甲磺酰胺，其中砜主链的氟化大大提高了氧化稳定性，同时不对称胺基的引入赋予了该溶剂较低的凝固点（-150℃以下）。这种含有 1 M 双（氟磺酰基）亚胺锂的溶剂具有高氧化稳定性（高于 5.0 V）和良好的锂可逆性（在 Li | |Cu 电池中高达 99.8%）。这种单盐单溶剂电解质能够形成高度稳定的富含 LiF 的固体电解质/阴极电解质界面，可实现 Li | 的稳定循环。 |Ni0.8Co0.1Mn0.1 电池在 -60 至 100 °C 的宽温度范围内承受 4.8 V 的高电压。引人注目的是，原型 5 Ah 级锂 | | Ni0.8Co0.1Mn0.1 软包电池在 4.7 V 和 0.1 C 的截止电压下，在 20 个循环中表现出 514 Wh kg−1 的高比能（基于所有组件的质量）。</w:t>
      </w:r>
    </w:p>
    <w:p>
      <w:pPr>
        <w:spacing w:before="0" w:after="200" w:lineRule="auto" w:line="276"/>
      </w:pPr>
      <w:r>
        <w:rPr>
          <w:b/>
        </w:rPr>
        <w:t xml:space="preserve">Abstract (EN): </w:t>
      </w:r>
      <w:r>
        <w:t>Stable cycling of Ni-rich positive electrodes under high voltages (≥ 4.6 V) is critically challenging due to severe interfacial parasitic reactions and structural degradation, especially under all-climate conditions (i.e., ≤ −20 °C and ≥ 55 °C). Herein, we rationally design and synthesize an asymmetric fluorinated sulfonamide solvent, N-ethyl-N-methyltrifluoromethane-sulfonamide, where the fluorination of sulfone backbone greatly promotes the oxidation stability, while the introduction of asymmetric amine group bestows the solvent with an low freezing point (below −150 °C). This obtained solvent, with 1 M lithium bis(fluorosulfonyl)imide, delivers high oxidation stability (above 5.0 V) and good Li reversibility (up to 99.8% in Li | |Cu cells). Coupled with its ability to form highly robust LiF-rich solid-electrolyte/cathode-electrolyte interphases, this single-salt single-solvent electrolyte enables stable cycling of Li | |Ni0.8Co0.1Mn0.1 cells under an high voltage of 4.8 V across an wide temperature of −60 to 100 °C. Remarkably, a prototype 5 Ah-level Li | | Ni0.8Co0.1Mn0.1 pouch cell at an cut-off voltage of 4.7 V and 0.1 C demonstrates a high specific energy (based on the mass of all components) of 514 Wh kg−1 over 20 cycles.</w:t>
      </w:r>
    </w:p>
    <w:p>
      <w:pPr>
        <w:spacing w:before="120" w:after="120"/>
      </w:pPr>
      <w:r>
        <w:rPr>
          <w:sz w:val="18"/>
        </w:rPr>
        <w:t>——————————————————————————————————————————————————————————————————————</w:t>
      </w:r>
    </w:p>
    <w:p>
      <w:pPr>
        <w:spacing w:before="160" w:after="40" w:line="240" w:lineRule="auto"/>
      </w:pPr>
      <w:r>
        <w:rPr>
          <w:b/>
        </w:rPr>
        <w:t xml:space="preserve">[2] </w:t>
      </w:r>
      <w:hyperlink r:id="rId156">
        <w:r>
          <w:rPr>
            <w:color w:val="1155CC"/>
            <w:u w:val="single"/>
          </w:rPr>
          <w:t>硫化物固体电解质的简易机械精炼用于稳定的全固态锂金属电池</w:t>
        </w:r>
      </w:hyperlink>
    </w:p>
    <w:p>
      <w:pPr>
        <w:spacing w:before="0" w:after="80"/>
      </w:pPr>
      <w:r>
        <w:rPr>
          <w:i/>
          <w:sz w:val="20"/>
        </w:rPr>
        <w:t>EN: Facile mechanical refinement of sulfide solid electrolytes for stable all-solid-state Li metal batteries</w:t>
      </w:r>
    </w:p>
    <w:p>
      <w:pPr>
        <w:spacing w:before="0" w:after="120"/>
      </w:pPr>
      <w:r>
        <w:rPr>
          <w:b/>
        </w:rPr>
        <w:t xml:space="preserve">Source: </w:t>
      </w:r>
      <w:r>
        <w:t>Physical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全固态锂金属电池具有高能量密度和增强的安全性，但正极/固体电解质和锂金属/固体电解质界面的机械不稳定性严重限制了循环稳定性和倍率性能，特别是在低堆叠压力下。在这里，我们报告了一种简单的、行业兼容的策略，使用 Al4C3 磨料精炼多晶 Li5.5PS4.5Cl1.5 晶粒。所得的 Al4C3 工程 Li5.5PS4.5Cl1.5 表现出降低的平均粒径和变窄的尺寸分布。精制的电解质颗粒使阳极电解液和复合正极具有较高的相对密度。除了颗粒细化之外，阳极电解液中的 Al4C3 通过其高模量、低电子电导率和有利的界面力学稳定了锂/电解质界面，从而实现了 3.2 mA cm−2/3.2 mAh cm−2 的高临界电流密度/容量。利用我们设计的电解质作为阳极电解液和阴极电解液，全固态锂金属电池在4 MPa的低堆压和1.4 mAh cm−2的正极负载下表现出稳定的循环性能，在1.4 mA cm−2下维持超过1500次循环。这项研究提供了一种潜在的简单且可扩展的方法来优化固体电解质颗粒和界面力学。</w:t>
      </w:r>
    </w:p>
    <w:p>
      <w:pPr>
        <w:spacing w:before="0" w:after="200" w:lineRule="auto" w:line="276"/>
      </w:pPr>
      <w:r>
        <w:rPr>
          <w:b/>
        </w:rPr>
        <w:t xml:space="preserve">Abstract (EN): </w:t>
      </w:r>
      <w:r>
        <w:t>All-solid-state lithium metal batteries offer high energy density and enhanced safety, yet mechanical instability at both positive electrode/solid electrolyte and Li metal/solid electrolyte interfaces severely limits cycling stability and rate performance, particularly at a low stacking pressure. Here, we report a facile, industry-compatible strategy to refine polycrystalline Li5.5PS4.5Cl1.5 grains using Al4C3 abrasives. The resulting Al4C3-engineered Li5.5PS4.5Cl1.5 exhibits reduced average particle size and a narrowed size distribution. The refined electrolyte grains enable a high relative density in both anolytes and composite positive electrodes. Beyond particle refinement, Al4C3 in the anolyte stabilizes the Li/electrolyte interface through its high modulus, low electronic conductivity, and favorable interfacial mechanics, enabling a high critical current density/capacity of 3.2 mA cm‒2/3.2 mAh cm−2. Leveraging our designed electrolyte as both anolyte and catholyte, the all-solid-state lithium metal batteries demonstrate stable cycling performance under a low stack pressure of 4 MPa and a positive electrode loading of 1.4 mAh cm−2, sustaining over 1500 cycles at 1.4 mA cm‒2. This study provides a potentially simple and scalable approach to optimize solid electrolyte particles and interfacial mechanics.</w:t>
      </w:r>
    </w:p>
    <w:p>
      <w:pPr>
        <w:spacing w:before="120" w:after="120"/>
      </w:pPr>
      <w:r>
        <w:rPr>
          <w:sz w:val="18"/>
        </w:rPr>
        <w:t>——————————————————————————————————————————————————————————————————————</w:t>
      </w:r>
    </w:p>
    <w:p>
      <w:pPr>
        <w:spacing w:before="160" w:after="40" w:line="240" w:lineRule="auto"/>
      </w:pPr>
      <w:r>
        <w:rPr>
          <w:b/>
        </w:rPr>
        <w:t xml:space="preserve">[3] </w:t>
      </w:r>
      <w:hyperlink r:id="rId76">
        <w:r>
          <w:rPr>
            <w:color w:val="1155CC"/>
            <w:u w:val="single"/>
          </w:rPr>
          <w:t>具有不对称氟烷氧基化有机硼酸盐阴离子化学的高压钠金属电池</w:t>
        </w:r>
      </w:hyperlink>
    </w:p>
    <w:p>
      <w:pPr>
        <w:spacing w:before="0" w:after="80"/>
      </w:pPr>
      <w:r>
        <w:rPr>
          <w:i/>
          <w:sz w:val="20"/>
        </w:rPr>
        <w:t>EN: High-Voltage Sodium–Metal Batteries with Asymmetric Fluoroalkoxylated Organoborate Anion Chemistry</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77">
        <w:r>
          <w:rPr>
            <w:color w:val="1155CC"/>
            <w:u w:val="single"/>
          </w:rPr>
          <w:t>10.1021/jacs.6c08026</w:t>
        </w:r>
      </w:hyperlink>
    </w:p>
    <w:p>
      <w:pPr>
        <w:spacing w:before="0" w:after="120"/>
      </w:pPr>
      <w:r>
        <w:rPr>
          <w:b/>
        </w:rPr>
        <w:t xml:space="preserve">Notes: </w:t>
      </w:r>
      <w:r>
        <w:t>abstract_source=crossref</w:t>
      </w:r>
    </w:p>
    <w:p>
      <w:pPr>
        <w:spacing w:before="0" w:after="80" w:lineRule="auto" w:line="276"/>
      </w:pPr>
      <w:r>
        <w:rPr>
          <w:b/>
        </w:rPr>
        <w:t xml:space="preserve">摘要（ZH）: </w:t>
      </w:r>
      <w:r>
        <w:t>摘要 钠（Na）金属的高反应活性限制了其与醚类电解质的相容性，而醚类较差的氧化稳定性阻碍了其与高压正极的耦合，从根本上限制了钠金属电池（SMB）的工作电压和能量密度。我们在这里提出了一种配位不对称策略，通过在醚电解质中通过路易斯酸碱加成反应原位生成不对称氟烷氧基化有机硼酸根阴离子[FB(OCH(CF3)2)3]−(BOF–)来协调这种热力学失配。不对称配体结构区分了氧化和氟化途径：可氧化的 B-O 部分介导受控的界面重建，而末端 B-F 单元提供氟用于化学钝化。这种自适应化学产生纳米级、保形、成分分级的中间相：富含氧化硼/碳氧化硼的阴极电解质中间相（CEI），可减轻醚氧化，以及双层无机-有机固体-电解质中间相（SEI），可调节钠沉积。纳米结构中间相可实现高度可逆的钠沉积/剥离，平均库仑效率 (CE) 为 99.98%，并可在易氧化的醚电解质中维持无阳极 SMB 的稳定 4.3 V 运行。这项工作将不对称硼配位建立为分子级设计原理，用于创建化学适应性界面，克服能量密集电化学系统中的氧化还原不对称性。</w:t>
      </w:r>
    </w:p>
    <w:p>
      <w:pPr>
        <w:spacing w:before="0" w:after="200" w:lineRule="auto" w:line="276"/>
      </w:pPr>
      <w:r>
        <w:rPr>
          <w:b/>
        </w:rPr>
        <w:t xml:space="preserve">Abstract (EN): </w:t>
      </w:r>
      <w:r>
        <w:t>The high reactivity of sodium (Na) metal restricts its compatibility to ether-based electrolytes, while the poor oxidative stability of ethers precludes their coupling to high-voltage cathodes, fundamentally limiting the operating voltage and energy density of sodium–metal batteries (SMBs). We present here a coordination-asymmetry strategy to reconcile this thermodynamic mismatch by generating in situ an asymmetric fluoroalkoxylated organoborate anion, [FB(OCH(CF3)2)3]− (BOF–), via a Lewis acid–base adduct reaction in ether electrolyte. The asymmetric ligand architecture differentiates oxidative and fluorination pathways: oxidizable B–O moieties mediate controlled interfacial reconstruction, whereas the terminal B–F units supply fluorine for chemical passivation. This self-adaptive chemistry yields nanoscale, conformal, compositionally graded interphases: a boron-oxide/boron-oxycarbide-rich cathode-electrolyte interphase (CEI) that mitigates ether oxidation and a bilayered inorganic–organic solid–electrolyte interphase (SEI) that regulates Na deposition. The nanostructured interphases enable highly reversible Na plating/stripping with an average Coulombic efficiency (CE) of 99.98% and sustain stable 4.3 V operation of anode-free SMBs in oxidation-prone ether electrolytes. This work establishes asymmetric boron coordination as a molecular-level design principle for creating chemically adaptive interphases that overcome the redox asymmetry in energy-dense electrochemical systems.</w:t>
      </w:r>
    </w:p>
    <w:p>
      <w:pPr>
        <w:spacing w:before="120" w:after="120"/>
      </w:pPr>
      <w:r>
        <w:rPr>
          <w:sz w:val="18"/>
        </w:rPr>
        <w:t>——————————————————————————————————————————————————————————————————————</w:t>
      </w:r>
    </w:p>
    <w:p>
      <w:pPr>
        <w:spacing w:before="160" w:after="40" w:line="240" w:lineRule="auto"/>
      </w:pPr>
      <w:r>
        <w:rPr>
          <w:b/>
        </w:rPr>
        <w:t xml:space="preserve">[4] </w:t>
      </w:r>
      <w:hyperlink r:id="rId157">
        <w:r>
          <w:rPr>
            <w:color w:val="1155CC"/>
            <w:u w:val="single"/>
          </w:rPr>
          <w:t>硫化物-氯化物固体电解质中的棱柱状钠离子配位可实现快速钠离子传输</w:t>
        </w:r>
      </w:hyperlink>
    </w:p>
    <w:p>
      <w:pPr>
        <w:spacing w:before="0" w:after="80"/>
      </w:pPr>
      <w:r>
        <w:rPr>
          <w:i/>
          <w:sz w:val="20"/>
        </w:rPr>
        <w:t>EN: Prismatic Na-Ion Coordination in the Sulfide-Chloride Solid Electrolyte Enables Fast Na-Ion Transport</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158">
        <w:r>
          <w:rPr>
            <w:color w:val="1155CC"/>
            <w:u w:val="single"/>
          </w:rPr>
          <w:t>10.1021/jacs.6c10148</w:t>
        </w:r>
      </w:hyperlink>
    </w:p>
    <w:p>
      <w:pPr>
        <w:spacing w:before="0" w:after="120"/>
      </w:pPr>
      <w:r>
        <w:rPr>
          <w:b/>
        </w:rPr>
        <w:t xml:space="preserve">Notes: </w:t>
      </w:r>
      <w:r>
        <w:t>abstract_source=crossref</w:t>
      </w:r>
    </w:p>
    <w:p>
      <w:pPr>
        <w:spacing w:before="0" w:after="80" w:lineRule="auto" w:line="276"/>
      </w:pPr>
      <w:r>
        <w:rPr>
          <w:b/>
        </w:rPr>
        <w:t xml:space="preserve">摘要（ZH）: </w:t>
      </w:r>
      <w:r>
        <w:t>摘要 设计具有高离子电导率和强大电化学稳定性的卤化物固体电解质对于先进全固态钠离子电池至关重要。目前，大多数钠基卤化物导体的离子电导率有限。在这项工作中，我们报告了一种新型快速离子导电硫化物氯化物固体电解质Na1.0Zr0.5Al0.5Cl3.5S0.5（NZACS），其中通过Al3+/S2触发P21/n相的玻璃陶瓷演化形成高导电的棱柱状Na离子配位单元。所得材料在室温下表现出 3.2 × 10–4 S cm–1 的高离子电导率，在 60 °C 下表现出 1.0 × 10–3 S cm–1 的高离子电导率，以及 0.35 eV 的低活化能。此外，NZACS固体电解质优异的成型性和高电化学氧化稳定性确保了电解质-电极界面之间的紧密连接，从而提供卓越的循环稳定性和倍率性能，在0.1C下150次循环后容量保持率为93%，在1C下800次循环后容量保持率为80%。这项研究为高性能固体电解质的开发建立了精确局部结构工程的新范式。</w:t>
      </w:r>
    </w:p>
    <w:p>
      <w:pPr>
        <w:spacing w:before="0" w:after="200" w:lineRule="auto" w:line="276"/>
      </w:pPr>
      <w:r>
        <w:rPr>
          <w:b/>
        </w:rPr>
        <w:t xml:space="preserve">Abstract (EN): </w:t>
      </w:r>
      <w:r>
        <w:t>Designing halide solid electrolytes with high ionic conductivity and robust electrochemical stability is crucial for advanced all-solid-state sodium-ion batteries. Currently, most sodium-based halide conductors suffer from the limited ionic conductivity. In this work, we report a new fast-ion-conductive sulfide-chloride solid electrolyte Na1.0Zr0.5Al0.5Cl3.5S0.5 (NZACS), where highly conductive prismatic Na-ion coordination units were developed by Al3+/S2–-triggered glass–ceramic evolution of the P21/n phase. The resulting material exhibits a high ionic conductivity of 3.2 × 10–4 S cm–1 at room temperature and 1.0 × 10–3 S cm–1 at 60 °C, and a low activation energy of 0.35 eV. Moreover, the excellent formability and high electrochemical oxidative stability of the NZACS solid electrolyte ensure a tight junction between the electrolyte-electrode interface, thus delivering superior cycling stability and rate capability, 93% capacity retention after 150 cycles at 0.1C and 80% capacity retention after 800 cycles at 1C. This study establishes a new paradigm of precise local-structure engineering for the development of high-performance solid electrolytes.</w:t>
      </w:r>
    </w:p>
    <w:p>
      <w:pPr>
        <w:spacing w:before="120" w:after="120"/>
      </w:pPr>
      <w:r>
        <w:rPr>
          <w:sz w:val="18"/>
        </w:rPr>
        <w:t>——————————————————————————————————————————————————————————————————————</w:t>
      </w:r>
    </w:p>
    <w:p>
      <w:pPr>
        <w:spacing w:before="160" w:after="40" w:line="240" w:lineRule="auto"/>
      </w:pPr>
      <w:r>
        <w:rPr>
          <w:b/>
        </w:rPr>
        <w:t xml:space="preserve">[5] </w:t>
      </w:r>
      <w:hyperlink r:id="rId78">
        <w:r>
          <w:rPr>
            <w:color w:val="1155CC"/>
            <w:u w:val="single"/>
          </w:rPr>
          <w:t>实用锂电池的缺电子物质驱动的相间转变</w:t>
        </w:r>
      </w:hyperlink>
    </w:p>
    <w:p>
      <w:pPr>
        <w:spacing w:before="0" w:after="80"/>
      </w:pPr>
      <w:r>
        <w:rPr>
          <w:i/>
          <w:sz w:val="20"/>
        </w:rPr>
        <w:t>EN: Electron-Deficient Species-Driven Interphase Transformation for Practical Lithium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79">
        <w:r>
          <w:rPr>
            <w:color w:val="1155CC"/>
            <w:u w:val="single"/>
          </w:rPr>
          <w:t>10.1021/jacs.6c09703</w:t>
        </w:r>
      </w:hyperlink>
    </w:p>
    <w:p>
      <w:pPr>
        <w:spacing w:before="0" w:after="120"/>
      </w:pPr>
      <w:r>
        <w:rPr>
          <w:b/>
        </w:rPr>
        <w:t xml:space="preserve">Notes: </w:t>
      </w:r>
      <w:r>
        <w:t>abstract_source=crossref</w:t>
      </w:r>
    </w:p>
    <w:p>
      <w:pPr>
        <w:spacing w:before="0" w:after="80" w:lineRule="auto" w:line="276"/>
      </w:pPr>
      <w:r>
        <w:rPr>
          <w:b/>
        </w:rPr>
        <w:t xml:space="preserve">摘要（ZH）: </w:t>
      </w:r>
      <w:r>
        <w:t>摘要 具有富镍层状正极的锂金属电池由于其高能量密度而成为有前途的候选者。然而，传统碳酸盐中形成的不稳定界面会加速过早的不可逆容量损失。在这项研究中，我们利用含硼 (B) 物质的缺电子性质，它可以引发不稳定烷基锂的链聚合。该过程有利于这些组分连续转化为稳定的含B聚合物，增强机械强度和离子电导率，最终实现动态界面转变。同时，富含多种盐阴离子的较小溶剂化结构的意外生成促进了 Li+ 的传输和富含 LiF 的界面的形成。这样的界面赋予Li||LiNi0.8Co0.1Mn0.1O2电池在4.6 V下稳定运行高达450次循环。即使是实用的1.5 Ah石墨软包电池在1600次循环后也能保持84%的容量。由于这种独特的原位机制的广泛适用性，它可以推广到各种基于LiPF6的碳酸盐电解质。我们的工作提供了一种低成本且易于实现的相间修改策略，为高能量密度电池铺平了道路，可以满足多样化和苛刻的操作条件。</w:t>
      </w:r>
    </w:p>
    <w:p>
      <w:pPr>
        <w:spacing w:before="0" w:after="200" w:lineRule="auto" w:line="276"/>
      </w:pPr>
      <w:r>
        <w:rPr>
          <w:b/>
        </w:rPr>
        <w:t xml:space="preserve">Abstract (EN): </w:t>
      </w:r>
      <w:r>
        <w:t>Lithium metal batteries with Ni-rich layered cathodes are promising candidates due to their high energy density; however, the unstable interphase formed in traditional carbonates accelerates premature irreversible capacity loss. In this study, we exploit the electron-deficient nature of boron (B)-containing species, which can initiate the chain polymerization of unstable alkyl lithium. This process facilitates the continuous conversion of these components into stable B-containing polymers, enhancing mechanical strength and ionic conductivity and ultimately achieving dynamic interphase transformation. Simultaneously, the unexpected generation of smaller solvation structures rich in multiple salt anions promotes Li+ transportation and the formation of LiF-rich interphases. Such an interphase bestows Li||LiNi0.8Co0.1Mn0.1O2 cells with a stable operation of up to 450 cycles under 4.6 V. Even practical 1.5 Ah graphite pouch cells can maintain 84% capacity after 1600 cycles. Thanks to the broad applicability of this unique in situ mechanism, it can be generalized to various LiPF6-based carbonate electrolytes. Our work provides a low-cost and highly accessible strategy for modifying the interphase, paving the way for high energy-density batteries that can meet diverse and demanding operating conditions.</w:t>
      </w:r>
    </w:p>
    <w:p>
      <w:pPr>
        <w:spacing w:before="120" w:after="120"/>
      </w:pPr>
      <w:r>
        <w:rPr>
          <w:sz w:val="18"/>
        </w:rPr>
        <w:t>——————————————————————————————————————————————————————————————————————</w:t>
      </w:r>
    </w:p>
    <w:p>
      <w:pPr>
        <w:spacing w:before="160" w:after="40" w:line="240" w:lineRule="auto"/>
      </w:pPr>
      <w:r>
        <w:rPr>
          <w:b/>
        </w:rPr>
        <w:t xml:space="preserve">[6] </w:t>
      </w:r>
      <w:hyperlink r:id="rId159">
        <w:r>
          <w:rPr>
            <w:color w:val="1155CC"/>
            <w:u w:val="single"/>
          </w:rPr>
          <w:t>通过描述符引导的迁移学习框架解码快离子导体的化学空间</w:t>
        </w:r>
      </w:hyperlink>
    </w:p>
    <w:p>
      <w:pPr>
        <w:spacing w:before="0" w:after="80"/>
      </w:pPr>
      <w:r>
        <w:rPr>
          <w:i/>
          <w:sz w:val="20"/>
        </w:rPr>
        <w:t>EN: Decoding the chemical space of fast-ion conductors via a descriptor-guided transfer learning framework</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160">
        <w:r>
          <w:rPr>
            <w:color w:val="1155CC"/>
            <w:u w:val="single"/>
          </w:rPr>
          <w:t>10.1126/sciadv.aee4959</w:t>
        </w:r>
      </w:hyperlink>
    </w:p>
    <w:p>
      <w:pPr>
        <w:spacing w:before="0" w:after="120"/>
      </w:pPr>
      <w:r>
        <w:rPr>
          <w:b/>
        </w:rPr>
        <w:t xml:space="preserve">Notes: </w:t>
      </w:r>
      <w:r>
        <w:t>abstract_source=crossref</w:t>
      </w:r>
    </w:p>
    <w:p>
      <w:pPr>
        <w:spacing w:before="0" w:after="80" w:lineRule="auto" w:line="276"/>
      </w:pPr>
      <w:r>
        <w:rPr>
          <w:b/>
        </w:rPr>
        <w:t xml:space="preserve">摘要（ZH）: </w:t>
      </w:r>
      <w:r>
        <w:t>快离子导体（FIC）是下一代高性能电池的关键组件，但由于传输机制尚不清楚，预测离子迁移率仍然具有挑战性。缺乏精确晶体结构的实验数据集进一步加剧了这一困难。在这里，我们提出了一个描述符引导的迁移学习框架，名为 IonNet，用于预测化合物的离子淌度，无论结构可及性如何。 IonNet 采用多通道子网络架构，通过集成化合物的静态和统计描述符来捕获通用表示。我们展示了 IonNet 在预测离子淌度方面的卓越性能，始终优于 16 种消融研究组合和之前的深度学习模型。利用化学表征的普遍适应性，IonNet 不仅在约 4500 种稳定的完美化学计量化合物中发现了 87 个 FIC，而且还从约 500 万种取代化合物中有效地找出了约 63,000 个潜在的 FIC。这项研究不仅提出了识别FIC的全链人工智能工具，还提供了控制离子淌度的组成原理，从而加速了能量存储和转换的发展。</w:t>
      </w:r>
    </w:p>
    <w:p>
      <w:pPr>
        <w:spacing w:before="0" w:after="200" w:lineRule="auto" w:line="276"/>
      </w:pPr>
      <w:r>
        <w:rPr>
          <w:b/>
        </w:rPr>
        <w:t xml:space="preserve">Abstract (EN): </w:t>
      </w:r>
      <w:r>
        <w:t>Fast-ion conductors (FICs) are key components for next-generation high-performance batteries, yet predicting ion mobility remains challenging because of the unclear transport mechanisms. This difficulty is further compounded by experimental datasets that lack precise crystal structures. Here, we present a descriptor-guided transfer learning framework, named IonNet, to predict ion mobility for compounds, regardless of structure accessibility. IonNet adopts a multichannel subnetwork architecture that captures universal representations by integrating static and statistical descriptors of compounds. We demonstrate the exceptional performance of IonNet in predicting ion mobility, consistently outperforming 16 ablation study combinations and previous deep learning models. Leveraging the universal adaptability of chemical representations, IonNet not only uncovers 87 FICs among ∼4500 stable perfectly stoichiometric compounds but also efficiently pinpoints ∼63,000 prospective FICs from ∼5 million substituted compounds. This study not only presents a full-chain artificial intelligence tool for identifying FICs but also offers compositional principles governing ion mobility, thereby accelerating the development of energy storage and conversion.</w:t>
      </w:r>
    </w:p>
    <w:p>
      <w:pPr>
        <w:spacing w:before="120" w:after="120"/>
      </w:pPr>
      <w:r>
        <w:rPr>
          <w:sz w:val="18"/>
        </w:rPr>
        <w:t>——————————————————————————————————————————————————————————————————————</w:t>
      </w:r>
    </w:p>
    <w:p>
      <w:pPr>
        <w:spacing w:before="160" w:after="40" w:line="240" w:lineRule="auto"/>
      </w:pPr>
      <w:r>
        <w:rPr>
          <w:b/>
        </w:rPr>
        <w:t xml:space="preserve">[7] </w:t>
      </w:r>
      <w:hyperlink r:id="rId161">
        <w:r>
          <w:rPr>
            <w:color w:val="1155CC"/>
            <w:u w:val="single"/>
          </w:rPr>
          <w:t>催化聚合固体电解质使 450 Wh kg−1 锂金属电池具有热机械滥用耐受性</w:t>
        </w:r>
      </w:hyperlink>
    </w:p>
    <w:p>
      <w:pPr>
        <w:spacing w:before="0" w:after="80"/>
      </w:pPr>
      <w:r>
        <w:rPr>
          <w:i/>
          <w:sz w:val="20"/>
        </w:rPr>
        <w:t>EN: A catalytically polymerized solid electrolyte enables 450 Wh kg−1 lithium–metal batteries with thermal–mechanical abuse tolerance</w:t>
      </w:r>
    </w:p>
    <w:p>
      <w:pPr>
        <w:spacing w:before="0" w:after="120"/>
      </w:pPr>
      <w:r>
        <w:rPr>
          <w:b/>
        </w:rPr>
        <w:t xml:space="preserve">Source: </w:t>
      </w:r>
      <w:r>
        <w:t>Physical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固体聚合物电解质的实际应用受到界面不稳定性和制造可扩展性的限制。在这里，我们报道了一种卷对卷兼容的、9.6微米厚的固体聚合物电解质膜，通过路易斯酸性Li1.3Al0.3Ti1.7(PO4)3在聚乙烯基体上原位聚合1,3-二氧戊环合成，实现了99.1%的转化率。所得膜在 25 °C 下表现出 191.7 MPa 的机械强度和 418.7 mS 的离子电导。为了解决多尺度界面不相容性，采用了双添加剂策略：三(4-氟苯基)膦构建富氟界面，将正极耐受性扩展至4.8 V，而Mg(TFSI)2形成Li-Mg合金，将负极Li⁺扩散势垒降低至0.127 eV。该系统在 1.2 Ah 软包电池中进行了验证，其比能量和能量密度分别为 456.7 Wh kg⁻1 和 911.1 Wh L⁻1（分别基于软包电池的总质量和体积）、稳定的宽温循环（-20 至 55 °C），并防止滥用条件下的热传播。</w:t>
      </w:r>
    </w:p>
    <w:p>
      <w:pPr>
        <w:spacing w:before="0" w:after="200" w:lineRule="auto" w:line="276"/>
      </w:pPr>
      <w:r>
        <w:rPr>
          <w:b/>
        </w:rPr>
        <w:t xml:space="preserve">Abstract (EN): </w:t>
      </w:r>
      <w:r>
        <w:t>Practical implementation of solid polymer electrolytes is constrained by interfacial instability and manufacturing scalability. Here, we report a roll-to-roll compatible, 9.6-μm-thick solid polymer electrolyte membrane synthesized via in situ 1,3-dioxolane polymerization catalyzed by Lewis-acidic Li1.3Al0.3Ti1.7(PO4)3 on a polyethylene matrix, achieving a 99.1% conversion rate. The resulting membrane demonstrates 191.7 MPa mechanical strength and 418.7 mS ionic conductance at 25 °C. To resolve multiscale interfacial incompatibilities, a dual-additive strategy is employed: tris(4-fluorophenyl) phosphine constructs a fluorine-rich interphase extending positive electrode tolerance to 4.8 V, while Mg(TFSI)2 forms a Li–Mg alloy lowering the negative electrode Li⁺ diffusion barrier to 0.127 eV. Validated in 1.2 Ah pouch cells, this system attains specific energy and energy density of 456.7 Wh kg⁻1 and 911.1 Wh L⁻1 (based on the total mass and volume of the pouch cell, respectively), stable wide-temperature cycling (−20 to 55 °C), and prevents thermal propagation under abuse conditions.</w:t>
      </w:r>
    </w:p>
    <w:p>
      <w:pPr>
        <w:spacing w:before="120" w:after="120"/>
      </w:pPr>
      <w:r>
        <w:rPr>
          <w:sz w:val="18"/>
        </w:rPr>
        <w:t>——————————————————————————————————————————————————————————————————————</w:t>
      </w:r>
    </w:p>
    <w:p>
      <w:pPr>
        <w:spacing w:before="160" w:after="40" w:line="240" w:lineRule="auto"/>
      </w:pPr>
      <w:r>
        <w:rPr>
          <w:b/>
        </w:rPr>
        <w:t xml:space="preserve">[8] </w:t>
      </w:r>
      <w:hyperlink r:id="rId126">
        <w:r>
          <w:rPr>
            <w:color w:val="1155CC"/>
            <w:u w:val="single"/>
          </w:rPr>
          <w:t>用于预测水系锌电池库仑效率的电子耦合界面能量描述符</w:t>
        </w:r>
      </w:hyperlink>
    </w:p>
    <w:p>
      <w:pPr>
        <w:spacing w:before="0" w:after="80"/>
      </w:pPr>
      <w:r>
        <w:rPr>
          <w:i/>
          <w:sz w:val="20"/>
        </w:rPr>
        <w:t>EN: An Electronically Coupled Interfacial Energy Descriptor for Predicting Coulombic Efficiency in Aqueous Zinc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2026-08-08 00:00:00+00:00</w:t>
      </w:r>
      <w:r>
        <w:t xml:space="preserve">    </w:t>
      </w:r>
      <w:r>
        <w:rPr>
          <w:b/>
        </w:rPr>
        <w:t xml:space="preserve">DOI: </w:t>
      </w:r>
      <w:hyperlink r:id="rId127">
        <w:r>
          <w:rPr>
            <w:color w:val="1155CC"/>
            <w:u w:val="single"/>
          </w:rPr>
          <w:t>10.1021/jacs.6c08057</w:t>
        </w:r>
      </w:hyperlink>
    </w:p>
    <w:p>
      <w:pPr>
        <w:spacing w:before="0" w:after="120"/>
      </w:pPr>
      <w:r>
        <w:rPr>
          <w:b/>
        </w:rPr>
        <w:t xml:space="preserve">Notes: </w:t>
      </w:r>
      <w:r>
        <w:t>abstract_source=crossref</w:t>
      </w:r>
    </w:p>
    <w:p>
      <w:pPr>
        <w:spacing w:before="0" w:after="80" w:lineRule="auto" w:line="276"/>
      </w:pPr>
      <w:r>
        <w:rPr>
          <w:b/>
        </w:rPr>
        <w:t xml:space="preserve">摘要（ZH）: </w:t>
      </w:r>
      <w:r>
        <w:t>摘要 固液界面决定了水系电池的性能和寿命。虽然合理设计的电解质添加剂提供了稳定这些界面的有效策略，但添加剂和金属表面之间复杂的相互作用很难通过实验分离，从而阻碍了最佳添加剂的预测设计。在这里，我们引入了一种电子耦合界面能量描述符（ΔG），它可以定量捕获添加剂-金属相互作用。通过将锌表面添加剂吸附和界面电荷转移的能量贡献统一为单一指标，ΔG 提供了界面稳定性的基本测量方法。将该描述符与内在分子特性相结合，我们开发了一个机器学习框架，可以准确预测不同添加剂系列的库仑效率，成功地将季戊四醇（PTT）识别为具有最小化 ΔG 值的高效候选者。 ZnSO4 电解液采用 PTT 添加剂配制而成，可实现高度可逆的镀锌和退镀，平均库仑效率为 99.71%，可维持稳定循环超过 1000 小时，其性能优于内在分子描述符预测的添加剂，循环寿命延长 2 倍。由此产生的 Zn-I2 全电池在高温和贫电解质条件下也能维持稳定的循环。从机理上讲，具有最小ΔG值的添加剂优先积聚在界面处以排出水分子，促进由PTT-和</w:t>
      </w:r>
    </w:p>
    <w:p>
      <w:pPr>
        <w:spacing w:before="0" w:after="200" w:lineRule="auto" w:line="276"/>
      </w:pPr>
      <w:r>
        <w:rPr>
          <w:b/>
        </w:rPr>
        <w:t xml:space="preserve">Abstract (EN): </w:t>
      </w:r>
      <w:r>
        <w:t>Solid–liquid interfaces dictate the performance and longevity of aqueous batteries. While rationally designed electrolyte additives offer a potent strategy to stabilize these interfaces, the complex interactions between additives and metal surfaces are difficult to isolate experimentally, hindering the predictive design of optimal additives. Here, we introduce an electronically coupled interfacial energy descriptor (ΔG) that quantitatively captures additive-metal interactions. By unifying the energetic contributions of additive adsorption and interfacial charge transfer at the zinc surface into a single metric, ΔG provides a fundamental measure of interfacial stability. Integrating this descriptor with intrinsic molecular properties, we develop a machine learning framework that accurately predicts Coulombic efficiency across different additive families, successfully identifying pentaerythritol (PTT) as a highly effective candidate with a minimized ΔG value. Formulated with PTT additive, the ZnSO4 electrolyte enables highly reversible zinc plating and stripping with an average Coulombic efficiency of 99.71%, sustaining stable cycling for over 1000 h, outperforming additives predicted by intrinsic molecular descriptors with a 2-fold longer cycle life. The resulting Zn–I2 full cells also sustain stable cycling under high-temperature and lean electrolyte conditions. Mechanistically, additives with minimized ΔG values preferentially accumulate at the interface to expel water molecules, promoting the formation of a robust solid electrolyte interphase composed of PTT- and anion-derived species. By redefining interfacial interactions through electronic-energetic coupling, this work provides a physically interpretable data-driven framework for additives screening in aqueous Zinc-ion batteries.</w:t>
      </w:r>
    </w:p>
    <w:p>
      <w:pPr>
        <w:spacing w:before="120" w:after="120"/>
      </w:pPr>
      <w:r>
        <w:rPr>
          <w:sz w:val="18"/>
        </w:rPr>
        <w:t>——————————————————————————————————————————————————————————————————————</w:t>
      </w:r>
    </w:p>
    <w:p>
      <w:pPr>
        <w:spacing w:before="160" w:after="40" w:line="240" w:lineRule="auto"/>
      </w:pPr>
      <w:r>
        <w:rPr>
          <w:b/>
        </w:rPr>
        <w:t xml:space="preserve">[9] </w:t>
      </w:r>
      <w:hyperlink r:id="rId162">
        <w:r>
          <w:rPr>
            <w:color w:val="1155CC"/>
            <w:u w:val="single"/>
          </w:rPr>
          <w:t>通过强亲核阴离子重建高倍率和低温石墨的溶剂化结构||PC 电解质中的 LFP 软包电池</w:t>
        </w:r>
      </w:hyperlink>
    </w:p>
    <w:p>
      <w:pPr>
        <w:spacing w:before="0" w:after="80"/>
      </w:pPr>
      <w:r>
        <w:rPr>
          <w:i/>
          <w:sz w:val="20"/>
        </w:rPr>
        <w:t>EN: Reconstructing Solvation Structure via Strongly Nucleophilic Anions for High‐Rate and Low‐Temperature Graphite||LFP Pouch Cells in PC‐Based Electrolyte</w:t>
      </w:r>
    </w:p>
    <w:p>
      <w:pPr>
        <w:spacing w:before="0" w:after="120"/>
      </w:pPr>
      <w:r>
        <w:rPr>
          <w:b/>
        </w:rPr>
        <w:t xml:space="preserve">Source: </w:t>
      </w:r>
      <w:r>
        <w:t>Wiley: Advanced Energy Materials: Table of Contents</w:t>
      </w:r>
      <w:r>
        <w:t xml:space="preserve">    </w:t>
      </w:r>
      <w:r>
        <w:rPr>
          <w:b/>
        </w:rPr>
        <w:t xml:space="preserve">Pub date: </w:t>
      </w:r>
      <w:r>
        <w:t>2026-08-08 08:55:06+00:00</w:t>
      </w:r>
      <w:r>
        <w:t xml:space="preserve">    </w:t>
      </w:r>
      <w:r>
        <w:rPr>
          <w:b/>
        </w:rPr>
        <w:t xml:space="preserve">DOI: </w:t>
      </w:r>
      <w:hyperlink r:id="rId163">
        <w:r>
          <w:rPr>
            <w:color w:val="1155CC"/>
            <w:u w:val="single"/>
          </w:rPr>
          <w:t>10.1002/aenm.71406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调李</w:t>
      </w:r>
      <w:r>
        <w:t xml:space="preserve"> </w:t>
      </w:r>
      <w:r>
        <w:t>+</w:t>
      </w:r>
      <w:r>
        <w:t xml:space="preserve"> </w:t>
      </w:r>
      <w:r>
        <w:t>碳酸丙烯酯 (PC) 基电解质中的溶剂化结构可调节固体电解质界面 (SEI) 的形成和去溶剂化，从而与石墨阳极兼容。然而，现有的高浓度和局部高浓度策略仍然受到成本和离子电导率降低的限制。在这里，我们报告了一种亲核阴离子调节电解质，可以重建Li</w:t>
      </w:r>
      <w:r>
        <w:t xml:space="preserve"> </w:t>
      </w:r>
      <w:r>
        <w:t>+</w:t>
      </w:r>
      <w:r>
        <w:t xml:space="preserve"> </w:t>
      </w:r>
      <w:r>
        <w:t>溶剂化鞘而不影响运输。通过对六种锂盐阴离子的系统模拟，我们揭示了调节Li的作用</w:t>
      </w:r>
      <w:r>
        <w:t xml:space="preserve"> </w:t>
      </w:r>
      <w:r>
        <w:t>+</w:t>
      </w:r>
      <w:r>
        <w:t xml:space="preserve"> </w:t>
      </w:r>
      <w:r>
        <w:t>溶剂化。硝酸锂介绍</w:t>
      </w:r>
      <w:r>
        <w:rPr>
          <w:vertAlign w:val="subscript"/>
        </w:rPr>
        <w:t>3</w:t>
      </w:r>
      <w:r>
        <w:t>盐能够用亲核部分取代第一个溶剂化壳中的溶剂分子，使溶剂分离的离子对减少 26%，同时接触离子对和聚集体分别增加 19% 和 7%。这种溶剂化重组经过实验验证，促进了 Li</w:t>
      </w:r>
      <w:r>
        <w:t xml:space="preserve"> </w:t>
      </w:r>
      <w:r>
        <w:t>+</w:t>
      </w:r>
      <w:r>
        <w:t xml:space="preserve"> </w:t>
      </w:r>
      <w:r>
        <w:t>去溶剂化并形成Li</w:t>
      </w:r>
      <w:r>
        <w:rPr>
          <w:vertAlign w:val="subscript"/>
        </w:rPr>
        <w:t>3</w:t>
      </w:r>
      <w:r>
        <w:t>富氮无机SEI，抑制PC共插层和溶剂分解。因此，Li||石墨半电池和高质量负载石墨||LiFePO</w:t>
      </w:r>
      <w:r>
        <w:rPr>
          <w:vertAlign w:val="subscript"/>
        </w:rPr>
        <w:t>4</w:t>
      </w:r>
      <w:r>
        <w:t>软包电池表现出显着增强的性能。优化的电解质在 3C 下提供近四倍的容量，并在 -20°C 下稳定运行超过 100 个循环，而电池</w:t>
      </w:r>
    </w:p>
    <w:p>
      <w:pPr>
        <w:spacing w:before="0" w:after="200" w:lineRule="auto" w:line="276"/>
      </w:pPr>
      <w:r>
        <w:rPr>
          <w:b/>
        </w:rPr>
        <w:t xml:space="preserve">Abstract (EN): </w:t>
      </w:r>
      <w:r>
        <w:t>Regulating Li</w:t>
      </w:r>
      <w:r>
        <w:t xml:space="preserve"> </w:t>
      </w:r>
      <w:r>
        <w:t>+</w:t>
      </w:r>
      <w:r>
        <w:t xml:space="preserve"> </w:t>
      </w:r>
      <w:r>
        <w:t>solvation structure in Propylene carbonate (PC)‐based electrolytes modulates solid‐electrolyte interphase (SEI) formation and desolvation, enabling compatibility with graphite anodes. However, existing high‐ and localized high‐concentration strategies remain limited by cost and reduced ionic conductivity. Here, we report a nucleophilic‐anion‐regulated electrolyte that reconstructs the Li</w:t>
      </w:r>
      <w:r>
        <w:t xml:space="preserve"> </w:t>
      </w:r>
      <w:r>
        <w:t>+</w:t>
      </w:r>
      <w:r>
        <w:t xml:space="preserve"> </w:t>
      </w:r>
      <w:r>
        <w:t>solvation sheath without compromising transport. Through systematic simulations of six lithium salt anions, we reveal the role of  in regulating Li</w:t>
      </w:r>
      <w:r>
        <w:t xml:space="preserve"> </w:t>
      </w:r>
      <w:r>
        <w:t>+</w:t>
      </w:r>
      <w:r>
        <w:t xml:space="preserve"> </w:t>
      </w:r>
      <w:r>
        <w:t>solvation. Introducing LiNO</w:t>
      </w:r>
      <w:r>
        <w:rPr>
          <w:vertAlign w:val="subscript"/>
        </w:rPr>
        <w:t>3</w:t>
      </w:r>
      <w:r>
        <w:t>salt enables partial replacement of solvent molecules in the first solvation shell with nucleophilic , decreasing solvent‐separated ion pairs by 26% while increasing contact ion pairs and aggregates by 19% and 7%, respectively. This solvation restructuring is experimentally validated, promoting Li</w:t>
      </w:r>
      <w:r>
        <w:t xml:space="preserve"> </w:t>
      </w:r>
      <w:r>
        <w:t>+</w:t>
      </w:r>
      <w:r>
        <w:t xml:space="preserve"> </w:t>
      </w:r>
      <w:r>
        <w:t>desolvation and forming a Li</w:t>
      </w:r>
      <w:r>
        <w:rPr>
          <w:vertAlign w:val="subscript"/>
        </w:rPr>
        <w:t>3</w:t>
      </w:r>
      <w:r>
        <w:t>N‐rich inorganic SEI, suppressing PC co‐intercalation and solvent decomposition. As a result, both Li||graphite half cells and high‐mass‐loading graphite||LiFePO</w:t>
      </w:r>
      <w:r>
        <w:rPr>
          <w:vertAlign w:val="subscript"/>
        </w:rPr>
        <w:t>4</w:t>
      </w:r>
      <w:r>
        <w:t>pouch cells exhibit markedly enhanced performance. The optimized electrolyte delivers nearly fourfold higher capacity at 3C and stable operation for over 100 cycles at −20°C, whereas cells with a control electrolyte fail within 20 cycles. This work establishes nucleophilic‐anion‐driven solvation regulation as a cost‐effective pathway for designing practical next‐generation electrolytes with fast‐ion transport, robust interfacial stability, and excellent low‐temperature performance.</w:t>
      </w:r>
    </w:p>
    <w:p>
      <w:pPr>
        <w:spacing w:before="120" w:after="120"/>
      </w:pPr>
      <w:r>
        <w:rPr>
          <w:sz w:val="18"/>
        </w:rPr>
        <w:t>——————————————————————————————————————————————————————————————————————</w:t>
      </w:r>
    </w:p>
    <w:p>
      <w:pPr>
        <w:spacing w:before="160" w:after="40" w:line="240" w:lineRule="auto"/>
      </w:pPr>
      <w:r>
        <w:rPr>
          <w:b/>
        </w:rPr>
        <w:t xml:space="preserve">[10] </w:t>
      </w:r>
      <w:hyperlink r:id="rId164">
        <w:r>
          <w:rPr>
            <w:color w:val="1155CC"/>
            <w:u w:val="single"/>
          </w:rPr>
          <w:t>全固态锂电池用卤化物固态电解质：结构、输运、界面关系和设计原理</w:t>
        </w:r>
      </w:hyperlink>
    </w:p>
    <w:p>
      <w:pPr>
        <w:spacing w:before="0" w:after="80"/>
      </w:pPr>
      <w:r>
        <w:rPr>
          <w:i/>
          <w:sz w:val="20"/>
        </w:rPr>
        <w:t>EN: Halide Solid‐State Electrolytes for all‐Solid‐State Lithium Batteries: Structure, Transport, Interface Relationships and Design Principles</w:t>
      </w:r>
    </w:p>
    <w:p>
      <w:pPr>
        <w:spacing w:before="0" w:after="120"/>
      </w:pPr>
      <w:r>
        <w:rPr>
          <w:b/>
        </w:rPr>
        <w:t xml:space="preserve">Source: </w:t>
      </w:r>
      <w:r>
        <w:t>Wiley: Advanced Energy Materials: Table of Contents</w:t>
      </w:r>
      <w:r>
        <w:t xml:space="preserve">    </w:t>
      </w:r>
      <w:r>
        <w:rPr>
          <w:b/>
        </w:rPr>
        <w:t xml:space="preserve">Pub date: </w:t>
      </w:r>
      <w:r>
        <w:t>2026-08-08 08:59:20+00:00</w:t>
      </w:r>
      <w:r>
        <w:t xml:space="preserve">    </w:t>
      </w:r>
      <w:r>
        <w:rPr>
          <w:b/>
        </w:rPr>
        <w:t xml:space="preserve">DOI: </w:t>
      </w:r>
      <w:hyperlink r:id="rId165">
        <w:r>
          <w:rPr>
            <w:color w:val="1155CC"/>
            <w:u w:val="single"/>
          </w:rPr>
          <w:t>10.1002/aenm.71414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卤化物固态电解质（HSE）由于其高离子电导率、良好的电化学稳定性以及与高压正极的优异兼容性，最近成为全固态锂电池中一类非常有前途的离子导体。尽管取得了快速进展，但对卤化物系统的结构-传输关系和界面行为的基本理解仍然不完整，限制了其合理设计和实际部署。在这篇综述中，我们通过将晶体化学、缺陷化学和晶格动力学与锂相关联，系统地总结了卤化物电解质的最新进展</w:t>
      </w:r>
      <w:r>
        <w:t xml:space="preserve"> </w:t>
      </w:r>
      <w:r>
        <w:t>+</w:t>
      </w:r>
      <w:r>
        <w:t xml:space="preserve"> </w:t>
      </w:r>
      <w:r>
        <w:t>运输属性。我们批判性地比较了三价、二价和混合价卤化物体系，强调了结构无序、阴离子框架灵活性和阳离子取代在控制离子电导率中的作用。特别强调新兴策略，包括异价掺杂、非晶化和晶格软化，以实现快速离子传导。此外，我们分析了卤化物电解质和电极之间的界面相容性，重点关注电化学稳定性、界面形成和化学机械降解机制。最后，我们提出了可扩展合成、湿度稳定性以及集成到实用固态电池架构中的设计原则和未来方向。这项工作提供了有关 HSE 的全面且批判性的观点，并为以下方面提供了指导：</w:t>
      </w:r>
    </w:p>
    <w:p>
      <w:pPr>
        <w:spacing w:before="0" w:after="200" w:lineRule="auto" w:line="276"/>
      </w:pPr>
      <w:r>
        <w:rPr>
          <w:b/>
        </w:rPr>
        <w:t xml:space="preserve">Abstract (EN): </w:t>
      </w:r>
      <w:r>
        <w:t>Halide solid‐state electrolytes (HSEs) have recently emerged as a highly promising class of ionic conductors for all‐solid‐state lithium batteries, owing to their high ionic conductivity, favorable electrochemical stability, and superior compatibility with high‐voltage cathodes. Despite rapid progress, a fundamental understanding of the structure‐transport relationships and interfacial behaviors in halide systems remains incomplete, limiting their rational design and practical deployment. In this review, we systematically summarize the recent advances in halide electrolytes by correlating crystal chemistry, defect chemistry, and lattice dynamics with Li</w:t>
      </w:r>
      <w:r>
        <w:t xml:space="preserve"> </w:t>
      </w:r>
      <w:r>
        <w:t>+</w:t>
      </w:r>
      <w:r>
        <w:t xml:space="preserve"> </w:t>
      </w:r>
      <w:r>
        <w:t>transport properties. We critically compare trivalent, divalent, and mixed‐valence halide systems, highlighting the roles of structural disorder, anion framework flexibility, and cation substitution in governing ionic conductivity. Particular emphasis is placed on emerging strategies including aliovalent doping, amorphization, and lattice softening to achieve fast ion conduction. Furthermore, we analyze interfacial compatibility between halide electrolytes and electrodes, focusing on electrochemical stability, interphase formation, and chemo‐mechanical degradation mechanisms. Finally, we propose design principles and future directions toward scalable synthesis, moisture stability, and integration into practical solid‐state battery architectures. This work provides a comprehensive and critical perspective on HSEs and offers guidance for the rational design of next‐generation solid‐state ionic conductors.</w:t>
      </w:r>
    </w:p>
    <w:p>
      <w:pPr>
        <w:spacing w:before="120" w:after="120"/>
      </w:pPr>
      <w:r>
        <w:rPr>
          <w:sz w:val="18"/>
        </w:rPr>
        <w:t>——————————————————————————————————————————————————————————————————————</w:t>
      </w:r>
    </w:p>
    <w:p>
      <w:pPr>
        <w:spacing w:before="160" w:after="40" w:line="240" w:lineRule="auto"/>
      </w:pPr>
      <w:r>
        <w:rPr>
          <w:b/>
        </w:rPr>
        <w:t xml:space="preserve">[11] </w:t>
      </w:r>
      <w:hyperlink r:id="rId90">
        <w:r>
          <w:rPr>
            <w:color w:val="1155CC"/>
            <w:u w:val="single"/>
          </w:rPr>
          <w:t>通过共价束缚咪唑鎓阳离子调节聚丙烯酰胺水凝胶电解质中的均匀锌沉积以获得稳定的水性锌电池</w:t>
        </w:r>
      </w:hyperlink>
    </w:p>
    <w:p>
      <w:pPr>
        <w:spacing w:before="0" w:after="80"/>
      </w:pPr>
      <w:r>
        <w:rPr>
          <w:i/>
          <w:sz w:val="20"/>
        </w:rPr>
        <w:t>EN: Regulating Uniform Zinc Deposition via Covalently Tethered Imidazolium Cations in Polyacrylamide Hydrogel Electrolytes for Stable Aqueous Zinc Batteries</w:t>
      </w:r>
    </w:p>
    <w:p>
      <w:pPr>
        <w:spacing w:before="0" w:after="120"/>
      </w:pPr>
      <w:r>
        <w:rPr>
          <w:b/>
        </w:rPr>
        <w:t xml:space="preserve">Source: </w:t>
      </w:r>
      <w:r>
        <w:t>Wiley: Advanced Energy Materials: Table of Contents</w:t>
      </w:r>
      <w:r>
        <w:t xml:space="preserve">    </w:t>
      </w:r>
      <w:r>
        <w:rPr>
          <w:b/>
        </w:rPr>
        <w:t xml:space="preserve">Pub date: </w:t>
      </w:r>
      <w:r>
        <w:t>2026-08-08 09:06:10+00:00</w:t>
      </w:r>
      <w:r>
        <w:t xml:space="preserve">    </w:t>
      </w:r>
      <w:r>
        <w:rPr>
          <w:b/>
        </w:rPr>
        <w:t xml:space="preserve">DOI: </w:t>
      </w:r>
      <w:hyperlink r:id="rId91">
        <w:r>
          <w:rPr>
            <w:color w:val="1155CC"/>
            <w:u w:val="single"/>
          </w:rPr>
          <w:t>10.1002/aenm.71370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离子电池（AZIB）由于其本质安全性和低成本而成为下一代储能的有希望的候选者。然而，不可控的锌枝晶生长和界面副反应限制了它们的循环稳定性和实际应用。在此，我们描述了一种聚（离子液体）水凝胶电解质，它将带正电的咪唑基离子液体（VEMA）纳入聚丙烯酰胺（PAM）网络中以应对这些挑战。维伊姆</w:t>
      </w:r>
      <w:r>
        <w:t xml:space="preserve"> </w:t>
      </w:r>
      <w:r>
        <w:t>+</w:t>
      </w:r>
      <w:r>
        <w:t xml:space="preserve"> </w:t>
      </w:r>
      <w:r>
        <w:t>电解质中的阳离子发挥多种作用：均匀化界面电场、固定 SO</w:t>
      </w:r>
      <w:r>
        <w:rPr>
          <w:vertAlign w:val="subscript"/>
        </w:rPr>
        <w:t>4</w:t>
      </w:r>
      <w:r>
        <w:t>2−</w:t>
      </w:r>
      <w:r>
        <w:t>通过离子交换阴离子，固定 SO</w:t>
      </w:r>
      <w:r>
        <w:rPr>
          <w:vertAlign w:val="subscript"/>
        </w:rPr>
        <w:t>4</w:t>
      </w:r>
      <w:r>
        <w:t>2−</w:t>
      </w:r>
      <w:r>
        <w:t>通过离子交换去除阴离子，改善界面动力学并减轻浓差极化。理论和实验研究均表明 VEIM</w:t>
      </w:r>
      <w:r>
        <w:t xml:space="preserve"> </w:t>
      </w:r>
      <w:r>
        <w:t>+</w:t>
      </w:r>
      <w:r>
        <w:t xml:space="preserve"> </w:t>
      </w:r>
      <w:r>
        <w:t>优先吸附在锌表面，形成静电保护层，阻挡水分子，抑制寄生副反应，引导锌均匀沉积，同时抑制枝晶形成。由此产生的基于 VEMA 的电解质的 Zn||Zn 对称电池实现了 2800 小时的稳定循环，而 Zn||Cu 不对称电池的平均 CE 达到 99.3%。此外，Zn||V</w:t>
      </w:r>
      <w:r>
        <w:rPr>
          <w:vertAlign w:val="subscript"/>
        </w:rPr>
        <w:t>6</w:t>
      </w:r>
      <w:r>
        <w:t>氧</w:t>
      </w:r>
      <w:r>
        <w:rPr>
          <w:vertAlign w:val="subscript"/>
        </w:rPr>
        <w:t>13</w:t>
      </w:r>
      <w:r>
        <w:t>全细胞保留92.04%</w:t>
      </w:r>
    </w:p>
    <w:p>
      <w:pPr>
        <w:spacing w:before="0" w:after="200" w:lineRule="auto" w:line="276"/>
      </w:pPr>
      <w:r>
        <w:rPr>
          <w:b/>
        </w:rPr>
        <w:t xml:space="preserve">Abstract (EN): </w:t>
      </w:r>
      <w:r>
        <w:t>Aqueous zinc‐ion batteries (AZIBs) are promising candidates for next‐generation energy storage due to their intrinsic safety and low cost. However, the uncontrollable zinc dendrite growth and interfacial side reactions limit their cycling stability and practical application. Herein, we describe a poly(ionic liquid) hydrogel electrolyte that incorporates a positively charged imidazolium‐based ionic liquid (VEMA) into a polyacrylamide (PAM) network to address these challenges. The VEIM</w:t>
      </w:r>
      <w:r>
        <w:t xml:space="preserve"> </w:t>
      </w:r>
      <w:r>
        <w:t>+</w:t>
      </w:r>
      <w:r>
        <w:t xml:space="preserve"> </w:t>
      </w:r>
      <w:r>
        <w:t>cations in the electrolyte play a multi‐role: homogenizing the interfacial electric field, immobilizing SO</w:t>
      </w:r>
      <w:r>
        <w:rPr>
          <w:vertAlign w:val="subscript"/>
        </w:rPr>
        <w:t>4</w:t>
      </w:r>
      <w:r>
        <w:t>2−</w:t>
      </w:r>
      <w:r>
        <w:t>anions through ion exchange, immobilizing SO</w:t>
      </w:r>
      <w:r>
        <w:rPr>
          <w:vertAlign w:val="subscript"/>
        </w:rPr>
        <w:t>4</w:t>
      </w:r>
      <w:r>
        <w:t>2−</w:t>
      </w:r>
      <w:r>
        <w:t>anions through ion exchange, improving interfacial kinetics, and mitigating concentration polarization. Both theoretical and experimental investigations demonstrate that VEIM</w:t>
      </w:r>
      <w:r>
        <w:t xml:space="preserve"> </w:t>
      </w:r>
      <w:r>
        <w:t>+</w:t>
      </w:r>
      <w:r>
        <w:t xml:space="preserve"> </w:t>
      </w:r>
      <w:r>
        <w:t>preferentially adsorbs onto the zinc surface, forming an electrostatic protective layer that blocks water molecules, suppresses parasitic side reactions, and guides uniform zinc deposition while inhibiting dendrite formation. The resulting Zn||Zn symmetric cell of VEMA‐based electrolyte achieves stable cycling for 2800 h, and the Zn||Cu asymmetric cell attains an average CE of 99.3%. Furthermore, the Zn||V</w:t>
      </w:r>
      <w:r>
        <w:rPr>
          <w:vertAlign w:val="subscript"/>
        </w:rPr>
        <w:t>6</w:t>
      </w:r>
      <w:r>
        <w:t>O</w:t>
      </w:r>
      <w:r>
        <w:rPr>
          <w:vertAlign w:val="subscript"/>
        </w:rPr>
        <w:t>13</w:t>
      </w:r>
      <w:r>
        <w:t>full cell retains 92.04% capacity after 4000 cycles at 5 A g</w:t>
      </w:r>
      <w:r>
        <w:t xml:space="preserve"> </w:t>
      </w:r>
      <w:r>
        <w:t>−1</w:t>
      </w:r>
      <w:r>
        <w:t xml:space="preserve"> </w:t>
      </w:r>
      <w:r>
        <w:t>. This work provides a simple yet effective strategy for developing stable zinc anodes in AZIBs and offers a promising pathway toward practical applications.</w:t>
      </w:r>
    </w:p>
    <w:p>
      <w:pPr>
        <w:spacing w:before="120" w:after="120"/>
      </w:pPr>
      <w:r>
        <w:rPr>
          <w:sz w:val="18"/>
        </w:rPr>
        <w:t>——————————————————————————————————————————————————————————————————————</w:t>
      </w:r>
    </w:p>
    <w:p>
      <w:pPr>
        <w:spacing w:before="160" w:after="40" w:line="240" w:lineRule="auto"/>
      </w:pPr>
      <w:r>
        <w:rPr>
          <w:b/>
        </w:rPr>
        <w:t xml:space="preserve">[12] </w:t>
      </w:r>
      <w:hyperlink r:id="rId166">
        <w:r>
          <w:rPr>
            <w:color w:val="1155CC"/>
            <w:u w:val="single"/>
          </w:rPr>
          <w:t>通过强配位阴离子和弱溶剂化共溶剂调节低温钠金属电池的溶剂化化学</w:t>
        </w:r>
      </w:hyperlink>
    </w:p>
    <w:p>
      <w:pPr>
        <w:spacing w:before="0" w:after="80"/>
      </w:pPr>
      <w:r>
        <w:rPr>
          <w:i/>
          <w:sz w:val="20"/>
        </w:rPr>
        <w:t>EN: Regulating Solvation Chemistry via Strongly Coordinating Anion and Weakly Solvating Cosolvent for Low‐Temperature Sodium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2026-08-08 10:54:06+00:00</w:t>
      </w:r>
      <w:r>
        <w:t xml:space="preserve">    </w:t>
      </w:r>
      <w:r>
        <w:rPr>
          <w:b/>
        </w:rPr>
        <w:t xml:space="preserve">DOI: </w:t>
      </w:r>
      <w:hyperlink r:id="rId167">
        <w:r>
          <w:rPr>
            <w:color w:val="1155CC"/>
            <w:u w:val="single"/>
          </w:rPr>
          <w:t>10.1002/anie.2602693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钠金属电池（SMB）由于其丰富的钠资源、高理论比容量和低氧化还原电位，在下一代储能系统中具有广阔的前景。然而，它们在低工作温度下容量会快速下降，这不可避免地阻碍了它们的实际应用。在这项工作中，我们采用强配位阴离子和弱溶剂化共溶剂来制造富含阴离子且多样化的溶剂化结构，旨在提高SMB的低温电化学性能。这种独特的溶剂化配置有效地降低了Na</w:t>
      </w:r>
      <w:r>
        <w:t xml:space="preserve"> </w:t>
      </w:r>
      <w:r>
        <w:t>+</w:t>
      </w:r>
      <w:r>
        <w:t xml:space="preserve"> </w:t>
      </w:r>
      <w:r>
        <w:t>去溶剂化能垒，减轻浓差极化，加速液相离子传输，并促进原位形成稳定的、高离子传导性的电极-电解质界面。受益于界面稳定性和离子传输动力学的协同调节，在-20°C 下实现了无枝晶的钠沉积，从而能够在 0.5 mA cm 下稳定循环超过 500 小时</w:t>
      </w:r>
      <w:r>
        <w:t xml:space="preserve"> </w:t>
      </w:r>
      <w:r>
        <w:t>−2</w:t>
      </w:r>
      <w:r>
        <w:t xml:space="preserve"> </w:t>
      </w:r>
      <w:r>
        <w:t>和 0.5mAh/cm</w:t>
      </w:r>
      <w:r>
        <w:t xml:space="preserve"> </w:t>
      </w:r>
      <w:r>
        <w:t>−2</w:t>
      </w:r>
      <w:r>
        <w:t xml:space="preserve"> </w:t>
      </w:r>
      <w:r>
        <w:t>。此外，组装的SMB表现出优异的倍率性能和循环稳定性，在-20°C和-40°C下循环1000次后，容量保持率分别为70.54%和68.28%。这项工作为高性能低温中小企业先进电解质的合理设计提供了新颖的视角，并为其实际应用奠定了坚实的基础。</w:t>
      </w:r>
    </w:p>
    <w:p>
      <w:pPr>
        <w:spacing w:before="0" w:after="200" w:lineRule="auto" w:line="276"/>
      </w:pPr>
      <w:r>
        <w:rPr>
          <w:b/>
        </w:rPr>
        <w:t xml:space="preserve">Abstract (EN): </w:t>
      </w:r>
      <w:r>
        <w:t>Sodium metal batteries (SMBs) hold great promise for next‐generation energy storage systems due to their abundant sodium resources, high theoretical specific capacity, and low redox potential. However, they suffer from rapid capacity degradation at low operating temperatures, which inevitably hinders their practical application. In this work, we employ a strongly coordinating anion and a weakly solvating cosolvent to fabricate anion‐rich and varied solvation structures, aiming to enhance the low‐temperature electrochemical performance of SMBs. This unique solvation configuration efficiently reduces the Na</w:t>
      </w:r>
      <w:r>
        <w:t xml:space="preserve"> </w:t>
      </w:r>
      <w:r>
        <w:t>+</w:t>
      </w:r>
      <w:r>
        <w:t xml:space="preserve"> </w:t>
      </w:r>
      <w:r>
        <w:t>desolvation energy barrier, alleviates concentration polarization, accelerates liquid‐phase ion transport, and facilitates the in‐situ formation of a stable, highly ion‐conductive electrode‐electrolyte interphase. Benefiting from the synergistic regulation of interfacial stability and ion transport kinetics, dendrite‐free sodium deposition is achieved at −20°C, enabling stable cycling for over 500 h at 0.5 mA cm</w:t>
      </w:r>
      <w:r>
        <w:t xml:space="preserve"> </w:t>
      </w:r>
      <w:r>
        <w:t>−2</w:t>
      </w:r>
      <w:r>
        <w:t xml:space="preserve"> </w:t>
      </w:r>
      <w:r>
        <w:t>and 0.5 mAh cm</w:t>
      </w:r>
      <w:r>
        <w:t xml:space="preserve"> </w:t>
      </w:r>
      <w:r>
        <w:t>−2</w:t>
      </w:r>
      <w:r>
        <w:t xml:space="preserve"> </w:t>
      </w:r>
      <w:r>
        <w:t>. Additionally, the assembled SMBs exhibit excellent rate performance and cycling stability, delivering a high capacity retention of 70.54% and 68.28% after 1000 cycles at −20°C and −40°C, respectively. This work provides a novel perspective for the rational design of advanced electrolytes for high‐performance low‐temperature SMBs and lays a solid foundation for their practical application in cold environments.</w:t>
      </w:r>
    </w:p>
    <w:p>
      <w:pPr>
        <w:spacing w:before="120" w:after="120"/>
      </w:pPr>
      <w:r>
        <w:rPr>
          <w:sz w:val="18"/>
        </w:rPr>
        <w:t>——————————————————————————————————————————————————————————————————————</w:t>
      </w:r>
    </w:p>
    <w:p>
      <w:pPr>
        <w:spacing w:before="160" w:after="40" w:line="240" w:lineRule="auto"/>
      </w:pPr>
      <w:r>
        <w:rPr>
          <w:b/>
        </w:rPr>
        <w:t xml:space="preserve">[13] </w:t>
      </w:r>
      <w:hyperlink r:id="rId98">
        <w:r>
          <w:rPr>
            <w:color w:val="1155CC"/>
            <w:u w:val="single"/>
          </w:rPr>
          <w:t>离子桥使高容量和长循环水系锌硫电池的双界面工程成为可能</w:t>
        </w:r>
      </w:hyperlink>
    </w:p>
    <w:p>
      <w:pPr>
        <w:spacing w:before="0" w:after="80"/>
      </w:pPr>
      <w:r>
        <w:rPr>
          <w:i/>
          <w:sz w:val="20"/>
        </w:rPr>
        <w:t>EN: Ion Bridging Enables Dual‐Interface Engineering for High Capacity and Long Cycling Aqueous Zinc–Sulfur Battery</w:t>
      </w:r>
    </w:p>
    <w:p>
      <w:pPr>
        <w:spacing w:before="0" w:after="120"/>
      </w:pPr>
      <w:r>
        <w:rPr>
          <w:b/>
        </w:rPr>
        <w:t xml:space="preserve">Source: </w:t>
      </w:r>
      <w:r>
        <w:t>Wiley: Angewandte Chemie International Edition: Table of Contents</w:t>
      </w:r>
      <w:r>
        <w:t xml:space="preserve">    </w:t>
      </w:r>
      <w:r>
        <w:rPr>
          <w:b/>
        </w:rPr>
        <w:t xml:space="preserve">Pub date: </w:t>
      </w:r>
      <w:r>
        <w:t>2026-08-08 11:02:54+00:00</w:t>
      </w:r>
      <w:r>
        <w:t xml:space="preserve">    </w:t>
      </w:r>
      <w:r>
        <w:rPr>
          <w:b/>
        </w:rPr>
        <w:t xml:space="preserve">DOI: </w:t>
      </w:r>
      <w:hyperlink r:id="rId99">
        <w:r>
          <w:rPr>
            <w:color w:val="1155CC"/>
            <w:u w:val="single"/>
          </w:rPr>
          <w:t>10.1002/anie.9631813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硫电池（AZSB）由于其高能量密度和低成本而引起了广泛关注。然而，硫阴极有限的电化学可逆性和锌阳极的界面不稳定性阻碍了它们的实际应用。在这里，我们开发了一种功能化共溶剂电解质，其中包含非质子极性四甲基脲（TMU）和碘化钾（KI）作为协同添加剂，其中TMU调节Zn</w:t>
      </w:r>
      <w:r>
        <w:t xml:space="preserve"> </w:t>
      </w:r>
      <w:r>
        <w:t>2+</w:t>
      </w:r>
      <w:r>
        <w:t xml:space="preserve"> </w:t>
      </w:r>
      <w:r>
        <w:t>配位环境，并与碘化物配合构建电解质衍生的、界面限制的、配位介导的动态离子桥通路。该途径与 TMU 调节的 Zn 结合</w:t>
      </w:r>
      <w:r>
        <w:t xml:space="preserve"> </w:t>
      </w:r>
      <w:r>
        <w:t>2+</w:t>
      </w:r>
      <w:r>
        <w:t xml:space="preserve"> </w:t>
      </w:r>
      <w:r>
        <w:t>与我一起运输</w:t>
      </w:r>
      <w:r>
        <w:rPr>
          <w:vertAlign w:val="subscript"/>
        </w:rPr>
        <w:t>3</w:t>
      </w:r>
      <w:r>
        <w:t>-</w:t>
      </w:r>
      <w:r>
        <w:t>/我</w:t>
      </w:r>
      <w:r>
        <w:t xml:space="preserve"> </w:t>
      </w:r>
      <w:r>
        <w:t>-</w:t>
      </w:r>
      <w:r>
        <w:t>‐硫阴极界面介导的电荷转移，从而减少锌的动力学势垒</w:t>
      </w:r>
      <w:r>
        <w:t xml:space="preserve"> </w:t>
      </w:r>
      <w:r>
        <w:t>2+</w:t>
      </w:r>
      <w:r>
        <w:t xml:space="preserve"> </w:t>
      </w:r>
      <w:r>
        <w:t>运输和 ZnS 转化。同时，TMU/KI 调节的界面环境使 Zn 均匀化</w:t>
      </w:r>
      <w:r>
        <w:t xml:space="preserve"> </w:t>
      </w:r>
      <w:r>
        <w:t>2+</w:t>
      </w:r>
      <w:r>
        <w:t xml:space="preserve"> </w:t>
      </w:r>
      <w:r>
        <w:t>阳极处的助焊剂，促进均匀的镀锌/剥离，并抑制寄生反应。通过离子桥的协同调节，AZSB可提供759 mAh g的高比容量</w:t>
      </w:r>
      <w:r>
        <w:t xml:space="preserve"> </w:t>
      </w:r>
      <w:r>
        <w:t>−1</w:t>
      </w:r>
      <w:r>
        <w:t xml:space="preserve"> </w:t>
      </w:r>
      <w:r>
        <w:t>5安克时</w:t>
      </w:r>
      <w:r>
        <w:t xml:space="preserve"> </w:t>
      </w:r>
      <w:r>
        <w:t>−1</w:t>
      </w:r>
      <w:r>
        <w:t xml:space="preserve"> </w:t>
      </w:r>
      <w:r>
        <w:t>1000次循环后容量保持率保持在71.2%以上。这项工作提议</w:t>
      </w:r>
    </w:p>
    <w:p>
      <w:pPr>
        <w:spacing w:before="0" w:after="200" w:lineRule="auto" w:line="276"/>
      </w:pPr>
      <w:r>
        <w:rPr>
          <w:b/>
        </w:rPr>
        <w:t xml:space="preserve">Abstract (EN): </w:t>
      </w:r>
      <w:r>
        <w:t>Aqueous Zn–S batteries (AZSBs) have garnered significant attention owing to their high energy density and low cost. However, their practical application is hindered by the limited electrochemical reversibility of sulfur cathode and the interfacial instability of zinc anode. Here, we developed a functionalized co‐solvent electrolyte incorporating aprotic polar tetramethylurea (TMU) and potassium iodide (KI) as synergistic additives, where TMU regulates the Zn</w:t>
      </w:r>
      <w:r>
        <w:t xml:space="preserve"> </w:t>
      </w:r>
      <w:r>
        <w:t>2+</w:t>
      </w:r>
      <w:r>
        <w:t xml:space="preserve"> </w:t>
      </w:r>
      <w:r>
        <w:t>coordination environment and cooperates with iodide species to construct an electrolyte‐derived, interface‐confined, and coordination‐mediated dynamic ion bridge pathway. This pathway couples TMU‐regulated Zn</w:t>
      </w:r>
      <w:r>
        <w:t xml:space="preserve"> </w:t>
      </w:r>
      <w:r>
        <w:t>2+</w:t>
      </w:r>
      <w:r>
        <w:t xml:space="preserve"> </w:t>
      </w:r>
      <w:r>
        <w:t>transport with I</w:t>
      </w:r>
      <w:r>
        <w:rPr>
          <w:vertAlign w:val="subscript"/>
        </w:rPr>
        <w:t>3</w:t>
      </w:r>
      <w:r>
        <w:t>−</w:t>
      </w:r>
      <w:r>
        <w:t>/I</w:t>
      </w:r>
      <w:r>
        <w:t xml:space="preserve"> </w:t>
      </w:r>
      <w:r>
        <w:t>−</w:t>
      </w:r>
      <w:r>
        <w:t>‐mediated charge transfer at the sulfur cathode interface, thereby reducing the kinetic barriers for Zn</w:t>
      </w:r>
      <w:r>
        <w:t xml:space="preserve"> </w:t>
      </w:r>
      <w:r>
        <w:t>2+</w:t>
      </w:r>
      <w:r>
        <w:t xml:space="preserve"> </w:t>
      </w:r>
      <w:r>
        <w:t>transport and ZnS conversion. Meanwhile, the TMU/KI‐regulated interfacial environment homogenizes Zn</w:t>
      </w:r>
      <w:r>
        <w:t xml:space="preserve"> </w:t>
      </w:r>
      <w:r>
        <w:t>2+</w:t>
      </w:r>
      <w:r>
        <w:t xml:space="preserve"> </w:t>
      </w:r>
      <w:r>
        <w:t>flux at the anode, promotes uniform Zn plating/stripping, and suppresses parasitic reactions. Through the synergistic regulation of the ion bridge, the AZSB delivers a high specific capacity of 759 mAh g</w:t>
      </w:r>
      <w:r>
        <w:t xml:space="preserve"> </w:t>
      </w:r>
      <w:r>
        <w:t>−1</w:t>
      </w:r>
      <w:r>
        <w:t xml:space="preserve"> </w:t>
      </w:r>
      <w:r>
        <w:t>at 5 A g</w:t>
      </w:r>
      <w:r>
        <w:t xml:space="preserve"> </w:t>
      </w:r>
      <w:r>
        <w:t>−1</w:t>
      </w:r>
      <w:r>
        <w:t xml:space="preserve"> </w:t>
      </w:r>
      <w:r>
        <w:t>and maintains over 71.2% capacity retention after 1000 cycles. This work proposes a promising electrolyte design strategy for energetic AZSBs via synergistic regulation, offering a promising route toward next‐generation sustainable energy storage systems.</w:t>
      </w:r>
    </w:p>
    <w:p>
      <w:pPr>
        <w:spacing w:before="120" w:after="120"/>
      </w:pPr>
      <w:r>
        <w:rPr>
          <w:sz w:val="18"/>
        </w:rPr>
        <w:t>——————————————————————————————————————————————————————————————————————</w:t>
      </w:r>
    </w:p>
    <w:p>
      <w:pPr>
        <w:spacing w:before="160" w:after="40" w:line="240" w:lineRule="auto"/>
      </w:pPr>
      <w:r>
        <w:rPr>
          <w:b/>
        </w:rPr>
        <w:t xml:space="preserve">[14] </w:t>
      </w:r>
      <w:hyperlink r:id="rId168">
        <w:r>
          <w:rPr>
            <w:color w:val="1155CC"/>
            <w:u w:val="single"/>
          </w:rPr>
          <w:t>适用于极端温度条件的离子液体电解质：挑战与前景</w:t>
        </w:r>
      </w:hyperlink>
    </w:p>
    <w:p>
      <w:pPr>
        <w:spacing w:before="0" w:after="80"/>
      </w:pPr>
      <w:r>
        <w:rPr>
          <w:i/>
          <w:sz w:val="20"/>
        </w:rPr>
        <w:t>EN: Ionic Liquid Electrolytes for Extreme Temperature Conditions: Challenges and Perspective</w:t>
      </w:r>
    </w:p>
    <w:p>
      <w:pPr>
        <w:spacing w:before="0" w:after="120"/>
      </w:pPr>
      <w:r>
        <w:rPr>
          <w:b/>
        </w:rPr>
        <w:t xml:space="preserve">Source: </w:t>
      </w:r>
      <w:r>
        <w:t>Wiley: Angewandte Chemie International Edition: Table of Contents</w:t>
      </w:r>
      <w:r>
        <w:t xml:space="preserve">    </w:t>
      </w:r>
      <w:r>
        <w:rPr>
          <w:b/>
        </w:rPr>
        <w:t xml:space="preserve">Pub date: </w:t>
      </w:r>
      <w:r>
        <w:t>2026-08-08 11:06:45+00:00</w:t>
      </w:r>
      <w:r>
        <w:t xml:space="preserve">    </w:t>
      </w:r>
      <w:r>
        <w:rPr>
          <w:b/>
        </w:rPr>
        <w:t xml:space="preserve">DOI: </w:t>
      </w:r>
      <w:hyperlink r:id="rId169">
        <w:r>
          <w:rPr>
            <w:color w:val="1155CC"/>
            <w:u w:val="single"/>
          </w:rPr>
          <w:t>10.1002/anie.7793957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储能系统在交通、航空航天和电网应用中的应用不断增加，对能够在极端温度下安全高效运行的电解质提出了严格的要求。传统的碳酸酯或醚基电解质在极端热环境下会出现性能下降和严重的安全隐患。离子液体电解质（ILE）因其固有的不可燃性和对温度引起的性能波动的显着抵抗力而被认为是有前途的替代品。尽管如此，宽温 ILE 的发展受到其复杂的温度依赖性物理化学行为和界面不稳定性的限制。在这篇综述中，系统地阐明了温度对 ILE 的分子构型、物理化学性质和界面化学的影响。随后描述了与 ILE 在低温和高温条件下运行相关的挑战，特别强调了旨在提高 ILE 宽温性能的分子设计和共溶剂策略的最新进展。此外，还对基于 ILE 的系统的界面化学和电极兼容性进行了检查，以证明它们在决定相间稳定性和电化学耐久性方面的作用。这篇综述将分子水平的见解与宏观性能特征相结合，提出了一个统一的框架，将 ILE 的结构与温度依赖性性能相关联。</w:t>
      </w:r>
    </w:p>
    <w:p>
      <w:pPr>
        <w:spacing w:before="0" w:after="200" w:lineRule="auto" w:line="276"/>
      </w:pPr>
      <w:r>
        <w:rPr>
          <w:b/>
        </w:rPr>
        <w:t xml:space="preserve">Abstract (EN): </w:t>
      </w:r>
      <w:r>
        <w:t>The increasing applications of electrochemical energy‐storage systems in transportation, aerospace, and grid applications impose stringent requirements on electrolytes capable of operating safely and efficiently across extreme temperatures. Conventional carbonate‐ or ether‐ based electrolytes suffer from performance degradation and severe safety hazards in extreme thermal environments. Ionic liquid electrolytes (ILEs), distinguished by their intrinsic nonflammability and remarkable resistance to temperature‐induced property fluctuations, are recognized as promising alternatives. Nonetheless, the development of wide‐temperature ILEs is constrained by their complex temperature‐dependent physicochemical behaviors and interfacial instabilities. In this review, the effects of temperature on the molecular configurations, physicochemical properties, and interfacial chemistry of ILEs are systematically elucidated. The challenges associated with ILEs operation under low‐ and high‐temperature conditions are subsequently delineated, with particular emphasis on recent advances in molecular design and co‐solvent strategies aimed at improving the wide‐temperature performance of ILEs. Furthermore, the interfacial chemistry and electrode compatibility of ILE‐based systems are examined to demonstrate their roles in dictating interphase stability and electrochemical durability. Integrating molecular‐level insights with macroscopic performance characteristics, this review presents a unified framework correlating the structure of ILEs with temperature‐dependent performance, providing valuable guidance for the rational design of next‐generation wide‐temperature ILEs toward high‐safety and high‐energy‐density rechargeable batteries.</w:t>
      </w:r>
    </w:p>
    <w:p>
      <w:pPr>
        <w:spacing w:before="120" w:after="120"/>
      </w:pPr>
      <w:r>
        <w:rPr>
          <w:sz w:val="18"/>
        </w:rPr>
        <w:t>——————————————————————————————————————————————————————————————————————</w:t>
      </w:r>
    </w:p>
    <w:p>
      <w:pPr>
        <w:spacing w:before="160" w:after="40" w:line="240" w:lineRule="auto"/>
      </w:pPr>
      <w:r>
        <w:rPr>
          <w:b/>
        </w:rPr>
        <w:t xml:space="preserve">[15] </w:t>
      </w:r>
      <w:hyperlink r:id="rId170">
        <w:r>
          <w:rPr>
            <w:color w:val="1155CC"/>
            <w:u w:val="single"/>
          </w:rPr>
          <w:t>双氧前驱体提高全固态钠电池玻璃电解质的离子电导率</w:t>
        </w:r>
      </w:hyperlink>
    </w:p>
    <w:p>
      <w:pPr>
        <w:spacing w:before="0" w:after="80"/>
      </w:pPr>
      <w:r>
        <w:rPr>
          <w:i/>
          <w:sz w:val="20"/>
        </w:rPr>
        <w:t>EN: Dual Oxygen Precursors Boosting the Ionic Conductivity of Glassy Electrolytes for All‐Solid‐State Sodium Batteries</w:t>
      </w:r>
    </w:p>
    <w:p>
      <w:pPr>
        <w:spacing w:before="0" w:after="120"/>
      </w:pPr>
      <w:r>
        <w:rPr>
          <w:b/>
        </w:rPr>
        <w:t xml:space="preserve">Source: </w:t>
      </w:r>
      <w:r>
        <w:t>Wiley: Advanced Materials: Table of Contents</w:t>
      </w:r>
      <w:r>
        <w:t xml:space="preserve">    </w:t>
      </w:r>
      <w:r>
        <w:rPr>
          <w:b/>
        </w:rPr>
        <w:t xml:space="preserve">Pub date: </w:t>
      </w:r>
      <w:r>
        <w:t>2026-08-09 09:42:10+00:00</w:t>
      </w:r>
      <w:r>
        <w:t xml:space="preserve">    </w:t>
      </w:r>
      <w:r>
        <w:rPr>
          <w:b/>
        </w:rPr>
        <w:t xml:space="preserve">DOI: </w:t>
      </w:r>
      <w:hyperlink r:id="rId171">
        <w:r>
          <w:rPr>
            <w:color w:val="1155CC"/>
            <w:u w:val="single"/>
          </w:rPr>
          <w:t>10.1002/adma.74493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晶卤化物固体电解质（SE）因其结构灵活性和良好的机械性能而成为全固态钠电池（ASSNaB）的有希望的候选者。其中，铝基卤化物电解质因其低成本和氧化稳定性而特别有吸引力；然而，之前报道的系统通常表现出有限的室温离子电导率（&lt;1 mS cm</w:t>
      </w:r>
      <w:r>
        <w:t xml:space="preserve"> </w:t>
      </w:r>
      <w:r>
        <w:t>−1</w:t>
      </w:r>
      <w:r>
        <w:t xml:space="preserve"> </w:t>
      </w:r>
      <w:r>
        <w:t>）。在这项工作中，我们报告了一种透明粘弹性 Na-Al SE 的合成，其具体成分为 0.6NaClO-AlCl</w:t>
      </w:r>
      <w:r>
        <w:rPr>
          <w:vertAlign w:val="subscript"/>
        </w:rPr>
        <w:t>3</w:t>
      </w:r>
      <w:r>
        <w:t>–0.175SeO</w:t>
      </w:r>
      <w:r>
        <w:rPr>
          <w:vertAlign w:val="subscript"/>
        </w:rPr>
        <w:t>2</w:t>
      </w:r>
      <w:r>
        <w:t>，通过战略性引入双氧源（NaClO和SeO</w:t>
      </w:r>
      <w:r>
        <w:rPr>
          <w:vertAlign w:val="subscript"/>
        </w:rPr>
        <w:t>2</w:t>
      </w:r>
      <w:r>
        <w:t>）。这种方法能够调节载流子浓度，同时提供足够的氧气。此外，我们引入了脱氧焓的概念，以合理化各种氧化物候选物中这些双氧源的选择。所得电解质具有高 Na</w:t>
      </w:r>
      <w:r>
        <w:t xml:space="preserve"> </w:t>
      </w:r>
      <w:r>
        <w:t>+</w:t>
      </w:r>
      <w:r>
        <w:t xml:space="preserve"> </w:t>
      </w:r>
      <w:r>
        <w:t>电导率 2.03 mS cm</w:t>
      </w:r>
      <w:r>
        <w:t xml:space="preserve"> </w:t>
      </w:r>
      <w:r>
        <w:t>−1</w:t>
      </w:r>
      <w:r>
        <w:t xml:space="preserve"> </w:t>
      </w:r>
      <w:r>
        <w:t>在环境温度下，这是钠铝卤化物电解质中报道的最高值之一。分子动力学模拟证实，无序框架内的节段运动积极促进Na</w:t>
      </w:r>
      <w:r>
        <w:t xml:space="preserve"> </w:t>
      </w:r>
      <w:r>
        <w:t>+</w:t>
      </w:r>
      <w:r>
        <w:t xml:space="preserve"> </w:t>
      </w:r>
      <w:r>
        <w:t>传输，支持观察到的粘弹性行为。何</w:t>
      </w:r>
    </w:p>
    <w:p>
      <w:pPr>
        <w:spacing w:before="0" w:after="200" w:lineRule="auto" w:line="276"/>
      </w:pPr>
      <w:r>
        <w:rPr>
          <w:b/>
        </w:rPr>
        <w:t xml:space="preserve">Abstract (EN): </w:t>
      </w:r>
      <w:r>
        <w:t>Amorphous halide‐based solid electrolytes (SEs) are promising candidates for all‐solid‐state Na batteries (ASSNaBs) due to their structural flexibility and favorable mechanical properties. Among them, aluminum‐based halide electrolytes are particularly attractive owing to their low cost and oxidative stability; however, previously reported systems typically exhibit limited room‐temperature ionic conductivity (&amp;lt;1 mS cm</w:t>
      </w:r>
      <w:r>
        <w:t xml:space="preserve"> </w:t>
      </w:r>
      <w:r>
        <w:t>−1</w:t>
      </w:r>
      <w:r>
        <w:t xml:space="preserve"> </w:t>
      </w:r>
      <w:r>
        <w:t>). In this work, we report the synthesis of a transparent, viscoelastic Na–Al SE with the specific composition 0.6NaClO–AlCl</w:t>
      </w:r>
      <w:r>
        <w:rPr>
          <w:vertAlign w:val="subscript"/>
        </w:rPr>
        <w:t>3</w:t>
      </w:r>
      <w:r>
        <w:t>–0.175SeO</w:t>
      </w:r>
      <w:r>
        <w:rPr>
          <w:vertAlign w:val="subscript"/>
        </w:rPr>
        <w:t>2</w:t>
      </w:r>
      <w:r>
        <w:t>, achieved through the strategic introduction of dual oxygen sources (NaClO and SeO</w:t>
      </w:r>
      <w:r>
        <w:rPr>
          <w:vertAlign w:val="subscript"/>
        </w:rPr>
        <w:t>2</w:t>
      </w:r>
      <w:r>
        <w:t>). This approach enables the modulation of charge carrier concentrations while simultaneously supplying sufficient oxygen. Furthermore, we introduce the concept of deoxygenation enthalpy to rationalize the selection of these dual oxygen sources among various oxide candidates. The resulting electrolyte achieves a high Na</w:t>
      </w:r>
      <w:r>
        <w:t xml:space="preserve"> </w:t>
      </w:r>
      <w:r>
        <w:t>+</w:t>
      </w:r>
      <w:r>
        <w:t xml:space="preserve"> </w:t>
      </w:r>
      <w:r>
        <w:t>conductivity of 2.03 mS cm</w:t>
      </w:r>
      <w:r>
        <w:t xml:space="preserve"> </w:t>
      </w:r>
      <w:r>
        <w:t>−1</w:t>
      </w:r>
      <w:r>
        <w:t xml:space="preserve"> </w:t>
      </w:r>
      <w:r>
        <w:t>at ambient temperatures, among the highest reported for Na–Al halide electrolytes. Molecular dynamics simulations confirm that segmental motion within the disordered framework actively facilitates Na</w:t>
      </w:r>
      <w:r>
        <w:t xml:space="preserve"> </w:t>
      </w:r>
      <w:r>
        <w:t>+</w:t>
      </w:r>
      <w:r>
        <w:t xml:space="preserve"> </w:t>
      </w:r>
      <w:r>
        <w:t>transport, underpinning the observed viscoelastic behavior. When integrated into ASSNaB with uncoated NaNi</w:t>
      </w:r>
      <w:r>
        <w:t xml:space="preserve"> </w:t>
      </w:r>
      <w:r>
        <w:t>0.4</w:t>
      </w:r>
      <w:r>
        <w:t xml:space="preserve"> </w:t>
      </w:r>
      <w:r>
        <w:t>Fe</w:t>
      </w:r>
      <w:r>
        <w:t xml:space="preserve"> </w:t>
      </w:r>
      <w:r>
        <w:t>0.2</w:t>
      </w:r>
      <w:r>
        <w:t xml:space="preserve"> </w:t>
      </w:r>
      <w:r>
        <w:t>Mn</w:t>
      </w:r>
      <w:r>
        <w:t xml:space="preserve"> </w:t>
      </w:r>
      <w:r>
        <w:t>0.4</w:t>
      </w:r>
      <w:r>
        <w:t xml:space="preserve"> </w:t>
      </w:r>
      <w:r>
        <w:t>O</w:t>
      </w:r>
      <w:r>
        <w:rPr>
          <w:vertAlign w:val="subscript"/>
        </w:rPr>
        <w:t>2</w:t>
      </w:r>
      <w:r>
        <w:t>cathode, the electrolyte enables stable long‐term cycling and superior thermal compatibility, demonstrating practical applicability. This work establishes a new paradigm in rational precursor design for high‐performance viscoelastic SEs.</w:t>
      </w:r>
    </w:p>
    <w:p>
      <w:pPr>
        <w:spacing w:before="120" w:after="120"/>
      </w:pPr>
      <w:r>
        <w:rPr>
          <w:sz w:val="18"/>
        </w:rPr>
        <w:t>——————————————————————————————————————————————————————————————————————</w:t>
      </w:r>
    </w:p>
    <w:p>
      <w:pPr>
        <w:spacing w:before="160" w:after="40" w:line="240" w:lineRule="auto"/>
      </w:pPr>
      <w:r>
        <w:rPr>
          <w:b/>
        </w:rPr>
        <w:t xml:space="preserve">[16] </w:t>
      </w:r>
      <w:hyperlink r:id="rId100">
        <w:r>
          <w:rPr>
            <w:color w:val="1155CC"/>
            <w:u w:val="single"/>
          </w:rPr>
          <w:t>解锁水性锌卤电池中的双极电极-电解质固-固转换，以实现各种电池形式的高锌利用率</w:t>
        </w:r>
      </w:hyperlink>
    </w:p>
    <w:p>
      <w:pPr>
        <w:spacing w:before="0" w:after="80"/>
      </w:pPr>
      <w:r>
        <w:rPr>
          <w:i/>
          <w:sz w:val="20"/>
        </w:rPr>
        <w:t>EN: Unlocking bipolar electrode-electrolyte solid-solid conversion in aqueous zinc-halogen batteries for high Zn utilization across various cell formats</w:t>
      </w:r>
    </w:p>
    <w:p>
      <w:pPr>
        <w:spacing w:before="0" w:after="120"/>
      </w:pPr>
      <w:r>
        <w:rPr>
          <w:b/>
        </w:rPr>
        <w:t xml:space="preserve">Source: </w:t>
      </w:r>
      <w:r>
        <w:t>Physical sciences : Nature Communications subject feeds</w:t>
      </w:r>
      <w:r>
        <w:t xml:space="preserve">    </w:t>
      </w:r>
      <w:r>
        <w:rPr>
          <w:b/>
        </w:rPr>
        <w:t xml:space="preserve">Pub date: </w:t>
      </w:r>
      <w:r>
        <w:t>2026-08-10 00:00:00+00:00</w:t>
      </w:r>
    </w:p>
    <w:p>
      <w:pPr>
        <w:spacing w:before="0" w:after="120"/>
      </w:pPr>
      <w:r>
        <w:rPr>
          <w:b/>
        </w:rPr>
        <w:t xml:space="preserve">Notes: </w:t>
      </w:r>
      <w:r>
        <w:t>abstract_source=nature_html</w:t>
      </w:r>
    </w:p>
    <w:p>
      <w:pPr>
        <w:spacing w:before="0" w:after="80" w:lineRule="auto" w:line="276"/>
      </w:pPr>
      <w:r>
        <w:rPr>
          <w:b/>
        </w:rPr>
        <w:t xml:space="preserve">摘要（ZH）: </w:t>
      </w:r>
      <w:r>
        <w:t>对高能量密度电池日益增长的需求推动了水系锌基电池的实用化。然而，由于锌的可逆性和高负载正极的容量输出较差，硬币对称电池中实现的高锌利用率无法转化为全电池，尤其是大型软包电池。在这里，通过电极-电解质界面螯合的固-固界面转换机制有效地抑制了传统固-液转换机制下广泛存在的寄生反应。因此，硬币对称型、硬币型全型和袋型全型电池的锌利用率均较高（≥ 78.3%）。锌| |I2 软包电池（10 cm×10 cm）的比能量为 116.8 Wh kg−1（基于总质量），在 10 mA cm−2 下循环次数超过 850 次（容量保持率为 85.1%）。此外，固-固界面转化机制在卤素正极中表现出普遍性，推动了水性锌的实用化。 |卤素电池。</w:t>
      </w:r>
    </w:p>
    <w:p>
      <w:pPr>
        <w:spacing w:before="0" w:after="200" w:lineRule="auto" w:line="276"/>
      </w:pPr>
      <w:r>
        <w:rPr>
          <w:b/>
        </w:rPr>
        <w:t xml:space="preserve">Abstract (EN): </w:t>
      </w:r>
      <w:r>
        <w:t>The increasing demand for high-energy-density batteries pushes practical aqueous Zn-based batteries. However, high Zn utilization achieved in coin symmetric cells is unable to translate to full cells, especially large pouch cells, due to the poor reversibility of Zn and capacity output of high-loading positive electrodes. Here, solid-solid interfacial conversion mechanisms via chelation at electrodes-electrolyte interfaces effectively suppress parasitic reactions being widely prevalent under traditional solid-liquid conversion mechanisms. Consequently, high Zn utilization ( ≥ 78.3%) is unified across coin symmetric, coin full and pouch full cells. The Zn | |I2 pouch cell (10 cm×10 cm) demonstrates a specific energy of 116.8 Wh kg−1 (based on total mass) and over 850 cycles (85.1% capacity retention) at 10 mA cm−2. Furthermore, solid-solid interfacial conversion mechanisms exhibit universality across halogen positive electrodes, advancing practical aqueous Zn | |halogen batteries.</w:t>
      </w:r>
    </w:p>
    <w:p>
      <w:pPr>
        <w:spacing w:before="120" w:after="120"/>
      </w:pPr>
      <w:r>
        <w:rPr>
          <w:sz w:val="18"/>
        </w:rPr>
        <w:t>——————————————————————————————————————————————————————————————————————</w:t>
      </w:r>
    </w:p>
    <w:p>
      <w:pPr>
        <w:spacing w:before="160" w:after="40" w:line="240" w:lineRule="auto"/>
      </w:pPr>
      <w:r>
        <w:rPr>
          <w:b/>
        </w:rPr>
        <w:t xml:space="preserve">[17] </w:t>
      </w:r>
      <w:hyperlink r:id="rId130">
        <w:r>
          <w:rPr>
            <w:color w:val="1155CC"/>
            <w:u w:val="single"/>
          </w:rPr>
          <w:t>通过竞争性配位解耦离子偶极子相互作用，获得耐用的无枝晶锌金属电池</w:t>
        </w:r>
      </w:hyperlink>
    </w:p>
    <w:p>
      <w:pPr>
        <w:spacing w:before="0" w:after="80"/>
      </w:pPr>
      <w:r>
        <w:rPr>
          <w:i/>
          <w:sz w:val="20"/>
        </w:rPr>
        <w:t>EN: Decoupling Ion–Dipole Interactions via Competitive Coordination for Durable Dendrite-Free Zinc Metal Batteries</w:t>
      </w:r>
    </w:p>
    <w:p>
      <w:pPr>
        <w:spacing w:before="0" w:after="120"/>
      </w:pPr>
      <w:r>
        <w:rPr>
          <w:b/>
        </w:rPr>
        <w:t xml:space="preserve">Source: </w:t>
      </w:r>
      <w:r>
        <w:t>Nano-Micro Letters</w:t>
      </w:r>
      <w:r>
        <w:t xml:space="preserve">    </w:t>
      </w:r>
      <w:r>
        <w:rPr>
          <w:b/>
        </w:rPr>
        <w:t xml:space="preserve">Pub date: </w:t>
      </w:r>
      <w:r>
        <w:t>2026-08-10 00:00:00+00:00</w:t>
      </w:r>
      <w:r>
        <w:t xml:space="preserve">    </w:t>
      </w:r>
      <w:r>
        <w:rPr>
          <w:b/>
        </w:rPr>
        <w:t xml:space="preserve">DOI: </w:t>
      </w:r>
      <w:hyperlink r:id="rId131">
        <w:r>
          <w:rPr>
            <w:color w:val="1155CC"/>
            <w:u w:val="single"/>
          </w:rPr>
          <w:t>10.1007/s40820-026-02306-5</w:t>
        </w:r>
      </w:hyperlink>
    </w:p>
    <w:p>
      <w:pPr>
        <w:spacing w:before="0" w:after="120"/>
      </w:pPr>
      <w:r>
        <w:rPr>
          <w:b/>
        </w:rPr>
        <w:t xml:space="preserve">Notes: </w:t>
      </w:r>
      <w:r>
        <w:t>abstract_source=rss_description</w:t>
      </w:r>
    </w:p>
    <w:p>
      <w:pPr>
        <w:spacing w:before="0" w:after="80" w:lineRule="auto" w:line="276"/>
      </w:pPr>
      <w:r>
        <w:rPr>
          <w:b/>
        </w:rPr>
        <w:t xml:space="preserve">摘要（ZH）: </w:t>
      </w:r>
      <w:r>
        <w:t>水性锌金属电池（AZMB）以高安全性和高能量密度而闻名，但受到亥姆霍兹平面层周围的严峻挑战（例如Zn2+和H2O之间的强离子偶极相互作用）的限制，导致去溶剂化过程缓慢、传输动力学有限以及相应的较高势垒。为了重建离子偶极环境，提出了采用 L-肌肽 (L-CN) 的高永久偶极矩的界面化学，削弱 Zn2+ 和 H2O 之间的相互作用，实现拥挤的 Zn2+ 导电结构，加速去溶剂化动力学。结果表明，L-CN和Zn2+之间的强亲和力使L-CN分子能够排斥H2O，重新配置内亥姆霍兹平面层，从而抑制活性水分子形成析氢反应。因此，采用亥姆霍兹平面调制的Zn//Zn对称电池实现了长达7000小时的长寿命、99.72%的高库仑效率以及高放电深度（85.4%）的高稳定性。采用最佳电解质组装的 Zn//V2O5−x 全电池在 1 A g−1、N/P 比为 3.98 下循环 500 次后，容量为 289 mAh g−1。令人印象深刻的是，具有最佳电解质的大型软包电池可稳定循环200次，为重构亥姆霍兹平面以实现高性能AZMB提供了光明的前景。亮点：1引入竞争性永久偶极L-肌肽（L-CN）与Zn2+–H2O溶剂化壳中的Zn2+相互作用，形成Zn2+(L-CN)y(H2O)x结构，增强脱溶剂化</w:t>
      </w:r>
    </w:p>
    <w:p>
      <w:pPr>
        <w:spacing w:before="0" w:after="200" w:lineRule="auto" w:line="276"/>
      </w:pPr>
      <w:r>
        <w:rPr>
          <w:b/>
        </w:rPr>
        <w:t xml:space="preserve">Abstract (EN): </w:t>
      </w:r>
      <w:r>
        <w:t>The aqueous zinc metal batteries (AZMBs) are famous for high-safety and high-energy-density, but limited by severe challenges around the Helmholtz plane layer such as the strong ion–dipole interactions between Zn2+ and H2O, resulting in slow desolvation processes and limited transport kinetics as well as corresponding higher barriers. To reconstruct the ion–dipole surroundings, the interface chemistry of employing a high permanent dipole moment of L-Carnosine (L-CN) has been proposed, weakening the interactions between Zn2+ and H2O to realize a crowded Zn2+-conductive structure, accelerating the desolvation kinetics. As revealed, the strong affinity between L-CN and Zn2+ enables the L-CN molecules to repulse H2O, reconfiguring the inner Helmholtz plane layer, thereby inhibiting the active water molecular to form hydrogen evolution reactions. Consequently, the Zn//Zn symmetric cells with Helmholtz plane modulation achieve a long lifespan up to 7000 h, a high Coulombic efficiency of 99.72%, and a high stabilization at high depth of discharge (85.4%). The assembled Zn//V2O5−x full cell with optimal electrolyte delivers the capacity of 289 mAh g−1 after 500 cycles at 1 A g−1 under an N/P ratio of 3.98. Impressively, the large-scale pouch cell with optimal electrolyte stabilizes for 200 cycles, offering the bright future of reconstructing Helmholtz plane for achieving high-performance AZMBs. Highlights:1 A competitive permanent dipole L-Carnosine (L-CN) is introduced to interact with Zn2+ in the Zn2+–H2O solvation shell and form Zn2+(L-CN)y(H2O)x structure, enhancing the desolvation kinetics of [Zn(H2O)6]2+ and diffusion kinetics of zinc ions/atoms.2 The L-CN molecule forms a crowded Zn2+-conductive structure and remodels the inner Helmholtz plane layer with abundant Zn2+ flux, enabling durable dendrite-free Zn deposition.3 The cells with optimal electrolyte stabilize for 7000 h, a high Coulombic efficiency of 99.72%, and even stabilize over 200 h under a high depth of discharge of 85.4%. The assembled Zn//V2O5−x full cell delivers the capacity of 289 mAh g−1 after 500 cycles at 1 A g−1 under an N/P ratio of 3.98.</w:t>
      </w:r>
    </w:p>
    <w:p>
      <w:pPr>
        <w:spacing w:before="120" w:after="120"/>
      </w:pPr>
      <w:r>
        <w:rPr>
          <w:sz w:val="18"/>
        </w:rPr>
        <w:t>——————————————————————————————————————————————————————————————————————</w:t>
      </w:r>
    </w:p>
    <w:p>
      <w:pPr>
        <w:spacing w:before="160" w:after="40" w:line="240" w:lineRule="auto"/>
      </w:pPr>
      <w:r>
        <w:rPr>
          <w:b/>
        </w:rPr>
        <w:t xml:space="preserve">[18] </w:t>
      </w:r>
      <w:hyperlink r:id="rId107">
        <w:r>
          <w:rPr>
            <w:color w:val="1155CC"/>
            <w:u w:val="single"/>
          </w:rPr>
          <w:t>用于高能量密度全固态电池的双粘合剂启用的 18 µm 厚高电导率硫化物电解质薄膜</w:t>
        </w:r>
      </w:hyperlink>
    </w:p>
    <w:p>
      <w:pPr>
        <w:spacing w:before="0" w:after="80"/>
      </w:pPr>
      <w:r>
        <w:rPr>
          <w:i/>
          <w:sz w:val="20"/>
        </w:rPr>
        <w:t>EN: Dual‐Binder‐Enabled 18‐µm‐Thick High‐Conductivity Sulfide Electrolyte Film for High‐Energy‐Density All‐Solid‐State Batteries</w:t>
      </w:r>
    </w:p>
    <w:p>
      <w:pPr>
        <w:spacing w:before="0" w:after="120"/>
      </w:pPr>
      <w:r>
        <w:rPr>
          <w:b/>
        </w:rPr>
        <w:t xml:space="preserve">Source: </w:t>
      </w:r>
      <w:r>
        <w:t>Wiley: Advanced Materials: Table of Contents</w:t>
      </w:r>
      <w:r>
        <w:t xml:space="preserve">    </w:t>
      </w:r>
      <w:r>
        <w:rPr>
          <w:b/>
        </w:rPr>
        <w:t xml:space="preserve">Pub date: </w:t>
      </w:r>
      <w:r>
        <w:t>2026-08-10 08:15:02+00:00</w:t>
      </w:r>
      <w:r>
        <w:t xml:space="preserve">    </w:t>
      </w:r>
      <w:r>
        <w:rPr>
          <w:b/>
        </w:rPr>
        <w:t xml:space="preserve">DOI: </w:t>
      </w:r>
      <w:hyperlink r:id="rId108">
        <w:r>
          <w:rPr>
            <w:color w:val="1155CC"/>
            <w:u w:val="single"/>
          </w:rPr>
          <w:t>10.1002/adma.74533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薄、高离子电导率硫化物固态电解质（SSE）薄膜的开发对于实现高能量密度全固态电池（ASSB）至关重要。然而，传统的化学惰性粘合剂不可避免地阻碍SSE薄膜内的锂离子传输动力学，并且潜在的锂离子传输机制仍然难以捉摸。在这项工作中，我们报告了一种锂离子导电聚合物粘合剂（LiTFSI-PMEMA），并通过干法加工将其与SSE集成，以制造超薄SSE薄膜（USF）。所得 USF 厚度仅为 18 µm，并具有 1.56 mS cm 的高离子电导率</w:t>
      </w:r>
      <w:r>
        <w:t xml:space="preserve"> </w:t>
      </w:r>
      <w:r>
        <w:t>−1</w:t>
      </w:r>
      <w:r>
        <w:t xml:space="preserve"> </w:t>
      </w:r>
      <w:r>
        <w:t>。通过结合低温透射电子显微镜（cryo-TEM）、固态核磁共振（ssNMR）和理论模拟，我们提出了一种Li</w:t>
      </w:r>
      <w:r>
        <w:t xml:space="preserve"> </w:t>
      </w:r>
      <w:r>
        <w:t>+</w:t>
      </w:r>
      <w:r>
        <w:t xml:space="preserve"> </w:t>
      </w:r>
      <w:r>
        <w:t>输运模型中，SSE 相提供主要传导路径，而聚合物粘合剂和 SSE/聚合物接触区域可以辅助局部 Li</w:t>
      </w:r>
      <w:r>
        <w:t xml:space="preserve"> </w:t>
      </w:r>
      <w:r>
        <w:t>+</w:t>
      </w:r>
      <w:r>
        <w:t xml:space="preserve"> </w:t>
      </w:r>
      <w:r>
        <w:t>相邻 SSE 粒子之间的传输连续性。当在 ASSB 中实施时，USF 表现出卓越的界面相容性和动力学稳定性，可实现长期循环寿命，在 1500 次循环中容量保持率为 70.3%。此外，LiNi</w:t>
      </w:r>
      <w:r>
        <w:t xml:space="preserve"> </w:t>
      </w:r>
      <w:r>
        <w:t>0.7</w:t>
      </w:r>
      <w:r>
        <w:t xml:space="preserve"> </w:t>
      </w:r>
      <w:r>
        <w:t>钴</w:t>
      </w:r>
      <w:r>
        <w:t xml:space="preserve"> </w:t>
      </w:r>
      <w:r>
        <w:t>0.2</w:t>
      </w:r>
      <w:r>
        <w:t xml:space="preserve"> </w:t>
      </w:r>
      <w:r>
        <w:t>锰</w:t>
      </w:r>
      <w:r>
        <w:t xml:space="preserve"> </w:t>
      </w:r>
      <w:r>
        <w:t>0.1</w:t>
      </w:r>
      <w:r>
        <w:t xml:space="preserve"> </w:t>
      </w:r>
      <w:r>
        <w:t>氧</w:t>
      </w:r>
      <w:r>
        <w:rPr>
          <w:vertAlign w:val="subscript"/>
        </w:rPr>
        <w:t>2</w:t>
      </w:r>
      <w:r>
        <w:t>||USF||nSi 软包电池提供高堆叠级别</w:t>
      </w:r>
    </w:p>
    <w:p>
      <w:pPr>
        <w:spacing w:before="0" w:after="200" w:lineRule="auto" w:line="276"/>
      </w:pPr>
      <w:r>
        <w:rPr>
          <w:b/>
        </w:rPr>
        <w:t xml:space="preserve">Abstract (EN): </w:t>
      </w:r>
      <w:r>
        <w:t>The development of ultrathin, high ionic conductivity sulfide solid‐state electrolytes (SSEs) film is essential for achieving high‐energy‐density all‐solid‐state batteries (ASSBs). However, conventional chemically inert binders inevitably impede Li‐ion transport kinetics within SSE films, and the underlying Li‐ion transport mechanisms remain elusive. In this work, we report an Li‐ion‐conductive polymer binder (LiTFSI‐PMEMA) and integrate it with SSEs via dry processing to fabricate an ultrathin SSE film (USF). The resulting USF is only 18 µm thick and exhibits a high ionic conductivity of 1.56 mS cm</w:t>
      </w:r>
      <w:r>
        <w:t xml:space="preserve"> </w:t>
      </w:r>
      <w:r>
        <w:t>‒1</w:t>
      </w:r>
      <w:r>
        <w:t xml:space="preserve"> </w:t>
      </w:r>
      <w:r>
        <w:t>. By combining cryogenic transmission electron microscopy (cryo‐TEM), solid‐state nuclear magnetic resonance (ssNMR), and theoretical simulations, we propose an Li</w:t>
      </w:r>
      <w:r>
        <w:t xml:space="preserve"> </w:t>
      </w:r>
      <w:r>
        <w:t>+</w:t>
      </w:r>
      <w:r>
        <w:t xml:space="preserve"> </w:t>
      </w:r>
      <w:r>
        <w:t>transport model in which the SSE phase provides the dominant conduction pathway, while the polymer binder and SSEs/polymer contact regions can assist local Li</w:t>
      </w:r>
      <w:r>
        <w:t xml:space="preserve"> </w:t>
      </w:r>
      <w:r>
        <w:t>+</w:t>
      </w:r>
      <w:r>
        <w:t xml:space="preserve"> </w:t>
      </w:r>
      <w:r>
        <w:t>transport continuity between neighboring SSE particles. When implemented in ASSBs, the USF exhibits exceptional interfacial compatibility and kinetic stability, enabling a long‐term cycling life with 70.3% capacity retention over 1500 cycles. Furthermore, a LiNi</w:t>
      </w:r>
      <w:r>
        <w:t xml:space="preserve"> </w:t>
      </w:r>
      <w:r>
        <w:t>0.7</w:t>
      </w:r>
      <w:r>
        <w:t xml:space="preserve"> </w:t>
      </w:r>
      <w:r>
        <w:t>Co</w:t>
      </w:r>
      <w:r>
        <w:t xml:space="preserve"> </w:t>
      </w:r>
      <w:r>
        <w:t>0.2</w:t>
      </w:r>
      <w:r>
        <w:t xml:space="preserve"> </w:t>
      </w:r>
      <w:r>
        <w:t>Mn</w:t>
      </w:r>
      <w:r>
        <w:t xml:space="preserve"> </w:t>
      </w:r>
      <w:r>
        <w:t>0.1</w:t>
      </w:r>
      <w:r>
        <w:t xml:space="preserve"> </w:t>
      </w:r>
      <w:r>
        <w:t>O</w:t>
      </w:r>
      <w:r>
        <w:rPr>
          <w:vertAlign w:val="subscript"/>
        </w:rPr>
        <w:t>2</w:t>
      </w:r>
      <w:r>
        <w:t>||USF||nSi pouch cell delivers a high stack‐level energy density of 322.7 Wh kg</w:t>
      </w:r>
      <w:r>
        <w:t xml:space="preserve"> </w:t>
      </w:r>
      <w:r>
        <w:t>‒1</w:t>
      </w:r>
      <w:r>
        <w:t xml:space="preserve"> </w:t>
      </w:r>
      <w:r>
        <w:t>. This work provides crucial insights into the multiphase Li‐ion transport kinetics and demonstrates a scalable manufacturing strategy for sulfide‐based ASSBs.</w:t>
      </w:r>
    </w:p>
    <w:p>
      <w:pPr>
        <w:spacing w:before="120" w:after="120"/>
      </w:pPr>
      <w:r>
        <w:rPr>
          <w:sz w:val="18"/>
        </w:rPr>
        <w:t>——————————————————————————————————————————————————————————————————————</w:t>
      </w:r>
    </w:p>
    <w:p>
      <w:pPr>
        <w:spacing w:before="160" w:after="40" w:line="240" w:lineRule="auto"/>
      </w:pPr>
      <w:r>
        <w:rPr>
          <w:b/>
        </w:rPr>
        <w:t xml:space="preserve">[19] </w:t>
      </w:r>
      <w:hyperlink r:id="rId172">
        <w:r>
          <w:rPr>
            <w:color w:val="1155CC"/>
            <w:u w:val="single"/>
          </w:rPr>
          <w:t>在有机电解质门控晶体管中采用光驱动光催化掺杂的氧化还原活性离子凝胶以增强跨导</w:t>
        </w:r>
      </w:hyperlink>
    </w:p>
    <w:p>
      <w:pPr>
        <w:spacing w:before="0" w:after="80"/>
      </w:pPr>
      <w:r>
        <w:rPr>
          <w:i/>
          <w:sz w:val="20"/>
        </w:rPr>
        <w:t>EN: Redox-Active Ion Gels with Light-Driven Photocatalytic Doping in Organic Electrolyte-Gated Transistors for Transconductance Enhancements</w:t>
      </w:r>
    </w:p>
    <w:p>
      <w:pPr>
        <w:spacing w:before="0" w:after="120"/>
      </w:pPr>
      <w:r>
        <w:rPr>
          <w:b/>
        </w:rPr>
        <w:t xml:space="preserve">Source: </w:t>
      </w:r>
      <w:r>
        <w:t>ACS Applied Materials &amp; Interfaces: Latest Articles (ACS Publications)</w:t>
      </w:r>
      <w:r>
        <w:t xml:space="preserve">    </w:t>
      </w:r>
      <w:r>
        <w:rPr>
          <w:b/>
        </w:rPr>
        <w:t xml:space="preserve">Pub date: </w:t>
      </w:r>
      <w:r>
        <w:t>2026-08-11 00:00:00+00:00</w:t>
      </w:r>
      <w:r>
        <w:t xml:space="preserve">    </w:t>
      </w:r>
      <w:r>
        <w:rPr>
          <w:b/>
        </w:rPr>
        <w:t xml:space="preserve">DOI: </w:t>
      </w:r>
      <w:hyperlink r:id="rId173">
        <w:r>
          <w:rPr>
            <w:color w:val="1155CC"/>
            <w:u w:val="single"/>
          </w:rPr>
          <w:t>10.1021/acsami.6c12095</w:t>
        </w:r>
      </w:hyperlink>
    </w:p>
    <w:p>
      <w:pPr>
        <w:spacing w:before="0" w:after="120"/>
      </w:pPr>
      <w:r>
        <w:rPr>
          <w:b/>
        </w:rPr>
        <w:t xml:space="preserve">Notes: </w:t>
      </w:r>
      <w:r>
        <w:t>abstract_source=crossref</w:t>
      </w:r>
    </w:p>
    <w:p>
      <w:pPr>
        <w:spacing w:before="0" w:after="80" w:lineRule="auto" w:line="276"/>
      </w:pPr>
      <w:r>
        <w:rPr>
          <w:b/>
        </w:rPr>
        <w:t xml:space="preserve">摘要（ZH）: </w:t>
      </w:r>
      <w:r>
        <w:t>摘要 有机电解质门控晶体管（OEGT）是低压有机电子器件的一个有吸引力的平台，因为它们的运行受到耦合的离子和电子传输的控制。然而，通过可控分子机制将光响应引入 OEGT 仍然是一个重大挑战。在这里，我们报道了一种光氧化还原活性离子凝胶，它可以在 OEGT 中实现光驱动光催化掺杂。该离子凝胶是通过将1-乙基-3-甲基咪唑鎓双(三氟甲基磺酰基)亚胺([EMIM][TFSI])与光氧化还原催化剂9-异三甲苯基-10-甲基吖啶鎓高氯酸盐(mmAc+)和分子氧化剂2,6-二氯-1,4-苯醌结合到聚(偏二氟乙烯-六氟丙烯)基质中而构建的。 (2,6-DCBQ)。在光照射下，光激发的 mmAc+ 从聚（3-己基噻吩-2,5-二基）通道中提取电子，并在 2,6-DCBQ 存在的情况下介导其氧化，通过光催化掺杂过程产生带正电的极化子，而离子凝胶提供移动反离子以稳定光生电荷。紫外光电子能谱显示光催化掺杂后功函数增加且HOMO能级更深，而X射线光电子能谱显示TFSI-阴离子的强界面极化，傅里叶变换红外光谱与2,6-DCBQ在光照射过程中的化学参与一致。通过优化催化剂和氧化剂的组成，该器件表现出沟道电导率和跨导的显着增强，r</w:t>
      </w:r>
    </w:p>
    <w:p>
      <w:pPr>
        <w:spacing w:before="0" w:after="200" w:lineRule="auto" w:line="276"/>
      </w:pPr>
      <w:r>
        <w:rPr>
          <w:b/>
        </w:rPr>
        <w:t xml:space="preserve">Abstract (EN): </w:t>
      </w:r>
      <w:r>
        <w:t>Organic electrolyte-gated transistors (OEGTs) are an attractive platform for low-voltage organic electronics because their operation is governed by coupled ionic and electronic transport. However, introducing photoresponse into OEGTs through a controllable molecular mechanism remains a significant challenge. Here, we report a photoredox-active ion gel that enables light-driven photocatalytic doping in an OEGT. The ion gel was constructed by incorporating 1-ethyl-3-methylimidazolium bis(trifluoromethylsulfonyl)imide ([EMIM][TFSI]) into a poly(vinylidene fluoride-co-hexafluoropropylene) matrix, together with the photoredox catalyst 9-mesityl-10-methylacridinium perchlorate (mmAc+) and the molecular oxidant 2,6-dichloro-1,4-benzoquinone (2,6-DCBQ). Under light irradiation, photoexcited mmAc+ extracts electrons from the poly(3-hexylthiophene-2,5-diyl) channel and mediates its oxidation in the presence of 2,6-DCBQ, generating positively charged polarons through a photocatalytic doping process, while the ion gel supplies mobile counterions to stabilize the photogenerated charges. Ultraviolet photoelectron spectroscopy reveals an increased work function and deeper HOMO levels after photocatalytic doping, while X-ray photoelectron spectroscopy demonstrates strong interfacial polarization of TFSI– anions, and Fourier-transform infrared spectroscopy is consistent with the chemical participation of 2,6-DCBQ during light irradiation. By optimizing the catalyst and oxidant compositions, the device exhibits a pronounced enhancement in channel conductivity and transconductance, reaching 0.184 S cm−1 and 1.65 mS, respectively, which are 3–5 orders of magnitude higher than those of the pristine P3HT device, with 0.35 mS cm−1 and 0.052 μS, respectively. While achieving these maximum conductivities and transconductance enhancements involves an inherent trade-off with the Ion/off ratio due to a positively shifted threshold voltage, the OEGT device retains a practically discernible current contrast, thereby ensuring its functional switching capability and operational fidelity. These results establish photoredox catalytic ion gels as an effective strategy for coupling ionic gating with light-driven chemical doping, providing a new route toward multifunctional organic optoelectronic devices.</w:t>
      </w:r>
    </w:p>
    <w:p>
      <w:pPr>
        <w:spacing w:before="120" w:after="120"/>
      </w:pPr>
      <w:r>
        <w:rPr>
          <w:sz w:val="18"/>
        </w:rPr>
        <w:t>——————————————————————————————————————————————————————————————————————</w:t>
      </w:r>
    </w:p>
    <w:p>
      <w:pPr>
        <w:spacing w:before="160" w:after="40" w:line="240" w:lineRule="auto"/>
      </w:pPr>
      <w:r>
        <w:rPr>
          <w:b/>
        </w:rPr>
        <w:t xml:space="preserve">[20] </w:t>
      </w:r>
      <w:hyperlink r:id="rId134">
        <w:r>
          <w:rPr>
            <w:color w:val="1155CC"/>
            <w:u w:val="single"/>
          </w:rPr>
          <w:t>通过相场建模揭示锂-固体电解质界面的时间和几何驱动的空隙动力学</w:t>
        </w:r>
      </w:hyperlink>
    </w:p>
    <w:p>
      <w:pPr>
        <w:spacing w:before="0" w:after="80"/>
      </w:pPr>
      <w:r>
        <w:rPr>
          <w:i/>
          <w:sz w:val="20"/>
        </w:rPr>
        <w:t>EN: Time- and Geometry-Driven Void Dynamics at the Lithium-Solid Electrolyte Interface Revealed by Phase-Field Modeling</w:t>
      </w:r>
    </w:p>
    <w:p>
      <w:pPr>
        <w:spacing w:before="0" w:after="120"/>
      </w:pPr>
      <w:r>
        <w:rPr>
          <w:b/>
        </w:rPr>
        <w:t xml:space="preserve">Source: </w:t>
      </w:r>
      <w:r>
        <w:t>ACS Applied Materials &amp; Interfaces: Latest Articles (ACS Publications)</w:t>
      </w:r>
      <w:r>
        <w:t xml:space="preserve">    </w:t>
      </w:r>
      <w:r>
        <w:rPr>
          <w:b/>
        </w:rPr>
        <w:t xml:space="preserve">Pub date: </w:t>
      </w:r>
      <w:r>
        <w:t>2026-08-11 00:00:00+00:00</w:t>
      </w:r>
      <w:r>
        <w:t xml:space="preserve">    </w:t>
      </w:r>
      <w:r>
        <w:rPr>
          <w:b/>
        </w:rPr>
        <w:t xml:space="preserve">DOI: </w:t>
      </w:r>
      <w:hyperlink r:id="rId135">
        <w:r>
          <w:rPr>
            <w:color w:val="1155CC"/>
            <w:u w:val="single"/>
          </w:rPr>
          <w:t>10.1021/acsami.6c06437</w:t>
        </w:r>
      </w:hyperlink>
    </w:p>
    <w:p>
      <w:pPr>
        <w:spacing w:before="0" w:after="120"/>
      </w:pPr>
      <w:r>
        <w:rPr>
          <w:b/>
        </w:rPr>
        <w:t xml:space="preserve">Notes: </w:t>
      </w:r>
      <w:r>
        <w:t>abstract_source=crossref</w:t>
      </w:r>
    </w:p>
    <w:p>
      <w:pPr>
        <w:spacing w:before="0" w:after="80" w:lineRule="auto" w:line="276"/>
      </w:pPr>
      <w:r>
        <w:rPr>
          <w:b/>
        </w:rPr>
        <w:t xml:space="preserve">摘要（ZH）: </w:t>
      </w:r>
      <w:r>
        <w:t>摘要 锂/固体电解质（Li/SE）界面处的界面空隙形成是固态锂金属电池的主要降解机制，导致接触损耗、电流局域化和枝晶引起的失效。在这里，采用完全耦合的电化学机械相场框架来研究实际循环协议、界面形态和堆栈压力下的空隙演化。我们证明，空隙增长基本上是时间主导的，表明固定时间循环协议歪曲了在固定容量操作下观察到的退化趋势。由于延长的剥离持续时间，较低的电流密度会促进严重的空洞生长，而较高的电流密度会抑制空洞扩张，同时放大电流局部化。确定了一个临界空隙尺寸，低于该尺寸，蠕变介导的锂流动能够使空隙闭合，该阈值随着电流密度的增加而减小。我们进一步表明，空隙几何形状、SE 表面粗糙度和缺陷定位（而不仅仅是空隙面积）控制着界面稳定性和有效电流密度放大。堆叠压力减少了空隙面积，但并不能普遍改善接触或界面稳定性，其结果很大程度上取决于空隙形态。这些发现为固态锂金属电池的界面工程、循环策略和压力管理提供了基于物理的设计指南。</w:t>
      </w:r>
    </w:p>
    <w:p>
      <w:pPr>
        <w:spacing w:before="0" w:after="200" w:lineRule="auto" w:line="276"/>
      </w:pPr>
      <w:r>
        <w:rPr>
          <w:b/>
        </w:rPr>
        <w:t xml:space="preserve">Abstract (EN): </w:t>
      </w:r>
      <w:r>
        <w:t>Interfacial void formation at the lithium/solid electrolyte (Li/SE) interface is a primary degradation mechanism in solid-state lithium-metal batteries, leading to contact loss, current localization, and dendrite-induced failure. Here, a fully coupled electro-chemo-mechanical phase-field framework is employed to investigate void evolution under realistic cycling protocols, interfacial morphologies, and stack pressures. We demonstrate that void growth is fundamentally time-dominated, showing that fixed-time cycling protocols misrepresent degradation trends observed under fixed-capacity operation. Lower current densities promote severe void growth due to prolonged stripping durations, whereas higher current densities suppress void expansion while amplifying current localization. A critical void size is identified below which creep-mediated lithium flow enables void closure, with this threshold decreasing with increasing current density. We further show that void geometry, SE surface roughness, and defect positioning—not void area alone—govern interfacial stability and effective current density amplification. Stack pressure reduces void area but does not universally improve contact or interfacial stability, with outcomes strongly dependent on void morphology. These findings provide physics-based design guidelines for interface engineering, cycling strategies, and pressure management in solid-state lithium-metal batteries.</w:t>
      </w:r>
    </w:p>
    <w:p>
      <w:pPr>
        <w:spacing w:before="120" w:after="120"/>
      </w:pPr>
      <w:r>
        <w:rPr>
          <w:sz w:val="18"/>
        </w:rPr>
        <w:t>——————————————————————————————————————————————————————————————————————</w:t>
      </w:r>
    </w:p>
    <w:p>
      <w:pPr>
        <w:spacing w:before="160" w:after="40" w:line="240" w:lineRule="auto"/>
      </w:pPr>
      <w:r>
        <w:rPr>
          <w:b/>
        </w:rPr>
        <w:t xml:space="preserve">[21] </w:t>
      </w:r>
      <w:hyperlink r:id="rId138">
        <w:r>
          <w:rPr>
            <w:color w:val="1155CC"/>
            <w:u w:val="single"/>
          </w:rPr>
          <w:t>通过电场调制增强钠离子跨固体电解质界面的传输</w:t>
        </w:r>
      </w:hyperlink>
    </w:p>
    <w:p>
      <w:pPr>
        <w:spacing w:before="0" w:after="80"/>
      </w:pPr>
      <w:r>
        <w:rPr>
          <w:i/>
          <w:sz w:val="20"/>
        </w:rPr>
        <w:t>EN: Enhanced Sodium-Ion Transport across Solid Electrolyte Interphase via Electric-Field Modulation</w:t>
      </w:r>
    </w:p>
    <w:p>
      <w:pPr>
        <w:spacing w:before="0" w:after="120"/>
      </w:pPr>
      <w:r>
        <w:rPr>
          <w:b/>
        </w:rPr>
        <w:t xml:space="preserve">Source: </w:t>
      </w:r>
      <w:r>
        <w:t>Journal of the American Chemical Society: Latest Articles (ACS Publications)</w:t>
      </w:r>
      <w:r>
        <w:t xml:space="preserve">    </w:t>
      </w:r>
      <w:r>
        <w:rPr>
          <w:b/>
        </w:rPr>
        <w:t xml:space="preserve">Pub date: </w:t>
      </w:r>
      <w:r>
        <w:t>2026-08-11 00:00:00+00:00</w:t>
      </w:r>
      <w:r>
        <w:t xml:space="preserve">    </w:t>
      </w:r>
      <w:r>
        <w:rPr>
          <w:b/>
        </w:rPr>
        <w:t xml:space="preserve">DOI: </w:t>
      </w:r>
      <w:hyperlink r:id="rId139">
        <w:r>
          <w:rPr>
            <w:color w:val="1155CC"/>
            <w:u w:val="single"/>
          </w:rPr>
          <w:t>10.1021/jacs.6c08495</w:t>
        </w:r>
      </w:hyperlink>
    </w:p>
    <w:p>
      <w:pPr>
        <w:spacing w:before="0" w:after="120"/>
      </w:pPr>
      <w:r>
        <w:rPr>
          <w:b/>
        </w:rPr>
        <w:t xml:space="preserve">Notes: </w:t>
      </w:r>
      <w:r>
        <w:t>abstract_source=crossref</w:t>
      </w:r>
    </w:p>
    <w:p>
      <w:pPr>
        <w:spacing w:before="0" w:after="80" w:lineRule="auto" w:line="276"/>
      </w:pPr>
      <w:r>
        <w:rPr>
          <w:b/>
        </w:rPr>
        <w:t xml:space="preserve">摘要（ZH）: </w:t>
      </w:r>
      <w:r>
        <w:t>摘要 固体电解质界面（SEI）的离子传输特性关键控制着可充电电池的动力学和循环稳定性。然而，对这种动态多组分界面内离子传输的机制理解仍然有限。在这项研究中，我们证明了 SEI 内部电场的空间变化决定了 Na+ 传输机制的根本转变。在靠近电极的薄 SEI 区域内，强电场占主导地位，使 Na+ 能够以最小的散射进行弹道传输，从而促进离子快速迁移。相反，在电场减弱的较厚 SEI 区域，频繁的离子碰撞占主导地位，导致扩散传输和离子迁移率降低。为了验证这一机制，我们结合分子动力学和密度泛函理论模拟来评估基于盐-溶剂相互作用的电解质还原性。这些计算见解得到原位、无损恒电位计时库仑技术的补充，以定量确定 SEI 形成电荷。对 23 种代表性电解质的系统评估揭示了 SEI 形成电荷和 SEI 电阻 (RSEI) 之间的强相关性，与电场依赖的离子传输模型 (R2 = 0.993) 一致。值得注意的是，八种电解质的 SEI 形成电荷低于 50% 且 RSEI 较低，证明抑制 SEI 形成可促进弹道式 Na+ 迁移。最佳电解质是 1 M NaPF6 的四乙二醇二甲醚 (TEGDME) 溶液，可形成</w:t>
      </w:r>
    </w:p>
    <w:p>
      <w:pPr>
        <w:spacing w:before="0" w:after="200" w:lineRule="auto" w:line="276"/>
      </w:pPr>
      <w:r>
        <w:rPr>
          <w:b/>
        </w:rPr>
        <w:t xml:space="preserve">Abstract (EN): </w:t>
      </w:r>
      <w:r>
        <w:t>The ion transport properties of the solid electrolyte interphase (SEI) critically govern the kinetics and cycling stability of rechargeable batteries. However, a mechanistic understanding of ion transport within this dynamic, multicomponent interphase remains limited. In this study, we demonstrate that spatial variations in the internal electric field across the SEI dictates a fundamental transition in Na+ transport mechanisms. Within the thin SEI region adjacent to the electrode, a strong electric field dominates, enabling ballistic Na+ transport with minimal scattering and thus facilitating rapid ion migration. In contrast, in thicker SEI regions where the electric field is attenuated, frequent ion collisions dominate, resulting in diffusive transport and reduced ion mobility. To validate this mechanism, we combined molecular dynamics and density functional theory simulations to evaluate electrolyte reducibility based on salt–solvent interactions. These computational insights are complemented by in situ, nondestructive potentiostatic chronocoulometry technique to quantitatively determine SEI formation charge. A systematic evaluation of 23 representative electrolytes reveals a strong correlation between SEI formation charge and SEI resistance (RSEI), consistent with the electric-field-dependent ion transport model (R2 = 0.993). Notably, eight electrolytes exhibit SEI formation charges below 50% and low RSEI, proving suppressed SEI formation promotes ballistic Na+ migration. The optimal electrolyte, 1 M NaPF6 in tetraethylene glycol dimethyl ether (TEGDME), forms a ∼21 nm SEI with merely 31.7% charge loss. Na||hard carbon cells using this electrolyte achieve 24.48 Ω cm2 interfacial impedance and retain 99.4% capacity after 1200 cycles. This work offers a mechanistic framework for designing high-performance interphases through electrolyte engineering.</w:t>
      </w:r>
    </w:p>
    <w:p>
      <w:pPr>
        <w:spacing w:before="120" w:after="120"/>
      </w:pPr>
      <w:r>
        <w:rPr>
          <w:sz w:val="18"/>
        </w:rPr>
        <w:t>——————————————————————————————————————————————————————————————————————</w:t>
      </w:r>
    </w:p>
    <w:p>
      <w:pPr>
        <w:spacing w:before="160" w:after="40" w:line="240" w:lineRule="auto"/>
      </w:pPr>
      <w:r>
        <w:rPr>
          <w:b/>
        </w:rPr>
        <w:t xml:space="preserve">[22] </w:t>
      </w:r>
      <w:hyperlink r:id="rId174">
        <w:r>
          <w:rPr>
            <w:color w:val="1155CC"/>
            <w:u w:val="single"/>
          </w:rPr>
          <w:t>Ca 取代的 β -Li3PS4 中的 Li+ 传输：PS43 的作用 - 来自机器学习分子动力学的振动和旋转</w:t>
        </w:r>
      </w:hyperlink>
    </w:p>
    <w:p>
      <w:pPr>
        <w:spacing w:before="0" w:after="80"/>
      </w:pPr>
      <w:r>
        <w:rPr>
          <w:i/>
          <w:sz w:val="20"/>
        </w:rPr>
        <w:t>EN: Li+ Transport in Ca-Substituted β -Li3PS4: Role of PS43– Vibrations and Rotations from Machine-Learning Molecular Dynamics</w:t>
      </w:r>
    </w:p>
    <w:p>
      <w:pPr>
        <w:spacing w:before="0" w:after="120"/>
      </w:pPr>
      <w:r>
        <w:rPr>
          <w:b/>
        </w:rPr>
        <w:t xml:space="preserve">Source: </w:t>
      </w:r>
      <w:r>
        <w:t>ACS Applied Materials &amp; Interfaces: Latest Articles (ACS Publications)</w:t>
      </w:r>
      <w:r>
        <w:t xml:space="preserve">    </w:t>
      </w:r>
      <w:r>
        <w:rPr>
          <w:b/>
        </w:rPr>
        <w:t xml:space="preserve">Pub date: </w:t>
      </w:r>
      <w:r>
        <w:t>2026-08-12 00:00:00+00:00</w:t>
      </w:r>
      <w:r>
        <w:t xml:space="preserve">    </w:t>
      </w:r>
      <w:r>
        <w:rPr>
          <w:b/>
        </w:rPr>
        <w:t xml:space="preserve">DOI: </w:t>
      </w:r>
      <w:hyperlink r:id="rId175">
        <w:r>
          <w:rPr>
            <w:color w:val="1155CC"/>
            <w:u w:val="single"/>
          </w:rPr>
          <w:t>10.1021/acsami.6c02369</w:t>
        </w:r>
      </w:hyperlink>
    </w:p>
    <w:p>
      <w:pPr>
        <w:spacing w:before="0" w:after="120"/>
      </w:pPr>
      <w:r>
        <w:rPr>
          <w:b/>
        </w:rPr>
        <w:t xml:space="preserve">Notes: </w:t>
      </w:r>
      <w:r>
        <w:t>abstract_source=crossref</w:t>
      </w:r>
    </w:p>
    <w:p>
      <w:pPr>
        <w:spacing w:before="0" w:after="80" w:lineRule="auto" w:line="276"/>
      </w:pPr>
      <w:r>
        <w:rPr>
          <w:b/>
        </w:rPr>
        <w:t xml:space="preserve">摘要（ZH）: </w:t>
      </w:r>
      <w:r>
        <w:t>摘要 硫化物基固体电解质由于其高Li+电导率而成为全固态电池的关键材料。特别是，实验发现具有异价 Ca2+ 取代的 β-Li3PS4 可以增强 Li+ 电导率。然而，Ca2+诱导的缺陷和局部结构变化控制Li+扩散的微观机制仍不清楚。在这里，我们为 Ca 取代的 Li3-2xCaxPS4 开发了系统特定的机器学习潜力 (MLP)，并进行大规模、长时间的机器学习分子动力学 (MLMD) 模拟，以阐明 Li+ 扩散率增强的结构和动力学起源。 MLP 在一系列 Ca2+ 取代和温度下对 β-Li3PS4 和 γ-Li3PS4 的从头分子动力学 (AIMD) 数据进行了训练，准确地再现了 AIMD 衍生的能量、力、维里应力和径向分布函数，验证了其描述 PS43 动力学和 Ca2+ 引起的缺陷的可靠性。 MLMD 模拟表明，每个 Ca2+ 均由属于周围 5 个 PS43- 的 7 个 S 原子配位。 Ca2+ 取代引起晶格参数的各向异性变化，与实验一致。 Li+扩散系数对Ca2+取代水平x表现出非单调依赖性：Li+扩散率和有效孔隙率，即Li+扩散的体积在x = 0.05附近最大化，而过量的Ca2+充当阻塞中心并使传导网络破碎。 PS43– 的动力学在介导 Li+ 传输中发挥核心作用。随着增加</w:t>
      </w:r>
    </w:p>
    <w:p>
      <w:pPr>
        <w:spacing w:before="0" w:after="200" w:lineRule="auto" w:line="276"/>
      </w:pPr>
      <w:r>
        <w:rPr>
          <w:b/>
        </w:rPr>
        <w:t xml:space="preserve">Abstract (EN): </w:t>
      </w:r>
      <w:r>
        <w:t>Sulfide-based solid electrolytes are key materials for all-solid-state batteries owing to their high Li+ conductivity. In particular, β-Li3PS4 with aliovalent Ca2+ substitution has been found experimentally to enhance Li+ conductivity. However, the microscopic mechanisms by which Ca2+-induced defects and local structural changes govern Li+ diffusion remain unclear. Here, we develop a system-specific machine learning potential (MLP) for Ca-substituted Li3–2xCaxPS4 and perform large-scale, long-time machine learning molecular dynamics (MLMD) simulations to elucidate the structural and dynamical origins for the enhancement of Li+ diffusivity. The MLP, trained on ab initio molecular dynamics (AIMD) data for both β-Li3PS4 and γ-Li3PS4 over a range of Ca2+ substitutions and temperatures, accurately reproduces AIMD-derived energies, forces, virial stresses, and radial distribution functions, validating its reliability for describing PS43– dynamics and Ca2+-induced defects. MLMD simulations reveal that each Ca2+ is coordinated by seven S atoms belonging to five surrounding PS43–. Ca2+ substitution induces anisotropic changes in the lattice parameters, in agreement with the experiment. The Li+ diffusion coefficient exhibits a nonmonotonic dependence on the Ca2+ substitution level x: the Li+ diffusivity and the effective porosity, i.e., the volume accessible to Li+ diffusion is maximized around x = 0.05, whereas excessive Ca2+ acts as a blocking center and fragments the conduction network. The dynamics of PS43– play a central role in mediating Li+ transport. With increasing Ca2+ substitution, the vibrational amplitudes of PS43– are enhanced, while their rotational motion is progressively suppressed. These results provide microscopic design guidelines for tuning aliovalent substitution and PS43– dynamics to achieve fast Li+ conduction in sulfide solid electrolytes.</w:t>
      </w:r>
    </w:p>
    <w:p>
      <w:pPr>
        <w:spacing w:before="120" w:after="120"/>
      </w:pPr>
      <w:r>
        <w:rPr>
          <w:sz w:val="18"/>
        </w:rPr>
        <w:t>——————————————————————————————————————————————————————————————————————</w:t>
      </w:r>
    </w:p>
    <w:p>
      <w:pPr>
        <w:spacing w:before="160" w:after="40" w:line="240" w:lineRule="auto"/>
      </w:pPr>
      <w:r>
        <w:rPr>
          <w:b/>
        </w:rPr>
        <w:t xml:space="preserve">[23] </w:t>
      </w:r>
      <w:hyperlink r:id="rId176">
        <w:r>
          <w:rPr>
            <w:color w:val="1155CC"/>
            <w:u w:val="single"/>
          </w:rPr>
          <w:t>用于低温水系锌离子电池的具有超低玻璃化转变温度的熵驱动类聚合物水电解质</w:t>
        </w:r>
      </w:hyperlink>
    </w:p>
    <w:p>
      <w:pPr>
        <w:spacing w:before="0" w:after="80"/>
      </w:pPr>
      <w:r>
        <w:rPr>
          <w:i/>
          <w:sz w:val="20"/>
        </w:rPr>
        <w:t>EN: Entropy-Driven Polymer-like Aqueous Electrolytes with Ultra-Low Glass Transition Temperature for Aqueous Zinc-Ion Batteries at Low Temperatures</w:t>
      </w:r>
    </w:p>
    <w:p>
      <w:pPr>
        <w:spacing w:before="0" w:after="120"/>
      </w:pPr>
      <w:r>
        <w:rPr>
          <w:b/>
        </w:rPr>
        <w:t xml:space="preserve">Source: </w:t>
      </w:r>
      <w:r>
        <w:t>ACS Applied Materials &amp; Interfaces: Latest Articles (ACS Publications)</w:t>
      </w:r>
      <w:r>
        <w:t xml:space="preserve">    </w:t>
      </w:r>
      <w:r>
        <w:rPr>
          <w:b/>
        </w:rPr>
        <w:t xml:space="preserve">Pub date: </w:t>
      </w:r>
      <w:r>
        <w:t>2026-08-12 00:00:00+00:00</w:t>
      </w:r>
      <w:r>
        <w:t xml:space="preserve">    </w:t>
      </w:r>
      <w:r>
        <w:rPr>
          <w:b/>
        </w:rPr>
        <w:t xml:space="preserve">DOI: </w:t>
      </w:r>
      <w:hyperlink r:id="rId177">
        <w:r>
          <w:rPr>
            <w:color w:val="1155CC"/>
            <w:u w:val="single"/>
          </w:rPr>
          <w:t>10.1021/acsami.6c06410</w:t>
        </w:r>
      </w:hyperlink>
    </w:p>
    <w:p>
      <w:pPr>
        <w:spacing w:before="0" w:after="120"/>
      </w:pPr>
      <w:r>
        <w:rPr>
          <w:b/>
        </w:rPr>
        <w:t xml:space="preserve">Notes: </w:t>
      </w:r>
      <w:r>
        <w:t>abstract_source=crossref</w:t>
      </w:r>
    </w:p>
    <w:p>
      <w:pPr>
        <w:spacing w:before="0" w:after="80" w:lineRule="auto" w:line="276"/>
      </w:pPr>
      <w:r>
        <w:rPr>
          <w:b/>
        </w:rPr>
        <w:t xml:space="preserve">摘要（ZH）: </w:t>
      </w:r>
      <w:r>
        <w:t>摘要 锌离子电池等水系电池的发展越来越受到人们的关注，特别是在电解质工程领域。然而，传统的水性电池通常在低温下动力学缓慢且电解质结晶。在此，我们首次通过修改Marcus理论参数（介电常数）提出了一种具有快速动力学的类聚合物水性电解质（PLE）。 PLE 受益于锌周围多个低介电常数低极性分子的协调，从而产生超低玻璃化转变温度（–110 °C 下为液态）和快速低温动力学（–60 °C 和 0.5 mA cm–2 下的过电势小于 0.35 V）。同时，高熵工程溶剂重建了电解质系统中的溶剂化鞘层，降低了溶剂化复合能，并显着促进了锌阳极的可逆循环（在0.1 mA cm-2下超过8000小时）。更实际的是，即使在 –40 °C 的低温下，聚苯胺||Zn 电池也表现出最好的性能之一。这项工作为探索超低温下的外星生存提供了合理的水储能策略。</w:t>
      </w:r>
    </w:p>
    <w:p>
      <w:pPr>
        <w:spacing w:before="0" w:after="200" w:lineRule="auto" w:line="276"/>
      </w:pPr>
      <w:r>
        <w:rPr>
          <w:b/>
        </w:rPr>
        <w:t xml:space="preserve">Abstract (EN): </w:t>
      </w:r>
      <w:r>
        <w:t>The development of aqueous batteries, such as zinc-ion batteries, is attracting ever-increasing attention, especially in the area of electrolyte engineering. However, conventional aqueous batteries usually suffer from slow kinetics and electrolyte crystallization at low temperatures. Herein, we, for the first time, propose a polymer-like aqueous electrolyte (PLE) with fast kinetics by modifying Marcus theory parameters (dielectric constant). The PLE benefits from the coordination of multiple low-polarity molecules with low dielectric constants around zinc, resulting in an ultra-low glass transition temperature (the liquid state at –110 °C) and fast low-temperature kinetics (an overpotential of less than 0.35 V at –60 °C and 0.5 mA cm–2). Meanwhile, high-entropy-engineered solvents reconstruct the solvation sheath in the electrolyte system, reduce the solvation recombination energy, and significantly promote the reversible cycle of the zinc anode (exceeding 8000 h at 0.1 mA cm–2). More practically, even at a low temperature of –40 °C, the polyaniline||Zn cell exhibits one of the best performances. This work provides a rational strategy for aqueous energy storage for the exploration of extraterrestrial survival at ultra-low temperatures.</w:t>
      </w:r>
    </w:p>
    <w:p>
      <w:pPr>
        <w:spacing w:before="120" w:after="120"/>
      </w:pPr>
      <w:r>
        <w:rPr>
          <w:sz w:val="18"/>
        </w:rPr>
        <w:t>——————————————————————————————————————————————————————————————————————</w:t>
      </w:r>
    </w:p>
    <w:p>
      <w:pPr>
        <w:spacing w:before="160" w:after="40" w:line="240" w:lineRule="auto"/>
      </w:pPr>
      <w:r>
        <w:rPr>
          <w:b/>
        </w:rPr>
        <w:t xml:space="preserve">[24] </w:t>
      </w:r>
      <w:hyperlink r:id="rId178">
        <w:r>
          <w:rPr>
            <w:color w:val="1155CC"/>
            <w:u w:val="single"/>
          </w:rPr>
          <w:t>用于固态锂电池的电解质-电极界面具有高稳定性的非晶多阴离子电解质</w:t>
        </w:r>
      </w:hyperlink>
    </w:p>
    <w:p>
      <w:pPr>
        <w:spacing w:before="0" w:after="80"/>
      </w:pPr>
      <w:r>
        <w:rPr>
          <w:i/>
          <w:sz w:val="20"/>
        </w:rPr>
        <w:t>EN: Amorphous Multianion Electrolytes with High Stability at Electrolyte−Electrode Interfaces for Solid-State Lithium Batteries</w:t>
      </w:r>
    </w:p>
    <w:p>
      <w:pPr>
        <w:spacing w:before="0" w:after="120"/>
      </w:pPr>
      <w:r>
        <w:rPr>
          <w:b/>
        </w:rPr>
        <w:t xml:space="preserve">Source: </w:t>
      </w:r>
      <w:r>
        <w:t>ACS Applied Materials &amp; Interfaces: Latest Articles (ACS Publications)</w:t>
      </w:r>
      <w:r>
        <w:t xml:space="preserve">    </w:t>
      </w:r>
      <w:r>
        <w:rPr>
          <w:b/>
        </w:rPr>
        <w:t xml:space="preserve">Pub date: </w:t>
      </w:r>
      <w:r>
        <w:t>2026-08-12 00:00:00+00:00</w:t>
      </w:r>
      <w:r>
        <w:t xml:space="preserve">    </w:t>
      </w:r>
      <w:r>
        <w:rPr>
          <w:b/>
        </w:rPr>
        <w:t xml:space="preserve">DOI: </w:t>
      </w:r>
      <w:hyperlink r:id="rId179">
        <w:r>
          <w:rPr>
            <w:color w:val="1155CC"/>
            <w:u w:val="single"/>
          </w:rPr>
          <w:t>10.1021/acsami.6c08647</w:t>
        </w:r>
      </w:hyperlink>
    </w:p>
    <w:p>
      <w:pPr>
        <w:spacing w:before="0" w:after="120"/>
      </w:pPr>
      <w:r>
        <w:rPr>
          <w:b/>
        </w:rPr>
        <w:t xml:space="preserve">Notes: </w:t>
      </w:r>
      <w:r>
        <w:t>abstract_source=crossref</w:t>
      </w:r>
    </w:p>
    <w:p>
      <w:pPr>
        <w:spacing w:before="0" w:after="80" w:lineRule="auto" w:line="276"/>
      </w:pPr>
      <w:r>
        <w:rPr>
          <w:b/>
        </w:rPr>
        <w:t xml:space="preserve">摘要（ZH）: </w:t>
      </w:r>
      <w:r>
        <w:t>摘要 实现具有高离子电导率和与锂金属阳极优异的化学/机械相容性的固态电解质（SE）仍然是推进固态电池（SSB）的关键挑战。结晶氯化物电解质已显示出有前景的离子传输特性。然而，它们的性能取决于受控的结晶过程和缺陷浓度。非晶电解质提供了一种替代设计策略，可实现无晶界结构、改善界面接触和锂离子传输。在这里，我们引入了一种非晶三阴离子固态电解质Li1+yZrCl4N0.33Fy (0 ≤ y ≤ 0.5)，在25°C下实现了3.2 mS cm−1的高离子电导率。氮会引起本体电解质框架的结构紊乱，而氟则通过形成富含LiF的钝化层来增强与Li金属的界面稳定性，从而减少对硫基保护性中间层的需求。非晶态 Li1+yZrCl4N0.33Fy 电解质具有基于 NMC811 的正极和 Li−In 负极，在 0.1 C 下的比容量为 200 mAh g−1。这种非晶三阴离子电解质为高性能固态电池提供了一种有前景的无硫保护界面策略。</w:t>
      </w:r>
    </w:p>
    <w:p>
      <w:pPr>
        <w:spacing w:before="0" w:after="200" w:lineRule="auto" w:line="276"/>
      </w:pPr>
      <w:r>
        <w:rPr>
          <w:b/>
        </w:rPr>
        <w:t xml:space="preserve">Abstract (EN): </w:t>
      </w:r>
      <w:r>
        <w:t>Achieving solid-state electrolytes (SEs) with both high ionic conductivity and excellent chemical/mechanical compatibility with a Li-metal anode remains a critical challenge for advancing solid-state batteries (SSBs). Crystalline chloride-based electrolytes have shown promising ionic transport properties. However, their performance depends on controlled crystallization processes and defect concentration. Amorphous electrolytes provide an alternative design strategy, enabling grain-boundary-free structures, improved interfacial contact, and Li-ion transport. Here, we introduced an amorphous triple-anion solid-state electrolyte, Li1+yZrCl4N0.33Fy (0 ≤ y ≤ 0.5), achieving a high ionic conductivity of 3.2 mS cm−1 at 25 °C. Nitrogen induces structural disorder in the bulk electrolyte framework, while fluorine enhances interfacial stability with Li metal by forming a LiF-rich passivation layer, reducing the need for sulfur-based protective interlayers. The amorphous Li1+yZrCl4N0.33Fy electrolyte with an NMC811-based cathode and Li−In anode delivers a specific capacity of 200 mAh g−1 at 0.1 C. This amorphous triple-anion electrolyte provides a promising sulfur-free protective interfacial strategy for high-performance solid-state batteries.</w:t>
      </w:r>
    </w:p>
    <w:p>
      <w:pPr>
        <w:spacing w:before="120" w:after="120"/>
      </w:pPr>
      <w:r>
        <w:rPr>
          <w:sz w:val="18"/>
        </w:rPr>
        <w:t>——————————————————————————————————————————————————————————————————————</w:t>
      </w:r>
    </w:p>
    <w:p>
      <w:pPr>
        <w:spacing w:before="160" w:after="40" w:line="240" w:lineRule="auto"/>
      </w:pPr>
      <w:r>
        <w:rPr>
          <w:b/>
        </w:rPr>
        <w:t xml:space="preserve">[25] </w:t>
      </w:r>
      <w:hyperlink r:id="rId180">
        <w:r>
          <w:rPr>
            <w:color w:val="1155CC"/>
            <w:u w:val="single"/>
          </w:rPr>
          <w:t>将 LiF 溶解化学与溶剂化调节耦合用于高功率和宽温 Li/CF x 电池</w:t>
        </w:r>
      </w:hyperlink>
    </w:p>
    <w:p>
      <w:pPr>
        <w:spacing w:before="0" w:after="80"/>
      </w:pPr>
      <w:r>
        <w:rPr>
          <w:i/>
          <w:sz w:val="20"/>
        </w:rPr>
        <w:t>EN: Coupling LiF Dissolution Chemistry with Solvation Regulation for High-Power and Wide-Temperature Li/CF x Batteries</w:t>
      </w:r>
    </w:p>
    <w:p>
      <w:pPr>
        <w:spacing w:before="0" w:after="120"/>
      </w:pPr>
      <w:r>
        <w:rPr>
          <w:b/>
        </w:rPr>
        <w:t xml:space="preserve">Source: </w:t>
      </w:r>
      <w:r>
        <w:t>ACS Energy Letters: Latest Articles (ACS Publications)</w:t>
      </w:r>
      <w:r>
        <w:t xml:space="preserve">    </w:t>
      </w:r>
      <w:r>
        <w:rPr>
          <w:b/>
        </w:rPr>
        <w:t xml:space="preserve">Pub date: </w:t>
      </w:r>
      <w:r>
        <w:t>2026-08-12 00:00:00+00:00</w:t>
      </w:r>
      <w:r>
        <w:t xml:space="preserve">    </w:t>
      </w:r>
      <w:r>
        <w:rPr>
          <w:b/>
        </w:rPr>
        <w:t xml:space="preserve">DOI: </w:t>
      </w:r>
      <w:hyperlink r:id="rId181">
        <w:r>
          <w:rPr>
            <w:color w:val="1155CC"/>
            <w:u w:val="single"/>
          </w:rPr>
          <w:t>10.1021/acsenergylett.6c01466</w:t>
        </w:r>
      </w:hyperlink>
    </w:p>
    <w:p>
      <w:pPr>
        <w:spacing w:before="0" w:after="120"/>
      </w:pPr>
      <w:r>
        <w:rPr>
          <w:b/>
        </w:rPr>
        <w:t xml:space="preserve">Notes: </w:t>
      </w:r>
      <w:r>
        <w:t>abstract_source=crossref</w:t>
      </w:r>
    </w:p>
    <w:p>
      <w:pPr>
        <w:spacing w:before="0" w:after="80" w:lineRule="auto" w:line="276"/>
      </w:pPr>
      <w:r>
        <w:rPr>
          <w:b/>
        </w:rPr>
        <w:t xml:space="preserve">摘要（ZH）: </w:t>
      </w:r>
      <w:r>
        <w:t>摘要 锂/氟化碳 (Li/CFx) 电池有望成为关键任务电源，但其实际性能受到溶剂主导的 Li+ 溶剂化和绝缘 LiF 积累的阻碍。在此，引入2-氟-6-甲氧基苯基硼酸（FMPB）作为双功能电解液添加剂来调节LiF溶解和Li+溶剂化。实验和理论分析表明，路易斯酸性 B 中心促进 B−F 配位，降低 LiF 解离能并促进 LiF 溶解。同时，负电性 O 和缺电子 B 位点诱导 BF4− 参与内部溶剂化鞘，加速 Li+ 去溶剂化并构建富含无机物的界面。受益于这些协同效应，Li/CFx电池在492.4 Wh kg−1（30 °C，50 A g−1）下实现了88,661 W kg−1的创纪录高功率密度，并在-35至60 °C范围内稳定运行。基于整个电池质量，2 Ah 软包电池可提供 460.3 Wh kg−1 的电量。这项工作为高功率 Li/CFx 电池的电解质设计提供了策略。</w:t>
      </w:r>
    </w:p>
    <w:p>
      <w:pPr>
        <w:spacing w:before="0" w:after="200" w:lineRule="auto" w:line="276"/>
      </w:pPr>
      <w:r>
        <w:rPr>
          <w:b/>
        </w:rPr>
        <w:t xml:space="preserve">Abstract (EN): </w:t>
      </w:r>
      <w:r>
        <w:t>Lithium/fluorinated carbon (Li/CFx) batteries are promising for mission-critical power sources, but their practical performance is hindered by solvent-dominated Li+ solvation and insulating LiF accumulation. Herein, 2-fluoro-6-methoxyphenylboronic acid (FMPB) is introduced as a dual-functional electrolyte additive to regulate LiF dissolution and Li+ solvation. Experimental and theoretical analyses reveal that the Lewis acidic B center promotes B−F coordination, lowering LiF dissociation energy and facilitating LiF dissolution. Meanwhile, electronegative O and electron-deficient B sites induce BF4− participation in the inner solvation sheath, accelerating Li+ desolvation and constructing an inorganic-rich interphase. Benefiting from these synergistic effects, Li/CFx batteries achieve a record-high power density of 88,661 W kg−1 at 492.4 Wh kg−1 (30 °C, 50 A g−1) and stable operation from −35 to 60 °C. A 2 Ah pouch cell delivers 460.3 Wh kg−1 based on the entire cell mass. This work provides a strategy for electrolyte design in high-power Li/CFx batteries.</w:t>
      </w:r>
    </w:p>
    <w:p>
      <w:pPr>
        <w:spacing w:before="120" w:after="120"/>
      </w:pPr>
      <w:r>
        <w:rPr>
          <w:sz w:val="18"/>
        </w:rPr>
        <w:t>——————————————————————————————————————————————————————————————————————</w:t>
      </w:r>
    </w:p>
    <w:p>
      <w:pPr>
        <w:spacing w:before="160" w:after="40" w:line="240" w:lineRule="auto"/>
      </w:pPr>
      <w:r>
        <w:rPr>
          <w:b/>
        </w:rPr>
        <w:t xml:space="preserve">[26] </w:t>
      </w:r>
      <w:hyperlink r:id="rId182">
        <w:r>
          <w:rPr>
            <w:color w:val="1155CC"/>
            <w:u w:val="single"/>
          </w:rPr>
          <w:t>由有机-无机交织结构实现的机械、热和界面鲁棒的固体聚合物电解质</w:t>
        </w:r>
      </w:hyperlink>
    </w:p>
    <w:p>
      <w:pPr>
        <w:spacing w:before="0" w:after="80"/>
      </w:pPr>
      <w:r>
        <w:rPr>
          <w:i/>
          <w:sz w:val="20"/>
        </w:rPr>
        <w:t>EN: Mechanically, Thermally, and Interfacially Robust Solid Polymer Electrolytes Enabled by an Organic–Inorganic Interwoven Architecture</w:t>
      </w:r>
    </w:p>
    <w:p>
      <w:pPr>
        <w:spacing w:before="0" w:after="120"/>
      </w:pPr>
      <w:r>
        <w:rPr>
          <w:b/>
        </w:rPr>
        <w:t xml:space="preserve">Source: </w:t>
      </w:r>
      <w:r>
        <w:t>Wiley: Advanced Materials: Table of Contents</w:t>
      </w:r>
      <w:r>
        <w:t xml:space="preserve">    </w:t>
      </w:r>
      <w:r>
        <w:rPr>
          <w:b/>
        </w:rPr>
        <w:t xml:space="preserve">Pub date: </w:t>
      </w:r>
      <w:r>
        <w:t>2026-08-12 07:26:56+00:00</w:t>
      </w:r>
      <w:r>
        <w:t xml:space="preserve">    </w:t>
      </w:r>
      <w:r>
        <w:rPr>
          <w:b/>
        </w:rPr>
        <w:t xml:space="preserve">DOI: </w:t>
      </w:r>
      <w:hyperlink r:id="rId183">
        <w:r>
          <w:rPr>
            <w:color w:val="1155CC"/>
            <w:u w:val="single"/>
          </w:rPr>
          <w:t>10.1002/adma.74586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聚合物电解质（SPE）有望用于高能量密度固态锂金属电池。然而，它们的实际应用受到机械强度差、热稳定性不足、电极界面不稳定和离子传输缓慢等挑战的阻碍，这些挑战总体上达不到所需的安全和性能标准。在这里，我们开发了一种有机-无机交织结构，使用 PBO 纳米纤维和 MXene 纳米片作为 SPE 的多功能主体。这种交织的框架将固体电解质的机械强度和韧性分别提高了 12.5 倍和 7 倍，并将 200°C 时的热收缩率降低到 10% 以下。更重要的是，我们证明交织结构通过强局部电场极化促进锂盐解离，加速锂离子传输（0.75 mS cm</w:t>
      </w:r>
      <w:r>
        <w:t xml:space="preserve"> </w:t>
      </w:r>
      <w:r>
        <w:t>−1</w:t>
      </w:r>
      <w:r>
        <w:t xml:space="preserve"> </w:t>
      </w:r>
      <w:r>
        <w:t>），并增强了电池运行期间锂金属界面的稳定性（8000小时无短路），同时抑制极端热失控条件下的放热副反应。采用这种策略，固态锂金属软包电池可以在机械和热滥用条件下稳定运行，在 10C 和 90°C 下循环 300 次后容量保持率为 91.7%。这项工作有效地解决了 SPE 的机械强度、离子传输和界面/热稳定性等相互关联的挑战，为安全、高性能的固态锂金属电池提供了一种有前景的策略。</w:t>
      </w:r>
    </w:p>
    <w:p>
      <w:pPr>
        <w:spacing w:before="0" w:after="200" w:lineRule="auto" w:line="276"/>
      </w:pPr>
      <w:r>
        <w:rPr>
          <w:b/>
        </w:rPr>
        <w:t xml:space="preserve">Abstract (EN): </w:t>
      </w:r>
      <w:r>
        <w:t>Solid polymer electrolytes (SPEs) are promising for use in high‐energy‐density solid‐state Li metal batteries. However, their practical application is hindered by challenges including poor mechanical strength, inadequate thermal stability, electrode‐interface instability, and sluggish ionic transport, which collectively fall short of the required safety and performance standards. Here, we develop an organic–inorganic interwoven architecture using PBO nanofiber and MXene nanosheets as a multifunctional host for SPE. This interwoven framework enhances the mechanical strength and toughness of the solid electrolyte by 12.5‐ and 7‐fold, respectively, and reduces thermal shrinkage below 10% at 200°C. More importantly, we demonstrate that the interwoven structure promotes Li salt dissociation through strong local electric‐field polarization, accelerates Li‐ion transport (0.75 mS cm</w:t>
      </w:r>
      <w:r>
        <w:t xml:space="preserve"> </w:t>
      </w:r>
      <w:r>
        <w:t>−1</w:t>
      </w:r>
      <w:r>
        <w:t xml:space="preserve"> </w:t>
      </w:r>
      <w:r>
        <w:t>), and enhances the stability (8000 h without short‐circuiting) of the Li metal interface during battery operation while suppressing exothermic side reactions under extreme thermal runaway conditions. Using this strategy, solid‐state Li metal pouch cells operate stably under mechanical and thermal abuse conditions, delivering 91.7% capacity retention after 300 cycles at 10C and 90°C. This work effectively addresses the interrelated challenges of mechanical strength, ion transport, and interface/thermal stability of SPE, offering a promising strategy for safe and high‐performance solid‐state Li metal batteries.</w:t>
      </w:r>
    </w:p>
    <w:p>
      <w:pPr>
        <w:spacing w:before="120" w:after="120"/>
      </w:pPr>
      <w:r>
        <w:rPr>
          <w:sz w:val="18"/>
        </w:rPr>
        <w:t>——————————————————————————————————————————————————————————————————————</w:t>
      </w:r>
    </w:p>
    <w:p>
      <w:pPr>
        <w:spacing w:before="160" w:after="40" w:line="240" w:lineRule="auto"/>
      </w:pPr>
      <w:r>
        <w:rPr>
          <w:b/>
        </w:rPr>
        <w:t xml:space="preserve">[27] </w:t>
      </w:r>
      <w:hyperlink r:id="rId184">
        <w:r>
          <w:rPr>
            <w:color w:val="1155CC"/>
            <w:u w:val="single"/>
          </w:rPr>
          <w:t>用于宽温度范围内耐用四电子 Zn-I2 电池的自相分离深共晶溶剂型双相电解质</w:t>
        </w:r>
      </w:hyperlink>
    </w:p>
    <w:p>
      <w:pPr>
        <w:spacing w:before="0" w:after="80"/>
      </w:pPr>
      <w:r>
        <w:rPr>
          <w:i/>
          <w:sz w:val="20"/>
        </w:rPr>
        <w:t>EN: A Self‐Phase‐Separated Deep Eutectic Solvent‐Based Biphasic Electrolyte for Durable Four‐Electron Zn‐I2 Batteries Across Wide‐Temperature Range</w:t>
      </w:r>
    </w:p>
    <w:p>
      <w:pPr>
        <w:spacing w:before="0" w:after="120"/>
      </w:pPr>
      <w:r>
        <w:rPr>
          <w:b/>
        </w:rPr>
        <w:t xml:space="preserve">Source: </w:t>
      </w:r>
      <w:r>
        <w:t>Wiley: Advanced Materials: Table of Contents</w:t>
      </w:r>
      <w:r>
        <w:t xml:space="preserve">    </w:t>
      </w:r>
      <w:r>
        <w:rPr>
          <w:b/>
        </w:rPr>
        <w:t xml:space="preserve">Pub date: </w:t>
      </w:r>
      <w:r>
        <w:t>2026-08-12 08:32:46+00:00</w:t>
      </w:r>
      <w:r>
        <w:t xml:space="preserve">    </w:t>
      </w:r>
      <w:r>
        <w:rPr>
          <w:b/>
        </w:rPr>
        <w:t xml:space="preserve">DOI: </w:t>
      </w:r>
      <w:hyperlink r:id="rId185">
        <w:r>
          <w:rPr>
            <w:color w:val="1155CC"/>
            <w:u w:val="single"/>
          </w:rPr>
          <w:t>10.1002/adma.74606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水系四电子锌碘电池（4eZIB）在长期储能方面具有广阔的前景，但其实际应用受到多种缺点的严重阻碍，包括锌枝晶生长、多碘化物穿梭和I</w:t>
      </w:r>
      <w:r>
        <w:t xml:space="preserve"> </w:t>
      </w:r>
      <w:r>
        <w:t>+</w:t>
      </w:r>
      <w:r>
        <w:t xml:space="preserve"> </w:t>
      </w:r>
      <w:r>
        <w:t>水解。通过采用具有液-液界面的双相电解质可以有效缓解这种限制，从而能够有效固定溶解的反应中间体。然而，此类系统经常使用有毒有机溶剂，这不仅会带来易燃风险，而且难以适应极端温度条件。在此，我们通过氯化胆碱（ChCl）-三氟乙酰胺（TFA）低共熔溶剂（DES）和ZnSO的液-液相分离设计了一种新型自分层双相电解质</w:t>
      </w:r>
      <w:r>
        <w:rPr>
          <w:vertAlign w:val="subscript"/>
        </w:rPr>
        <w:t>4</w:t>
      </w:r>
      <w:r>
        <w:t>/H</w:t>
      </w:r>
      <w:r>
        <w:rPr>
          <w:vertAlign w:val="subscript"/>
        </w:rPr>
        <w:t>2</w:t>
      </w:r>
      <w:r>
        <w:t>O/乙二醇溶液。上层 DES 相有效限制聚碘阴离子，抑制穿梭效应并稳定 I</w:t>
      </w:r>
      <w:r>
        <w:t xml:space="preserve"> </w:t>
      </w:r>
      <w:r>
        <w:t>+</w:t>
      </w:r>
      <w:r>
        <w:t xml:space="preserve"> </w:t>
      </w:r>
      <w:r>
        <w:t>物种，而底部水相调节 Zn</w:t>
      </w:r>
      <w:r>
        <w:t xml:space="preserve"> </w:t>
      </w:r>
      <w:r>
        <w:t>2+</w:t>
      </w:r>
      <w:r>
        <w:t xml:space="preserve"> </w:t>
      </w:r>
      <w:r>
        <w:t>溶剂化结构并抑制枝晶形成和副反应。受益于协同功能分离，Zn-I</w:t>
      </w:r>
      <w:r>
        <w:rPr>
          <w:vertAlign w:val="subscript"/>
        </w:rPr>
        <w:t>2</w:t>
      </w:r>
      <w:r>
        <w:t>电池实现高度可逆的四电子转换，有效抑制电池自放电，具有超过21000次循环的优异循环稳定性以及</w:t>
      </w:r>
    </w:p>
    <w:p>
      <w:pPr>
        <w:spacing w:before="0" w:after="200" w:lineRule="auto" w:line="276"/>
      </w:pPr>
      <w:r>
        <w:rPr>
          <w:b/>
        </w:rPr>
        <w:t xml:space="preserve">Abstract (EN): </w:t>
      </w:r>
      <w:r>
        <w:t>Aqueous four‐electron zinc‐iodine batteries (4eZIBs) hold great promise for long‐term energy storage, but their practical application is severely hindered by the multiple drawbacks, including Zn dendrite growth, polyiodide shuttle, and I</w:t>
      </w:r>
      <w:r>
        <w:t xml:space="preserve"> </w:t>
      </w:r>
      <w:r>
        <w:t>+</w:t>
      </w:r>
      <w:r>
        <w:t xml:space="preserve"> </w:t>
      </w:r>
      <w:r>
        <w:t>hydrolysis. Such limitations can be effectively mitigated by employing biphasic electrolytes featuring a liquid‐liquid interface, which enables efficient immobilization of the dissolved reaction intermediates. However, such systems frequently employ toxic organic solvents, which not only pose flammability risks but also struggle to adapt to extreme temperature conditions. Herein, we design a novel self‐stratified biphasic electrolyte via liquid‐liquid phase separation of choline chloride (ChCl)‐trifluoroacetamide (TFA) deep eutectic solvent (DES) and ZnSO</w:t>
      </w:r>
      <w:r>
        <w:rPr>
          <w:vertAlign w:val="subscript"/>
        </w:rPr>
        <w:t>4</w:t>
      </w:r>
      <w:r>
        <w:t>/H</w:t>
      </w:r>
      <w:r>
        <w:rPr>
          <w:vertAlign w:val="subscript"/>
        </w:rPr>
        <w:t>2</w:t>
      </w:r>
      <w:r>
        <w:t>O/ ethylene glycol solution. The upper DES phase effectively confines polyiodide anions, suppresses shuttle effect and stabilizes I</w:t>
      </w:r>
      <w:r>
        <w:t xml:space="preserve"> </w:t>
      </w:r>
      <w:r>
        <w:t>+</w:t>
      </w:r>
      <w:r>
        <w:t xml:space="preserve"> </w:t>
      </w:r>
      <w:r>
        <w:t>species, while the bottom aqueous phase regulates Zn</w:t>
      </w:r>
      <w:r>
        <w:t xml:space="preserve"> </w:t>
      </w:r>
      <w:r>
        <w:t>2+</w:t>
      </w:r>
      <w:r>
        <w:t xml:space="preserve"> </w:t>
      </w:r>
      <w:r>
        <w:t>solvation structure and inhibits dendrite formation and side reactions. Benefiting from the synergistic functional separation, the Zn‐I</w:t>
      </w:r>
      <w:r>
        <w:rPr>
          <w:vertAlign w:val="subscript"/>
        </w:rPr>
        <w:t>2</w:t>
      </w:r>
      <w:r>
        <w:t>battery realizes highly reversible four‐electron conversion, effectively suppresses battery self‐discharge, and delivers superior cycling stability over 21000 cycles as well as wide temperature tolerance ranging from −30°C to 50°C. This work offers novel insights into the design of safe and eco‐friendly biphasic electrolytes and provides an effective strategy for the construction of high‐performance 4eZIBs.</w:t>
      </w:r>
    </w:p>
    <w:p>
      <w:pPr>
        <w:spacing w:before="120" w:after="120"/>
      </w:pPr>
      <w:r>
        <w:rPr>
          <w:sz w:val="18"/>
        </w:rPr>
        <w:t>——————————————————————————————————————————————————————————————————————</w:t>
      </w:r>
    </w:p>
    <w:p>
      <w:pPr>
        <w:spacing w:before="160" w:after="40" w:line="240" w:lineRule="auto"/>
      </w:pPr>
      <w:r>
        <w:rPr>
          <w:b/>
        </w:rPr>
        <w:t xml:space="preserve">[28] </w:t>
      </w:r>
      <w:hyperlink r:id="rId186">
        <w:r>
          <w:rPr>
            <w:color w:val="1155CC"/>
            <w:u w:val="single"/>
          </w:rPr>
          <w:t>通过宽温钠离子电池的空间异质溶剂化结构解耦离子传输和去溶剂化</w:t>
        </w:r>
      </w:hyperlink>
    </w:p>
    <w:p>
      <w:pPr>
        <w:spacing w:before="0" w:after="80"/>
      </w:pPr>
      <w:r>
        <w:rPr>
          <w:i/>
          <w:sz w:val="20"/>
        </w:rPr>
        <w:t>EN: Decoupling Ion Transport and Desolvation via Spatially Heterogeneous Solvation Structure for Wide‐Temperature Sodium‐Ion Batteries</w:t>
      </w:r>
    </w:p>
    <w:p>
      <w:pPr>
        <w:spacing w:before="0" w:after="120"/>
      </w:pPr>
      <w:r>
        <w:rPr>
          <w:b/>
        </w:rPr>
        <w:t xml:space="preserve">Source: </w:t>
      </w:r>
      <w:r>
        <w:t>Wiley: Angewandte Chemie International Edition: Table of Contents</w:t>
      </w:r>
      <w:r>
        <w:t xml:space="preserve">    </w:t>
      </w:r>
      <w:r>
        <w:rPr>
          <w:b/>
        </w:rPr>
        <w:t xml:space="preserve">Pub date: </w:t>
      </w:r>
      <w:r>
        <w:t>2026-08-12 16:57:28+00:00</w:t>
      </w:r>
      <w:r>
        <w:t xml:space="preserve">    </w:t>
      </w:r>
      <w:r>
        <w:rPr>
          <w:b/>
        </w:rPr>
        <w:t xml:space="preserve">DOI: </w:t>
      </w:r>
      <w:hyperlink r:id="rId187">
        <w:r>
          <w:rPr>
            <w:color w:val="1155CC"/>
            <w:u w:val="single"/>
          </w:rPr>
          <w:t>10.1002/anie.4522198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钠离子电池在室温下性能具有竞争力，但在超低温下仍存在动力学缓慢和界面不稳定的问题。在此，通过引入强极性磺酸酯添加剂2,2,2-三氟乙基三氟甲磺酸酯（TTMS），成功构建了一种基于单醚（二甘醇二丁醚，DGDE）的电解质，该电解质在体相和界面区域均具有空间异质溶剂化结构。在本体中，DGDE 螯合 Na</w:t>
      </w:r>
      <w:r>
        <w:t xml:space="preserve"> </w:t>
      </w:r>
      <w:r>
        <w:t>+</w:t>
      </w:r>
      <w:r>
        <w:t xml:space="preserve"> </w:t>
      </w:r>
      <w:r>
        <w:t>通过其多个配位位点形成溶剂分离的离子对主导的溶剂化结构，从而增强离子解离和离子电导率。在电极-电解质界面，TTMS 优先吸附到阴极表面，将双电层重建为以接触离子对和聚集体为主的紧凑、富含阴离子的结构。同时，亥姆霍兹平面内的 TTMS 提供了去溶剂化活性位点，降低了电荷转移势垒，并能够形成坚固的、富含无机物的界面。这种空间异质溶剂化结构能够实现快速本体离子传输和快速界面去溶剂化的解耦。因此，在-40°C时，Na||NaNi</w:t>
      </w:r>
      <w:r>
        <w:t xml:space="preserve"> </w:t>
      </w:r>
      <w:r>
        <w:t>1/3</w:t>
      </w:r>
      <w:r>
        <w:t xml:space="preserve"> </w:t>
      </w:r>
      <w:r>
        <w:t>铁</w:t>
      </w:r>
      <w:r>
        <w:t xml:space="preserve"> </w:t>
      </w:r>
      <w:r>
        <w:t>1/3</w:t>
      </w:r>
      <w:r>
        <w:t xml:space="preserve"> </w:t>
      </w:r>
      <w:r>
        <w:t>锰</w:t>
      </w:r>
      <w:r>
        <w:t xml:space="preserve"> </w:t>
      </w:r>
      <w:r>
        <w:t>1/3</w:t>
      </w:r>
      <w:r>
        <w:t xml:space="preserve"> </w:t>
      </w:r>
      <w:r>
        <w:t>氧</w:t>
      </w:r>
      <w:r>
        <w:rPr>
          <w:vertAlign w:val="subscript"/>
        </w:rPr>
        <w:t>2</w:t>
      </w:r>
      <w:r>
        <w:t>采用优化电解质的电池初始比容量为 109.9 m</w:t>
      </w:r>
    </w:p>
    <w:p>
      <w:pPr>
        <w:spacing w:before="0" w:after="200" w:lineRule="auto" w:line="276"/>
      </w:pPr>
      <w:r>
        <w:rPr>
          <w:b/>
        </w:rPr>
        <w:t xml:space="preserve">Abstract (EN): </w:t>
      </w:r>
      <w:r>
        <w:t>Despite competitive room‐temperature performance, sodium‐ion batteries suffer from sluggish kinetics and unstable interphases at ultralow temperatures. Herein, a single‐ether (diethylene glycol dibutyl ether, DGDE)‐based electrolyte featuring a spatially heterogeneous solvation structure across both the bulk and interfacial regions is successfully constructed by introducing a strongly polar sulfonate ester additive, 2,2,2‑trifluoroethyl trifluoromethanesulfonate (TTMS). In the bulk, DGDE chelates Na</w:t>
      </w:r>
      <w:r>
        <w:t xml:space="preserve"> </w:t>
      </w:r>
      <w:r>
        <w:t>+</w:t>
      </w:r>
      <w:r>
        <w:t xml:space="preserve"> </w:t>
      </w:r>
      <w:r>
        <w:t>via its multiple coordination sites to form a solvent‑separated ion pair dominated solvation structure, thereby enhancing ion dissociation and ionic conductivity. At the electrode–electrolyte interface, TTMS preferentially adsorbs onto the cathode surface, reconstructing the electric double layer into a compact, anion‐rich configuration dominated by contact ion pairs and aggregates. Meanwhile, TTMS in the inner Helmholtz plane provides desolvation‐active sites, lowering the charge‐transfer barrier and enabling the formation of a robust, inorganic‐rich interphase. This spatially heterogeneous solvation structure enables the decoupling of fast bulk ion transport and rapid interface desolvation. Consequently, at −40°C, the Na||NaNi</w:t>
      </w:r>
      <w:r>
        <w:t xml:space="preserve"> </w:t>
      </w:r>
      <w:r>
        <w:t>1/3</w:t>
      </w:r>
      <w:r>
        <w:t xml:space="preserve"> </w:t>
      </w:r>
      <w:r>
        <w:t>Fe</w:t>
      </w:r>
      <w:r>
        <w:t xml:space="preserve"> </w:t>
      </w:r>
      <w:r>
        <w:t>1/3</w:t>
      </w:r>
      <w:r>
        <w:t xml:space="preserve"> </w:t>
      </w:r>
      <w:r>
        <w:t>Mn</w:t>
      </w:r>
      <w:r>
        <w:t xml:space="preserve"> </w:t>
      </w:r>
      <w:r>
        <w:t>1/3</w:t>
      </w:r>
      <w:r>
        <w:t xml:space="preserve"> </w:t>
      </w:r>
      <w:r>
        <w:t>O</w:t>
      </w:r>
      <w:r>
        <w:rPr>
          <w:vertAlign w:val="subscript"/>
        </w:rPr>
        <w:t>2</w:t>
      </w:r>
      <w:r>
        <w:t>cell with the optimized electrolyte delivers an initial specific capacity of 109.9 mAh g</w:t>
      </w:r>
      <w:r>
        <w:t xml:space="preserve"> </w:t>
      </w:r>
      <w:r>
        <w:t>−1</w:t>
      </w:r>
      <w:r>
        <w:t xml:space="preserve"> </w:t>
      </w:r>
      <w:r>
        <w:t>and sustains reversible cycling for 140 cycles with a capacity retention of 87.3%. Moreover, the cell demonstrates reliable electrochemical operation over a wide‐temperature range from −60°C to 55°C.</w:t>
      </w:r>
    </w:p>
    <w:p>
      <w:pPr>
        <w:spacing w:before="120" w:after="120"/>
      </w:pPr>
      <w:r>
        <w:rPr>
          <w:sz w:val="18"/>
        </w:rPr>
        <w:t>——————————————————————————————————————————————————————————————————————</w:t>
      </w:r>
    </w:p>
    <w:p>
      <w:pPr>
        <w:spacing w:before="160" w:after="40" w:line="240" w:lineRule="auto"/>
      </w:pPr>
      <w:r>
        <w:rPr>
          <w:b/>
        </w:rPr>
        <w:t xml:space="preserve">[29] </w:t>
      </w:r>
      <w:hyperlink r:id="rId188">
        <w:r>
          <w:rPr>
            <w:color w:val="1155CC"/>
            <w:u w:val="single"/>
          </w:rPr>
          <w:t>非溶剂添加剂通过阴离子门控斯特恩层竞争调节锌沉积</w:t>
        </w:r>
      </w:hyperlink>
    </w:p>
    <w:p>
      <w:pPr>
        <w:spacing w:before="0" w:after="80"/>
      </w:pPr>
      <w:r>
        <w:rPr>
          <w:i/>
          <w:sz w:val="20"/>
        </w:rPr>
        <w:t>EN: Non-solvating additives regulate zinc deposition through anion-gated Stern-layer competition</w:t>
      </w:r>
    </w:p>
    <w:p>
      <w:pPr>
        <w:spacing w:before="0" w:after="120"/>
      </w:pPr>
      <w:r>
        <w:rPr>
          <w:b/>
        </w:rPr>
        <w:t xml:space="preserve">Source: </w:t>
      </w:r>
      <w:r>
        <w:t>Physical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虽然添加剂诱导的溶剂化结构调节已成为增强水系锌离子电池性能的有效策略，但非溶剂化添加剂与双电层内离子物质相互作用的电化学机制及其对固体电解质界面演化的后续影响仍知之甚少。在这里，我们提出了一种阴离子释放界面工程策略，该策略利用斯特恩层内表面亲和阴离子和阳离子调节剂之间的竞争性空间分布。这种竞争控制了界面的添加剂可访问性，并能够构建坚固的无机-有机混合界面。结合原位光谱和理论模拟，我们解耦了 Zn 沉积的关键动力学过程，揭示了固体电解质界面内 Zn2+ 的快速传输，加上界面处的适度去溶剂化，支撑了无枝晶和高度可逆的循环。这项研究有可能为非溶剂化添加剂的界面功能建立一个机制框架，从而为高性能水性金属电池的电解质设计和界面工程提供深入的见解。</w:t>
      </w:r>
    </w:p>
    <w:p>
      <w:pPr>
        <w:spacing w:before="0" w:after="200" w:lineRule="auto" w:line="276"/>
      </w:pPr>
      <w:r>
        <w:rPr>
          <w:b/>
        </w:rPr>
        <w:t xml:space="preserve">Abstract (EN): </w:t>
      </w:r>
      <w:r>
        <w:t>While additive-induced modulation of solvation structure has emerged as an effective strategy to enhance the performance of aqueous zinc-ion batteries, the electrochemical mechanisms by which non-solvation additives interact with ion species within the electric double layer and their subsequent impact on solid electrolyte interphase evolution remain poorly understood. Here, we propose an anion-released interfacial engineering strategy that leverages the competitive spatial distribution between surface-affinitive anions and cationic regulators within the Stern layer. This competition governs additive accessibility to the interface and enables the construction of a robust, inorganic–organic hybrid interface. Combined with in situ spectra and theoretical simulations, we decouple the key kinetic processes in Zn deposition, revealing that fast Zn2+ transport within the solid electrolyte interphase, coupled with moderated desolvation at the interface, underpins dendrite-free and highly reversible cycling. This study has the potential to establish a mechanistic framework for the interfacial function of non-solvating additives, thus offering refined insights into electrolyte design and interphase engineering for high-performance aqueous metal batteries.</w:t>
      </w:r>
    </w:p>
    <w:p>
      <w:pPr>
        <w:spacing w:before="120" w:after="120"/>
      </w:pPr>
      <w:r>
        <w:rPr>
          <w:sz w:val="18"/>
        </w:rPr>
        <w:t>——————————————————————————————————————————————————————————————————————</w:t>
      </w:r>
    </w:p>
    <w:p>
      <w:pPr>
        <w:spacing w:before="160" w:after="40" w:line="240" w:lineRule="auto"/>
      </w:pPr>
      <w:r>
        <w:rPr>
          <w:b/>
        </w:rPr>
        <w:t xml:space="preserve">[30] </w:t>
      </w:r>
      <w:hyperlink r:id="rId189">
        <w:r>
          <w:rPr>
            <w:color w:val="1155CC"/>
            <w:u w:val="single"/>
          </w:rPr>
          <w:t>锂金属电池局部高浓度电解质的溶剂化保存凝胶化</w:t>
        </w:r>
      </w:hyperlink>
    </w:p>
    <w:p>
      <w:pPr>
        <w:spacing w:before="0" w:after="80"/>
      </w:pPr>
      <w:r>
        <w:rPr>
          <w:i/>
          <w:sz w:val="20"/>
        </w:rPr>
        <w:t>EN: Solvation‐Preserving Gelation of Localized High‐Concentration Electrolytes for Lithium Metal Batteries</w:t>
      </w:r>
    </w:p>
    <w:p>
      <w:pPr>
        <w:spacing w:before="0" w:after="120"/>
      </w:pPr>
      <w:r>
        <w:rPr>
          <w:b/>
        </w:rPr>
        <w:t xml:space="preserve">Source: </w:t>
      </w:r>
      <w:r>
        <w:t>Wiley: Advanced Materials: Table of Contents</w:t>
      </w:r>
      <w:r>
        <w:t xml:space="preserve">    </w:t>
      </w:r>
      <w:r>
        <w:rPr>
          <w:b/>
        </w:rPr>
        <w:t xml:space="preserve">Pub date: </w:t>
      </w:r>
      <w:r>
        <w:t>2026-08-13 05:24:34+00:00</w:t>
      </w:r>
      <w:r>
        <w:t xml:space="preserve">    </w:t>
      </w:r>
      <w:r>
        <w:rPr>
          <w:b/>
        </w:rPr>
        <w:t xml:space="preserve">DOI: </w:t>
      </w:r>
      <w:hyperlink r:id="rId190">
        <w:r>
          <w:rPr>
            <w:color w:val="1155CC"/>
            <w:u w:val="single"/>
          </w:rPr>
          <w:t>10.1002/adma.74634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局部高浓度电解质（LHCE）与锂金属阳极和高镍阴极表现出优异的界面相容性，而在凝胶化过程中引入聚合物网络可能会改变其固有的溶剂化结构。在这里，我们报道了一种通过在 1,2-二甲氧基乙烷 (DME) 基 LHCE 内原位聚合氟化聚合物网络形成的溶剂化保存凝胶电解质。与传统的凝胶聚合物电解质不同，氟化聚合物表现出有限的Li</w:t>
      </w:r>
      <w:r>
        <w:t xml:space="preserve"> </w:t>
      </w:r>
      <w:r>
        <w:t>+</w:t>
      </w:r>
      <w:r>
        <w:t xml:space="preserve"> </w:t>
      </w:r>
      <w:r>
        <w:t>配位，从而在很大程度上保留了凝胶化过程中的局部高浓度溶剂化环境。该设计将保留的 LHCE 溶剂化化学与氟化聚合物框架结合起来，实现电极-电解质界面的协同调节并增强电化学性能。同时，氟化聚合物网络通过降低电解液的可燃性进一步提高了安全性。锂对称电池可实现超过 2000 小时的稳定循环，而 LiNi</w:t>
      </w:r>
      <w:r>
        <w:t xml:space="preserve"> </w:t>
      </w:r>
      <w:r>
        <w:t>0.9</w:t>
      </w:r>
      <w:r>
        <w:t xml:space="preserve"> </w:t>
      </w:r>
      <w:r>
        <w:t>钴</w:t>
      </w:r>
      <w:r>
        <w:t xml:space="preserve"> </w:t>
      </w:r>
      <w:r>
        <w:t>0.05</w:t>
      </w:r>
      <w:r>
        <w:t xml:space="preserve"> </w:t>
      </w:r>
      <w:r>
        <w:t>锰</w:t>
      </w:r>
      <w:r>
        <w:t xml:space="preserve"> </w:t>
      </w:r>
      <w:r>
        <w:t>0.05</w:t>
      </w:r>
      <w:r>
        <w:t xml:space="preserve"> </w:t>
      </w:r>
      <w:r>
        <w:t>氧</w:t>
      </w:r>
      <w:r>
        <w:rPr>
          <w:vertAlign w:val="subscript"/>
        </w:rPr>
        <w:t>2</w:t>
      </w:r>
      <w:r>
        <w:t>(NCM9)|Li 全电池在 300 次循环后容量保持率为 82.2%，并在高达 4.5 V 的电压下稳定运行。在软包电池级别，重量能量密度为 394.3 Wh kg</w:t>
      </w:r>
      <w:r>
        <w:t xml:space="preserve"> </w:t>
      </w:r>
      <w:r>
        <w:t>−1</w:t>
      </w:r>
      <w:r>
        <w:t xml:space="preserve"> </w:t>
      </w:r>
      <w:r>
        <w:t>这是在贫电解质条件下实现的，而在高达 300°C 的温度下没有观察到热失控。这</w:t>
      </w:r>
    </w:p>
    <w:p>
      <w:pPr>
        <w:spacing w:before="0" w:after="200" w:lineRule="auto" w:line="276"/>
      </w:pPr>
      <w:r>
        <w:rPr>
          <w:b/>
        </w:rPr>
        <w:t xml:space="preserve">Abstract (EN): </w:t>
      </w:r>
      <w:r>
        <w:t>Localized high‐concentration electrolytes (LHCEs) exhibit excellent interfacial compatibility with lithium metal anodes and high‐nickel cathodes, whereas the introduction of polymer networks during gelation may alter their intrinsic solvation structures. Here, we report a solvation‐preserving gel electrolyte formed via in situ polymerization of a fluorinated polymer network within a 1,2‐Dimethoxyethane (DME)‐based LHCE. Unlike conventional gel polymer electrolytes, the fluorinated polymer exhibits limited Li</w:t>
      </w:r>
      <w:r>
        <w:t xml:space="preserve"> </w:t>
      </w:r>
      <w:r>
        <w:t>+</w:t>
      </w:r>
      <w:r>
        <w:t xml:space="preserve"> </w:t>
      </w:r>
      <w:r>
        <w:t>coordination, thereby largely preserving the localized high‐concentration solvation environment during gelation. This design couples the preserved LHCE solvation chemistry with a fluorinated polymer framework, enabling synergistic regulation of electrode–electrolyte interfaces and enhanced electrochemical performance. Meanwhile, the fluorinated polymer network further improves safety by reducing electrolyte flammability. Lithium symmetric cells achieve stable cycling over 2000 h, while LiNi</w:t>
      </w:r>
      <w:r>
        <w:t xml:space="preserve"> </w:t>
      </w:r>
      <w:r>
        <w:t>0.9</w:t>
      </w:r>
      <w:r>
        <w:t xml:space="preserve"> </w:t>
      </w:r>
      <w:r>
        <w:t>Co</w:t>
      </w:r>
      <w:r>
        <w:t xml:space="preserve"> </w:t>
      </w:r>
      <w:r>
        <w:t>0.05</w:t>
      </w:r>
      <w:r>
        <w:t xml:space="preserve"> </w:t>
      </w:r>
      <w:r>
        <w:t>Mn</w:t>
      </w:r>
      <w:r>
        <w:t xml:space="preserve"> </w:t>
      </w:r>
      <w:r>
        <w:t>0.05</w:t>
      </w:r>
      <w:r>
        <w:t xml:space="preserve"> </w:t>
      </w:r>
      <w:r>
        <w:t>O</w:t>
      </w:r>
      <w:r>
        <w:rPr>
          <w:vertAlign w:val="subscript"/>
        </w:rPr>
        <w:t>2</w:t>
      </w:r>
      <w:r>
        <w:t>(NCM9)|Li full cells deliver 82.2% capacity retention after 300 cycles and operate stably up to 4.5 V. At the pouch‐cell level, a gravimetric energy density of 394.3 Wh kg</w:t>
      </w:r>
      <w:r>
        <w:t xml:space="preserve"> </w:t>
      </w:r>
      <w:r>
        <w:t>−1</w:t>
      </w:r>
      <w:r>
        <w:t xml:space="preserve"> </w:t>
      </w:r>
      <w:r>
        <w:t>is achieved under lean‐electrolyte conditions, while no thermal runaway is observed up to 300°C. This work demonstrates that preserving solvation structure via rational polymer network design enables simultaneous improvements in interfacial stability, safety, and practical performance in quasi‐solid‐state lithium metal batteries.</w:t>
      </w:r>
    </w:p>
    <w:p>
      <w:pPr>
        <w:spacing w:before="120" w:after="120"/>
      </w:pPr>
      <w:r>
        <w:rPr>
          <w:sz w:val="18"/>
        </w:rPr>
        <w:t>——————————————————————————————————————————————————————————————————————</w:t>
      </w:r>
    </w:p>
    <w:p>
      <w:pPr>
        <w:spacing w:before="160" w:after="40" w:line="240" w:lineRule="auto"/>
      </w:pPr>
      <w:r>
        <w:rPr>
          <w:b/>
        </w:rPr>
        <w:t xml:space="preserve">[31] </w:t>
      </w:r>
      <w:hyperlink r:id="rId152">
        <w:r>
          <w:rPr>
            <w:color w:val="1155CC"/>
            <w:u w:val="single"/>
          </w:rPr>
          <w:t>多尺度限制电解质可实现低温稳定的水性锌碘电池</w:t>
        </w:r>
      </w:hyperlink>
    </w:p>
    <w:p>
      <w:pPr>
        <w:spacing w:before="0" w:after="80"/>
      </w:pPr>
      <w:r>
        <w:rPr>
          <w:i/>
          <w:sz w:val="20"/>
        </w:rPr>
        <w:t>EN: Multiscale Confinement Electrolyte Enables Low‐Temperature Stable Aqueous Zinc‐Iodine Batteries</w:t>
      </w:r>
    </w:p>
    <w:p>
      <w:pPr>
        <w:spacing w:before="0" w:after="120"/>
      </w:pPr>
      <w:r>
        <w:rPr>
          <w:b/>
        </w:rPr>
        <w:t xml:space="preserve">Source: </w:t>
      </w:r>
      <w:r>
        <w:t>Wiley: Advanced Energy Materials: Table of Contents</w:t>
      </w:r>
      <w:r>
        <w:t xml:space="preserve">    </w:t>
      </w:r>
      <w:r>
        <w:rPr>
          <w:b/>
        </w:rPr>
        <w:t xml:space="preserve">Pub date: </w:t>
      </w:r>
      <w:r>
        <w:t>2026-08-13 07:20:43+00:00</w:t>
      </w:r>
      <w:r>
        <w:t xml:space="preserve">    </w:t>
      </w:r>
      <w:r>
        <w:rPr>
          <w:b/>
        </w:rPr>
        <w:t xml:space="preserve">DOI: </w:t>
      </w:r>
      <w:hyperlink r:id="rId153">
        <w:r>
          <w:rPr>
            <w:color w:val="1155CC"/>
            <w:u w:val="single"/>
          </w:rPr>
          <w:t>10.1002/aenm.71384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水系锌碘电池是安全、低成本储能的有希望的候选者，但由于电解质冻结、碘溶解、离子传输缓慢和界面不稳定，在低温和高倍率条件下会严重退化。在此，我们通过引入高浓度Ca(ClO</w:t>
      </w:r>
      <w:r>
        <w:rPr>
          <w:vertAlign w:val="subscript"/>
        </w:rPr>
        <w:t>4</w:t>
      </w:r>
      <w:r>
        <w:t>）</w:t>
      </w:r>
      <w:r>
        <w:rPr>
          <w:vertAlign w:val="subscript"/>
        </w:rPr>
        <w:t>2</w:t>
      </w:r>
      <w:r>
        <w:t>和少量淀粉成Zn(OTf)</w:t>
      </w:r>
      <w:r>
        <w:rPr>
          <w:vertAlign w:val="subscript"/>
        </w:rPr>
        <w:t>2</w:t>
      </w:r>
      <w:r>
        <w:t>系统同时调节溶剂化结构、碘化学和电极界面。钙的强水化能力</w:t>
      </w:r>
      <w:r>
        <w:t xml:space="preserve"> </w:t>
      </w:r>
      <w:r>
        <w:t>2+</w:t>
      </w:r>
      <w:r>
        <w:t xml:space="preserve"> </w:t>
      </w:r>
      <w:r>
        <w:t>重建氢键网络，降低水活性，抑制冰结晶，并在零下温度下保持离子传输。与此同时，钙</w:t>
      </w:r>
      <w:r>
        <w:t xml:space="preserve"> </w:t>
      </w:r>
      <w:r>
        <w:t>2+</w:t>
      </w:r>
      <w:r>
        <w:t xml:space="preserve"> </w:t>
      </w:r>
      <w:r>
        <w:t>通过强静电相互作用限制碘化物和聚碘化物物质，从而抑制 I</w:t>
      </w:r>
      <w:r>
        <w:rPr>
          <w:vertAlign w:val="subscript"/>
        </w:rPr>
        <w:t>2</w:t>
      </w:r>
      <w:r>
        <w:t>溶解，抑制穿梭效应，并减少活性物质损失。淀粉进一步在锌阳极上构建界面限制层，抑制寄生反应，减少副产物的形成，并引导均匀的锌沉积。受益于这些协同效应，Zn||I</w:t>
      </w:r>
      <w:r>
        <w:rPr>
          <w:vertAlign w:val="subscript"/>
        </w:rPr>
        <w:t>2</w:t>
      </w:r>
      <w:r>
        <w:t>电池具有 15 A g 的卓越倍率能力</w:t>
      </w:r>
      <w:r>
        <w:t xml:space="preserve"> </w:t>
      </w:r>
      <w:r>
        <w:t>−1</w:t>
      </w:r>
      <w:r>
        <w:t xml:space="preserve"> </w:t>
      </w:r>
      <w:r>
        <w:t>并实现超稳定循环</w:t>
      </w:r>
    </w:p>
    <w:p>
      <w:pPr>
        <w:spacing w:before="0" w:after="200" w:lineRule="auto" w:line="276"/>
      </w:pPr>
      <w:r>
        <w:rPr>
          <w:b/>
        </w:rPr>
        <w:t xml:space="preserve">Abstract (EN): </w:t>
      </w:r>
      <w:r>
        <w:t>Aqueous zinc‐iodine batteries are promising candidates for safe and low‐cost energy storage but suffer from severe degradation under low‐temperature and high‐rate conditions due to electrolyte freezing, iodine dissolution, sluggish ion transport, and interfacial instability. Herein, we report a multiscale confinement electrolyte by introducing high‐concentration Ca(ClO</w:t>
      </w:r>
      <w:r>
        <w:rPr>
          <w:vertAlign w:val="subscript"/>
        </w:rPr>
        <w:t>4</w:t>
      </w:r>
      <w:r>
        <w:t>)</w:t>
      </w:r>
      <w:r>
        <w:rPr>
          <w:vertAlign w:val="subscript"/>
        </w:rPr>
        <w:t>2</w:t>
      </w:r>
      <w:r>
        <w:t>and a small amount of starch into a Zn(OTf)</w:t>
      </w:r>
      <w:r>
        <w:rPr>
          <w:vertAlign w:val="subscript"/>
        </w:rPr>
        <w:t>2</w:t>
      </w:r>
      <w:r>
        <w:t>system to regulate solvation structure, iodine chemistry, and electrode interfaces simultaneously. The strong hydration capability of Ca</w:t>
      </w:r>
      <w:r>
        <w:t xml:space="preserve"> </w:t>
      </w:r>
      <w:r>
        <w:t>2+</w:t>
      </w:r>
      <w:r>
        <w:t xml:space="preserve"> </w:t>
      </w:r>
      <w:r>
        <w:t>reconstructs the hydrogen‐bond network, reduces water activity, suppresses ice crystallization, and preserves ion transport at subzero temperatures. Meanwhile, Ca</w:t>
      </w:r>
      <w:r>
        <w:t xml:space="preserve"> </w:t>
      </w:r>
      <w:r>
        <w:t>2+</w:t>
      </w:r>
      <w:r>
        <w:t xml:space="preserve"> </w:t>
      </w:r>
      <w:r>
        <w:t>confines iodide and polyiodide species through strong electrostatic interactions, thereby suppressing I</w:t>
      </w:r>
      <w:r>
        <w:rPr>
          <w:vertAlign w:val="subscript"/>
        </w:rPr>
        <w:t>2</w:t>
      </w:r>
      <w:r>
        <w:t>dissolution, inhibiting shuttle effects, and mitigating active material loss. Starch further constructs an interfacial confinement layer on the Zn anode, inhibiting parasitic reactions, reducing by‐product formation, and guiding uniform Zn deposition. Benefiting from these synergistic effects, Zn||I</w:t>
      </w:r>
      <w:r>
        <w:rPr>
          <w:vertAlign w:val="subscript"/>
        </w:rPr>
        <w:t>2</w:t>
      </w:r>
      <w:r>
        <w:t>batteries deliver an exceptional rate capability of 15 A g</w:t>
      </w:r>
      <w:r>
        <w:t xml:space="preserve"> </w:t>
      </w:r>
      <w:r>
        <w:t>−1</w:t>
      </w:r>
      <w:r>
        <w:t xml:space="preserve"> </w:t>
      </w:r>
      <w:r>
        <w:t>and achieve ultrastable cycling over 60 000 cycles at this ultrahigh rate. Moreover, the batteries operate reliably at –40°C, delivering over 3600 h of cycling at 0.5 A g</w:t>
      </w:r>
      <w:r>
        <w:t xml:space="preserve"> </w:t>
      </w:r>
      <w:r>
        <w:t>−1</w:t>
      </w:r>
      <w:r>
        <w:t xml:space="preserve"> </w:t>
      </w:r>
      <w:r>
        <w:t>with 95.8% capacity retention. High‐loading pouch cells and a preliminary 1.1 Ah‐level demonstration further confirm the practical scale‐up potential of this electrolyte strategy.</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191">
        <w:r>
          <w:rPr>
            <w:color w:val="1155CC"/>
            <w:u w:val="single"/>
          </w:rPr>
          <w:t>利用松弛行为动态多时间尺度分解进行锂离子电池故障诊断</w:t>
        </w:r>
      </w:hyperlink>
    </w:p>
    <w:p>
      <w:pPr>
        <w:spacing w:before="0" w:after="80"/>
      </w:pPr>
      <w:r>
        <w:rPr>
          <w:i/>
          <w:sz w:val="20"/>
        </w:rPr>
        <w:t>EN: Fault diagnosis of lithium-ion batteries using dynamic multi-time-scale decomposition of relaxation behavior</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192">
        <w:r>
          <w:rPr>
            <w:color w:val="1155CC"/>
            <w:u w:val="single"/>
          </w:rPr>
          <w:t>10.1016/j.apenergy.2026.128611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93">
        <w:r>
          <w:rPr>
            <w:color w:val="1155CC"/>
            <w:u w:val="single"/>
          </w:rPr>
          <w:t>一种基于物理的高效计算等效电路模型，用于实时模拟锂离子电池的电化学热行为</w:t>
        </w:r>
      </w:hyperlink>
    </w:p>
    <w:p>
      <w:pPr>
        <w:spacing w:before="0" w:after="80"/>
      </w:pPr>
      <w:r>
        <w:rPr>
          <w:i/>
          <w:sz w:val="20"/>
        </w:rPr>
        <w:t>EN: A computationally efficient physics-based equivalent circuit model for real-time simulation of electrochemical-thermal behavior in lithium-ion batteries</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194">
        <w:r>
          <w:rPr>
            <w:color w:val="1155CC"/>
            <w:u w:val="single"/>
          </w:rPr>
          <w:t>10.1016/j.apenergy.2026.128608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61">
        <w:r>
          <w:rPr>
            <w:color w:val="1155CC"/>
            <w:u w:val="single"/>
          </w:rPr>
          <w:t>催化聚合固体电解质使 450 Wh kg−1 锂金属电池具有热机械滥用耐受性</w:t>
        </w:r>
      </w:hyperlink>
    </w:p>
    <w:p>
      <w:pPr>
        <w:spacing w:before="0" w:after="80"/>
      </w:pPr>
      <w:r>
        <w:rPr>
          <w:i/>
          <w:sz w:val="20"/>
        </w:rPr>
        <w:t>EN: A catalytically polymerized solid electrolyte enables 450 Wh kg−1 lithium–metal batteries with thermal–mechanical abuse tolerance</w:t>
      </w:r>
    </w:p>
    <w:p>
      <w:pPr>
        <w:spacing w:before="0" w:after="120"/>
      </w:pPr>
      <w:r>
        <w:rPr>
          <w:b/>
        </w:rPr>
        <w:t xml:space="preserve">Source: </w:t>
      </w:r>
      <w:r>
        <w:t>Physical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固体聚合物电解质的实际应用受到界面不稳定性和制造可扩展性的限制。在这里，我们报道了一种卷对卷兼容的、9.6微米厚的固体聚合物电解质膜，通过路易斯酸性Li1.3Al0.3Ti1.7(PO4)3在聚乙烯基体上原位聚合1,3-二氧戊环合成，实现了99.1%的转化率。所得膜在 25 °C 下表现出 191.7 MPa 的机械强度和 418.7 mS 的离子电导。为了解决多尺度界面不相容性，采用了双添加剂策略：三(4-氟苯基)膦构建富氟界面，将正极耐受性扩展至4.8 V，而Mg(TFSI)2形成Li-Mg合金，将负极Li⁺扩散势垒降低至0.127 eV。该系统在 1.2 Ah 软包电池中进行了验证，其比能量和能量密度分别为 456.7 Wh kg⁻1 和 911.1 Wh L⁻1（分别基于软包电池的总质量和体积）、稳定的宽温循环（-20 至 55 °C），并防止滥用条件下的热传播。</w:t>
      </w:r>
    </w:p>
    <w:p>
      <w:pPr>
        <w:spacing w:before="0" w:after="200" w:lineRule="auto" w:line="276"/>
      </w:pPr>
      <w:r>
        <w:rPr>
          <w:b/>
        </w:rPr>
        <w:t xml:space="preserve">Abstract (EN): </w:t>
      </w:r>
      <w:r>
        <w:t>Practical implementation of solid polymer electrolytes is constrained by interfacial instability and manufacturing scalability. Here, we report a roll-to-roll compatible, 9.6-μm-thick solid polymer electrolyte membrane synthesized via in situ 1,3-dioxolane polymerization catalyzed by Lewis-acidic Li1.3Al0.3Ti1.7(PO4)3 on a polyethylene matrix, achieving a 99.1% conversion rate. The resulting membrane demonstrates 191.7 MPa mechanical strength and 418.7 mS ionic conductance at 25 °C. To resolve multiscale interfacial incompatibilities, a dual-additive strategy is employed: tris(4-fluorophenyl) phosphine constructs a fluorine-rich interphase extending positive electrode tolerance to 4.8 V, while Mg(TFSI)2 forms a Li–Mg alloy lowering the negative electrode Li⁺ diffusion barrier to 0.127 eV. Validated in 1.2 Ah pouch cells, this system attains specific energy and energy density of 456.7 Wh kg⁻1 and 911.1 Wh L⁻1 (based on the total mass and volume of the pouch cell, respectively), stable wide-temperature cycling (−20 to 55 °C), and prevents thermal propagation under abuse conditions.</w:t>
      </w:r>
    </w:p>
    <w:p>
      <w:pPr>
        <w:spacing w:before="120" w:after="120"/>
      </w:pPr>
      <w:r>
        <w:rPr>
          <w:sz w:val="18"/>
        </w:rPr>
        <w:t>——————————————————————————————————————————————————————————————————————</w:t>
      </w:r>
    </w:p>
    <w:p>
      <w:pPr>
        <w:spacing w:before="160" w:after="40" w:line="240" w:lineRule="auto"/>
      </w:pPr>
      <w:r>
        <w:rPr>
          <w:b/>
        </w:rPr>
        <w:t xml:space="preserve">[4] </w:t>
      </w:r>
      <w:hyperlink r:id="rId126">
        <w:r>
          <w:rPr>
            <w:color w:val="1155CC"/>
            <w:u w:val="single"/>
          </w:rPr>
          <w:t>用于预测水系锌电池库仑效率的电子耦合界面能量描述符</w:t>
        </w:r>
      </w:hyperlink>
    </w:p>
    <w:p>
      <w:pPr>
        <w:spacing w:before="0" w:after="80"/>
      </w:pPr>
      <w:r>
        <w:rPr>
          <w:i/>
          <w:sz w:val="20"/>
        </w:rPr>
        <w:t>EN: An Electronically Coupled Interfacial Energy Descriptor for Predicting Coulombic Efficiency in Aqueous Zinc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2026-08-08 00:00:00+00:00</w:t>
      </w:r>
      <w:r>
        <w:t xml:space="preserve">    </w:t>
      </w:r>
      <w:r>
        <w:rPr>
          <w:b/>
        </w:rPr>
        <w:t xml:space="preserve">DOI: </w:t>
      </w:r>
      <w:hyperlink r:id="rId127">
        <w:r>
          <w:rPr>
            <w:color w:val="1155CC"/>
            <w:u w:val="single"/>
          </w:rPr>
          <w:t>10.1021/jacs.6c08057</w:t>
        </w:r>
      </w:hyperlink>
    </w:p>
    <w:p>
      <w:pPr>
        <w:spacing w:before="0" w:after="120"/>
      </w:pPr>
      <w:r>
        <w:rPr>
          <w:b/>
        </w:rPr>
        <w:t xml:space="preserve">Notes: </w:t>
      </w:r>
      <w:r>
        <w:t>abstract_source=crossref</w:t>
      </w:r>
    </w:p>
    <w:p>
      <w:pPr>
        <w:spacing w:before="0" w:after="80" w:lineRule="auto" w:line="276"/>
      </w:pPr>
      <w:r>
        <w:rPr>
          <w:b/>
        </w:rPr>
        <w:t xml:space="preserve">摘要（ZH）: </w:t>
      </w:r>
      <w:r>
        <w:t>摘要 固液界面决定了水系电池的性能和寿命。虽然合理设计的电解质添加剂提供了稳定这些界面的有效策略，但添加剂和金属表面之间复杂的相互作用很难通过实验分离，从而阻碍了最佳添加剂的预测设计。在这里，我们引入了一种电子耦合界面能量描述符（ΔG），它可以定量捕获添加剂-金属相互作用。通过将锌表面添加剂吸附和界面电荷转移的能量贡献统一为单一指标，ΔG 提供了界面稳定性的基本测量方法。将该描述符与内在分子特性相结合，我们开发了一个机器学习框架，可以准确预测不同添加剂系列的库仑效率，成功地将季戊四醇（PTT）识别为具有最小化 ΔG 值的高效候选者。 ZnSO4 电解液采用 PTT 添加剂配制而成，可实现高度可逆的镀锌和退镀，平均库仑效率为 99.71%，可维持稳定循环超过 1000 小时，其性能优于内在分子描述符预测的添加剂，循环寿命延长 2 倍。由此产生的 Zn-I2 全电池在高温和贫电解质条件下也能维持稳定的循环。从机理上讲，具有最小ΔG值的添加剂优先积聚在界面处以排出水分子，促进由PTT-和</w:t>
      </w:r>
    </w:p>
    <w:p>
      <w:pPr>
        <w:spacing w:before="0" w:after="200" w:lineRule="auto" w:line="276"/>
      </w:pPr>
      <w:r>
        <w:rPr>
          <w:b/>
        </w:rPr>
        <w:t xml:space="preserve">Abstract (EN): </w:t>
      </w:r>
      <w:r>
        <w:t>Solid–liquid interfaces dictate the performance and longevity of aqueous batteries. While rationally designed electrolyte additives offer a potent strategy to stabilize these interfaces, the complex interactions between additives and metal surfaces are difficult to isolate experimentally, hindering the predictive design of optimal additives. Here, we introduce an electronically coupled interfacial energy descriptor (ΔG) that quantitatively captures additive-metal interactions. By unifying the energetic contributions of additive adsorption and interfacial charge transfer at the zinc surface into a single metric, ΔG provides a fundamental measure of interfacial stability. Integrating this descriptor with intrinsic molecular properties, we develop a machine learning framework that accurately predicts Coulombic efficiency across different additive families, successfully identifying pentaerythritol (PTT) as a highly effective candidate with a minimized ΔG value. Formulated with PTT additive, the ZnSO4 electrolyte enables highly reversible zinc plating and stripping with an average Coulombic efficiency of 99.71%, sustaining stable cycling for over 1000 h, outperforming additives predicted by intrinsic molecular descriptors with a 2-fold longer cycle life. The resulting Zn–I2 full cells also sustain stable cycling under high-temperature and lean electrolyte conditions. Mechanistically, additives with minimized ΔG values preferentially accumulate at the interface to expel water molecules, promoting the formation of a robust solid electrolyte interphase composed of PTT- and anion-derived species. By redefining interfacial interactions through electronic-energetic coupling, this work provides a physically interpretable data-driven framework for additives screening in aqueous Zinc-ion batteries.</w:t>
      </w:r>
    </w:p>
    <w:p>
      <w:pPr>
        <w:spacing w:before="120" w:after="120"/>
      </w:pPr>
      <w:r>
        <w:rPr>
          <w:sz w:val="18"/>
        </w:rPr>
        <w:t>——————————————————————————————————————————————————————————————————————</w:t>
      </w:r>
    </w:p>
    <w:p>
      <w:pPr>
        <w:spacing w:before="160" w:after="40" w:line="240" w:lineRule="auto"/>
      </w:pPr>
      <w:r>
        <w:rPr>
          <w:b/>
        </w:rPr>
        <w:t xml:space="preserve">[5] </w:t>
      </w:r>
      <w:hyperlink r:id="rId195">
        <w:r>
          <w:rPr>
            <w:color w:val="1155CC"/>
            <w:u w:val="single"/>
          </w:rPr>
          <w:t>对异质和非平衡电化学反应的磁学见解</w:t>
        </w:r>
      </w:hyperlink>
    </w:p>
    <w:p>
      <w:pPr>
        <w:spacing w:before="0" w:after="80"/>
      </w:pPr>
      <w:r>
        <w:rPr>
          <w:i/>
          <w:sz w:val="20"/>
        </w:rPr>
        <w:t>EN: Magnetic Insights Into Heterogeneous and Nonequilibrium Electrochemical Reactions</w:t>
      </w:r>
    </w:p>
    <w:p>
      <w:pPr>
        <w:spacing w:before="0" w:after="120"/>
      </w:pPr>
      <w:r>
        <w:rPr>
          <w:b/>
        </w:rPr>
        <w:t xml:space="preserve">Source: </w:t>
      </w:r>
      <w:r>
        <w:t>Wiley: Advanced Energy Materials: Table of Contents</w:t>
      </w:r>
      <w:r>
        <w:t xml:space="preserve">    </w:t>
      </w:r>
      <w:r>
        <w:rPr>
          <w:b/>
        </w:rPr>
        <w:t xml:space="preserve">Pub date: </w:t>
      </w:r>
      <w:r>
        <w:t>2026-08-08 09:02:42+00:00</w:t>
      </w:r>
      <w:r>
        <w:t xml:space="preserve">    </w:t>
      </w:r>
      <w:r>
        <w:rPr>
          <w:b/>
        </w:rPr>
        <w:t xml:space="preserve">DOI: </w:t>
      </w:r>
      <w:hyperlink r:id="rId196">
        <w:r>
          <w:rPr>
            <w:color w:val="1155CC"/>
            <w:u w:val="single"/>
          </w:rPr>
          <w:t>10.1002/aenm.71401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能量系统受空间异质且远离平衡的界面反应控制，导致偏离理想行为和意外现象。尽管取得了重大进展，传统表征技术在解决这些复杂机制、指导材料设计和优化性能方面仍然有限。一个关键的缺失环节是一个对局部电子和自旋态演化敏感、非破坏性、足够穿透性并且能够在实际操作条件下进行时间分辨跟踪的诊断平台。在本视角中，我们强调磁性表征作为一种自旋敏感方法，用于破译异质和非平衡电化学反应。通过监测操作或原位条件下的磁化强度、磁化率和共振信号，磁表征将磁特征和电子构型变化与仍然难以访问的机制相关联。我们总结了将磁技术应用于代表性过程的最新进展，包括界面空间电荷存储、金属沉积途径、晶格氧阴离子氧化还原反应和瞬态自由基/反应中间体化学。最后，我们概述了未来的方向，包括高灵敏度操作磁力测量、标准化操作平台以及与光谱学、显微镜和数据驱动方法的协同集成，将磁性表征技术定位为阐释的实用工具包。</w:t>
      </w:r>
    </w:p>
    <w:p>
      <w:pPr>
        <w:spacing w:before="0" w:after="200" w:lineRule="auto" w:line="276"/>
      </w:pPr>
      <w:r>
        <w:rPr>
          <w:b/>
        </w:rPr>
        <w:t xml:space="preserve">Abstract (EN): </w:t>
      </w:r>
      <w:r>
        <w:t>Electrochemical energy systems are governed by interfacial reactions that are spatially heterogeneous and far from equilibrium, causing deviations from ideal behavior and unexpected phenomena. Despite significant advances, conventional characterization techniques remain limited in resolving these complex mechanisms, guiding materials design, and optimizing performance. A key missing link is a diagnostic platform that is sensitive to local electronic‐ and spin‐state evolution, nondestructive, sufficiently penetrative, and capable of time‐resolved tracking under realistic operating conditions. In this Perspective, we highlight magnetic characterization as a spin‐sensitive approach for deciphering heterogeneous and nonequilibrium electrochemical reactions. By monitoring magnetization, magnetic susceptibility, and resonance signals under operando or in situ conditions, magnetic characterization correlates magnetic signatures and electronic‐configuration changes with mechanisms that remain difficult to access. We summarize recent advances in applying magnetic techniques to representative processes, including interfacial space‐charge storage, metal deposition pathways, lattice‐oxygen anionic redox reactions, and transient radical/reactive‐intermediate chemistry. Finally, we outline future directions, including high‐sensitivity operando magnetometry, standardized operando platforms, and synergistic integration with spectroscopy, microscopy, and data‐driven methodologies, positioning magnetic characterization techniques as a practical toolkit for elucidating heterogeneous, nonequilibrium electrochemical interfacial reactions and informing the design of next‐generation batteries and electrocatalysts.</w:t>
      </w:r>
    </w:p>
    <w:p>
      <w:pPr>
        <w:spacing w:before="120" w:after="120"/>
      </w:pPr>
      <w:r>
        <w:rPr>
          <w:sz w:val="18"/>
        </w:rPr>
        <w:t>——————————————————————————————————————————————————————————————————————</w:t>
      </w:r>
    </w:p>
    <w:p>
      <w:pPr>
        <w:spacing w:before="160" w:after="40" w:line="240" w:lineRule="auto"/>
      </w:pPr>
      <w:r>
        <w:rPr>
          <w:b/>
        </w:rPr>
        <w:t xml:space="preserve">[6] </w:t>
      </w:r>
      <w:hyperlink r:id="rId197">
        <w:r>
          <w:rPr>
            <w:color w:val="1155CC"/>
            <w:u w:val="single"/>
          </w:rPr>
          <w:t>阴离子固体电解质界面形成的反射充电</w:t>
        </w:r>
      </w:hyperlink>
    </w:p>
    <w:p>
      <w:pPr>
        <w:spacing w:before="0" w:after="80"/>
      </w:pPr>
      <w:r>
        <w:rPr>
          <w:i/>
          <w:sz w:val="20"/>
        </w:rPr>
        <w:t>EN: Reflex Charging for Anion‐Derived Solid Electrolyte Interphase Formation</w:t>
      </w:r>
    </w:p>
    <w:p>
      <w:pPr>
        <w:spacing w:before="0" w:after="120"/>
      </w:pPr>
      <w:r>
        <w:rPr>
          <w:b/>
        </w:rPr>
        <w:t xml:space="preserve">Source: </w:t>
      </w:r>
      <w:r>
        <w:t>Wiley: Angewandte Chemie International Edition: Table of Contents</w:t>
      </w:r>
      <w:r>
        <w:t xml:space="preserve">    </w:t>
      </w:r>
      <w:r>
        <w:rPr>
          <w:b/>
        </w:rPr>
        <w:t xml:space="preserve">Pub date: </w:t>
      </w:r>
      <w:r>
        <w:t>2026-08-08 10:56:40+00:00</w:t>
      </w:r>
      <w:r>
        <w:t xml:space="preserve">    </w:t>
      </w:r>
      <w:r>
        <w:rPr>
          <w:b/>
        </w:rPr>
        <w:t xml:space="preserve">DOI: </w:t>
      </w:r>
      <w:hyperlink r:id="rId198">
        <w:r>
          <w:rPr>
            <w:color w:val="1155CC"/>
            <w:u w:val="single"/>
          </w:rPr>
          <w:t>10.1002/anie.4035251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 (Li) 金属具有出色的能量密度，但存在不稳定的界面，导致枝晶生长和可逆性差。由于界面是在运行的最早阶段形成的，因此控制其形成对于稳定锂金属电极至关重要。在这里，我们演示了反射充电策略，其中在充电期间引入短放电脉冲，动态地重新编程界面环境。这种方法可以维持电极表面附近的阴离子富集并转移Li</w:t>
      </w:r>
      <w:r>
        <w:t xml:space="preserve"> </w:t>
      </w:r>
      <w:r>
        <w:t>+</w:t>
      </w:r>
      <w:r>
        <w:t xml:space="preserve"> </w:t>
      </w:r>
      <w:r>
        <w:t>从溶剂主导结构向阴离子配位结构的溶剂化，从而促进富含无机物界面的形成。由此产生的界面降低了界面电阻，并实现致密且均匀的锂沉积。因此，基于反射充电的形成方案表现出显着改善的锂沉积/剥离可逆性，以及在循环和日历老化过程中更强的抗降解性。与 LiFePO 配对的完整电池</w:t>
      </w:r>
      <w:r>
        <w:rPr>
          <w:vertAlign w:val="subscript"/>
        </w:rPr>
        <w:t>4</w:t>
      </w:r>
      <w:r>
        <w:t>(LFP) 阴极，该系统在 500 次循环后保留了 73% 的容量，展示了实际的性能优势。这些发现将形成协议确立为控制界面化学的有效操作驱动杠杆，提供了一种实用的途径，补充了稳定锂金属电池（LMB）的传统基于材料的策略。</w:t>
      </w:r>
    </w:p>
    <w:p>
      <w:pPr>
        <w:spacing w:before="0" w:after="200" w:lineRule="auto" w:line="276"/>
      </w:pPr>
      <w:r>
        <w:rPr>
          <w:b/>
        </w:rPr>
        <w:t xml:space="preserve">Abstract (EN): </w:t>
      </w:r>
      <w:r>
        <w:t>Lithium (Li) metal offers exceptional energy density but suffers from unstable interphases that lead to dendrite growth and poor reversibility. Because the interphase is established during the earliest stages of operation, controlling its formation is critical for stabilizing Li metal electrodes. Here, we demonstrate that a reflex charging strategy, in which short discharge pulses are introduced during charging, dynamically reprograms the interfacial environment. This approach sustains anion enrichment near the electrode surface and shifts Li</w:t>
      </w:r>
      <w:r>
        <w:t xml:space="preserve"> </w:t>
      </w:r>
      <w:r>
        <w:t>+</w:t>
      </w:r>
      <w:r>
        <w:t xml:space="preserve"> </w:t>
      </w:r>
      <w:r>
        <w:t>solvation from solvent‐dominated structures toward anion‐coordinated structures, thereby promoting the formation of an inorganic‐rich interphase. The resulting interphase reduces interfacial resistance and enables dense and uniform Li deposition. Consequently, the reflex charging‐based formation protocol exhibits markedly improved Li deposition/stripping reversibility, and greater resistance to degradation during cycling and calendar aging. In full cells paired with LiFePO</w:t>
      </w:r>
      <w:r>
        <w:rPr>
          <w:vertAlign w:val="subscript"/>
        </w:rPr>
        <w:t>4</w:t>
      </w:r>
      <w:r>
        <w:t>(LFP) cathodes, the system retains 73% capacity after 500 cycles, demonstrating practical performance benefits. These findings establish formation protocol as an effective operation‐driven lever for controlling interfacial chemistry, offering a practical route that complements conventional materials‐based strategies for stabilizing Li metal batteries (LMBs).</w:t>
      </w:r>
    </w:p>
    <w:p>
      <w:pPr>
        <w:spacing w:before="120" w:after="120"/>
      </w:pPr>
      <w:r>
        <w:rPr>
          <w:sz w:val="18"/>
        </w:rPr>
        <w:t>——————————————————————————————————————————————————————————————————————</w:t>
      </w:r>
    </w:p>
    <w:p>
      <w:pPr>
        <w:spacing w:before="160" w:after="40" w:line="240" w:lineRule="auto"/>
      </w:pPr>
      <w:r>
        <w:rPr>
          <w:b/>
        </w:rPr>
        <w:t xml:space="preserve">[7] </w:t>
      </w:r>
      <w:hyperlink r:id="rId199">
        <w:r>
          <w:rPr>
            <w:color w:val="1155CC"/>
            <w:u w:val="single"/>
          </w:rPr>
          <w:t>自组装介孔镍聚酞菁/石墨烯微球用于电池碳酸酯泄漏的室温传感</w:t>
        </w:r>
      </w:hyperlink>
    </w:p>
    <w:p>
      <w:pPr>
        <w:spacing w:before="0" w:after="80"/>
      </w:pPr>
      <w:r>
        <w:rPr>
          <w:i/>
          <w:sz w:val="20"/>
        </w:rPr>
        <w:t>EN: Self‐Assembled Mesoporous Nickel Polyphthalocyanine/Graphene Microspheres for Room‐Temperature Sensing of Carbonate Ester Leakage in Batteries</w:t>
      </w:r>
    </w:p>
    <w:p>
      <w:pPr>
        <w:spacing w:before="0" w:after="120"/>
      </w:pPr>
      <w:r>
        <w:rPr>
          <w:b/>
        </w:rPr>
        <w:t xml:space="preserve">Source: </w:t>
      </w:r>
      <w:r>
        <w:t>Wiley: Advanced Materials: Table of Contents</w:t>
      </w:r>
      <w:r>
        <w:t xml:space="preserve">    </w:t>
      </w:r>
      <w:r>
        <w:rPr>
          <w:b/>
        </w:rPr>
        <w:t xml:space="preserve">Pub date: </w:t>
      </w:r>
      <w:r>
        <w:t>2026-08-08 19:45:02+00:00</w:t>
      </w:r>
      <w:r>
        <w:t xml:space="preserve">    </w:t>
      </w:r>
      <w:r>
        <w:rPr>
          <w:b/>
        </w:rPr>
        <w:t xml:space="preserve">DOI: </w:t>
      </w:r>
      <w:hyperlink r:id="rId200">
        <w:r>
          <w:rPr>
            <w:color w:val="1155CC"/>
            <w:u w:val="single"/>
          </w:rPr>
          <w:t>10.1002/adma.74531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直链碳酸酯的低粘度改善了电解质润湿性和离子电导率，这使得它们对于电池运行至关重要，但也使得它们在电池受到机械损坏或泄漏时容易快速蒸发。鉴于其高度可燃性，这种蒸发会造成严重的安全隐患。在不升高温度的情况下监测此类排放对于提供早期危险预警至关重要。在此，我们报告了一种基于自组装介孔镍聚酞菁/石墨烯微球的室温可操作碳酸酯传感器。这种球形结构抑制了聚酞菁层的π-π堆积，暴露出丰富的Ni-N</w:t>
      </w:r>
      <w:r>
        <w:rPr>
          <w:vertAlign w:val="subscript"/>
        </w:rPr>
        <w:t>4</w:t>
      </w:r>
      <w:r>
        <w:t>与碳酸酯配位的活性中心。介孔结构建立了 3D 扩散路径，促进气体快速传输。扩展的π共轭和富集的电子密度进一步增强了Ni-N的吸附亲和力</w:t>
      </w:r>
      <w:r>
        <w:rPr>
          <w:vertAlign w:val="subscript"/>
        </w:rPr>
        <w:t>4</w:t>
      </w:r>
      <w:r>
        <w:t>朝向碳酸酯基团的位点。所构建的传感器在10秒内对20°C的碳酸二甲酯（DMC）蒸气实现90%的响应，在弯曲、湿度变化和长期待机操作下具有高选择性和稳定性。集成的DMC温度柔性芯片可识别锂离子电池的过热和漏液故障，并定位电池模块内的漏液点。这项工作可以在实际运行条件下监测电池破损情况，形成全面的风险评估</w:t>
      </w:r>
    </w:p>
    <w:p>
      <w:pPr>
        <w:spacing w:before="0" w:after="200" w:lineRule="auto" w:line="276"/>
      </w:pPr>
      <w:r>
        <w:rPr>
          <w:b/>
        </w:rPr>
        <w:t xml:space="preserve">Abstract (EN): </w:t>
      </w:r>
      <w:r>
        <w:t>The low viscosity of linear carbonate esters improves electrolyte wetting and ionic conductivity, making them essential for battery operation, but also rendering them prone to rapid evaporation when cells are mechanically damaged or leaking. Given their high flammability, such evaporation poses serious safety hazards. Monitoring such emissions without elevating temperature is critical for providing early hazard warning. Herein, we report a room temperature operable carbonate esters sensor based on self‐assembled mesoporous nickel polyphthalocyanine/graphene microsphere. This spherical structure suppresses π–π stacking of the polyphthalocyanine layers, exposing abundant Ni–N</w:t>
      </w:r>
      <w:r>
        <w:rPr>
          <w:vertAlign w:val="subscript"/>
        </w:rPr>
        <w:t>4</w:t>
      </w:r>
      <w:r>
        <w:t>active centers for coordination with carbonate esters. The mesoporous architecture establishes 3D diffusion pathways, facilitating rapid gas transport. The extended π‑conjugation and enriched electron density further enhance the adsorption affinity of Ni–N</w:t>
      </w:r>
      <w:r>
        <w:rPr>
          <w:vertAlign w:val="subscript"/>
        </w:rPr>
        <w:t>4</w:t>
      </w:r>
      <w:r>
        <w:t>sites toward carbonate ester groups. The constructed sensor achieves a 90% response to dimethyl carbonate (DMC) vapor at 20°C within 10 s, with high selectivity and stability under bending, humidity variations, and long‐term standby operation. An integrated DMC‐temperature flexible chip identifies overheating and leakage faults of lithium‐ion battery and locates the leakage point within a battery module. This work enables monitoring of battery breakage under practical operating conditions, forming comprehensive risk assessment for battery management systems.</w:t>
      </w:r>
    </w:p>
    <w:p>
      <w:pPr>
        <w:spacing w:before="120" w:after="120"/>
      </w:pPr>
      <w:r>
        <w:rPr>
          <w:sz w:val="18"/>
        </w:rPr>
        <w:t>——————————————————————————————————————————————————————————————————————</w:t>
      </w:r>
    </w:p>
    <w:p>
      <w:pPr>
        <w:spacing w:before="160" w:after="40" w:line="240" w:lineRule="auto"/>
      </w:pPr>
      <w:r>
        <w:rPr>
          <w:b/>
        </w:rPr>
        <w:t xml:space="preserve">[8] </w:t>
      </w:r>
      <w:hyperlink r:id="rId201">
        <w:r>
          <w:rPr>
            <w:color w:val="1155CC"/>
            <w:u w:val="single"/>
          </w:rPr>
          <w:t>城市行驶电动汽车热失控风险综合评估：基于贝叶斯网络和修正多尺度样本熵的多源信息融合框架</w:t>
        </w:r>
      </w:hyperlink>
    </w:p>
    <w:p>
      <w:pPr>
        <w:spacing w:before="0" w:after="80"/>
      </w:pPr>
      <w:r>
        <w:rPr>
          <w:i/>
          <w:sz w:val="20"/>
        </w:rPr>
        <w:t>EN: Comprehensive thermal runaway risk assessment of EVs in urban driving: A multi-source information fusion framework based on Bayesian network and modified multiscale sample entropy</w:t>
      </w:r>
    </w:p>
    <w:p>
      <w:pPr>
        <w:spacing w:before="0" w:after="120"/>
      </w:pPr>
      <w:r>
        <w:rPr>
          <w:b/>
        </w:rPr>
        <w:t xml:space="preserve">Source: </w:t>
      </w:r>
      <w:r>
        <w:t>ScienceDirect Publication: Applied Energy</w:t>
      </w:r>
      <w:r>
        <w:t xml:space="preserve">    </w:t>
      </w:r>
      <w:r>
        <w:rPr>
          <w:b/>
        </w:rPr>
        <w:t xml:space="preserve">Pub date: </w:t>
      </w:r>
      <w:r>
        <w:t>2026-08-09 00:00:00+00:00</w:t>
      </w:r>
      <w:r>
        <w:t xml:space="preserve">    </w:t>
      </w:r>
      <w:r>
        <w:rPr>
          <w:b/>
        </w:rPr>
        <w:t xml:space="preserve">DOI: </w:t>
      </w:r>
      <w:hyperlink r:id="rId202">
        <w:r>
          <w:rPr>
            <w:color w:val="1155CC"/>
            <w:u w:val="single"/>
          </w:rPr>
          <w:t>10.1016/j.apenergy.2026.128649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03">
        <w:r>
          <w:rPr>
            <w:color w:val="1155CC"/>
            <w:u w:val="single"/>
          </w:rPr>
          <w:t>层状 Cu7.2S4@N 掺杂碳杂化物作为锂硫电池中多硫化物转化的协同捕获催化剂</w:t>
        </w:r>
      </w:hyperlink>
    </w:p>
    <w:p>
      <w:pPr>
        <w:spacing w:before="0" w:after="80"/>
      </w:pPr>
      <w:r>
        <w:rPr>
          <w:i/>
          <w:sz w:val="20"/>
        </w:rPr>
        <w:t>EN: Layered Cu7.2S4@N-Doped Carbon Hybrid as a Synergistic Trap Catalyst for Polysulfide Conversion in Lithium–Sulfur Batteries</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204">
        <w:r>
          <w:rPr>
            <w:color w:val="1155CC"/>
            <w:u w:val="single"/>
          </w:rPr>
          <w:t>10.1021/acsami.6c08395</w:t>
        </w:r>
      </w:hyperlink>
    </w:p>
    <w:p>
      <w:pPr>
        <w:spacing w:before="0" w:after="120"/>
      </w:pPr>
      <w:r>
        <w:rPr>
          <w:b/>
        </w:rPr>
        <w:t xml:space="preserve">Notes: </w:t>
      </w:r>
      <w:r>
        <w:t>abstract_source=crossref</w:t>
      </w:r>
    </w:p>
    <w:p>
      <w:pPr>
        <w:spacing w:before="0" w:after="80" w:lineRule="auto" w:line="276"/>
      </w:pPr>
      <w:r>
        <w:rPr>
          <w:b/>
        </w:rPr>
        <w:t xml:space="preserve">摘要（ZH）: </w:t>
      </w:r>
      <w:r>
        <w:t>摘要 锂硫电池（LSB）因其高理论容量和能量密度而成为领先的下一代储能技术。然而，多硫化锂（LiPS）穿梭效应和缓慢的氧化还原动力学限制了LSB的循环稳定性和倍率性能。为了应对这一挑战，我们合成了均匀嵌入氮掺杂碳 (NC) 基体 (Cu7.2S4@NC) 的层状 Cu7.2S4，并将其用作隔膜上的功能涂层。 NC 框架建立了一个导电网络，增强了 LiPS 的限制。同时，Cu7.2S4 作为催化中心，显着加速 LiPS 的氧化还原动力学，从而提高整体电催化活性。电化学评估表明，采用Cu7.2S4@NC隔膜的电池表现出出色的循环性能，在0.5 C下循环500次后仍保持771 mAh g-1。硫负载量为5.3 mg cm-2时，电池的面积容量达到5.5 mAh cm-1。这些电池在较宽的温度范围（0–60 °C）内表现出稳定的循环性能。此外，结合密度泛函理论计算和原位拉曼光谱证实，Cu7.2S4 对 LiPS 表现出很强的结合亲和力，从而能够有效隔离这些物质。这项工作表明，Cu7.2S4@NC 作为一种功能催化剂，能够实现具有广泛温度适应性的高性能 LSB。</w:t>
      </w:r>
    </w:p>
    <w:p>
      <w:pPr>
        <w:spacing w:before="0" w:after="200" w:lineRule="auto" w:line="276"/>
      </w:pPr>
      <w:r>
        <w:rPr>
          <w:b/>
        </w:rPr>
        <w:t xml:space="preserve">Abstract (EN): </w:t>
      </w:r>
      <w:r>
        <w:t>Lithium–sulfur batteries (LSBs) are a leading next-generation energy storage technology, owing to their high theoretical capacity and energy density. However, the lithium polysulfide (LiPS) shuttle effect and slow redox kinetics limit the cycling stability and rate capability of LSBs. To address this challenge, a layered Cu7.2S4 uniformly embedded within a nitrogen-doped carbon (NC) matrix (Cu7.2S4@NC) is synthesized and employed as a functional coating on the separator. The NC framework establishes a conductive network that enhances the confinement of LiPSs. Meanwhile, Cu7.2S4 serves as catalytic centers that significantly accelerate the redox kinetics of LiPSs, thereby boosting the overall electrocatalytic activity. Electrochemical evaluations reveal that the cell with the Cu7.2S4@NC separator exhibits outstanding cycling performance, maintaining 771 mAh g–1 after 500 cycles at 0.5 C. With a sulfur loading of 5.3 mg cm–2, the cell achieves an areal capacity of 5.5 mAh cm–1. The cells exhibit stable cycling performance across a broad temperature range (0–60 °C). Furthermore, combined density functional theory calculations and in situ Raman spectroscopy confirm that Cu7.2S4 exhibits strong binding affinity toward LiPSs, thereby enabling efficient sequestration of these species. This work demonstrates that Cu7.2S4@NC serves as a functional catalyst capable of enabling high-performance LSBs with broad temperature adaptability.</w:t>
      </w:r>
    </w:p>
    <w:p>
      <w:pPr>
        <w:spacing w:before="120" w:after="120"/>
      </w:pPr>
      <w:r>
        <w:rPr>
          <w:sz w:val="18"/>
        </w:rPr>
        <w:t>——————————————————————————————————————————————————————————————————————</w:t>
      </w:r>
    </w:p>
    <w:p>
      <w:pPr>
        <w:spacing w:before="160" w:after="40" w:line="240" w:lineRule="auto"/>
      </w:pPr>
      <w:r>
        <w:rPr>
          <w:b/>
        </w:rPr>
        <w:t xml:space="preserve">[10] </w:t>
      </w:r>
      <w:hyperlink r:id="rId205">
        <w:r>
          <w:rPr>
            <w:color w:val="1155CC"/>
            <w:u w:val="single"/>
          </w:rPr>
          <w:t>软包锂离子电池应力引起的容量衰减的有效分析模型</w:t>
        </w:r>
      </w:hyperlink>
    </w:p>
    <w:p>
      <w:pPr>
        <w:spacing w:before="0" w:after="80"/>
      </w:pPr>
      <w:r>
        <w:rPr>
          <w:i/>
          <w:sz w:val="20"/>
        </w:rPr>
        <w:t>EN: An efficient analytical model for stress-induced capacity fade in pouch lithium-ion batteries</w:t>
      </w:r>
    </w:p>
    <w:p>
      <w:pPr>
        <w:spacing w:before="0" w:after="120"/>
      </w:pPr>
      <w:r>
        <w:rPr>
          <w:b/>
        </w:rPr>
        <w:t xml:space="preserve">Source: </w:t>
      </w:r>
      <w:r>
        <w:t>ScienceDirect Publication: Applied Energy</w:t>
      </w:r>
      <w:r>
        <w:t xml:space="preserve">    </w:t>
      </w:r>
      <w:r>
        <w:rPr>
          <w:b/>
        </w:rPr>
        <w:t xml:space="preserve">Pub date: </w:t>
      </w:r>
      <w:r>
        <w:t>2026-08-10 00:00:00+00:00</w:t>
      </w:r>
      <w:r>
        <w:t xml:space="preserve">    </w:t>
      </w:r>
      <w:r>
        <w:rPr>
          <w:b/>
        </w:rPr>
        <w:t xml:space="preserve">DOI: </w:t>
      </w:r>
      <w:hyperlink r:id="rId206">
        <w:r>
          <w:rPr>
            <w:color w:val="1155CC"/>
            <w:u w:val="single"/>
          </w:rPr>
          <w:t>10.1016/j.apenergy.2026.128612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07">
        <w:r>
          <w:rPr>
            <w:color w:val="1155CC"/>
            <w:u w:val="single"/>
          </w:rPr>
          <w:t>用于高能量密度全固态电池的双粘合剂启用的 18 µm 厚高电导率硫化物电解质薄膜</w:t>
        </w:r>
      </w:hyperlink>
    </w:p>
    <w:p>
      <w:pPr>
        <w:spacing w:before="0" w:after="80"/>
      </w:pPr>
      <w:r>
        <w:rPr>
          <w:i/>
          <w:sz w:val="20"/>
        </w:rPr>
        <w:t>EN: Dual‐Binder‐Enabled 18‐µm‐Thick High‐Conductivity Sulfide Electrolyte Film for High‐Energy‐Density All‐Solid‐State Batteries</w:t>
      </w:r>
    </w:p>
    <w:p>
      <w:pPr>
        <w:spacing w:before="0" w:after="120"/>
      </w:pPr>
      <w:r>
        <w:rPr>
          <w:b/>
        </w:rPr>
        <w:t xml:space="preserve">Source: </w:t>
      </w:r>
      <w:r>
        <w:t>Wiley: Advanced Materials: Table of Contents</w:t>
      </w:r>
      <w:r>
        <w:t xml:space="preserve">    </w:t>
      </w:r>
      <w:r>
        <w:rPr>
          <w:b/>
        </w:rPr>
        <w:t xml:space="preserve">Pub date: </w:t>
      </w:r>
      <w:r>
        <w:t>2026-08-10 08:15:02+00:00</w:t>
      </w:r>
      <w:r>
        <w:t xml:space="preserve">    </w:t>
      </w:r>
      <w:r>
        <w:rPr>
          <w:b/>
        </w:rPr>
        <w:t xml:space="preserve">DOI: </w:t>
      </w:r>
      <w:hyperlink r:id="rId108">
        <w:r>
          <w:rPr>
            <w:color w:val="1155CC"/>
            <w:u w:val="single"/>
          </w:rPr>
          <w:t>10.1002/adma.74533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薄、高离子电导率硫化物固态电解质（SSE）薄膜的开发对于实现高能量密度全固态电池（ASSB）至关重要。然而，传统的化学惰性粘合剂不可避免地阻碍SSE薄膜内的锂离子传输动力学，并且潜在的锂离子传输机制仍然难以捉摸。在这项工作中，我们报告了一种锂离子导电聚合物粘合剂（LiTFSI-PMEMA），并通过干法加工将其与SSE集成，以制造超薄SSE薄膜（USF）。所得 USF 厚度仅为 18 µm，并具有 1.56 mS cm 的高离子电导率</w:t>
      </w:r>
      <w:r>
        <w:t xml:space="preserve"> </w:t>
      </w:r>
      <w:r>
        <w:t>−1</w:t>
      </w:r>
      <w:r>
        <w:t xml:space="preserve"> </w:t>
      </w:r>
      <w:r>
        <w:t>。通过结合低温透射电子显微镜（cryo-TEM）、固态核磁共振（ssNMR）和理论模拟，我们提出了一种Li</w:t>
      </w:r>
      <w:r>
        <w:t xml:space="preserve"> </w:t>
      </w:r>
      <w:r>
        <w:t>+</w:t>
      </w:r>
      <w:r>
        <w:t xml:space="preserve"> </w:t>
      </w:r>
      <w:r>
        <w:t>输运模型中，SSE 相提供主要传导路径，而聚合物粘合剂和 SSE/聚合物接触区域可以辅助局部 Li</w:t>
      </w:r>
      <w:r>
        <w:t xml:space="preserve"> </w:t>
      </w:r>
      <w:r>
        <w:t>+</w:t>
      </w:r>
      <w:r>
        <w:t xml:space="preserve"> </w:t>
      </w:r>
      <w:r>
        <w:t>相邻 SSE 粒子之间的传输连续性。当在 ASSB 中实施时，USF 表现出卓越的界面相容性和动力学稳定性，可实现长期循环寿命，在 1500 次循环中容量保持率为 70.3%。此外，LiNi</w:t>
      </w:r>
      <w:r>
        <w:t xml:space="preserve"> </w:t>
      </w:r>
      <w:r>
        <w:t>0.7</w:t>
      </w:r>
      <w:r>
        <w:t xml:space="preserve"> </w:t>
      </w:r>
      <w:r>
        <w:t>钴</w:t>
      </w:r>
      <w:r>
        <w:t xml:space="preserve"> </w:t>
      </w:r>
      <w:r>
        <w:t>0.2</w:t>
      </w:r>
      <w:r>
        <w:t xml:space="preserve"> </w:t>
      </w:r>
      <w:r>
        <w:t>锰</w:t>
      </w:r>
      <w:r>
        <w:t xml:space="preserve"> </w:t>
      </w:r>
      <w:r>
        <w:t>0.1</w:t>
      </w:r>
      <w:r>
        <w:t xml:space="preserve"> </w:t>
      </w:r>
      <w:r>
        <w:t>氧</w:t>
      </w:r>
      <w:r>
        <w:rPr>
          <w:vertAlign w:val="subscript"/>
        </w:rPr>
        <w:t>2</w:t>
      </w:r>
      <w:r>
        <w:t>||USF||nSi 软包电池提供高堆叠级别</w:t>
      </w:r>
    </w:p>
    <w:p>
      <w:pPr>
        <w:spacing w:before="0" w:after="200" w:lineRule="auto" w:line="276"/>
      </w:pPr>
      <w:r>
        <w:rPr>
          <w:b/>
        </w:rPr>
        <w:t xml:space="preserve">Abstract (EN): </w:t>
      </w:r>
      <w:r>
        <w:t>The development of ultrathin, high ionic conductivity sulfide solid‐state electrolytes (SSEs) film is essential for achieving high‐energy‐density all‐solid‐state batteries (ASSBs). However, conventional chemically inert binders inevitably impede Li‐ion transport kinetics within SSE films, and the underlying Li‐ion transport mechanisms remain elusive. In this work, we report an Li‐ion‐conductive polymer binder (LiTFSI‐PMEMA) and integrate it with SSEs via dry processing to fabricate an ultrathin SSE film (USF). The resulting USF is only 18 µm thick and exhibits a high ionic conductivity of 1.56 mS cm</w:t>
      </w:r>
      <w:r>
        <w:t xml:space="preserve"> </w:t>
      </w:r>
      <w:r>
        <w:t>‒1</w:t>
      </w:r>
      <w:r>
        <w:t xml:space="preserve"> </w:t>
      </w:r>
      <w:r>
        <w:t>. By combining cryogenic transmission electron microscopy (cryo‐TEM), solid‐state nuclear magnetic resonance (ssNMR), and theoretical simulations, we propose an Li</w:t>
      </w:r>
      <w:r>
        <w:t xml:space="preserve"> </w:t>
      </w:r>
      <w:r>
        <w:t>+</w:t>
      </w:r>
      <w:r>
        <w:t xml:space="preserve"> </w:t>
      </w:r>
      <w:r>
        <w:t>transport model in which the SSE phase provides the dominant conduction pathway, while the polymer binder and SSEs/polymer contact regions can assist local Li</w:t>
      </w:r>
      <w:r>
        <w:t xml:space="preserve"> </w:t>
      </w:r>
      <w:r>
        <w:t>+</w:t>
      </w:r>
      <w:r>
        <w:t xml:space="preserve"> </w:t>
      </w:r>
      <w:r>
        <w:t>transport continuity between neighboring SSE particles. When implemented in ASSBs, the USF exhibits exceptional interfacial compatibility and kinetic stability, enabling a long‐term cycling life with 70.3% capacity retention over 1500 cycles. Furthermore, a LiNi</w:t>
      </w:r>
      <w:r>
        <w:t xml:space="preserve"> </w:t>
      </w:r>
      <w:r>
        <w:t>0.7</w:t>
      </w:r>
      <w:r>
        <w:t xml:space="preserve"> </w:t>
      </w:r>
      <w:r>
        <w:t>Co</w:t>
      </w:r>
      <w:r>
        <w:t xml:space="preserve"> </w:t>
      </w:r>
      <w:r>
        <w:t>0.2</w:t>
      </w:r>
      <w:r>
        <w:t xml:space="preserve"> </w:t>
      </w:r>
      <w:r>
        <w:t>Mn</w:t>
      </w:r>
      <w:r>
        <w:t xml:space="preserve"> </w:t>
      </w:r>
      <w:r>
        <w:t>0.1</w:t>
      </w:r>
      <w:r>
        <w:t xml:space="preserve"> </w:t>
      </w:r>
      <w:r>
        <w:t>O</w:t>
      </w:r>
      <w:r>
        <w:rPr>
          <w:vertAlign w:val="subscript"/>
        </w:rPr>
        <w:t>2</w:t>
      </w:r>
      <w:r>
        <w:t>||USF||nSi pouch cell delivers a high stack‐level energy density of 322.7 Wh kg</w:t>
      </w:r>
      <w:r>
        <w:t xml:space="preserve"> </w:t>
      </w:r>
      <w:r>
        <w:t>‒1</w:t>
      </w:r>
      <w:r>
        <w:t xml:space="preserve"> </w:t>
      </w:r>
      <w:r>
        <w:t>. This work provides crucial insights into the multiphase Li‐ion transport kinetics and demonstrates a scalable manufacturing strategy for sulfide‐based ASSBs.</w:t>
      </w:r>
    </w:p>
    <w:p>
      <w:pPr>
        <w:spacing w:before="120" w:after="120"/>
      </w:pPr>
      <w:r>
        <w:rPr>
          <w:sz w:val="18"/>
        </w:rPr>
        <w:t>——————————————————————————————————————————————————————————————————————</w:t>
      </w:r>
    </w:p>
    <w:p>
      <w:pPr>
        <w:spacing w:before="160" w:after="40" w:line="240" w:lineRule="auto"/>
      </w:pPr>
      <w:r>
        <w:rPr>
          <w:b/>
        </w:rPr>
        <w:t xml:space="preserve">[12] </w:t>
      </w:r>
      <w:hyperlink r:id="rId207">
        <w:r>
          <w:rPr>
            <w:color w:val="1155CC"/>
            <w:u w:val="single"/>
          </w:rPr>
          <w:t>通过虚拟参比电极进行电池智能传感</w:t>
        </w:r>
      </w:hyperlink>
    </w:p>
    <w:p>
      <w:pPr>
        <w:spacing w:before="0" w:after="80"/>
      </w:pPr>
      <w:r>
        <w:rPr>
          <w:i/>
          <w:sz w:val="20"/>
        </w:rPr>
        <w:t>EN: Battery smart sensing via a virtual reference electrode</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电池安全由管理系统调节，管理系统使用电流和电池电压来定义操作限制，但这些信号可能会错过锂金属电镀。负电极电位可以揭示这种失效模式，但直接测量需要额外的参比电极，这在实际电池中很难实现。在这里，我们引入了一个虚拟参考电极，可以在没有物理参考电极的情况下估计电池运行期间的负极电位。该模型根据三电极电池测量的负电极电位进行训练，仅使用两电极电池提供的信号来预测这种内部状态，均方根误差和平均绝对误差分别为 0.023 伏和 0.018 伏。电子显微镜验证了热力学阈值附近嵌入和锂金属镀层之间的预测转变。虚拟参考电极集成到自适应充电中，可根据预测的故障风险调整电流，并在测试的低负正容量比下相对于恒流恒压基线将循环寿命延长8.25倍。更广泛地说，该框架可以在不改变电池化学或架构的情况下实现内部电池状态的虚拟感测。</w:t>
      </w:r>
    </w:p>
    <w:p>
      <w:pPr>
        <w:spacing w:before="0" w:after="200" w:lineRule="auto" w:line="276"/>
      </w:pPr>
      <w:r>
        <w:rPr>
          <w:b/>
        </w:rPr>
        <w:t xml:space="preserve">Abstract (EN): </w:t>
      </w:r>
      <w:r>
        <w:t>Battery safety is regulated by management systems that use current and cell voltage to define operating limits, but these signals can miss lithium metal plating. Negative electrode potential can reveal this failure mode, yet direct measurement requires an additional reference electrode that is difficult to implement in practical cells. Here, we introduce a virtual reference electrode that estimates negative electrode potential during battery operation without a physical reference electrode. Trained on measured negative electrode potentials from three-electrode cells, the model predicts this internal state using only signals available from two-electrode cells, with root-mean-squared and mean absolute errors of 0.023 and 0.018 volts, respectively. Electron microscopy validates the predicted transition between intercalation and lithium metal plating near the thermodynamic threshold. Integrated into adaptive charging, the virtual reference electrode adjusts current in response to predicted failure risk and extends cycle life by 8.25 times relative to a constant-current constant-voltage baseline under the tested low negative-to-positive capacity ratio. More broadly, this framework may enable virtual sensing of internal battery states without changing battery chemistry or architecture.</w:t>
      </w:r>
    </w:p>
    <w:p>
      <w:pPr>
        <w:spacing w:before="120" w:after="120"/>
      </w:pPr>
      <w:r>
        <w:rPr>
          <w:sz w:val="18"/>
        </w:rPr>
        <w:t>——————————————————————————————————————————————————————————————————————</w:t>
      </w:r>
    </w:p>
    <w:p>
      <w:pPr>
        <w:spacing w:before="160" w:after="40" w:line="240" w:lineRule="auto"/>
      </w:pPr>
      <w:r>
        <w:rPr>
          <w:b/>
        </w:rPr>
        <w:t xml:space="preserve">[13] </w:t>
      </w:r>
      <w:hyperlink r:id="rId208">
        <w:r>
          <w:rPr>
            <w:color w:val="1155CC"/>
            <w:u w:val="single"/>
          </w:rPr>
          <w:t>隐藏风险：轻微过充情况下，预先存在的机械缺陷如何恶化电池安全性</w:t>
        </w:r>
      </w:hyperlink>
    </w:p>
    <w:p>
      <w:pPr>
        <w:spacing w:before="0" w:after="80"/>
      </w:pPr>
      <w:r>
        <w:rPr>
          <w:i/>
          <w:sz w:val="20"/>
        </w:rPr>
        <w:t>EN: Hidden risk: How pre-existing mechanical defects worsen battery safety under slight overcharge</w:t>
      </w:r>
    </w:p>
    <w:p>
      <w:pPr>
        <w:spacing w:before="0" w:after="120"/>
      </w:pPr>
      <w:r>
        <w:rPr>
          <w:b/>
        </w:rPr>
        <w:t xml:space="preserve">Source: </w:t>
      </w:r>
      <w:r>
        <w:t>ScienceDirect Publication: Applied Energy</w:t>
      </w:r>
      <w:r>
        <w:t xml:space="preserve">    </w:t>
      </w:r>
      <w:r>
        <w:rPr>
          <w:b/>
        </w:rPr>
        <w:t xml:space="preserve">Pub date: </w:t>
      </w:r>
      <w:r>
        <w:t>2026-08-12 00:00:00+00:00</w:t>
      </w:r>
      <w:r>
        <w:t xml:space="preserve">    </w:t>
      </w:r>
      <w:r>
        <w:rPr>
          <w:b/>
        </w:rPr>
        <w:t xml:space="preserve">DOI: </w:t>
      </w:r>
      <w:hyperlink r:id="rId209">
        <w:r>
          <w:rPr>
            <w:color w:val="1155CC"/>
            <w:u w:val="single"/>
          </w:rPr>
          <w:t>10.1016/j.apenergy.2026.128656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10">
        <w:r>
          <w:rPr>
            <w:color w:val="1155CC"/>
            <w:u w:val="single"/>
          </w:rPr>
          <w:t>磷酸铁锂电池全循环寿命的跨域退化模式预测</w:t>
        </w:r>
      </w:hyperlink>
    </w:p>
    <w:p>
      <w:pPr>
        <w:spacing w:before="0" w:after="80"/>
      </w:pPr>
      <w:r>
        <w:rPr>
          <w:i/>
          <w:sz w:val="20"/>
        </w:rPr>
        <w:t>EN: A cross-domain degradation mode prediction of lithium iron phosphate batteries for full cycle life</w:t>
      </w:r>
    </w:p>
    <w:p>
      <w:pPr>
        <w:spacing w:before="0" w:after="120"/>
      </w:pPr>
      <w:r>
        <w:rPr>
          <w:b/>
        </w:rPr>
        <w:t xml:space="preserve">Source: </w:t>
      </w:r>
      <w:r>
        <w:t>ScienceDirect Publication: Applied Energy</w:t>
      </w:r>
      <w:r>
        <w:t xml:space="preserve">    </w:t>
      </w:r>
      <w:r>
        <w:rPr>
          <w:b/>
        </w:rPr>
        <w:t xml:space="preserve">Pub date: </w:t>
      </w:r>
      <w:r>
        <w:t>2026-08-12 00:00:00+00:00</w:t>
      </w:r>
      <w:r>
        <w:t xml:space="preserve">    </w:t>
      </w:r>
      <w:r>
        <w:rPr>
          <w:b/>
        </w:rPr>
        <w:t xml:space="preserve">DOI: </w:t>
      </w:r>
      <w:hyperlink r:id="rId211">
        <w:r>
          <w:rPr>
            <w:color w:val="1155CC"/>
            <w:u w:val="single"/>
          </w:rPr>
          <w:t>10.1016/j.apenergy.2026.128655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12">
        <w:r>
          <w:rPr>
            <w:color w:val="1155CC"/>
            <w:u w:val="single"/>
          </w:rPr>
          <w:t>为人工智能提供诊断电池故障的“案例库”</w:t>
        </w:r>
      </w:hyperlink>
    </w:p>
    <w:p>
      <w:pPr>
        <w:spacing w:before="0" w:after="80"/>
      </w:pPr>
      <w:r>
        <w:rPr>
          <w:i/>
          <w:sz w:val="20"/>
        </w:rPr>
        <w:t>EN: Giving AI a ‘case library’ to diagnose battery failures</w:t>
      </w:r>
    </w:p>
    <w:p>
      <w:pPr>
        <w:spacing w:before="0" w:after="120"/>
      </w:pPr>
      <w:r>
        <w:rPr>
          <w:b/>
        </w:rPr>
        <w:t xml:space="preserve">Source: </w:t>
      </w:r>
      <w:r>
        <w:t>National Science Review Advance Access</w:t>
      </w:r>
      <w:r>
        <w:t xml:space="preserve">    </w:t>
      </w:r>
      <w:r>
        <w:rPr>
          <w:b/>
        </w:rPr>
        <w:t xml:space="preserve">Pub date: </w:t>
      </w:r>
      <w:r>
        <w:t>2026-08-12 00:00:00+00:00</w:t>
      </w:r>
      <w:r>
        <w:t xml:space="preserve">    </w:t>
      </w:r>
      <w:r>
        <w:rPr>
          <w:b/>
        </w:rPr>
        <w:t xml:space="preserve">DOI: </w:t>
      </w:r>
      <w:hyperlink r:id="rId213">
        <w:r>
          <w:rPr>
            <w:color w:val="1155CC"/>
            <w:u w:val="single"/>
          </w:rPr>
          <w:t>10.1093/nsr/nwag483</w:t>
        </w:r>
      </w:hyperlink>
    </w:p>
    <w:p>
      <w:pPr>
        <w:spacing w:before="0" w:after="120"/>
      </w:pPr>
      <w:r>
        <w:rPr>
          <w:b/>
        </w:rPr>
        <w:t xml:space="preserve">Notes: </w:t>
      </w:r>
      <w:r>
        <w:t>abstract_source=openalex</w:t>
      </w:r>
    </w:p>
    <w:p>
      <w:pPr>
        <w:spacing w:before="0" w:after="80" w:lineRule="auto" w:line="276"/>
      </w:pPr>
      <w:r>
        <w:rPr>
          <w:b/>
        </w:rPr>
        <w:t xml:space="preserve">摘要（ZH）: </w:t>
      </w:r>
      <w:r>
        <w:t>卡勒姆·康纳、冯林；为人工智能提供诊断电池故障的“案例库”，国家科学评论，nwag483，https://doi.org/10.1093/nsr/nwag483</w:t>
      </w:r>
    </w:p>
    <w:p>
      <w:pPr>
        <w:spacing w:before="0" w:after="200" w:lineRule="auto" w:line="276"/>
      </w:pPr>
      <w:r>
        <w:rPr>
          <w:b/>
        </w:rPr>
        <w:t xml:space="preserve">Abstract (EN): </w:t>
      </w:r>
      <w:r>
        <w:t>Callum Connor, Feng Lin; Giving AI a ‘case library’ to diagnose battery failures, National Science Review, , nwag483, https://doi.org/10.1093/nsr/nwag483</w:t>
      </w:r>
    </w:p>
    <w:p>
      <w:pPr>
        <w:spacing w:before="120" w:after="120"/>
      </w:pPr>
      <w:r>
        <w:rPr>
          <w:sz w:val="18"/>
        </w:rPr>
        <w:t>——————————————————————————————————————————————————————————————————————</w:t>
      </w:r>
    </w:p>
    <w:p>
      <w:pPr>
        <w:spacing w:before="160" w:after="40" w:line="240" w:lineRule="auto"/>
      </w:pPr>
      <w:r>
        <w:rPr>
          <w:b/>
        </w:rPr>
        <w:t xml:space="preserve">[16] </w:t>
      </w:r>
      <w:hyperlink r:id="rId214">
        <w:r>
          <w:rPr>
            <w:color w:val="1155CC"/>
            <w:u w:val="single"/>
          </w:rPr>
          <w:t>迈向全球光伏废物回收的公平未来</w:t>
        </w:r>
      </w:hyperlink>
    </w:p>
    <w:p>
      <w:pPr>
        <w:spacing w:before="0" w:after="80"/>
      </w:pPr>
      <w:r>
        <w:rPr>
          <w:i/>
          <w:sz w:val="20"/>
        </w:rPr>
        <w:t>EN: Towards an equitable future of global photovoltaic waste recycling</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215">
        <w:r>
          <w:rPr>
            <w:color w:val="1155CC"/>
            <w:u w:val="single"/>
          </w:rPr>
          <w:t>10.1038/s41586-026-10905-w</w:t>
        </w:r>
      </w:hyperlink>
    </w:p>
    <w:p>
      <w:pPr>
        <w:spacing w:before="0" w:after="120"/>
      </w:pPr>
      <w:r>
        <w:rPr>
          <w:b/>
        </w:rPr>
        <w:t xml:space="preserve">Notes: </w:t>
      </w:r>
      <w:r>
        <w:t>abstract_source=openalex</w:t>
      </w:r>
    </w:p>
    <w:p>
      <w:pPr>
        <w:spacing w:before="0" w:after="80" w:lineRule="auto" w:line="276"/>
      </w:pPr>
      <w:r>
        <w:rPr>
          <w:b/>
        </w:rPr>
        <w:t xml:space="preserve">摘要（ZH）: </w:t>
      </w:r>
      <w:r>
        <w:t>世界正面临着光伏（PV）废物迅速增长的不断升级的危机1。然而，由于不同地区和时间之间存在相当大的异质性，现行光伏废物管理方法的有效性和可扩展性仍不清楚。在这里，我们制定了一个全面的框架来评估本地回收与外包回收的经济和气候效益，涵盖主流技术。考虑到供应方的材料限制，到2060年，全球光伏废料将达到297-4.02亿吨，其中中国等中等收入地区在2040年后成为主要贡献者。尽管技术进步可期，但全球光伏废料回收的收支平衡点仍需要十多年的时间。将特定地区的回收技术与外包回收策略相结合，可产生最大的全球净效益，到 2060 年，可减少多达 33.2 亿吨二氧化碳当量的温室气体排放，并产生 529.1-9355 亿美元的累计净效益。然而，外包回收引起了低收入地区的不平等问题。我们的研究结果表明，精心设计的递减补贴计划可以有效缓解这些不平等现象，特别是在早期阶段。我们建议采取适合区域的回收战略和国际合作，重点关注低收入地区的技术转让和回收能力融资，为实现公平和可扩展的光伏废物循环提供有效方法。到 2060 年，全球光伏废物将达到 297-4.02 亿吨，并根据地区情况进行回收</w:t>
      </w:r>
    </w:p>
    <w:p>
      <w:pPr>
        <w:spacing w:before="0" w:after="200" w:lineRule="auto" w:line="276"/>
      </w:pPr>
      <w:r>
        <w:rPr>
          <w:b/>
        </w:rPr>
        <w:t xml:space="preserve">Abstract (EN): </w:t>
      </w:r>
      <w:r>
        <w:t>The world is confronting an escalating crisis of burgeoning photovoltaic (PV) waste1. However, the effectiveness and scalability of prevailing PV waste management approaches remain unclear owing to considerable heterogeneity across regions and over time. Here we develop a comprehensive framework to evaluate the economic and climate benefits of local versus outsourced recycling, covering mainstream technologies. Considering supply-side material constraints, global PV waste will reach 297–402 million tonnes by 2060, with middle-income regions such as China becoming major contributors after 2040. Notwithstanding anticipated technological advancements, the break-even point for global PV waste recycling remains more than a decade away. Combining region-specific recycling technologies with outsourced recycling strategies yields the maximal global net benefits, reducing greenhouse gas emissions by up to 3.32 billion tonnes of CO2-equivalent and generating cumulative net benefits of US$529.1–935.5 billion by 2060. However, outsourced recycling raises inequality concerns for low-income regions. Our results show that a well-designed declining-subsidy scheme effectively mitigates these inequalities, particularly in the early stages. We suggest that regionally adapted recycling strategies and international cooperation, with a focus on technology transfer and funding for recycling capacity in low-income regions, provide effective ways to achieve equitable and scalable PV waste circularity. Global photovoltaic waste will reach 297–402 million tonnes by 2060, and regionally adapted recycling strategies and international cooperation will be needed to provide equitable and scalable PV waste circularity.</w:t>
      </w:r>
    </w:p>
    <w:p>
      <w:pPr>
        <w:spacing w:before="120" w:after="120"/>
      </w:pPr>
      <w:r>
        <w:rPr>
          <w:sz w:val="18"/>
        </w:rPr>
        <w:t>——————————————————————————————————————————————————————————————————————</w:t>
      </w:r>
    </w:p>
    <w:p>
      <w:pPr>
        <w:spacing w:before="160" w:after="40" w:line="240" w:lineRule="auto"/>
      </w:pPr>
      <w:r>
        <w:rPr>
          <w:b/>
        </w:rPr>
        <w:t xml:space="preserve">[17] </w:t>
      </w:r>
      <w:hyperlink r:id="rId142">
        <w:r>
          <w:rPr>
            <w:color w:val="1155CC"/>
            <w:u w:val="single"/>
          </w:rPr>
          <w:t>用于高度可逆水性锌粉电池的完全干法处理的电极</w:t>
        </w:r>
      </w:hyperlink>
    </w:p>
    <w:p>
      <w:pPr>
        <w:spacing w:before="0" w:after="80"/>
      </w:pPr>
      <w:r>
        <w:rPr>
          <w:i/>
          <w:sz w:val="20"/>
        </w:rPr>
        <w:t>EN: Fully dry-processed electrodes for highly reversible aqueous zinc powder-based batteries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43">
        <w:r>
          <w:rPr>
            <w:color w:val="1155CC"/>
            <w:u w:val="single"/>
          </w:rPr>
          <w:t>10.1126/sciadv.aeh1116</w:t>
        </w:r>
      </w:hyperlink>
    </w:p>
    <w:p>
      <w:pPr>
        <w:spacing w:before="0" w:after="120"/>
      </w:pPr>
      <w:r>
        <w:rPr>
          <w:b/>
        </w:rPr>
        <w:t xml:space="preserve">Notes: </w:t>
      </w:r>
      <w:r>
        <w:t>abstract_source=crossref</w:t>
      </w:r>
    </w:p>
    <w:p>
      <w:pPr>
        <w:spacing w:before="0" w:after="80" w:lineRule="auto" w:line="276"/>
      </w:pPr>
      <w:r>
        <w:rPr>
          <w:b/>
        </w:rPr>
        <w:t xml:space="preserve">摘要（ZH）: </w:t>
      </w:r>
      <w:r>
        <w:t>水系锌离子电池发展迅速，但实际部署受到过高的正负极（N/P）比（&gt;50）的限制，从而降低了能量密度。锌粉阳极可以降低N/P，但其高比表面积会加速寄生反应并缩短使用寿命。在这里，我们报道了一种具有非电化学驱动的固体电解质界面（SEI）的高负载和高度可逆的干法锌粉阳极。干法工艺保留了磷酸钠 SEI 前体在整个阳极的均匀分布，在电解质接触时触发磷酸锌基 SEI 的自发形成，从而抑制析氢和锌腐蚀。将此阳极与干处理阴极（90 mg cm</w:t>
      </w:r>
      <w:r>
        <w:t xml:space="preserve"> </w:t>
      </w:r>
      <w:r>
        <w:t>−2</w:t>
      </w:r>
      <w:r>
        <w:t xml:space="preserve"> </w:t>
      </w:r>
      <w:r>
        <w:t>; 12.5毫安厘米</w:t>
      </w:r>
      <w:r>
        <w:t xml:space="preserve"> </w:t>
      </w:r>
      <w:r>
        <w:t>−2</w:t>
      </w:r>
      <w:r>
        <w:t xml:space="preserve"> </w:t>
      </w:r>
      <w:r>
        <w:t>）产生完全干燥处理的水性锌电池。软包电池在 N/P ~ 3 下循环 530 次后容量保持率为 88.8%，尽管阴极负载增加了约 20 倍，但其性能仍优于之前的锌粉系统，并为实际电网规模存储的高能量密度水性锌电池提供了一条可扩展的途径。</w:t>
      </w:r>
    </w:p>
    <w:p>
      <w:pPr>
        <w:spacing w:before="0" w:after="200" w:lineRule="auto" w:line="276"/>
      </w:pPr>
      <w:r>
        <w:rPr>
          <w:b/>
        </w:rPr>
        <w:t xml:space="preserve">Abstract (EN): </w:t>
      </w:r>
      <w:r>
        <w:t>Aqueous zinc-ion batteries have advanced rapidly, but practical deployment is limited by excessive negative-to-positive (N/P) ratios (&amp;gt;50), decreasing the energy density. Zinc powder anodes can lower N/P, yet their high specific surface area accelerates parasitic reactions and shortens lifespan. Here we report a high-loading and highly reversible dry-processed zinc powder anode with a non-electrochemically driven solid-electrolyte interphase (SEI). The dry process retains a homogeneous distribution of a sodium phosphate SEI precursor throughout the anodes, triggering spontaneous formation of a zinc phosphate-based SEI upon electrolyte contact that suppresses hydrogen evolution and zinc corrosion. Coupling this anode with dry-processed cathodes (90 mg cm</w:t>
      </w:r>
      <w:r>
        <w:t xml:space="preserve"> </w:t>
      </w:r>
      <w:r>
        <w:t>−2</w:t>
      </w:r>
      <w:r>
        <w:t xml:space="preserve"> </w:t>
      </w:r>
      <w:r>
        <w:t>; 12.5 mAh cm</w:t>
      </w:r>
      <w:r>
        <w:t xml:space="preserve"> </w:t>
      </w:r>
      <w:r>
        <w:t>−2</w:t>
      </w:r>
      <w:r>
        <w:t xml:space="preserve"> </w:t>
      </w:r>
      <w:r>
        <w:t>) yields the fully dry-processed aqueous zinc battery. A pouch cell delivers 88.8% capacity retention after 530 cycles at N/P ∼ 3, outperforming prior zinc powder systems despite ∼20-fold higher cathode loadings and providing a scalable path to high-energy-density aqueous zinc batteries for practical grid-scale storage.</w:t>
      </w:r>
    </w:p>
    <w:p>
      <w:pPr>
        <w:spacing w:before="120" w:after="120"/>
      </w:pPr>
      <w:r>
        <w:rPr>
          <w:sz w:val="18"/>
        </w:rPr>
        <w:t>——————————————————————————————————————————————————————————————————————</w:t>
      </w:r>
    </w:p>
    <w:p>
      <w:pPr>
        <w:spacing w:before="160" w:after="40" w:line="240" w:lineRule="auto"/>
      </w:pPr>
      <w:r>
        <w:rPr>
          <w:b/>
        </w:rPr>
        <w:t xml:space="preserve">[18] </w:t>
      </w:r>
      <w:hyperlink r:id="rId144">
        <w:r>
          <w:rPr>
            <w:color w:val="1155CC"/>
            <w:u w:val="single"/>
          </w:rPr>
          <w:t>氧化还原配体耦合化学重编程将电池废料转化为用于闭环储能的金属有机电极</w:t>
        </w:r>
      </w:hyperlink>
    </w:p>
    <w:p>
      <w:pPr>
        <w:spacing w:before="0" w:after="80"/>
      </w:pPr>
      <w:r>
        <w:rPr>
          <w:i/>
          <w:sz w:val="20"/>
        </w:rPr>
        <w:t>EN: Redox‐Ligand‐Coupled Chemical Reprogramming of Battery Waste Into Metal–Organic Electrodes for Closed‐Loop Energy Storage</w:t>
      </w:r>
    </w:p>
    <w:p>
      <w:pPr>
        <w:spacing w:before="0" w:after="120"/>
      </w:pPr>
      <w:r>
        <w:rPr>
          <w:b/>
        </w:rPr>
        <w:t xml:space="preserve">Source: </w:t>
      </w:r>
      <w:r>
        <w:t>Wiley: Advanced Materials: Table of Contents</w:t>
      </w:r>
      <w:r>
        <w:t xml:space="preserve">    </w:t>
      </w:r>
      <w:r>
        <w:rPr>
          <w:b/>
        </w:rPr>
        <w:t xml:space="preserve">Pub date: </w:t>
      </w:r>
      <w:r>
        <w:t>2026-08-12 07:33:44+00:00</w:t>
      </w:r>
      <w:r>
        <w:t xml:space="preserve">    </w:t>
      </w:r>
      <w:r>
        <w:rPr>
          <w:b/>
        </w:rPr>
        <w:t xml:space="preserve">DOI: </w:t>
      </w:r>
      <w:hyperlink r:id="rId145">
        <w:r>
          <w:rPr>
            <w:color w:val="1155CC"/>
            <w:u w:val="single"/>
          </w:rPr>
          <w:t>10.1002/adma.74588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可持续的电池废物管理需要超越元素回收，转向全组件再利用。在这里，我们报告了一种氧化还原配体耦合的化学重编程策略，该策略将电池废料中化学上不同的成分转化为功能性储能材料。使用钴酸锂</w:t>
      </w:r>
      <w:r>
        <w:rPr>
          <w:vertAlign w:val="subscript"/>
        </w:rPr>
        <w:t>2</w:t>
      </w:r>
      <w:r>
        <w:t>以聚对苯二甲酸乙二醇酯（PET）为模型体系，PET解聚产生的对苯二甲酸酯和乙二醇作为配位配体、质子源和还原剂协同作用，使得正极材料在水热条件下溶解并原位重构为氧化还原活性金属有机骨架（对苯二甲酸钴，CoTPA），无需外部浸出剂或还原剂。这种自我强化的反应网络将聚合物解聚与阴极解构结合在一起，消除了外部试剂和复杂的分离过程。由此产生的 CoTPA 阳极可提供约 1170 mAh g 的可逆容量</w:t>
      </w:r>
      <w:r>
        <w:t xml:space="preserve"> </w:t>
      </w:r>
      <w:r>
        <w:t>−1</w:t>
      </w:r>
      <w:r>
        <w:t xml:space="preserve"> </w:t>
      </w:r>
      <w:r>
        <w:t>0.1 A g 时</w:t>
      </w:r>
      <w:r>
        <w:t xml:space="preserve"> </w:t>
      </w:r>
      <w:r>
        <w:t>−1</w:t>
      </w:r>
      <w:r>
        <w:t xml:space="preserve"> </w:t>
      </w:r>
      <w:r>
        <w:t>，并在 1 A g 下循环 500 次后保留其初始容量的 92.1%</w:t>
      </w:r>
      <w:r>
        <w:t xml:space="preserve"> </w:t>
      </w:r>
      <w:r>
        <w:t>−1</w:t>
      </w:r>
      <w:r>
        <w:t xml:space="preserve"> </w:t>
      </w:r>
      <w:r>
        <w:t>。当与再生石墨 (RG) 集成时，CoTPA 可实现能量密度为 304 Wh kg 的电池级闭环双离子电池 (DIB)</w:t>
      </w:r>
      <w:r>
        <w:t xml:space="preserve"> </w:t>
      </w:r>
      <w:r>
        <w:t>−1</w:t>
      </w:r>
      <w:r>
        <w:t xml:space="preserve"> </w:t>
      </w:r>
      <w:r>
        <w:t>（基于活性物质总质量）。该策略已扩展到层状氧化物阴极和多种 PET 来源。超越常规</w:t>
      </w:r>
    </w:p>
    <w:p>
      <w:pPr>
        <w:spacing w:before="0" w:after="200" w:lineRule="auto" w:line="276"/>
      </w:pPr>
      <w:r>
        <w:rPr>
          <w:b/>
        </w:rPr>
        <w:t xml:space="preserve">Abstract (EN): </w:t>
      </w:r>
      <w:r>
        <w:t>Sustainable battery waste management requires moving beyond element recovery toward full‐component reutilization. Here, we report a redox‐ligand‐coupled chemical reprogramming strategy that transforms chemically distinct components of battery waste into functional energy storage materials. Using LiCoO</w:t>
      </w:r>
      <w:r>
        <w:rPr>
          <w:vertAlign w:val="subscript"/>
        </w:rPr>
        <w:t>2</w:t>
      </w:r>
      <w:r>
        <w:t>and polyethylene terephthalate (PET) as a model system, terephthalate and ethylene glycol generated from PET depolymerization act synergistically as coordinating ligands, proton sources, and reductants, enabling the dissolution of cathode materials and their in situ reconstruction into a redox‐active metal–organic framework (cobalt terephthalate, CoTPA) under hydrothermal conditions without external leaching agents or reductants. This self‐reinforcing reaction network couples polymer depolymerization with cathode deconstruction, eliminating external reagents and complex separation processes. The resulting CoTPA anode delivers a reversible capacity of ≈1170 mAh g</w:t>
      </w:r>
      <w:r>
        <w:t xml:space="preserve"> </w:t>
      </w:r>
      <w:r>
        <w:t>−1</w:t>
      </w:r>
      <w:r>
        <w:t xml:space="preserve"> </w:t>
      </w:r>
      <w:r>
        <w:t>at 0.1 A g</w:t>
      </w:r>
      <w:r>
        <w:t xml:space="preserve"> </w:t>
      </w:r>
      <w:r>
        <w:t>−1</w:t>
      </w:r>
      <w:r>
        <w:t xml:space="preserve"> </w:t>
      </w:r>
      <w:r>
        <w:t>, and retains 92.1% of its initial capacity after 500 cycles at 1 A g</w:t>
      </w:r>
      <w:r>
        <w:t xml:space="preserve"> </w:t>
      </w:r>
      <w:r>
        <w:t>−1</w:t>
      </w:r>
      <w:r>
        <w:t xml:space="preserve"> </w:t>
      </w:r>
      <w:r>
        <w:t>. When integrated with regenerated graphite (RG), CoTPA enables a battery‐level closed‐loop dual‐ion battery (DIB) with an energy density of 304 Wh kg</w:t>
      </w:r>
      <w:r>
        <w:t xml:space="preserve"> </w:t>
      </w:r>
      <w:r>
        <w:t>−1</w:t>
      </w:r>
      <w:r>
        <w:t xml:space="preserve"> </w:t>
      </w:r>
      <w:r>
        <w:t>(based on total active material mass). The strategy is extended to layered oxide cathodes and diverse PET sources. Beyond conventional recycling, this work establishes a chemistry‐driven paradigm that reprograms waste components into value‐added functional materials, offering a scalable pathway toward circular energy storage.</w:t>
      </w:r>
    </w:p>
    <w:p>
      <w:pPr>
        <w:spacing w:before="120" w:after="120"/>
      </w:pPr>
      <w:r>
        <w:rPr>
          <w:sz w:val="18"/>
        </w:rPr>
        <w:t>——————————————————————————————————————————————————————————————————————</w:t>
      </w:r>
    </w:p>
    <w:p>
      <w:pPr>
        <w:spacing w:before="160" w:after="40" w:line="240" w:lineRule="auto"/>
      </w:pPr>
      <w:r>
        <w:rPr>
          <w:b/>
        </w:rPr>
        <w:t xml:space="preserve">[19] </w:t>
      </w:r>
      <w:hyperlink r:id="rId216">
        <w:r>
          <w:rPr>
            <w:color w:val="1155CC"/>
            <w:u w:val="single"/>
          </w:rPr>
          <w:t>可逆锂金属电池隔膜的定量介电常数工程</w:t>
        </w:r>
      </w:hyperlink>
    </w:p>
    <w:p>
      <w:pPr>
        <w:spacing w:before="0" w:after="80"/>
      </w:pPr>
      <w:r>
        <w:rPr>
          <w:i/>
          <w:sz w:val="20"/>
        </w:rPr>
        <w:t>EN: Quantitative Dielectric Constant Engineering of the Separator for Reversible Lithium Metal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217">
        <w:r>
          <w:rPr>
            <w:color w:val="1155CC"/>
            <w:u w:val="single"/>
          </w:rPr>
          <w:t>10.1021/jacs.6c06934</w:t>
        </w:r>
      </w:hyperlink>
    </w:p>
    <w:p>
      <w:pPr>
        <w:spacing w:before="0" w:after="120"/>
      </w:pPr>
      <w:r>
        <w:rPr>
          <w:b/>
        </w:rPr>
        <w:t xml:space="preserve">Notes: </w:t>
      </w:r>
      <w:r>
        <w:t>abstract_source=crossref</w:t>
      </w:r>
    </w:p>
    <w:p>
      <w:pPr>
        <w:spacing w:before="0" w:after="80" w:lineRule="auto" w:line="276"/>
      </w:pPr>
      <w:r>
        <w:rPr>
          <w:b/>
        </w:rPr>
        <w:t xml:space="preserve">摘要（ZH）: </w:t>
      </w:r>
      <w:r>
        <w:t>摘要 目前锂金属电池隔膜的研究缺乏统一的理论框架和必要的定量参数，限制了可逆性、界面稳定性和寿命。在这里，我们揭示了分离器介电常数和离子传输动力学之间明显的非线性相关性。具体来说，采用有机-水界面反应来驱动聚丙烯隔膜上的缩聚，从而实现隔膜介电常数的大范围调节（2.7-9.1）。介电常数是电池内部电场下隔膜极化的有效描述。具有中等介电常数（∼5.4）的隔膜优化了离子传输动力学、SEI稳定性和锂沉积之间的权衡，而过低或过高的介电常数分别有利于富含有机物的SEI形成和受限的传输动力学。该策略使 Li||LiFePO4 软包电池（416.4 Wh kg-1，不包括包装重量）在 1000 次循环后保留其初始容量的 76.88%。</w:t>
      </w:r>
    </w:p>
    <w:p>
      <w:pPr>
        <w:spacing w:before="0" w:after="200" w:lineRule="auto" w:line="276"/>
      </w:pPr>
      <w:r>
        <w:rPr>
          <w:b/>
        </w:rPr>
        <w:t xml:space="preserve">Abstract (EN): </w:t>
      </w:r>
      <w:r>
        <w:t>Current research on separators for lithium metal batteries lacks unified theoretical frameworks and essential quantitative parameters, limiting reversibility, interfacial stability, and lifespan. Herein, we reveal a pronounced nonlinear correlation between the separator dielectric constant and ion transport kinetics. Specifically, an organic-aqueous interfacial reaction is employed to drive polycondensation on the polypropylene separator, enabling wide-range tuning of the separator dielectric constant (2.7–9.1). The dielectric constant serves as an effective descriptor of separator polarization under the internal electric field of the cell. The separator with an intermediate dielectric constant (∼5.4) optimizes the trade-off among ion transport kinetics, SEI stability, and lithium deposition, whereas excessively low or high dielectric constants favor organic-rich SEI formation and restricted transport kinetics, respectively. This strategy enables a Li||LiFePO4 pouch cell (416.4 Wh kg–1, excluding packaging weight) to retain 76.88% of its initial capacity after 1000 cycles.</w:t>
      </w:r>
    </w:p>
    <w:p>
      <w:pPr>
        <w:spacing w:before="120" w:after="120"/>
      </w:pPr>
      <w:r>
        <w:rPr>
          <w:sz w:val="18"/>
        </w:rPr>
        <w:t>——————————————————————————————————————————————————————————————————————</w:t>
      </w:r>
    </w:p>
    <w:p>
      <w:pPr>
        <w:spacing w:before="160" w:after="40" w:line="240" w:lineRule="auto"/>
      </w:pPr>
      <w:r>
        <w:rPr>
          <w:b/>
        </w:rPr>
        <w:t xml:space="preserve">[20] </w:t>
      </w:r>
      <w:hyperlink r:id="rId218">
        <w:r>
          <w:rPr>
            <w:color w:val="1155CC"/>
            <w:u w:val="single"/>
          </w:rPr>
          <w:t>利用阳极动态电化学阻抗谱实时检测锂离子电池快速充电过程中的锂镀层</w:t>
        </w:r>
      </w:hyperlink>
    </w:p>
    <w:p>
      <w:pPr>
        <w:spacing w:before="0" w:after="80"/>
      </w:pPr>
      <w:r>
        <w:rPr>
          <w:i/>
          <w:sz w:val="20"/>
        </w:rPr>
        <w:t>EN: In-operando detection of lithium plating during fast charging via anode dynamic electrochemical impedance spectroscopy in lithium-ion batteries</w:t>
      </w:r>
    </w:p>
    <w:p>
      <w:pPr>
        <w:spacing w:before="0" w:after="120"/>
      </w:pPr>
      <w:r>
        <w:rPr>
          <w:b/>
        </w:rPr>
        <w:t xml:space="preserve">Source: </w:t>
      </w:r>
      <w:r>
        <w:t>ScienceDirect Publication: Applied Energy</w:t>
      </w:r>
      <w:r>
        <w:t xml:space="preserve">    </w:t>
      </w:r>
      <w:r>
        <w:rPr>
          <w:b/>
        </w:rPr>
        <w:t xml:space="preserve">Pub date: </w:t>
      </w:r>
      <w:r>
        <w:t>2026-08-13 00:00:00+00:00</w:t>
      </w:r>
      <w:r>
        <w:t xml:space="preserve">    </w:t>
      </w:r>
      <w:r>
        <w:rPr>
          <w:b/>
        </w:rPr>
        <w:t xml:space="preserve">DOI: </w:t>
      </w:r>
      <w:hyperlink r:id="rId219">
        <w:r>
          <w:rPr>
            <w:color w:val="1155CC"/>
            <w:u w:val="single"/>
          </w:rPr>
          <w:t>10.1016/j.apenergy.2026.128652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220">
        <w:r>
          <w:rPr>
            <w:color w:val="1155CC"/>
            <w:u w:val="single"/>
          </w:rPr>
          <w:t>评估 WLTP 驱动循环下锂离子电池的等温退化误差</w:t>
        </w:r>
      </w:hyperlink>
    </w:p>
    <w:p>
      <w:pPr>
        <w:spacing w:before="0" w:after="80"/>
      </w:pPr>
      <w:r>
        <w:rPr>
          <w:i/>
          <w:sz w:val="20"/>
        </w:rPr>
        <w:t>EN: Evaluating isothermal degradation error in lithium-ion batteries under WLTP drive cycles</w:t>
      </w:r>
    </w:p>
    <w:p>
      <w:pPr>
        <w:spacing w:before="0" w:after="120"/>
      </w:pPr>
      <w:r>
        <w:rPr>
          <w:b/>
        </w:rPr>
        <w:t xml:space="preserve">Source: </w:t>
      </w:r>
      <w:r>
        <w:t>ScienceDirect Publication: Applied Energy</w:t>
      </w:r>
      <w:r>
        <w:t xml:space="preserve">    </w:t>
      </w:r>
      <w:r>
        <w:rPr>
          <w:b/>
        </w:rPr>
        <w:t xml:space="preserve">Pub date: </w:t>
      </w:r>
      <w:r>
        <w:t>2026-08-13 00:00:00+00:00</w:t>
      </w:r>
      <w:r>
        <w:t xml:space="preserve">    </w:t>
      </w:r>
      <w:r>
        <w:rPr>
          <w:b/>
        </w:rPr>
        <w:t xml:space="preserve">DOI: </w:t>
      </w:r>
      <w:hyperlink r:id="rId221">
        <w:r>
          <w:rPr>
            <w:color w:val="1155CC"/>
            <w:u w:val="single"/>
          </w:rPr>
          <w:t>10.1016/j.apenergy.2026.128623</w:t>
        </w:r>
      </w:hyperlink>
    </w:p>
    <w:p>
      <w:pPr>
        <w:spacing w:before="0" w:after="120"/>
      </w:pPr>
      <w:r>
        <w:rPr>
          <w:b/>
        </w:rPr>
        <w:t xml:space="preserve">Notes: </w:t>
      </w:r>
      <w:r>
        <w:t>abstract_source=openalex</w:t>
      </w:r>
    </w:p>
    <w:p>
      <w:pPr>
        <w:spacing w:before="0" w:after="80" w:lineRule="auto" w:line="276"/>
      </w:pPr>
      <w:r>
        <w:rPr>
          <w:b/>
        </w:rPr>
        <w:t xml:space="preserve">摘要（ZH）: </w:t>
      </w:r>
      <w:r>
        <w:t>基于物理的电池管理系统经常假设电池等温运行，从而消除热子模型以降低计算成本。这种假设在健康状态预测中引入的误差取决于固体电解质相间动力学速率常数的活化能。在广泛使用的参数化中，该能量被设置为零，将温度与降解动力学解耦并隐藏真实的热敏感性。为镍锰钴氧化物和磷酸铁锂电池开发了带有电解质的校准多机制单粒子模型。两阶段顺序程序根据温度相关的褪色率比率校准活化能，然后根据纵向健康状态轨迹联合优化固体电解质相间速率常数和活性材料损失系数，实现均方根误差为 1 。 45 页 — 6 。比未校准的默认值提高了 3 倍。对涵盖两种化学物质、环境温度为 10、25 和 40 °C 以及充电速率为 1C 和 2C 的 24 种条件进行的参数扫描表明，等温假设引入了 1 的健康状态误差。 4-8。 2 页（针对镍锰钴氧化物）超过 500 个全球统一轻型车辆测试程序循环，校准活化能为 78 。 5 kJ mol -1 ，与最大值 0 相比。 20 页，活化能为零。对于镍锰钴氧化物电池，固体电解质界面生长导致容量损失 &gt;99%。对于磷酸铁锂电池，s</w:t>
      </w:r>
    </w:p>
    <w:p>
      <w:pPr>
        <w:spacing w:before="0" w:after="200" w:lineRule="auto" w:line="276"/>
      </w:pPr>
      <w:r>
        <w:rPr>
          <w:b/>
        </w:rPr>
        <w:t xml:space="preserve">Abstract (EN): </w:t>
      </w:r>
      <w:r>
        <w:t>Physics-based battery management systems frequently assume isothermal cell oper-ation, eliminating the thermal sub-model to reduce computational cost. The error introduced by this assumption in state-of-health prediction depends on the activation energy of the solid electrolyte interphase kinetic rate constant. In widely used pa-rameterisations this energy is set to zero, decoupling temperature from degradation kinetics and concealing the true thermal sensitivity. A calibrated multi-mechanism Single Particle Model with Electrolyte is developed for nickel manganese cobalt oxide and lithium iron phosphate cells. A two-stage sequential procedure calibrates the ac-tivation energy from temperature-dependent fade rate ratios, then jointly optimises the solid electrolyte interphase rate constant and loss of active material coefficient against a longitudinal state-of-health trajectory, achieving a root mean square er-ror of 1 . 45 pp. — 6 . 3-fold improvement over the uncalibrated default. A parametric sweep of 24 conditions spanning both chemistries, ambient temperatures of 10, 25, and 40 °C, and charge rates of 1C and 2C shows that the isothermal assumption in-troduces state-of-health errors of 1 . 4–8 . 2 pp. (for nickel manganese cobalt oxide) over 500 Worldwide Harmonised Light Vehicle Test Procedure cycles with the calibrated activation energy of 78 . 5 kJ mol −1 , compared with a maximum of 0 . 20 pp. at zero ac-tivation energy. For nickel manganese cobalt oxide cells, solid electrolyte interphase growth accounts for &gt;99% of capacity loss. For lithium iron phosphate cells, solid electrolyte interphase and loss of active material contribute approximately 62% and 38% respectively, due to the larger depth of discharge per cycle. A three-layer parameter uncertainty analysis one-at-a-time sensitivity, an activation energy sweep across 62 – 95 kJ mol −1 , and an analytical Monte Carlo, confirms that the isothermal Δ SOH error exceeds 0.5 pp. across the full physically plausible parameter space and that activation energy is the dominant source of uncertainty.</w:t>
      </w:r>
    </w:p>
    <w:p>
      <w:pPr>
        <w:spacing w:before="120" w:after="120"/>
      </w:pPr>
      <w:r>
        <w:rPr>
          <w:sz w:val="18"/>
        </w:rPr>
        <w:t>——————————————————————————————————————————————————————————————————————</w:t>
      </w:r>
    </w:p>
    <w:p>
      <w:pPr>
        <w:spacing w:before="160" w:after="40" w:line="240" w:lineRule="auto"/>
      </w:pPr>
      <w:r>
        <w:rPr>
          <w:b/>
        </w:rPr>
        <w:t xml:space="preserve">[22] </w:t>
      </w:r>
      <w:hyperlink r:id="rId222">
        <w:r>
          <w:rPr>
            <w:color w:val="1155CC"/>
            <w:u w:val="single"/>
          </w:rPr>
          <w:t>标准化电池系统的操作衍射研究</w:t>
        </w:r>
      </w:hyperlink>
    </w:p>
    <w:p>
      <w:pPr>
        <w:spacing w:before="0" w:after="80"/>
      </w:pPr>
      <w:r>
        <w:rPr>
          <w:i/>
          <w:sz w:val="20"/>
        </w:rPr>
        <w:t>EN: Standardizing Operando Diffraction Studies for Battery Systems</w:t>
      </w:r>
    </w:p>
    <w:p>
      <w:pPr>
        <w:spacing w:before="0" w:after="120"/>
      </w:pPr>
      <w:r>
        <w:rPr>
          <w:b/>
        </w:rPr>
        <w:t xml:space="preserve">Source: </w:t>
      </w:r>
      <w:r>
        <w:t>ACS Energy Letters: Latest Articles (ACS Publications)</w:t>
      </w:r>
      <w:r>
        <w:t xml:space="preserve">    </w:t>
      </w:r>
      <w:r>
        <w:rPr>
          <w:b/>
        </w:rPr>
        <w:t xml:space="preserve">Pub date: </w:t>
      </w:r>
      <w:r>
        <w:t>2026-08-13 00:00:00+00:00</w:t>
      </w:r>
      <w:r>
        <w:t xml:space="preserve">    </w:t>
      </w:r>
      <w:r>
        <w:rPr>
          <w:b/>
        </w:rPr>
        <w:t xml:space="preserve">DOI: </w:t>
      </w:r>
      <w:hyperlink r:id="rId223">
        <w:r>
          <w:rPr>
            <w:color w:val="1155CC"/>
            <w:u w:val="single"/>
          </w:rPr>
          <w:t>10.1021/acsenergylett.6c01791</w:t>
        </w:r>
      </w:hyperlink>
    </w:p>
    <w:p>
      <w:pPr>
        <w:spacing w:before="0" w:after="120"/>
      </w:pPr>
      <w:r>
        <w:rPr>
          <w:b/>
        </w:rPr>
        <w:t xml:space="preserve">Notes: </w:t>
      </w:r>
      <w:r>
        <w:t>abstract_source=crossref</w:t>
      </w:r>
    </w:p>
    <w:p>
      <w:pPr>
        <w:spacing w:before="0" w:after="80" w:lineRule="auto" w:line="276"/>
      </w:pPr>
      <w:r>
        <w:rPr>
          <w:b/>
        </w:rPr>
        <w:t xml:space="preserve">摘要（ZH）: </w:t>
      </w:r>
      <w:r>
        <w:t>摘要 原位衍射实验能够实时、无损地将电池的电化学行为与其内部组件发生的物理化学变化相关联。这些实验现在可以直接在标准电池格式上进行，与电化学测试中使用的电池相同，具有前所未有的散射、时间和空间分辨率。这可以生成大量新的多模式数据集，为探测和参数化复杂的电池性能和退化机制提供令人兴奋的可能性。为了通过数据驱动的机器学习方法充分利用此类实验产生的大量数据，按照公平原则，通过标准化、机器可读的格式公开共享数据至关重要。目前，这受到细胞设计、实验方案和数据处理工作流程的差异的阻碍。从这个角度来看，我们讨论了标准化原电池衍射实验的必要性、相关挑战，并提出了基于 NeXus 的应用程序定义，用于实验元数据和结果的标准化交换，作为实现可重复研究实践和透明分析工作流程的途径。</w:t>
      </w:r>
    </w:p>
    <w:p>
      <w:pPr>
        <w:spacing w:before="0" w:after="200" w:lineRule="auto" w:line="276"/>
      </w:pPr>
      <w:r>
        <w:rPr>
          <w:b/>
        </w:rPr>
        <w:t xml:space="preserve">Abstract (EN): </w:t>
      </w:r>
      <w:r>
        <w:t>Operando diffraction experiments enable real-time, nondestructive correlation of the electrochemical behavior of battery cells with the physicochemical changes occurring in their internal components. These experiments can now be directly performed on standard cell formats, identical to those used for electrochemical testing, at unprecedented scattering, temporal, and spatial resolutions. This can generate significant volumes of new multimodal datasets, opening exciting possibilities for probing and parameterizing complex battery performance and degradation mechanisms. To fully leverage the wealth of data produced by such experiments via data-driven machine learning methods, the open sharing of data via standardized, machine-readable formats, in line with FAIR principles, is essential. Currently, this is hindered by differences in the cell design, experimental protocols, and data-processing workflows. In this perspective, we discuss the need for standardizing operando battery diffraction experiments, the associated challenges, and propose a NeXus-based application definition for the standardized exchange of experimental metadata and results as a pathway toward reproducible research practices and transparent analytical workflows.</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224">
        <w:r>
          <w:rPr>
            <w:color w:val="1155CC"/>
            <w:u w:val="single"/>
          </w:rPr>
          <w:t>解耦铁电极化和电荷传输，实现耐热聚合物介电储能</w:t>
        </w:r>
      </w:hyperlink>
    </w:p>
    <w:p>
      <w:pPr>
        <w:spacing w:before="0" w:after="80"/>
      </w:pPr>
      <w:r>
        <w:rPr>
          <w:i/>
          <w:sz w:val="20"/>
        </w:rPr>
        <w:t>EN: Decoupling ferroelectric polarization and charge transport for thermally robust polymer dielectric energy storage</w:t>
      </w:r>
    </w:p>
    <w:p>
      <w:pPr>
        <w:spacing w:before="0" w:after="120"/>
      </w:pPr>
      <w:r>
        <w:rPr>
          <w:b/>
        </w:rPr>
        <w:t xml:space="preserve">Source: </w:t>
      </w:r>
      <w:r>
        <w:t>Physical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聚合物电介质对于高功率电子器件至关重要，但其高温应用从根本上受到热稳定性、极化保持和传导损耗之间固有权衡的限制。在这里，我们通过将高熵纳米填料与优先取向的宽带隙无机纳米涂层相结合来构建多尺度异质界面结构，从而缓解了这些限制。在该设计中，熵驱动的组成无序增强了纳米填料的结构稳定性和极化响应，而共形无机网络协同抑制载流子注入并调节本体陷阱介导的传输。因此，工程复合材料在室温下可提供 10.44 J cm−3 的放电能量密度、95% 的效率和 650 MV m−1 的击穿强度。值得注意的是，在 150 °C 时，复合材料保留了 8.35 J cm−3、80% 的效率和 610 MV m−1 的击穿强度。第一原理计算和相场模拟表明多尺度场限制可以减弱电热耦合并增强高温稳定性。这项工作为在极端热环境下运行的下一代聚合物介电电容器建立了全面的多尺度设计范例。</w:t>
      </w:r>
    </w:p>
    <w:p>
      <w:pPr>
        <w:spacing w:before="0" w:after="200" w:lineRule="auto" w:line="276"/>
      </w:pPr>
      <w:r>
        <w:rPr>
          <w:b/>
        </w:rPr>
        <w:t xml:space="preserve">Abstract (EN): </w:t>
      </w:r>
      <w:r>
        <w:t>Polymer dielectrics are vital for high-power electronics, yet their high-temperature application is fundamentally constrained by the inherent trade-offs among thermal stability, polarization retention, and conduction loss. Here, we mitigate these limitations by integrating high-entropy nanofillers with a preferentially oriented, wide-bandgap inorganic nanocoating to construct a multiscale heterointerfacial architecture. Within this design, entropy-driven compositional disorder enhances the structural stability and polarization response of the nanofillers, while the conformal inorganic network synergistically suppresses carrier injection and modulates bulk trap-mediated transport. Consequently, the engineered composites deliver a discharged energy density of 10.44 J cm−3 with 95% efficiency and a breakdown strength of 650 MV m−1 at room temperature. Notably, at 150 °C, the composites retain 8.35 J cm−3, 80% efficiency, and a breakdown strength of 610 MV m−1. First-principles calculations and phase-field simulations suggest multiscale field confinement that weakens electrothermal coupling and enhances high-temperature stability. This work establishes a comprehensive, multiscale design paradigm for next-generation polymer dielectric capacitors operating in extreme thermal environments.</w:t>
      </w:r>
    </w:p>
    <w:p>
      <w:pPr>
        <w:spacing w:before="120" w:after="120"/>
      </w:pPr>
      <w:r>
        <w:rPr>
          <w:sz w:val="18"/>
        </w:rPr>
        <w:t>——————————————————————————————————————————————————————————————————————</w:t>
      </w:r>
    </w:p>
    <w:p>
      <w:pPr>
        <w:spacing w:before="160" w:after="40" w:line="240" w:lineRule="auto"/>
      </w:pPr>
      <w:r>
        <w:rPr>
          <w:b/>
        </w:rPr>
        <w:t xml:space="preserve">[2] </w:t>
      </w:r>
      <w:hyperlink r:id="rId225">
        <w:r>
          <w:rPr>
            <w:color w:val="1155CC"/>
            <w:u w:val="single"/>
          </w:rPr>
          <w:t>手性金纳米颗粒上铂壳的原子级工程以增强氧还原</w:t>
        </w:r>
      </w:hyperlink>
    </w:p>
    <w:p>
      <w:pPr>
        <w:spacing w:before="0" w:after="80"/>
      </w:pPr>
      <w:r>
        <w:rPr>
          <w:i/>
          <w:sz w:val="20"/>
        </w:rPr>
        <w:t>EN: Atomic-scale engineering of Pt shells on chiral Au nanoparticles for enhanced oxygen reduction</w:t>
      </w:r>
    </w:p>
    <w:p>
      <w:pPr>
        <w:spacing w:before="0" w:after="120"/>
      </w:pPr>
      <w:r>
        <w:rPr>
          <w:b/>
        </w:rPr>
        <w:t xml:space="preserve">Source: </w:t>
      </w:r>
      <w:r>
        <w:t>Physical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由手性诱导自旋极化（CISS）效应实现的手性纳米催化剂中的自旋选择已成为提高氧还原反应（ORR）性能的有前途的策略。然而，实现手性纳米结构催化活性表面的原子尺度控制仍然具有挑战性。在此，我们展示了一种在手性基底上对 Pt 壳进行原子级工程以增强 ORR 性能的方法。通过循环欠电位沉积和电流置换反应的组合方案，将厚度受控的 Pt 壳沉积在手性金纳米颗粒上。该策略不仅最大化了 Pt 的原子利用效率，而且保留了基底的手性几何结构及其手性光学活性。对于手性 Au@Pt 纳米催化剂，在 Pt 壳厚度和 ORR 性能之间观察到火山型关系。由于类 CISS 效应和竞争性 ORR 活性，手性 Au@Pt 纳米颗粒表现出自旋极化能力。这项工作建立了一种制备具有类似CISS效应的催化活性手性纳米催化剂的路线，从而为先进自旋选择性电催化剂的开发奠定了基础。</w:t>
      </w:r>
    </w:p>
    <w:p>
      <w:pPr>
        <w:spacing w:before="0" w:after="200" w:lineRule="auto" w:line="276"/>
      </w:pPr>
      <w:r>
        <w:rPr>
          <w:b/>
        </w:rPr>
        <w:t xml:space="preserve">Abstract (EN): </w:t>
      </w:r>
      <w:r>
        <w:t>Spin selection in chiral nanocatalysts enabled by the chiral-induced spin polarization (CISS) effect has emerged as a promising strategy for boosting the performance of the oxygen reduction reaction (ORR). However, achieving atomic-scale control of catalytically active surfaces on chiral nanostructures remains challenging. Herein, we demonstrate an approach for the atomic-level engineering of Pt shells on chiral substrates to enhance ORR performance. Pt shells with controlled thicknesses are deposited on chiral Au nanoparticles through a combined protocol of cyclic underpotential deposition and galvanic replacement reaction. This strategy not only maximizes the atomic utilization efficiency of Pt but also preserves the chiral geometry of the substrate and its chiroptical activity. For the chiral Au@Pt nanocatalysts, a volcano-type relationship is observed between the Pt shell thickness and ORR performance. The chiral Au@Pt nanoparticles exhibit a capability of spin polarization due to the CISS-like effect and competitive ORR activities. This work establishes a route for fabricating catalytically active chiral nanocatalysts with CISS-like effects, thereby laying a foundation for the development of advanced spin-selective electrocatalysts.</w:t>
      </w:r>
    </w:p>
    <w:p>
      <w:pPr>
        <w:spacing w:before="120" w:after="120"/>
      </w:pPr>
      <w:r>
        <w:rPr>
          <w:sz w:val="18"/>
        </w:rPr>
        <w:t>——————————————————————————————————————————————————————————————————————</w:t>
      </w:r>
    </w:p>
    <w:p>
      <w:pPr>
        <w:spacing w:before="160" w:after="40" w:line="240" w:lineRule="auto"/>
      </w:pPr>
      <w:r>
        <w:rPr>
          <w:b/>
        </w:rPr>
        <w:t xml:space="preserve">[3] </w:t>
      </w:r>
      <w:hyperlink r:id="rId120">
        <w:r>
          <w:rPr>
            <w:color w:val="1155CC"/>
            <w:u w:val="single"/>
          </w:rPr>
          <w:t>原子工程分级多孔生物质碳：从多尺度设计到先进的能量存储和基础原理</w:t>
        </w:r>
      </w:hyperlink>
    </w:p>
    <w:p>
      <w:pPr>
        <w:spacing w:before="0" w:after="80"/>
      </w:pPr>
      <w:r>
        <w:rPr>
          <w:i/>
          <w:sz w:val="20"/>
        </w:rPr>
        <w:t>EN: Atomically engineered hierarchical porous biomass carbon: from multiscale design to advanced energy storage and fundamentals</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121">
        <w:r>
          <w:rPr>
            <w:color w:val="1155CC"/>
            <w:u w:val="single"/>
          </w:rPr>
          <w:t>10.1016/j.apenergy.2026.128573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226">
        <w:r>
          <w:rPr>
            <w:color w:val="1155CC"/>
            <w:u w:val="single"/>
          </w:rPr>
          <w:t>用于道路交通能源系统的悬臂式压电能量收集：从振动结构耦合到电路适应和现场部署</w:t>
        </w:r>
      </w:hyperlink>
    </w:p>
    <w:p>
      <w:pPr>
        <w:spacing w:before="0" w:after="80"/>
      </w:pPr>
      <w:r>
        <w:rPr>
          <w:i/>
          <w:sz w:val="20"/>
        </w:rPr>
        <w:t>EN: Cantilevered piezoelectric energy harvesting for road transportation energy systems: From vibration-structure coupling to circuit adaptation and field deployment</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227">
        <w:r>
          <w:rPr>
            <w:color w:val="1155CC"/>
            <w:u w:val="single"/>
          </w:rPr>
          <w:t>10.1016/j.apenergy.2026.128521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228">
        <w:r>
          <w:rPr>
            <w:color w:val="1155CC"/>
            <w:u w:val="single"/>
          </w:rPr>
          <w:t>支持电催化中的活性-稳定性火山：Au25纳米团簇氧还原活性与金属-载体相互作用之间的单实体相关性</w:t>
        </w:r>
      </w:hyperlink>
    </w:p>
    <w:p>
      <w:pPr>
        <w:spacing w:before="0" w:after="80"/>
      </w:pPr>
      <w:r>
        <w:rPr>
          <w:i/>
          <w:sz w:val="20"/>
        </w:rPr>
        <w:t>EN: Activity–Stability Volcano in Supported Electrocatalysis: Single Entity Correlation of Au25 Nanoclusters Between Oxygen Reduction Activity and Metal–Support Interaction</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229">
        <w:r>
          <w:rPr>
            <w:color w:val="1155CC"/>
            <w:u w:val="single"/>
          </w:rPr>
          <w:t>10.1021/jacs.6c01996</w:t>
        </w:r>
      </w:hyperlink>
    </w:p>
    <w:p>
      <w:pPr>
        <w:spacing w:before="0" w:after="120"/>
      </w:pPr>
      <w:r>
        <w:rPr>
          <w:b/>
        </w:rPr>
        <w:t xml:space="preserve">Notes: </w:t>
      </w:r>
      <w:r>
        <w:t>abstract_source=crossref</w:t>
      </w:r>
    </w:p>
    <w:p>
      <w:pPr>
        <w:spacing w:before="0" w:after="80" w:lineRule="auto" w:line="276"/>
      </w:pPr>
      <w:r>
        <w:rPr>
          <w:b/>
        </w:rPr>
        <w:t xml:space="preserve">摘要（ZH）: </w:t>
      </w:r>
      <w:r>
        <w:t>摘要 负载纳米团簇（NC）中的金属-载体相互作用（MSI）是高效多相催化剂设计的关键因素，但对这些 MSI 及其催化活性的理解仍然难以捉摸。在这里，我们采用单实体碰撞电化学来揭示 Au25 NC 中单实体水平氧还原反应 (ORR) 的活性-稳定性火山关系。通过原位识别单个碰撞事件的电流幅度和持续时间，我们直接将 MSI 强度与五个代表性载体（C、CeO2、SnO2、TiO2 和 Co3O4）上单个 Au25 NC 的 ORR 活性相关联。我们综合实验结果和理论计算表明，SnO2 提供的中间 MSI 强度能够实现有利的电荷转移，而不会过度稳定中间体，从而提供 Au25 NC 优异的 ORR 活性，同时保持足够的锚定。这项研究引入了一种在单一实体水平上探测 MSI 的新方法框架，增进了对多相电催化中金属与载体相互作用的理解。</w:t>
      </w:r>
    </w:p>
    <w:p>
      <w:pPr>
        <w:spacing w:before="0" w:after="200" w:lineRule="auto" w:line="276"/>
      </w:pPr>
      <w:r>
        <w:rPr>
          <w:b/>
        </w:rPr>
        <w:t xml:space="preserve">Abstract (EN): </w:t>
      </w:r>
      <w:r>
        <w:t>Metal–support interactions (MSIs) in supported nanoclusters (NCs) represent a crucial factor in the design of highly efficient heterogeneous catalysts, yet the understanding of these MSIs with their catalytic activities in nature remains elusive. Here, we employ single entity collision electrochemistry to reveal an activity–stability volcano relationship in Au25 NCs for oxygen reduction reaction (ORR) at the single entity level. By in situ identification of current amplitude and duration of individual collision events, we directly correlate MSI strength with ORR activity of single Au25 NCs on five representative supports (C, CeO2, SnO2, TiO2, and Co3O4). Our combined experimental findings and theoretical calculations demonstrate that an intermediate MSI strength provided by SnO2 enables favorable charge transfer without overstabilizing intermediates, thereby affording superior ORR activity of Au25 NCs while preserving adequate anchoring. This study introduces a novel methodological framework for probing MSIs at the single entity level, advancing understanding of metal–support interplay in heterogeneous electrocatalysis.</w:t>
      </w:r>
    </w:p>
    <w:p>
      <w:pPr>
        <w:spacing w:before="120" w:after="120"/>
      </w:pPr>
      <w:r>
        <w:rPr>
          <w:sz w:val="18"/>
        </w:rPr>
        <w:t>——————————————————————————————————————————————————————————————————————</w:t>
      </w:r>
    </w:p>
    <w:p>
      <w:pPr>
        <w:spacing w:before="160" w:after="40" w:line="240" w:lineRule="auto"/>
      </w:pPr>
      <w:r>
        <w:rPr>
          <w:b/>
        </w:rPr>
        <w:t xml:space="preserve">[6] </w:t>
      </w:r>
      <w:hyperlink r:id="rId230">
        <w:r>
          <w:rPr>
            <w:color w:val="1155CC"/>
            <w:u w:val="single"/>
          </w:rPr>
          <w:t>具有超高密度纳米孔的仿生大面积聚合物葫芦脲单层，通过主客体识别实现离子传输的可逆电荷门控</w:t>
        </w:r>
      </w:hyperlink>
    </w:p>
    <w:p>
      <w:pPr>
        <w:spacing w:before="0" w:after="80"/>
      </w:pPr>
      <w:r>
        <w:rPr>
          <w:i/>
          <w:sz w:val="20"/>
        </w:rPr>
        <w:t>EN: Bioinspired Large-Area Polymeric Cucurbituril Monolayers with Ultrahigh-Density Nanopores Enabling Reversible Charge-Gating of Ion Transport via Host–Guest Recognition</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231">
        <w:r>
          <w:rPr>
            <w:color w:val="1155CC"/>
            <w:u w:val="single"/>
          </w:rPr>
          <w:t>10.1021/jacs.6c07373</w:t>
        </w:r>
      </w:hyperlink>
    </w:p>
    <w:p>
      <w:pPr>
        <w:spacing w:before="0" w:after="120"/>
      </w:pPr>
      <w:r>
        <w:rPr>
          <w:b/>
        </w:rPr>
        <w:t xml:space="preserve">Notes: </w:t>
      </w:r>
      <w:r>
        <w:t>abstract_source=crossref</w:t>
      </w:r>
    </w:p>
    <w:p>
      <w:pPr>
        <w:spacing w:before="0" w:after="80" w:lineRule="auto" w:line="276"/>
      </w:pPr>
      <w:r>
        <w:rPr>
          <w:b/>
        </w:rPr>
        <w:t xml:space="preserve">摘要（ZH）: </w:t>
      </w:r>
      <w:r>
        <w:t>摘要 在亚纳米限制下实现对离子和分子传输的精确控制，特别是在被动筛分之外，在纳米流体和膜科学中仍然具有挑战性。在这里，我们提出了一种受生物启发的策略，该策略能够形成亚纳米通道以及在二维非晶聚合物膜内集成可调谐分子识别。通过超分子组装体的界面交联制备了尺寸高达 900 cm2 的大面积膜。对葫芦脲主客体复合物 (HGC) 的两亲性进行分子水平控制，可产生 1.6 nm 厚的无定形单分子层，其亚纳米孔密度高达 (1.5 ± 0.5) × 1013 cm–2，与共价有机框架 (COF) 相当。葫芦脲主体之间形成的纳米孔充当密集的运输途径，而内在的空腔则充当动态的主客体识别位点。该架构通过主客体识别实现离子传输的可逆电荷门控，并在渗透发电方面提供出色的性能。这项工作提供了一种构建自适应传输系统的设计策略，将动态功能引入静态多孔结构中，并具有响应式分离和先进能量收集的潜在应用。</w:t>
      </w:r>
    </w:p>
    <w:p>
      <w:pPr>
        <w:spacing w:before="0" w:after="200" w:lineRule="auto" w:line="276"/>
      </w:pPr>
      <w:r>
        <w:rPr>
          <w:b/>
        </w:rPr>
        <w:t xml:space="preserve">Abstract (EN): </w:t>
      </w:r>
      <w:r>
        <w:t>Achieving precise control over ion and molecular transport under subnanometer confinement, especially beyond passive sieving, remains challenging in nanofluidics and membrane science. Here, we present a bioinspired strategy that enables the formation of subnanometer channels together with the integration of tunable molecular recognition within 2D amorphous polymer membranes. Large-area membranes with a size up to 900 cm2 were fabricated by interfacial cross-linking of supramolecular assemblies. Molecular-level control over the amphiphilicity of cucurbituril host–guest complexes (HGCs) yields 1.6 nm thick amorphous monolayers with subnanometer pores at a high density of (1.5 ± 0.5) × 1013 cm–2, comparable to that of covalent organic frameworks (COFs). The nanopores formed between cucurbituril hosts serve as dense transport pathways, while the intrinsic cavities act as dynamic host–guest recognition sites. This architecture enables reversible charge-gating of ion transport via host–guest recognition and delivers outstanding performance in osmotic power generation. This work provides a design strategy for constructing adaptive transport systems, introducing dynamic functionality into otherwise static porous architectures, with potential applications for responsive separation and advanced energy harvesting.</w:t>
      </w:r>
    </w:p>
    <w:p>
      <w:pPr>
        <w:spacing w:before="120" w:after="120"/>
      </w:pPr>
      <w:r>
        <w:rPr>
          <w:sz w:val="18"/>
        </w:rPr>
        <w:t>——————————————————————————————————————————————————————————————————————</w:t>
      </w:r>
    </w:p>
    <w:p>
      <w:pPr>
        <w:spacing w:before="160" w:after="40" w:line="240" w:lineRule="auto"/>
      </w:pPr>
      <w:r>
        <w:rPr>
          <w:b/>
        </w:rPr>
        <w:t xml:space="preserve">[7] </w:t>
      </w:r>
      <w:hyperlink r:id="rId232">
        <w:r>
          <w:rPr>
            <w:color w:val="1155CC"/>
            <w:u w:val="single"/>
          </w:rPr>
          <w:t>从盐度梯度到可持续电力：下一代渗透能收集中材料、热力学和系统设计的范式转变</w:t>
        </w:r>
      </w:hyperlink>
    </w:p>
    <w:p>
      <w:pPr>
        <w:spacing w:before="0" w:after="80"/>
      </w:pPr>
      <w:r>
        <w:rPr>
          <w:i/>
          <w:sz w:val="20"/>
        </w:rPr>
        <w:t>EN: From Salinity Gradients to Sustainable Power: A Paradigm Shift in Materials, Thermodynamics, and System Design in Next‐Generation Osmotic Energy Harvesting</w:t>
      </w:r>
    </w:p>
    <w:p>
      <w:pPr>
        <w:spacing w:before="0" w:after="120"/>
      </w:pPr>
      <w:r>
        <w:rPr>
          <w:b/>
        </w:rPr>
        <w:t xml:space="preserve">Source: </w:t>
      </w:r>
      <w:r>
        <w:t>Wiley: Advanced Materials: Table of Contents</w:t>
      </w:r>
      <w:r>
        <w:t xml:space="preserve">    </w:t>
      </w:r>
      <w:r>
        <w:rPr>
          <w:b/>
        </w:rPr>
        <w:t xml:space="preserve">Pub date: </w:t>
      </w:r>
      <w:r>
        <w:t>2026-08-07 04:43:49+00:00</w:t>
      </w:r>
      <w:r>
        <w:t xml:space="preserve">    </w:t>
      </w:r>
      <w:r>
        <w:rPr>
          <w:b/>
        </w:rPr>
        <w:t xml:space="preserve">DOI: </w:t>
      </w:r>
      <w:hyperlink r:id="rId233">
        <w:r>
          <w:rPr>
            <w:color w:val="1155CC"/>
            <w:u w:val="single"/>
          </w:rPr>
          <w:t>10.1002/adma.74449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渗透能是由不同盐度溶液混合的吉布斯自由能产生的，是一种熵驱动的资源，原则上可以在河海界面、海水淡化盐水出口和废水排放处提供连续的基荷电力。尽管热力学上限颇具吸引力，但压力延迟渗透、反电渗析和新兴渗透结构的实际部署长期以来一直受到膜电阻、浓差极化、污垢和有限的操作稳定性的限制。这篇综述通过材料科学的视角追踪了渗透能转换的演变，从早期的聚合物和离子交换膜到当代的高选择性离子途径。通过将孔径、表面电荷密度、界面化学和分层形态与离子选择性、功率密度和实际盐度梯度下的耐久性相关联，我们提炼出了协调经典渗透率选择性权衡并减轻污垢和内阻的一般设计原则。我们进一步讨论了分子动力学和多尺度输运模型的整合，以合理化受限几何形状中的离子迁移并指导纳米通道的原子尺度工程。最后，我们评估了新兴方向，包括可扩展的制造路线，以及数据驱动的膜和模块设计优化，定义了以材料为中心的路线图，用于将渗透能从实验室原型转化为技术和经济相关的蓝色环境。</w:t>
      </w:r>
    </w:p>
    <w:p>
      <w:pPr>
        <w:spacing w:before="0" w:after="200" w:lineRule="auto" w:line="276"/>
      </w:pPr>
      <w:r>
        <w:rPr>
          <w:b/>
        </w:rPr>
        <w:t xml:space="preserve">Abstract (EN): </w:t>
      </w:r>
      <w:r>
        <w:t>Osmotic energy, arising from the Gibbs free energy of mixing between solutions of differing salinity, is an entropy‐driven resource that can, in principle, deliver continuous baseload power at river‐sea interfaces, desalination brine outlets, and wastewater discharges. Despite this attractive thermodynamic ceiling, practical deployment of pressure‐retarded osmosis, reverse electrodialysis, and emerging osmotic architectures has long been constrained by membrane resistance, concentration polarization, fouling, and limited operational stability. This Review traces the evolution of osmotic energy conversion through the lens of materials science, from early polymeric and ion‐exchange membranes to contemporary highly selective ion pathways. By correlating pore size, surface charge density, interfacial chemistry, and hierarchical morphology with ion selectivity, power density, and durability under realistic salinity gradients, we distil general design principles that reconcile the classical permeability selectivity trade‐off and mitigate fouling and internal resistance. We further discuss the integration of molecular dynamics and multiscale transport modelling to rationalize ion migration in confined geometries and to guide the atomic‐scale engineering of nanochannels. Finally, we assess emerging directions, including scalable fabrication routes, and data‐driven optimization of membrane and module design that define a materials‐centered roadmap for translating osmotic energy from laboratory prototypes to technologically and economically relevant blue energy infrastructures.</w:t>
      </w:r>
    </w:p>
    <w:p>
      <w:pPr>
        <w:spacing w:before="120" w:after="120"/>
      </w:pPr>
      <w:r>
        <w:rPr>
          <w:sz w:val="18"/>
        </w:rPr>
        <w:t>——————————————————————————————————————————————————————————————————————</w:t>
      </w:r>
    </w:p>
    <w:p>
      <w:pPr>
        <w:spacing w:before="160" w:after="40" w:line="240" w:lineRule="auto"/>
      </w:pPr>
      <w:r>
        <w:rPr>
          <w:b/>
        </w:rPr>
        <w:t xml:space="preserve">[8] </w:t>
      </w:r>
      <w:hyperlink r:id="rId234">
        <w:r>
          <w:rPr>
            <w:color w:val="1155CC"/>
            <w:u w:val="single"/>
          </w:rPr>
          <w:t>手性 Co3O4 中的无场自旋极化电荷传输增强超级电容器动力学</w:t>
        </w:r>
      </w:hyperlink>
    </w:p>
    <w:p>
      <w:pPr>
        <w:spacing w:before="0" w:after="80"/>
      </w:pPr>
      <w:r>
        <w:rPr>
          <w:i/>
          <w:sz w:val="20"/>
        </w:rPr>
        <w:t>EN: Field‐Free Spin‐Polarized Charge Transport in Chiral Co3O4 Boosts Supercapacitor Kinetics</w:t>
      </w:r>
    </w:p>
    <w:p>
      <w:pPr>
        <w:spacing w:before="0" w:after="120"/>
      </w:pPr>
      <w:r>
        <w:rPr>
          <w:b/>
        </w:rPr>
        <w:t xml:space="preserve">Source: </w:t>
      </w:r>
      <w:r>
        <w:t>Wiley: Angewandte Chemie International Edition: Table of Contents</w:t>
      </w:r>
      <w:r>
        <w:t xml:space="preserve">    </w:t>
      </w:r>
      <w:r>
        <w:rPr>
          <w:b/>
        </w:rPr>
        <w:t xml:space="preserve">Pub date: </w:t>
      </w:r>
      <w:r>
        <w:t>2026-08-07 13:03:42+00:00</w:t>
      </w:r>
      <w:r>
        <w:t xml:space="preserve">    </w:t>
      </w:r>
      <w:r>
        <w:rPr>
          <w:b/>
        </w:rPr>
        <w:t xml:space="preserve">DOI: </w:t>
      </w:r>
      <w:hyperlink r:id="rId235">
        <w:r>
          <w:rPr>
            <w:color w:val="1155CC"/>
            <w:u w:val="single"/>
          </w:rPr>
          <w:t>10.1002/anie.7713214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级电容器提供超高功率密度，但从根本上仍然受到高速率下有限的界面电荷转移动力学的限制。尽管磁场辅助自旋控制最近已成为调节电化学动力学的一种有前途的策略，但其对外部场和磁性组件的依赖限制了实际的设备集成。在这里，我们将手性建立为一种内在的、无场的手柄，通过利用手性诱导自旋选择性（CISS）效应来调节超级电容器中的电子自旋输运。对映体纯苏氨酸用于模板氢氧化钴纳米片，随后的煅烧去除所有有机物质，同时将强大的手性印入纯无机钴中</w:t>
      </w:r>
      <w:r>
        <w:rPr>
          <w:vertAlign w:val="subscript"/>
        </w:rPr>
        <w:t>3</w:t>
      </w:r>
      <w:r>
        <w:t>氧</w:t>
      </w:r>
      <w:r>
        <w:rPr>
          <w:vertAlign w:val="subscript"/>
        </w:rPr>
        <w:t>4</w:t>
      </w:r>
      <w:r>
        <w:t>电影。导磁探针 AFM 揭示了明显的自旋选择性输运，室温下自旋极化高达 ∼48%。与外消旋和非模板对照相比，手性 Co</w:t>
      </w:r>
      <w:r>
        <w:rPr>
          <w:vertAlign w:val="subscript"/>
        </w:rPr>
        <w:t>3</w:t>
      </w:r>
      <w:r>
        <w:t>氧</w:t>
      </w:r>
      <w:r>
        <w:rPr>
          <w:vertAlign w:val="subscript"/>
        </w:rPr>
        <w:t>4</w:t>
      </w:r>
      <w:r>
        <w:t>电极在零磁场下表现出显着增强的比电容、优异的倍率性能和改善的循环稳定性。电化学阻抗谱和弛豫时间分布分析表明，电荷转移电阻降低了 6.4 倍，赝电容动力学加速，这与 CISS 诱导的自旋极化电流抑制自旋翻转散射并促进界面结合相一致。</w:t>
      </w:r>
    </w:p>
    <w:p>
      <w:pPr>
        <w:spacing w:before="0" w:after="200" w:lineRule="auto" w:line="276"/>
      </w:pPr>
      <w:r>
        <w:rPr>
          <w:b/>
        </w:rPr>
        <w:t xml:space="preserve">Abstract (EN): </w:t>
      </w:r>
      <w:r>
        <w:t>Supercapacitors offer ultrahigh power density but remain fundamentally constrained by limited interfacial charge‐transfer kinetics at high rates. Although magnetic‐field‐assisted spin control has recently emerged as a promising strategy to regulate electrochemical kinetics, its reliance on external fields and magnetic components limits practical device integration. Here we establish chirality as an intrinsic, field‐free handle to regulate electron spin transport in supercapacitors by leveraging the chiral‐induced spin selectivity (CISS) effect. Enantiopure threonine is employed to template cobalt hydroxide nanoflakes, and subsequent calcination removes all organic species while imprinting robust chirality into purely inorganic Co</w:t>
      </w:r>
      <w:r>
        <w:rPr>
          <w:vertAlign w:val="subscript"/>
        </w:rPr>
        <w:t>3</w:t>
      </w:r>
      <w:r>
        <w:t>O</w:t>
      </w:r>
      <w:r>
        <w:rPr>
          <w:vertAlign w:val="subscript"/>
        </w:rPr>
        <w:t>4</w:t>
      </w:r>
      <w:r>
        <w:t>films. Magnetic conductive‐probe AFM reveals pronounced spin‐selective transport with spin polarization up to ∼48% at room temperature. Compared with racemic and non‐templated controls, chiral Co</w:t>
      </w:r>
      <w:r>
        <w:rPr>
          <w:vertAlign w:val="subscript"/>
        </w:rPr>
        <w:t>3</w:t>
      </w:r>
      <w:r>
        <w:t>O</w:t>
      </w:r>
      <w:r>
        <w:rPr>
          <w:vertAlign w:val="subscript"/>
        </w:rPr>
        <w:t>4</w:t>
      </w:r>
      <w:r>
        <w:t>electrodes exhibit markedly enhanced specific capacitance, superior rate capability, and improved cycling stability under zero magnetic field. Electrochemical impedance spectroscopy and distribution of relaxation times analysis reveal a 6.4‐fold reduction in charge‐transfer resistance and accelerated pseudocapacitive kinetics, consistent with CISS‐induced spin‐polarized currents that suppress spin‐flip scattering and facilitate interfacial electron transfer. This work establishes chirality as a new design dimension for electrochemical energy storage and opens a general pathway toward spin‐aware engineering of high‐performance supercapacitors without external magnetic fields.</w:t>
      </w:r>
    </w:p>
    <w:p>
      <w:pPr>
        <w:spacing w:before="120" w:after="120"/>
      </w:pPr>
      <w:r>
        <w:rPr>
          <w:sz w:val="18"/>
        </w:rPr>
        <w:t>——————————————————————————————————————————————————————————————————————</w:t>
      </w:r>
    </w:p>
    <w:p>
      <w:pPr>
        <w:spacing w:before="160" w:after="40" w:line="240" w:lineRule="auto"/>
      </w:pPr>
      <w:r>
        <w:rPr>
          <w:b/>
        </w:rPr>
        <w:t xml:space="preserve">[9] </w:t>
      </w:r>
      <w:hyperlink r:id="rId236">
        <w:r>
          <w:rPr>
            <w:color w:val="1155CC"/>
            <w:u w:val="single"/>
          </w:rPr>
          <w:t>用于自维持 Li-CO2 火星电池的晶体空隙部分设计的 Fe-S 催化剂</w:t>
        </w:r>
      </w:hyperlink>
    </w:p>
    <w:p>
      <w:pPr>
        <w:spacing w:before="0" w:after="80"/>
      </w:pPr>
      <w:r>
        <w:rPr>
          <w:i/>
          <w:sz w:val="20"/>
        </w:rPr>
        <w:t>EN: Crystal Void Fraction‐Engineered Fe‐S Catalysts for Self‐Sustaining Li‐CO2 Mars Batteries</w:t>
      </w:r>
    </w:p>
    <w:p>
      <w:pPr>
        <w:spacing w:before="0" w:after="120"/>
      </w:pPr>
      <w:r>
        <w:rPr>
          <w:b/>
        </w:rPr>
        <w:t xml:space="preserve">Source: </w:t>
      </w:r>
      <w:r>
        <w:t>Wiley: Angewandte Chemie International Edition: Table of Contents</w:t>
      </w:r>
      <w:r>
        <w:t xml:space="preserve">    </w:t>
      </w:r>
      <w:r>
        <w:rPr>
          <w:b/>
        </w:rPr>
        <w:t xml:space="preserve">Pub date: </w:t>
      </w:r>
      <w:r>
        <w:t>2026-08-07 13:08:59+00:00</w:t>
      </w:r>
      <w:r>
        <w:t xml:space="preserve">    </w:t>
      </w:r>
      <w:r>
        <w:rPr>
          <w:b/>
        </w:rPr>
        <w:t xml:space="preserve">DOI: </w:t>
      </w:r>
      <w:hyperlink r:id="rId237">
        <w:r>
          <w:rPr>
            <w:color w:val="1155CC"/>
            <w:u w:val="single"/>
          </w:rPr>
          <w:t>10.1002/anie.6292528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高效的能源存储对于自我维持的火星探索至关重要。碳酸锂</w:t>
      </w:r>
      <w:r>
        <w:rPr>
          <w:vertAlign w:val="subscript"/>
        </w:rPr>
        <w:t>2</w:t>
      </w:r>
      <w:r>
        <w:t>利用火星大气（∼95% CO</w:t>
      </w:r>
      <w:r>
        <w:rPr>
          <w:vertAlign w:val="subscript"/>
        </w:rPr>
        <w:t>2</w:t>
      </w:r>
      <w:r>
        <w:t>）作为活性材料。火星上丰富的铁硫矿物为阴极催化剂提供了可行的候选者，但其结构多样性需要合理的选择标准。在这里，我们提出晶体空隙率作为与关键含氧物质 Li 的亲和力相关的控制描述符。</w:t>
      </w:r>
      <w:r>
        <w:rPr>
          <w:vertAlign w:val="subscript"/>
        </w:rPr>
        <w:t>2</w:t>
      </w:r>
      <w:r>
        <w:t>一氧化碳</w:t>
      </w:r>
      <w:r>
        <w:rPr>
          <w:vertAlign w:val="subscript"/>
        </w:rPr>
        <w:t>3</w:t>
      </w:r>
      <w:r>
        <w:t>和单线态氧（</w:t>
      </w:r>
      <w:r>
        <w:rPr>
          <w:vertAlign w:val="subscript"/>
        </w:rPr>
        <w:t>1</w:t>
      </w:r>
      <w:r>
        <w:t>氧</w:t>
      </w:r>
      <w:r>
        <w:rPr>
          <w:vertAlign w:val="subscript"/>
        </w:rPr>
        <w:t>2</w:t>
      </w:r>
      <w:r>
        <w:t>）。 Fe-S 减少，空隙率更高</w:t>
      </w:r>
      <w:r>
        <w:rPr>
          <w:vertAlign w:val="subscript"/>
        </w:rPr>
        <w:t>6</w:t>
      </w:r>
      <w:r>
        <w:t>八面体堆积密度使 d 带中心上移，并使含 z 轨道更接近费米能级。鉴于明显的 O-2p</w:t>
      </w:r>
      <w:r>
        <w:t xml:space="preserve"> </w:t>
      </w:r>
      <w:r>
        <w:t>z</w:t>
      </w:r>
      <w:r>
        <w:t xml:space="preserve"> </w:t>
      </w:r>
      <w:r>
        <w:t>李的性格</w:t>
      </w:r>
      <w:r>
        <w:rPr>
          <w:vertAlign w:val="subscript"/>
        </w:rPr>
        <w:t>2</w:t>
      </w:r>
      <w:r>
        <w:t>一氧化碳</w:t>
      </w:r>
      <w:r>
        <w:rPr>
          <w:vertAlign w:val="subscript"/>
        </w:rPr>
        <w:t>3</w:t>
      </w:r>
      <w:r>
        <w:t>带边态和 π* 轨道</w:t>
      </w:r>
      <w:r>
        <w:rPr>
          <w:vertAlign w:val="subscript"/>
        </w:rPr>
        <w:t>1</w:t>
      </w:r>
      <w:r>
        <w:t>氧</w:t>
      </w:r>
      <w:r>
        <w:rPr>
          <w:vertAlign w:val="subscript"/>
        </w:rPr>
        <w:t>2</w:t>
      </w:r>
      <w:r>
        <w:t>前沿轨道，沿表面轨道与 z 方向分量的对称匹配增强了轨道耦合，将较高的晶体空隙分数与对含氧物质的亲和力增加相关联。至关重要的是，这种亲和力具有双重作用。高空隙率促进Li</w:t>
      </w:r>
    </w:p>
    <w:p>
      <w:pPr>
        <w:spacing w:before="0" w:after="200" w:lineRule="auto" w:line="276"/>
      </w:pPr>
      <w:r>
        <w:rPr>
          <w:b/>
        </w:rPr>
        <w:t xml:space="preserve">Abstract (EN): </w:t>
      </w:r>
      <w:r>
        <w:t>Efficient energy storage is vital for self‐sustaining Martian exploration. Li‐CO</w:t>
      </w:r>
      <w:r>
        <w:rPr>
          <w:vertAlign w:val="subscript"/>
        </w:rPr>
        <w:t>2</w:t>
      </w:r>
      <w:r>
        <w:t>batteries are promising by utilizing the Martian atmosphere (∼95% CO</w:t>
      </w:r>
      <w:r>
        <w:rPr>
          <w:vertAlign w:val="subscript"/>
        </w:rPr>
        <w:t>2</w:t>
      </w:r>
      <w:r>
        <w:t>) as active materials. Fe‐S minerals, abundant on Mars, offer a viable candidate for cathode catalysts, yet their structural diversity necessitates a rational selection criterion. Here, we propose crystal void fraction as a governing descriptor correlating with affinity toward critical oxygen‐containing species, Li</w:t>
      </w:r>
      <w:r>
        <w:rPr>
          <w:vertAlign w:val="subscript"/>
        </w:rPr>
        <w:t>2</w:t>
      </w:r>
      <w:r>
        <w:t>CO</w:t>
      </w:r>
      <w:r>
        <w:rPr>
          <w:vertAlign w:val="subscript"/>
        </w:rPr>
        <w:t>3</w:t>
      </w:r>
      <w:r>
        <w:t>and singlet oxygen (</w:t>
      </w:r>
      <w:r>
        <w:rPr>
          <w:vertAlign w:val="subscript"/>
        </w:rPr>
        <w:t>1</w:t>
      </w:r>
      <w:r>
        <w:t>O</w:t>
      </w:r>
      <w:r>
        <w:rPr>
          <w:vertAlign w:val="subscript"/>
        </w:rPr>
        <w:t>2</w:t>
      </w:r>
      <w:r>
        <w:t>). Higher void fraction with decreased Fe‐S</w:t>
      </w:r>
      <w:r>
        <w:rPr>
          <w:vertAlign w:val="subscript"/>
        </w:rPr>
        <w:t>6</w:t>
      </w:r>
      <w:r>
        <w:t>octahedra packing density upshifts the d‐band center and brings the z‐containing orbitals closer to the Fermi level. Given the pronounced O‐2p</w:t>
      </w:r>
      <w:r>
        <w:t xml:space="preserve"> </w:t>
      </w:r>
      <w:r>
        <w:t>z</w:t>
      </w:r>
      <w:r>
        <w:t xml:space="preserve"> </w:t>
      </w:r>
      <w:r>
        <w:t>character of Li</w:t>
      </w:r>
      <w:r>
        <w:rPr>
          <w:vertAlign w:val="subscript"/>
        </w:rPr>
        <w:t>2</w:t>
      </w:r>
      <w:r>
        <w:t>CO</w:t>
      </w:r>
      <w:r>
        <w:rPr>
          <w:vertAlign w:val="subscript"/>
        </w:rPr>
        <w:t>3</w:t>
      </w:r>
      <w:r>
        <w:t>band‐edge states and the π* orbital of</w:t>
      </w:r>
      <w:r>
        <w:rPr>
          <w:vertAlign w:val="subscript"/>
        </w:rPr>
        <w:t>1</w:t>
      </w:r>
      <w:r>
        <w:t>O</w:t>
      </w:r>
      <w:r>
        <w:rPr>
          <w:vertAlign w:val="subscript"/>
        </w:rPr>
        <w:t>2</w:t>
      </w:r>
      <w:r>
        <w:t>frontier orbital, symmetry matching along surface orbitals with z‐directional components strengthens orbital coupling, correlating higher crystal void fractions with increased affinity for oxygen‐containing species. Crucially, this affinity exhibits a dual role. High void fraction promotes Li</w:t>
      </w:r>
      <w:r>
        <w:rPr>
          <w:vertAlign w:val="subscript"/>
        </w:rPr>
        <w:t>2</w:t>
      </w:r>
      <w:r>
        <w:t>CO</w:t>
      </w:r>
      <w:r>
        <w:rPr>
          <w:vertAlign w:val="subscript"/>
        </w:rPr>
        <w:t>3</w:t>
      </w:r>
      <w:r>
        <w:t>decomposition but</w:t>
      </w:r>
      <w:r>
        <w:rPr>
          <w:vertAlign w:val="subscript"/>
        </w:rPr>
        <w:t>1</w:t>
      </w:r>
      <w:r>
        <w:t>O</w:t>
      </w:r>
      <w:r>
        <w:rPr>
          <w:vertAlign w:val="subscript"/>
        </w:rPr>
        <w:t>2</w:t>
      </w:r>
      <w:r>
        <w:t>‐induced catalyst degradation, while low void fraction exhibits the opposite tendency. Marcasite with moderate void fraction achieves an optimal balance, achieving 88% energy efficiency and 1000 h cycle life. This work establishes crystal void fraction as a predictive metric for screening suitable catalysts for achieving activity‐stability trade‐off, and provides a promising landscape for in‐situ resource utilization on Mars.</w:t>
      </w:r>
    </w:p>
    <w:p>
      <w:pPr>
        <w:spacing w:before="120" w:after="120"/>
      </w:pPr>
      <w:r>
        <w:rPr>
          <w:sz w:val="18"/>
        </w:rPr>
        <w:t>——————————————————————————————————————————————————————————————————————</w:t>
      </w:r>
    </w:p>
    <w:p>
      <w:pPr>
        <w:spacing w:before="160" w:after="40" w:line="240" w:lineRule="auto"/>
      </w:pPr>
      <w:r>
        <w:rPr>
          <w:b/>
        </w:rPr>
        <w:t xml:space="preserve">[10] </w:t>
      </w:r>
      <w:hyperlink r:id="rId238">
        <w:r>
          <w:rPr>
            <w:color w:val="1155CC"/>
            <w:u w:val="single"/>
          </w:rPr>
          <w:t>利用多个家庭微电网作为云储能进行资源补偿：全面综述</w:t>
        </w:r>
      </w:hyperlink>
    </w:p>
    <w:p>
      <w:pPr>
        <w:spacing w:before="0" w:after="80"/>
      </w:pPr>
      <w:r>
        <w:rPr>
          <w:i/>
          <w:sz w:val="20"/>
        </w:rPr>
        <w:t>EN: Harnessing multiple home-microgrids as cloud energy storage for resource compensation: A comprehensive review</w:t>
      </w:r>
    </w:p>
    <w:p>
      <w:pPr>
        <w:spacing w:before="0" w:after="120"/>
      </w:pPr>
      <w:r>
        <w:rPr>
          <w:b/>
        </w:rPr>
        <w:t xml:space="preserve">Source: </w:t>
      </w:r>
      <w:r>
        <w:t>ScienceDirect Publication: Applied Energy</w:t>
      </w:r>
      <w:r>
        <w:t xml:space="preserve">    </w:t>
      </w:r>
      <w:r>
        <w:rPr>
          <w:b/>
        </w:rPr>
        <w:t xml:space="preserve">Pub date: </w:t>
      </w:r>
      <w:r>
        <w:t>2026-08-08 00:00:00+00:00</w:t>
      </w:r>
      <w:r>
        <w:t xml:space="preserve">    </w:t>
      </w:r>
      <w:r>
        <w:rPr>
          <w:b/>
        </w:rPr>
        <w:t xml:space="preserve">DOI: </w:t>
      </w:r>
      <w:hyperlink r:id="rId239">
        <w:r>
          <w:rPr>
            <w:color w:val="1155CC"/>
            <w:u w:val="single"/>
          </w:rPr>
          <w:t>10.1016/j.apenergy.2026.128544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40">
        <w:r>
          <w:rPr>
            <w:color w:val="1155CC"/>
            <w:u w:val="single"/>
          </w:rPr>
          <w:t>锌溴电池中电容氧化还原溴电化学的空腔超分子调节</w:t>
        </w:r>
      </w:hyperlink>
    </w:p>
    <w:p>
      <w:pPr>
        <w:spacing w:before="0" w:after="80"/>
      </w:pPr>
      <w:r>
        <w:rPr>
          <w:i/>
          <w:sz w:val="20"/>
        </w:rPr>
        <w:t>EN: Cavity-Enabled Supramolecular Regulation of Capacitive–Redox Bromine Electrochemistry in Zinc–Bromine Batteries</w:t>
      </w:r>
    </w:p>
    <w:p>
      <w:pPr>
        <w:spacing w:before="0" w:after="120"/>
      </w:pPr>
      <w:r>
        <w:rPr>
          <w:b/>
        </w:rPr>
        <w:t xml:space="preserve">Source: </w:t>
      </w:r>
      <w:r>
        <w:t>Physical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高速率电容过程和高容量氧化还原反应之间的内在权衡从根本上限制了先进的电化学储能。在这里，我们通过引入空腔超分子微反应器作为协同溴电容氧化还原电化学的多功能平台，超越了这一范式。这些微反应器表现出电压响应双重功能，在低电压下作为高容量离子螯合基质运行，受其定制的静电腔景观控制，并在高电压下通过不同于传统键合的空间限制的非共价相互作用动态切换到锚定和转化促进中心。该策略部署在水性锌溴电池中，在 0.83 A g−1 电流下提供 481.8 mAh g−1 的比容量，并在 8.3 A g−1 比电流下循环 1500 次后保留 89.4% 的容量。我们的工作超越了传统的材料设计理念，建立了一种通过分子尺度离子调控突破电极材料固有限制的通用方法。</w:t>
      </w:r>
    </w:p>
    <w:p>
      <w:pPr>
        <w:spacing w:before="0" w:after="200" w:lineRule="auto" w:line="276"/>
      </w:pPr>
      <w:r>
        <w:rPr>
          <w:b/>
        </w:rPr>
        <w:t xml:space="preserve">Abstract (EN): </w:t>
      </w:r>
      <w:r>
        <w:t>The intrinsic trade-offs between high-rate capacitive processes and high-capacity redox reactions fundamentally limit advanced electrochemical energy storage. Here, we transcend this paradigm by introducing cavity-enabled supramolecular microreactors as a versatile platform for synergistic bromine capacitive-redox electrochemistry. These microreactors exhibit voltage-responsive dual functions, operating as a high-capacity ion-sequestration matrix at low voltages governed by their tailored electrostatic cavity landscape, and dynamically switching to an anchoring and conversion-promoting center at high voltages via spatially confined noncovalent interactions distinct from conventional bonding. Deployed in an aqueous zinc-bromine battery, this strategy delivers a specific capacity of 481.8 mAh g−1 at 0.83 A g−1 and retains 89.4% of its capacity after 1500 cycles at a specific current of 8.3 A g−1. Our work transcends the conventional material design philosophy, establishing a general approach for breaking the intrinsic limits of electrode materials through molecular-scale ion regulation.</w:t>
      </w:r>
    </w:p>
    <w:p>
      <w:pPr>
        <w:spacing w:before="120" w:after="120"/>
      </w:pPr>
      <w:r>
        <w:rPr>
          <w:sz w:val="18"/>
        </w:rPr>
        <w:t>——————————————————————————————————————————————————————————————————————</w:t>
      </w:r>
    </w:p>
    <w:p>
      <w:pPr>
        <w:spacing w:before="160" w:after="40" w:line="240" w:lineRule="auto"/>
      </w:pPr>
      <w:r>
        <w:rPr>
          <w:b/>
        </w:rPr>
        <w:t xml:space="preserve">[12] </w:t>
      </w:r>
      <w:hyperlink r:id="rId241">
        <w:r>
          <w:rPr>
            <w:color w:val="1155CC"/>
            <w:u w:val="single"/>
          </w:rPr>
          <w:t>用于低压介电弹性体执行器的受皮肤启发的高κ自修复聚合物</w:t>
        </w:r>
      </w:hyperlink>
    </w:p>
    <w:p>
      <w:pPr>
        <w:spacing w:before="0" w:after="80"/>
      </w:pPr>
      <w:r>
        <w:rPr>
          <w:i/>
          <w:sz w:val="20"/>
        </w:rPr>
        <w:t>EN: A Skin‐Inspired High‐κ Self‐Healing Polymer for Low‐Voltage Dielectric Elastomer Actuators</w:t>
      </w:r>
    </w:p>
    <w:p>
      <w:pPr>
        <w:spacing w:before="0" w:after="120"/>
      </w:pPr>
      <w:r>
        <w:rPr>
          <w:b/>
        </w:rPr>
        <w:t xml:space="preserve">Source: </w:t>
      </w:r>
      <w:r>
        <w:t>Wiley: Advanced Materials: Table of Contents</w:t>
      </w:r>
      <w:r>
        <w:t xml:space="preserve">    </w:t>
      </w:r>
      <w:r>
        <w:rPr>
          <w:b/>
        </w:rPr>
        <w:t xml:space="preserve">Pub date: </w:t>
      </w:r>
      <w:r>
        <w:t>2026-08-08 09:10:46+00:00</w:t>
      </w:r>
      <w:r>
        <w:t xml:space="preserve">    </w:t>
      </w:r>
      <w:r>
        <w:rPr>
          <w:b/>
        </w:rPr>
        <w:t xml:space="preserve">DOI: </w:t>
      </w:r>
      <w:hyperlink r:id="rId242">
        <w:r>
          <w:rPr>
            <w:color w:val="1155CC"/>
            <w:u w:val="single"/>
          </w:rPr>
          <w:t>10.1002/adma.202523659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介电弹性体执行器（DEA）被称为一种人造肌肉，由于其顺应性、快速响应和大驱动，是一种有前途的软执行器，具有许多应用，包括机器人和可穿戴设备。然而，它们的使用仍然受到实现实质性驱动所需的高驱动电压的限制。在这里，我们设计了一种受皮肤启发的高κ自修复弹性体，聚（丙烯腈-共-丁二烯）-共-硫脲（PABTU），具有高介电常数（1kHz时为15）、低杨氏模量（预拉伸时为0.58和0.012MPa），并且能够形成无针孔薄膜（∼3μm）。为了减轻我们的 PABTU、PABTU/PDMS-MPU 相对较高的介电损耗</w:t>
      </w:r>
      <w:r>
        <w:t xml:space="preserve"> </w:t>
      </w:r>
      <w:r>
        <w:t>0.3</w:t>
      </w:r>
      <w:r>
        <w:t xml:space="preserve"> </w:t>
      </w:r>
      <w:r>
        <w:t>‐IU</w:t>
      </w:r>
      <w:r>
        <w:t xml:space="preserve"> </w:t>
      </w:r>
      <w:r>
        <w:t>0.7</w:t>
      </w:r>
      <w:r>
        <w:t xml:space="preserve"> </w:t>
      </w:r>
      <w:r>
        <w:t>双层结构 (ULTRA) 用于执行器，将其击穿强度从 ∼33 V/μm 提高到 43 V/μm。我们的 ULTRA 执行器在 30 V 的前所未有的低电压下表现出明显的变形，在 120 V 时面应变超过 130%，这表明与之前报道的 DEA 相比，驱动电压降低了一个数量级，同时实现了类似的驱动应变。作为概念证明，我们展示了采用 ULTRA DEA 的低压多像素阵列。我们的分子设计概念为材料系统走向低压操作软机器人提供了一条途径。</w:t>
      </w:r>
    </w:p>
    <w:p>
      <w:pPr>
        <w:spacing w:before="0" w:after="200" w:lineRule="auto" w:line="276"/>
      </w:pPr>
      <w:r>
        <w:rPr>
          <w:b/>
        </w:rPr>
        <w:t xml:space="preserve">Abstract (EN): </w:t>
      </w:r>
      <w:r>
        <w:t>Dielectric elastomer actuators (DEAs), known as a type of artificial muscles, are promising soft actuators with many applications including robotics and wearables due to their conformability, fast response, and large actuation. However, their usage remains constrained by high driving voltages needed to achieve substantial actuation. Here, we design a skin‐inspired high‐κ self‐healing elastomer, poly‐(acrylonitrile‐co‐butadiene)‐co‐thiourea (PABTU), that features a high dielectric constant (15 at 1 kHz), low Young's modulus (0.58 and 0.012 MPa upon pre‐stretch), and ability to form pinhole‐free thin films (∼ 3 µm). To mitigate relatively high dielectric loss of our PABTU, PABTU/PDMS‐MPU</w:t>
      </w:r>
      <w:r>
        <w:t xml:space="preserve"> </w:t>
      </w:r>
      <w:r>
        <w:t>0.3</w:t>
      </w:r>
      <w:r>
        <w:t xml:space="preserve"> </w:t>
      </w:r>
      <w:r>
        <w:t>‐IU</w:t>
      </w:r>
      <w:r>
        <w:t xml:space="preserve"> </w:t>
      </w:r>
      <w:r>
        <w:t>0.7</w:t>
      </w:r>
      <w:r>
        <w:t xml:space="preserve"> </w:t>
      </w:r>
      <w:r>
        <w:t>bilayer structure (ULTRA) is used for actuators, increasing its breakdown strength from ∼33 to 43 V/µm. Our ULTRA actuators exhibit visible deformation at an unprecedented low voltage of 30 V and an areal strain exceeding 130% at 120 V, representing an order of magnitude reduction in voltage for actuation compared with previously reported DEAs while achieving similar actuation strain. As proof of concept, we demonstrate a low‐voltage multipixel array with ULTRA DEA. Our molecular design concept provides a path for material systems toward low‐voltage operating soft robotics.</w:t>
      </w:r>
    </w:p>
    <w:p>
      <w:pPr>
        <w:spacing w:before="120" w:after="120"/>
      </w:pPr>
      <w:r>
        <w:rPr>
          <w:sz w:val="18"/>
        </w:rPr>
        <w:t>——————————————————————————————————————————————————————————————————————</w:t>
      </w:r>
    </w:p>
    <w:p>
      <w:pPr>
        <w:spacing w:before="160" w:after="40" w:line="240" w:lineRule="auto"/>
      </w:pPr>
      <w:r>
        <w:rPr>
          <w:b/>
        </w:rPr>
        <w:t xml:space="preserve">[13] </w:t>
      </w:r>
      <w:hyperlink r:id="rId243">
        <w:r>
          <w:rPr>
            <w:color w:val="1155CC"/>
            <w:u w:val="single"/>
          </w:rPr>
          <w:t>锌空气电池中凝胶聚合物电解质的组分自引发光聚合</w:t>
        </w:r>
      </w:hyperlink>
    </w:p>
    <w:p>
      <w:pPr>
        <w:spacing w:before="0" w:after="80"/>
      </w:pPr>
      <w:r>
        <w:rPr>
          <w:i/>
          <w:sz w:val="20"/>
        </w:rPr>
        <w:t>EN: Component Self‐Initiated Photopolymerization for Gel Polymer Electrolytes in Zinc–Air Batteries</w:t>
      </w:r>
    </w:p>
    <w:p>
      <w:pPr>
        <w:spacing w:before="0" w:after="120"/>
      </w:pPr>
      <w:r>
        <w:rPr>
          <w:b/>
        </w:rPr>
        <w:t xml:space="preserve">Source: </w:t>
      </w:r>
      <w:r>
        <w:t>Wiley: Angewandte Chemie International Edition: Table of Contents</w:t>
      </w:r>
      <w:r>
        <w:t xml:space="preserve">    </w:t>
      </w:r>
      <w:r>
        <w:rPr>
          <w:b/>
        </w:rPr>
        <w:t xml:space="preserve">Pub date: </w:t>
      </w:r>
      <w:r>
        <w:t>2026-08-08 11:16:57+00:00</w:t>
      </w:r>
      <w:r>
        <w:t xml:space="preserve">    </w:t>
      </w:r>
      <w:r>
        <w:rPr>
          <w:b/>
        </w:rPr>
        <w:t xml:space="preserve">DOI: </w:t>
      </w:r>
      <w:hyperlink r:id="rId244">
        <w:r>
          <w:rPr>
            <w:color w:val="1155CC"/>
            <w:u w:val="single"/>
          </w:rPr>
          <w:t>10.1002/anie.3048454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柔性锌空气电池（FZAB）需要凝胶聚合物电解质（GPE）来确保离子传输、界面稳定性和机械灵活性，但其发展受到机械鲁棒性、耐低温性和制造效率之间权衡的限制。在此，开发了一种组分自引发光聚合策略，无需外部引发剂即可在可见光照射下在几分钟内实现快速凝胶化，为制造高性能 GPE 提供了一条有效途径。在富含质子的微环境中，柠檬酸钠（SC）经历质子耦合电子转移，产生自由基，引发海藻酸钠（SA）基质内乙烯基单体的共聚，形成双网络水凝胶（AAS</w:t>
      </w:r>
      <w:r>
        <w:t xml:space="preserve"> </w:t>
      </w:r>
      <w:r>
        <w:t>x</w:t>
      </w:r>
      <w:r>
        <w:t xml:space="preserve"> </w:t>
      </w:r>
      <w:r>
        <w:t>‐SA）。此外，SC 通过霍夫迈斯特效应诱导网络致密化并调节电化学性能，从而产生机械坚固、枝晶抑制和抗冻的 GPE。因此，优化后的 AAS25-SA-GPE 的离子电导率为 109 mS·cm</w:t>
      </w:r>
      <w:r>
        <w:t xml:space="preserve"> </w:t>
      </w:r>
      <w:r>
        <w:t>−1</w:t>
      </w:r>
      <w:r>
        <w:t xml:space="preserve"> </w:t>
      </w:r>
      <w:r>
        <w:t>温度为-40°C，冰点为-69.1°C，使得基于AAS25-SA的FZAB能够在-40°C下稳定运行超过4220个循环。这项工作建立了一种电解质设计策略，其中单一电解质组分集成了光引发、结构构建和电化学调节，将电解质添加剂转化为活性构件。</w:t>
      </w:r>
    </w:p>
    <w:p>
      <w:pPr>
        <w:spacing w:before="0" w:after="200" w:lineRule="auto" w:line="276"/>
      </w:pPr>
      <w:r>
        <w:rPr>
          <w:b/>
        </w:rPr>
        <w:t xml:space="preserve">Abstract (EN): </w:t>
      </w:r>
      <w:r>
        <w:t>Flexible zinc–air batteries (FZABs) require gel polymer electrolytes (GPEs) to ensure ionic transport, interfacial stability, and mechanical flexibility, yet their development is limited by trade‐offs among mechanical robustness, low‐temperature tolerance, and fabrication efficiency. Herein, a component self‐initiated photopolymerization strategy is developed to achieve rapid gelation within minutes under visible‐light irradiation without external initiators, providing an efficient route for fabricating high‐performance GPEs. Within a proton‐rich microenvironment, sodium citrate (SC) undergoes proton‐coupled electron transfer to generate radicals that initiate the copolymerization of vinyl monomers within a sodium alginate (SA) matrix, forming a double‐network hydrogel (AAS</w:t>
      </w:r>
      <w:r>
        <w:t xml:space="preserve"> </w:t>
      </w:r>
      <w:r>
        <w:t>x</w:t>
      </w:r>
      <w:r>
        <w:t xml:space="preserve"> </w:t>
      </w:r>
      <w:r>
        <w:t>‐SA). Additionally, SC induces network densification via the Hofmeister effect and modulates electrochemical properties, resulting in mechanically robust, dendrite‐suppressing, and freeze‐resistant GPEs. Consequently, the optimized AAS25‐SA‐GPE exhibits an ionic conductivity of 109 mS·cm</w:t>
      </w:r>
      <w:r>
        <w:t xml:space="preserve"> </w:t>
      </w:r>
      <w:r>
        <w:t>−1</w:t>
      </w:r>
      <w:r>
        <w:t xml:space="preserve"> </w:t>
      </w:r>
      <w:r>
        <w:t>at −40°C and a freezing point of −69.1°C, enabling stable operation of the AAS25‐SA‐based FZAB for over 4220 cycles at −40°C. This work establishes an electrolyte design strategy in which a single electrolyte component integrates photoinitiation, structural construction, and electrochemical regulation, transforming electrolyte additives into active building blocks.</w:t>
      </w:r>
    </w:p>
    <w:p>
      <w:pPr>
        <w:spacing w:before="120" w:after="120"/>
      </w:pPr>
      <w:r>
        <w:rPr>
          <w:sz w:val="18"/>
        </w:rPr>
        <w:t>——————————————————————————————————————————————————————————————————————</w:t>
      </w:r>
    </w:p>
    <w:p>
      <w:pPr>
        <w:spacing w:before="160" w:after="40" w:line="240" w:lineRule="auto"/>
      </w:pPr>
      <w:r>
        <w:rPr>
          <w:b/>
        </w:rPr>
        <w:t xml:space="preserve">[14] </w:t>
      </w:r>
      <w:hyperlink r:id="rId245">
        <w:r>
          <w:rPr>
            <w:color w:val="1155CC"/>
            <w:u w:val="single"/>
          </w:rPr>
          <w:t>用于按需切换 2e− 和 4e− 氧还原的仿生分子磁场响应催化剂</w:t>
        </w:r>
      </w:hyperlink>
    </w:p>
    <w:p>
      <w:pPr>
        <w:spacing w:before="0" w:after="80"/>
      </w:pPr>
      <w:r>
        <w:rPr>
          <w:i/>
          <w:sz w:val="20"/>
        </w:rPr>
        <w:t>EN: Bioinspired Molecular Magnetic Field-Responsive Catalyst for On-Demand Switching of 2e− and 4e− Oxygen Reduction</w:t>
      </w:r>
    </w:p>
    <w:p>
      <w:pPr>
        <w:spacing w:before="0" w:after="120"/>
      </w:pPr>
      <w:r>
        <w:rPr>
          <w:b/>
        </w:rPr>
        <w:t xml:space="preserve">Source: </w:t>
      </w:r>
      <w:r>
        <w:t>Nano-Micro Letters</w:t>
      </w:r>
      <w:r>
        <w:t xml:space="preserve">    </w:t>
      </w:r>
      <w:r>
        <w:rPr>
          <w:b/>
        </w:rPr>
        <w:t xml:space="preserve">Pub date: </w:t>
      </w:r>
      <w:r>
        <w:t>2026-08-10 00:00:00+00:00</w:t>
      </w:r>
      <w:r>
        <w:t xml:space="preserve">    </w:t>
      </w:r>
      <w:r>
        <w:rPr>
          <w:b/>
        </w:rPr>
        <w:t xml:space="preserve">DOI: </w:t>
      </w:r>
      <w:hyperlink r:id="rId246">
        <w:r>
          <w:rPr>
            <w:color w:val="1155CC"/>
            <w:u w:val="single"/>
          </w:rPr>
          <w:t>10.1007/s40820-026-02319-0</w:t>
        </w:r>
      </w:hyperlink>
    </w:p>
    <w:p>
      <w:pPr>
        <w:spacing w:before="0" w:after="120"/>
      </w:pPr>
      <w:r>
        <w:rPr>
          <w:b/>
        </w:rPr>
        <w:t xml:space="preserve">Notes: </w:t>
      </w:r>
      <w:r>
        <w:t>abstract_source=rss_description</w:t>
      </w:r>
    </w:p>
    <w:p>
      <w:pPr>
        <w:spacing w:before="0" w:after="80" w:lineRule="auto" w:line="276"/>
      </w:pPr>
      <w:r>
        <w:rPr>
          <w:b/>
        </w:rPr>
        <w:t xml:space="preserve">摘要（ZH）: </w:t>
      </w:r>
      <w:r>
        <w:t>在高效的 4e− 生成 H2O 路径和有价值的 2e− 生成 H2O2 路径之间实现氧还原反应 (ORR) 路径的精确和按需控制仍然是电催化中的关键挑战。在此，我们通过将磁性单原子锚定 Salen 基共价有机框架 (MSA-Salen COF) 设计到磁性纳米颗粒（单/多域 Fe3O4）上，设计了一种仿生分子磁场响应催化剂（MMFR-C）来应对这一挑战。 MMFR-C 模仿细胞色素 c 氧化酶，采用 MSA-Salen COF 作为有序质子转移通道，采用明确的 N2-M-O2 部分作为酶 O2 激活位点，并使用 Fe3O4 提供内置磁场，用于远程调节活性位点电子结构。受生物启发的 MMFR-C 表现出可切换的 ORR 途径。相对于原始的 Co-Salen COF（26% H2O2 选择性，n = 3.48），与单域 Fe3O4 集成的 MMFR-C 表现出显着增强的 H2O2 选择性，达到 63.9%（n = 2.72），而与多域 Fe3O4 集成的 MMFR-C 将 ORR 途径转向 4e− 途径（n = 3.67）。 (i) 我们阐明，MMFR-C 中单域 Fe3O4 的均匀磁场有利于其活性 N2-M-O2 部分和 *OOH 中间体之间的轨道杂化，适度的 *OOH 吸附抑制 O-O 断裂，从而将 ORR 选择性转向 H2O2。 (ii) 相比之下，其多畴 Fe3O4 核增强的比磁优化了 MMFR-C 活性位点的 d 带中心，稳定了三线态 O2 吸附，并减少了自旋禁禁跃迁势垒，</w:t>
      </w:r>
    </w:p>
    <w:p>
      <w:pPr>
        <w:spacing w:before="0" w:after="200" w:lineRule="auto" w:line="276"/>
      </w:pPr>
      <w:r>
        <w:rPr>
          <w:b/>
        </w:rPr>
        <w:t xml:space="preserve">Abstract (EN): </w:t>
      </w:r>
      <w:r>
        <w:t>Achieving precise and on-demand steering of the oxygen reduction reaction (ORR) pathway between the efficient 4e− route to H2O and the valuable 2e− route to H2O2 remains a pivotal challenge in electrocatalysis. Herein, we address this challenge by designing a bioinspired molecular magnetic field-responsive catalyst (MMFR-C) via magnetic single-atom-anchored Salen-based covalent organic frameworks (MSA-Salen COFs) onto magnetic nanoparticles (single/multi-domain Fe3O4). Mimicking cytochrome c oxidase, the MMFR-C employs MSA-Salen COFs as an ordered proton-transfer channel and well-defined N2-M-O2 moieties as enzymatic O2 activation sites, with Fe3O4 providing a built-in magnetic field for remote regulation of the active-site electronic structure. The bioinspired MMFR-C exhibits switchable ORR pathways. Relative to the pristine Co-Salen COF (26% H2O2 selectivity, n = 3.48), the MMFR-C integrated with a single-domain Fe3O4 exhibits a remarkably enhanced H2O2 selectivity of 63.9% (n = 2.72), while that with a multi-domain Fe3O4 diverts the ORR pathway toward the 4e− route (n = 3.67). (i) We elucidate that the uniform magnetic field from the single-domain Fe3O4 in MMFR-C favors orbital hybridization between its active N2-M-O2 moieties and the *OOH intermediate, with moderate *OOH adsorption suppressing O–O scission and thus steering ORR selectivity toward H2O2. (ii) In contrast, the enhanced specific magnetism from its multi-domain Fe3O4 core optimizes the d-band center of MMFR-C’s active sites, stabilizes triplet O2 adsorption, and reduces spin-forbidden transition barriers, thereby facilitating O–O cleavage and diverting its ORR pathway to the 4e− route. Highlights:1 The bioinspired molecular magnetic field responsive catalysts were synthesized to selectively switch between the 2e− and 4e− oxygen reduction reaction (ORR) pathways.2 The molecular magnetic field responsive catalyst integrated with single domain Fe3O4 delivers a significantly boosted H2O2 selectivity of 63.9% (electron transfer number, n = 2.72), whereas the multi domain Fe3O4 incorporated variant effectively redirects the ORR exclusively toward the 4e− pathw ay (n = 3.67).</w:t>
      </w:r>
    </w:p>
    <w:p>
      <w:pPr>
        <w:spacing w:before="120" w:after="120"/>
      </w:pPr>
      <w:r>
        <w:rPr>
          <w:sz w:val="18"/>
        </w:rPr>
        <w:t>——————————————————————————————————————————————————————————————————————</w:t>
      </w:r>
    </w:p>
    <w:p>
      <w:pPr>
        <w:spacing w:before="160" w:after="40" w:line="240" w:lineRule="auto"/>
      </w:pPr>
      <w:r>
        <w:rPr>
          <w:b/>
        </w:rPr>
        <w:t xml:space="preserve">[15] </w:t>
      </w:r>
      <w:hyperlink r:id="rId247">
        <w:r>
          <w:rPr>
            <w:color w:val="1155CC"/>
            <w:u w:val="single"/>
          </w:rPr>
          <w:t>高效 MLCC 分层域结构的仿真引导工程</w:t>
        </w:r>
      </w:hyperlink>
    </w:p>
    <w:p>
      <w:pPr>
        <w:spacing w:before="0" w:after="80"/>
      </w:pPr>
      <w:r>
        <w:rPr>
          <w:i/>
          <w:sz w:val="20"/>
        </w:rPr>
        <w:t>EN: Simulation-Guided Engineering of Hierarchical Domain Structures for High-Efficiency MLCCs</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248">
        <w:r>
          <w:rPr>
            <w:color w:val="1155CC"/>
            <w:u w:val="single"/>
          </w:rPr>
          <w:t>10.1021/acsami.6c06900</w:t>
        </w:r>
      </w:hyperlink>
    </w:p>
    <w:p>
      <w:pPr>
        <w:spacing w:before="0" w:after="120"/>
      </w:pPr>
      <w:r>
        <w:rPr>
          <w:b/>
        </w:rPr>
        <w:t xml:space="preserve">Notes: </w:t>
      </w:r>
      <w:r>
        <w:t>abstract_source=crossref</w:t>
      </w:r>
    </w:p>
    <w:p>
      <w:pPr>
        <w:spacing w:before="0" w:after="80" w:lineRule="auto" w:line="276"/>
      </w:pPr>
      <w:r>
        <w:rPr>
          <w:b/>
        </w:rPr>
        <w:t xml:space="preserve">摘要（ZH）: </w:t>
      </w:r>
      <w:r>
        <w:t>摘要 现代电子系统的小型化要求多层陶瓷电容器 (MLCC) 能够在不影响效率或可靠性的情况下提供高能量密度。在此，在相场模拟的指导下，这项工作建立了一个合理的设计协议，证明了顺电调制在保持稳健极化方面的优越性。我们通过精确的原子级调控在 0.88 Ba0.8Sr0.2TiO3-0.12Bi(Li0.5Ta0.5)O3 系统中实施了这一策略。多尺度表征揭示了关键的结构二元性：而高角度环形暗场扫描透射电子显微镜（HAADF-STEM）证实了全局区域分解为极性纳米区域（PNR），这对于最大限度地减少滞后现象至关重要；压电力显微镜（PFM）和相场模拟揭示了中长程铁电相关性的保存。这种分层架构有效地协调了高偏振与低能量损失。因此，所制造的 MLCC 实现了 10.17 J/cm3 的高可恢复能量密度和 98.3% 的卓越效率。此外，该器件在 691 kV/cm 下表现出强大的运行稳定性。这项工作为推进介电储能技术从理论预测到可靠的器件制造提供了一条全面的途径。</w:t>
      </w:r>
    </w:p>
    <w:p>
      <w:pPr>
        <w:spacing w:before="0" w:after="200" w:lineRule="auto" w:line="276"/>
      </w:pPr>
      <w:r>
        <w:rPr>
          <w:b/>
        </w:rPr>
        <w:t xml:space="preserve">Abstract (EN): </w:t>
      </w:r>
      <w:r>
        <w:t>The miniaturization of modern electronic systems demands multilayer ceramic capacitors (MLCCs) capable of delivering high energy density without compromising efficiency or reliability. Herein, guided by phase-field simulations, this work establishes a rational design protocol that demonstrates the superiority of paraelectric modulation in maintaining robust polarization. We implement this strategy within a 0.88 Ba0.8Sr0.2TiO3-0.12Bi(Li0.5Ta0.5)O3 system via precise atomic-scale regulation. Multiscale characterization uncovers a critical structural duality: while high-angle annular dark-field scanning transmission electron microscopy (HAADF-STEM) confirms the breakdown of global domains into polar nanoregions (PNRs), which are essential for minimizing hysteresis; piezoelectric force microscopy (PFM) and phase-field simulations reveal the preservation of medium-to-long-range ferroelectric correlations. This hierarchical architecture effectively reconciles high polarization with low energy loss. Consequently, the fabricated MLCCs achieve a high recoverable energy density of 10.17 J/cm3 and an exceptional efficiency of 98.3%. Furthermore, the devices exhibit robust operational stability under 691 kV/cm. This work provides a comprehensive pathway for advancing dielectric energy storage technology from theoretical prediction to reliable device fabrication.</w:t>
      </w:r>
    </w:p>
    <w:p>
      <w:pPr>
        <w:spacing w:before="120" w:after="120"/>
      </w:pPr>
      <w:r>
        <w:rPr>
          <w:sz w:val="18"/>
        </w:rPr>
        <w:t>——————————————————————————————————————————————————————————————————————</w:t>
      </w:r>
    </w:p>
    <w:p>
      <w:pPr>
        <w:spacing w:before="160" w:after="40" w:line="240" w:lineRule="auto"/>
      </w:pPr>
      <w:r>
        <w:rPr>
          <w:b/>
        </w:rPr>
        <w:t xml:space="preserve">[16] </w:t>
      </w:r>
      <w:hyperlink r:id="rId249">
        <w:r>
          <w:rPr>
            <w:color w:val="1155CC"/>
            <w:u w:val="single"/>
          </w:rPr>
          <w:t>完全可生物降解的混合纳米发电机，具有钼纳米粒子介导的介电增强功能，可改善体内能量收集</w:t>
        </w:r>
      </w:hyperlink>
    </w:p>
    <w:p>
      <w:pPr>
        <w:spacing w:before="0" w:after="80"/>
      </w:pPr>
      <w:r>
        <w:rPr>
          <w:i/>
          <w:sz w:val="20"/>
        </w:rPr>
        <w:t>EN: A Fully Biodegradable Hybrid Nanogenerator with Mo Nanoparticle-Mediated Dielectric Enhancement for Improved In Vivo Energy Harvesting</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250">
        <w:r>
          <w:rPr>
            <w:color w:val="1155CC"/>
            <w:u w:val="single"/>
          </w:rPr>
          <w:t>10.1021/acsami.6c09280</w:t>
        </w:r>
      </w:hyperlink>
    </w:p>
    <w:p>
      <w:pPr>
        <w:spacing w:before="0" w:after="120"/>
      </w:pPr>
      <w:r>
        <w:rPr>
          <w:b/>
        </w:rPr>
        <w:t xml:space="preserve">Notes: </w:t>
      </w:r>
      <w:r>
        <w:t>abstract_source=crossref</w:t>
      </w:r>
    </w:p>
    <w:p>
      <w:pPr>
        <w:spacing w:before="0" w:after="80" w:lineRule="auto" w:line="276"/>
      </w:pPr>
      <w:r>
        <w:rPr>
          <w:b/>
        </w:rPr>
        <w:t xml:space="preserve">摘要（ZH）: </w:t>
      </w:r>
      <w:r>
        <w:t>摘要 可在体内完全降解的植入式医疗设备消除了切除手术的需要，但由于能量收集效率低，暂时为其供电仍然是一个挑战。在这里，我们推出了一种完全可生物降解的混合纳米发电机（FB-HNG），通过可生物降解的钼（Mo）纳米颗粒介导的介电调制，其输出显着增强。通过将 Mo 纳米填料加入 PLGA 摩擦电层中，我们显着提高了其介电常数、表面粗糙度和电负性。当与自组装聚乙烯醇/甘油/聚乙烯醇（PVA/Gy/PVA）压电异质结构薄膜集成时，协同混合器件在完全可生物降解的纳米发电机中实现了迄今为止创纪录的输出电荷密度9.6 nC/cm2。整个系统由完全可降解的组件组成，包括可吸收的钼金属，在其功能寿命结束后会完全溶解。体外和体内生物相容性评估证实了其优异的生物安全性。这项工作提出了一种介电调制策略，以提高完全可生物降解电子产品的输出，突出了纳米发电机为瞬态植入式医疗设备供电的潜力。</w:t>
      </w:r>
    </w:p>
    <w:p>
      <w:pPr>
        <w:spacing w:before="0" w:after="200" w:lineRule="auto" w:line="276"/>
      </w:pPr>
      <w:r>
        <w:rPr>
          <w:b/>
        </w:rPr>
        <w:t xml:space="preserve">Abstract (EN): </w:t>
      </w:r>
      <w:r>
        <w:t>Implantable medical devices that fully degrade in the body eliminate the need for removal surgeries, yet powering them transiently remains a challenge due to low energy harvesting efficiency. Here, we introduce a fully biodegradable hybrid nanogenerator (FB-HNG) with dramatically enhanced output, enabled by biodegradable molybdenum (Mo) nanoparticle-mediated dielectric modulation. By incorporating Mo nanofillers into a PLGA triboelectric layer, we significantly enhance its dielectric constant, surface roughness, and electronegativity. When integrated with a self-assembled polyvinyl alcohol/glycerol/polyvinyl alcohol (PVA/Gy/PVA) piezoelectric heterostructure film, the synergistic hybrid device achieves a record output charge density of 9.6 nC/cm2 among fully biodegradable nanogenerators to date. The entire system, comprising fully degradable components, including the absorbable Mo metal, undergoes complete dissolution after its functional lifespan. In vitro and in vivo biocompatibility assessments confirm its excellent biosafety. This work presents a dielectric-modulation strategy to boost the output of fully biodegradable electronics, highlighting the potential of nanogenerators for powering transient implantable medical devices.</w:t>
      </w:r>
    </w:p>
    <w:p>
      <w:pPr>
        <w:spacing w:before="120" w:after="120"/>
      </w:pPr>
      <w:r>
        <w:rPr>
          <w:sz w:val="18"/>
        </w:rPr>
        <w:t>——————————————————————————————————————————————————————————————————————</w:t>
      </w:r>
    </w:p>
    <w:p>
      <w:pPr>
        <w:spacing w:before="160" w:after="40" w:line="240" w:lineRule="auto"/>
      </w:pPr>
      <w:r>
        <w:rPr>
          <w:b/>
        </w:rPr>
        <w:t xml:space="preserve">[17] </w:t>
      </w:r>
      <w:hyperlink r:id="rId251">
        <w:r>
          <w:rPr>
            <w:color w:val="1155CC"/>
            <w:u w:val="single"/>
          </w:rPr>
          <w:t>揭示氧化还原液流电池反应均匀性与电化学性能之间的耦合机制</w:t>
        </w:r>
      </w:hyperlink>
    </w:p>
    <w:p>
      <w:pPr>
        <w:spacing w:before="0" w:after="80"/>
      </w:pPr>
      <w:r>
        <w:rPr>
          <w:i/>
          <w:sz w:val="20"/>
        </w:rPr>
        <w:t>EN: Revealing the coupling mechanism between reaction uniformity and electrochemical performance in redox flow batteries</w:t>
      </w:r>
    </w:p>
    <w:p>
      <w:pPr>
        <w:spacing w:before="0" w:after="120"/>
      </w:pPr>
      <w:r>
        <w:rPr>
          <w:b/>
        </w:rPr>
        <w:t xml:space="preserve">Source: </w:t>
      </w:r>
      <w:r>
        <w:t>ScienceDirect Publication: Applied Energy</w:t>
      </w:r>
      <w:r>
        <w:t xml:space="preserve">    </w:t>
      </w:r>
      <w:r>
        <w:rPr>
          <w:b/>
        </w:rPr>
        <w:t xml:space="preserve">Pub date: </w:t>
      </w:r>
      <w:r>
        <w:t>2026-08-10 00:00:00+00:00</w:t>
      </w:r>
      <w:r>
        <w:t xml:space="preserve">    </w:t>
      </w:r>
      <w:r>
        <w:rPr>
          <w:b/>
        </w:rPr>
        <w:t xml:space="preserve">DOI: </w:t>
      </w:r>
      <w:hyperlink r:id="rId252">
        <w:r>
          <w:rPr>
            <w:color w:val="1155CC"/>
            <w:u w:val="single"/>
          </w:rPr>
          <w:t>10.1016/j.apenergy.2026.128657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53">
        <w:r>
          <w:rPr>
            <w:color w:val="1155CC"/>
            <w:u w:val="single"/>
          </w:rPr>
          <w:t>由多孔 Vitrimer 实现的可回收锌离子结构超级电容器</w:t>
        </w:r>
      </w:hyperlink>
    </w:p>
    <w:p>
      <w:pPr>
        <w:spacing w:before="0" w:after="80"/>
      </w:pPr>
      <w:r>
        <w:rPr>
          <w:i/>
          <w:sz w:val="20"/>
        </w:rPr>
        <w:t>EN: Recyclable Zinc Ion Structural Supercapacitor Enabled by Porous Vitrimer</w:t>
      </w:r>
    </w:p>
    <w:p>
      <w:pPr>
        <w:spacing w:before="0" w:after="120"/>
      </w:pPr>
      <w:r>
        <w:rPr>
          <w:b/>
        </w:rPr>
        <w:t xml:space="preserve">Source: </w:t>
      </w:r>
      <w:r>
        <w:t>ACS Energy Letters: Latest Articles (ACS Publications)</w:t>
      </w:r>
      <w:r>
        <w:t xml:space="preserve">    </w:t>
      </w:r>
      <w:r>
        <w:rPr>
          <w:b/>
        </w:rPr>
        <w:t xml:space="preserve">Pub date: </w:t>
      </w:r>
      <w:r>
        <w:t>2026-08-11 00:00:00+00:00</w:t>
      </w:r>
      <w:r>
        <w:t xml:space="preserve">    </w:t>
      </w:r>
      <w:r>
        <w:rPr>
          <w:b/>
        </w:rPr>
        <w:t xml:space="preserve">DOI: </w:t>
      </w:r>
      <w:hyperlink r:id="rId254">
        <w:r>
          <w:rPr>
            <w:color w:val="1155CC"/>
            <w:u w:val="single"/>
          </w:rPr>
          <w:t>10.1021/acsenergylett.6c01274</w:t>
        </w:r>
      </w:hyperlink>
    </w:p>
    <w:p>
      <w:pPr>
        <w:spacing w:before="0" w:after="120"/>
      </w:pPr>
      <w:r>
        <w:rPr>
          <w:b/>
        </w:rPr>
        <w:t xml:space="preserve">Notes: </w:t>
      </w:r>
      <w:r>
        <w:t>abstract_source=crossref</w:t>
      </w:r>
    </w:p>
    <w:p>
      <w:pPr>
        <w:spacing w:before="0" w:after="80" w:lineRule="auto" w:line="276"/>
      </w:pPr>
      <w:r>
        <w:rPr>
          <w:b/>
        </w:rPr>
        <w:t xml:space="preserve">摘要（ZH）: </w:t>
      </w:r>
      <w:r>
        <w:t>摘要 结构电化学电池结合了承载和储能功能，以满足便携式系统不断增长的能源需求。然而，这些集成复合材料在使用寿命结束时很难拆卸。为了实现可持续性，这项工作设计了 vitrimers 来创建一种固态电解质，为结构储能设备提供机械强度、高离子电导率和可回收性。结构锌离子超级电容器在18 W kg−1的功率密度下实现了13.9 GPa的高弯曲模量和3.57 Wh kg−1的比能量。该多功能设备集成到滑翔机的机翼中，为机载发动机提供动力，以延长飞行距离。该复合结构可通过室温反应进行回收，从而实现碳纤维阴极的回收和再利用。回收的材料被重新制成新电池，以进一步延长材料寿命，维持超过 172,000 次氧化还原循环，并展示了一条通往循环、耐用能源存储结构的有前途的途径。</w:t>
      </w:r>
    </w:p>
    <w:p>
      <w:pPr>
        <w:spacing w:before="0" w:after="200" w:lineRule="auto" w:line="276"/>
      </w:pPr>
      <w:r>
        <w:rPr>
          <w:b/>
        </w:rPr>
        <w:t xml:space="preserve">Abstract (EN): </w:t>
      </w:r>
      <w:r>
        <w:t>Structural electrochemical cells combine load-bearing and energy storage functions to meet growing energy demands in portable systems. However, these integrated composites are difficult to disassemble at the end of life. To attain sustainability, this work engineers vitrimers to create a solid-state electrolyte that delivers mechanical strength, high ionic conductivity, and recyclability for structural energy storage devices. The structural zinc ion supercapacitors achieve a high flexural modulus of 13.9 GPa and a specific energy of 3.57 Wh kg−1 at a power density of 18 W kg−1. Integrated into a glider’s wings, the multifunctional device powers the onboard motor to extend the flight distance. The composite structure is recyclable through a room-temperature reaction, enabling recovery and reuse of the carbon-fiber cathode. The reclaimed materials are remade into new cells to further extend material lifetime, sustaining over 172,000 redox cycles and demonstrating a promising route towards circular, durable energy storage structures.</w:t>
      </w:r>
    </w:p>
    <w:p>
      <w:pPr>
        <w:spacing w:before="120" w:after="120"/>
      </w:pPr>
      <w:r>
        <w:rPr>
          <w:sz w:val="18"/>
        </w:rPr>
        <w:t>——————————————————————————————————————————————————————————————————————</w:t>
      </w:r>
    </w:p>
    <w:p>
      <w:pPr>
        <w:spacing w:before="160" w:after="40" w:line="240" w:lineRule="auto"/>
      </w:pPr>
      <w:r>
        <w:rPr>
          <w:b/>
        </w:rPr>
        <w:t xml:space="preserve">[19] </w:t>
      </w:r>
      <w:hyperlink r:id="rId255">
        <w:r>
          <w:rPr>
            <w:color w:val="1155CC"/>
            <w:u w:val="single"/>
          </w:rPr>
          <w:t>通过生命周期评估评估抽水蓄能系统的影响</w:t>
        </w:r>
      </w:hyperlink>
    </w:p>
    <w:p>
      <w:pPr>
        <w:spacing w:before="0" w:after="80"/>
      </w:pPr>
      <w:r>
        <w:rPr>
          <w:i/>
          <w:sz w:val="20"/>
        </w:rPr>
        <w:t>EN: Evaluating pumped hydro storage system impacts through life cycle assessment</w:t>
      </w:r>
    </w:p>
    <w:p>
      <w:pPr>
        <w:spacing w:before="0" w:after="120"/>
      </w:pPr>
      <w:r>
        <w:rPr>
          <w:b/>
        </w:rPr>
        <w:t xml:space="preserve">Source: </w:t>
      </w:r>
      <w:r>
        <w:t>ScienceDirect Publication: Applied Energy</w:t>
      </w:r>
      <w:r>
        <w:t xml:space="preserve">    </w:t>
      </w:r>
      <w:r>
        <w:rPr>
          <w:b/>
        </w:rPr>
        <w:t xml:space="preserve">Pub date: </w:t>
      </w:r>
      <w:r>
        <w:t>2026-08-11 00:00:00+00:00</w:t>
      </w:r>
      <w:r>
        <w:t xml:space="preserve">    </w:t>
      </w:r>
      <w:r>
        <w:rPr>
          <w:b/>
        </w:rPr>
        <w:t xml:space="preserve">DOI: </w:t>
      </w:r>
      <w:hyperlink r:id="rId256">
        <w:r>
          <w:rPr>
            <w:color w:val="1155CC"/>
            <w:u w:val="single"/>
          </w:rPr>
          <w:t>10.1016/j.apenergy.2026.128604</w:t>
        </w:r>
      </w:hyperlink>
    </w:p>
    <w:p>
      <w:pPr>
        <w:spacing w:before="0" w:after="120"/>
      </w:pPr>
      <w:r>
        <w:rPr>
          <w:b/>
        </w:rPr>
        <w:t xml:space="preserve">Notes: </w:t>
      </w:r>
      <w:r>
        <w:t>abstract_source=openalex</w:t>
      </w:r>
    </w:p>
    <w:p>
      <w:pPr>
        <w:spacing w:before="0" w:after="80" w:lineRule="auto" w:line="276"/>
      </w:pPr>
      <w:r>
        <w:rPr>
          <w:b/>
        </w:rPr>
        <w:t xml:space="preserve">摘要（ZH）: </w:t>
      </w:r>
      <w:r>
        <w:t>近年来，太阳能和风能等可再生能源的快速整合由于其输出依赖于天气而给电网稳定性带来了挑战，因此抽水蓄能（PHS）系统等可靠的存储解决方案至关重要。因此，本研究旨在使用生命周期评估（LCA）方法来评估环境影响。库存数据源自通过基于 Python 的数学物理模型模拟的能源和水流，参考现有的欧洲阿尔卑斯设施。从生态设计的角度来看，模拟有助于对系统流程进行初步建模，从而能够对系统行为进行详细预测。分析了三种现实场景，包括风能、电网、水力发电厂 (HPP)、PHS 和需求负载的能源组合，并通过主动系统元素进行区分。 LCA研究采用的系统边界是从摇篮到坟墓，采用的影响评估方法是ReCiPe 2016和EF 3.1。结果表明，与基准情景（即没有 PHS）相比，PHS 系统的存在显着减少了温室气体排放（即 -81%）和其他环境影响，尽管它引入了主要与基础设施建设的钢铁和水泥生产相关的环境负担。这项研究强调了通过主要行业来源提高生命周期清单数据质量的必要性，并建议将光伏系统纳入未来的模型中，以进行更全面的评估。</w:t>
      </w:r>
    </w:p>
    <w:p>
      <w:pPr>
        <w:spacing w:before="0" w:after="200" w:lineRule="auto" w:line="276"/>
      </w:pPr>
      <w:r>
        <w:rPr>
          <w:b/>
        </w:rPr>
        <w:t xml:space="preserve">Abstract (EN): </w:t>
      </w:r>
      <w:r>
        <w:t>In recent years, the rapid integration of renewable energies like solar and wind introduces grid stability challenges due to their weather-dependent output, making reliable storage solutions such as Pumped Hydro Storage (PHS) systems essential. Consequently, this study aims to evaluate the environmental impacts using Life Cycle Assessment (LCA) methodology. The inventory data stem from simulated energy and water flows through a mathematical-physics model based on Python, referring to an existing European Alpine facility. From an eco-design standpoint, the simulation facilitated preliminary modelling of system flows, enabling a detailed prediction of system behaviour. Three realistic scenarios were analysed, featuring energy mixes from wind, grid, hydroelectric plants (HPP), PHS, and demand loads, differentiated by active system elements. The system boundaries adopted for the LCA study are cradle-to-grave, and the impact assessment methods used are ReCiPe 2016 and EF 3.1. The results reveal that the presence of PHS system significantly reduces greenhouse gas emissions (i.e., −81%) and other environmental impacts compared to the baseline scenario (i.e., without PHS), although it introduces environmental burdens primarily associated with steel and cement production for infrastructure construction. This study emphasizes the necessity of enhancing Life Cycle Inventory data quality through primary industry sources and recommends incorporating photovoltaic systems into future models for a more holistic evaluation.</w:t>
      </w:r>
    </w:p>
    <w:p>
      <w:pPr>
        <w:spacing w:before="120" w:after="120"/>
      </w:pPr>
      <w:r>
        <w:rPr>
          <w:sz w:val="18"/>
        </w:rPr>
        <w:t>——————————————————————————————————————————————————————————————————————</w:t>
      </w:r>
    </w:p>
    <w:p>
      <w:pPr>
        <w:spacing w:before="160" w:after="40" w:line="240" w:lineRule="auto"/>
      </w:pPr>
      <w:r>
        <w:rPr>
          <w:b/>
        </w:rPr>
        <w:t xml:space="preserve">[20] </w:t>
      </w:r>
      <w:hyperlink r:id="rId257">
        <w:r>
          <w:rPr>
            <w:color w:val="1155CC"/>
            <w:u w:val="single"/>
          </w:rPr>
          <w:t>用于高灵敏度和宽范围电容压力传感的互锁半球形圆锥形多孔介电层</w:t>
        </w:r>
      </w:hyperlink>
    </w:p>
    <w:p>
      <w:pPr>
        <w:spacing w:before="0" w:after="80"/>
      </w:pPr>
      <w:r>
        <w:rPr>
          <w:i/>
          <w:sz w:val="20"/>
        </w:rPr>
        <w:t>EN: Interlocked Hemispherical−Conical Porous Dielectric Layers for High-Sensitivity and Wide-Range Capacitive Pressure Sensing</w:t>
      </w:r>
    </w:p>
    <w:p>
      <w:pPr>
        <w:spacing w:before="0" w:after="120"/>
      </w:pPr>
      <w:r>
        <w:rPr>
          <w:b/>
        </w:rPr>
        <w:t xml:space="preserve">Source: </w:t>
      </w:r>
      <w:r>
        <w:t>ACS Applied Materials &amp; Interfaces: Latest Articles (ACS Publications)</w:t>
      </w:r>
      <w:r>
        <w:t xml:space="preserve">    </w:t>
      </w:r>
      <w:r>
        <w:rPr>
          <w:b/>
        </w:rPr>
        <w:t xml:space="preserve">Pub date: </w:t>
      </w:r>
      <w:r>
        <w:t>2026-08-11 00:00:00+00:00</w:t>
      </w:r>
      <w:r>
        <w:t xml:space="preserve">    </w:t>
      </w:r>
      <w:r>
        <w:rPr>
          <w:b/>
        </w:rPr>
        <w:t xml:space="preserve">DOI: </w:t>
      </w:r>
      <w:hyperlink r:id="rId258">
        <w:r>
          <w:rPr>
            <w:color w:val="1155CC"/>
            <w:u w:val="single"/>
          </w:rPr>
          <w:t>10.1021/acsami.6c10724</w:t>
        </w:r>
      </w:hyperlink>
    </w:p>
    <w:p>
      <w:pPr>
        <w:spacing w:before="0" w:after="120"/>
      </w:pPr>
      <w:r>
        <w:rPr>
          <w:b/>
        </w:rPr>
        <w:t xml:space="preserve">Notes: </w:t>
      </w:r>
      <w:r>
        <w:t>abstract_source=crossref</w:t>
      </w:r>
    </w:p>
    <w:p>
      <w:pPr>
        <w:spacing w:before="0" w:after="80" w:lineRule="auto" w:line="276"/>
      </w:pPr>
      <w:r>
        <w:rPr>
          <w:b/>
        </w:rPr>
        <w:t xml:space="preserve">摘要（ZH）: </w:t>
      </w:r>
      <w:r>
        <w:t>摘要 柔性电容式压力传感器需要在广泛的检测范围内具有高灵敏度，以同时捕获微妙的生理信号和宏观机械刺激。然而，为增强低压灵敏度而设计的介电层通常会在高压下遭受结构致密化和响应饱和的影响，从而导致灵敏度和传感范围之间不可避免的权衡。在此，我们提出了一种柔性电容式压力传感器，其具有合理设计的聚（二甲基硅氧烷）/多壁碳纳米管（PDMS/MWCNT）复合介电层。该层采用互锁双层结构，其特征是内部孔隙旁边交错的半球形和圆锥形突起。在压缩下，该结构通过局部接触增强、层间互锁和孔隙塌陷而经历逐步变形，从而增强了宽压力范围内的电容响应。因此，它可以实现多尺度监测，从微妙的生理信号到强大的关节运动和夹持力。此外，椅子集成的 3 × 5 传感器阵列实现了低串扰的空间压力映射，并以 98.82% 的准确度识别了五种典型的坐姿。这项工作为广泛的智能压力传感器提供了强大的结构策略，有望用于各种人机交互应用。</w:t>
      </w:r>
    </w:p>
    <w:p>
      <w:pPr>
        <w:spacing w:before="0" w:after="200" w:lineRule="auto" w:line="276"/>
      </w:pPr>
      <w:r>
        <w:rPr>
          <w:b/>
        </w:rPr>
        <w:t xml:space="preserve">Abstract (EN): </w:t>
      </w:r>
      <w:r>
        <w:t>Flexible capacitive pressure sensors demand high sensitivity across a broad detection range to simultaneously capture subtle physiological signals and macroscopic mechanical stimuli. Nevertheless, dielectric layers engineered to enhance low-pressure sensitivity typically suffer from structural densification and response saturation under high pressure, resulting in an inevitable trade-off between sensitivity and sensing range. Herein, we present a flexible capacitive pressure sensor featuring a rationally designed poly(dimethylsiloxane)/multiwalled carbon nanotube (PDMS/MWCNT) composite dielectric layer. This layer utilizes an interlocking double-layer architecture characterized by interlaced hemispherical and conical protrusions alongside internal pores. Under compression, this structure undergoes stepwise deformation via local contact enhancement, interlayer interlocking, and pore collapse, thereby enhancing the capacitive response across a broad pressure range. Consequently, it enables multiscale monitoring, ranging from subtle physiological signals to robust joint motions and gripping forces. Furthermore, a chair-integrated 3 × 5 sensor array achieved low-crosstalk spatial pressure mapping and recognized five typical sitting postures with 98.82% accuracy. This work offers a powerful structural strategy for broad-range intelligent pressure sensors, promising for diverse human−machine interaction applications.</w:t>
      </w:r>
    </w:p>
    <w:p>
      <w:pPr>
        <w:spacing w:before="120" w:after="120"/>
      </w:pPr>
      <w:r>
        <w:rPr>
          <w:sz w:val="18"/>
        </w:rPr>
        <w:t>——————————————————————————————————————————————————————————————————————</w:t>
      </w:r>
    </w:p>
    <w:p>
      <w:pPr>
        <w:spacing w:before="160" w:after="40" w:line="240" w:lineRule="auto"/>
      </w:pPr>
      <w:r>
        <w:rPr>
          <w:b/>
        </w:rPr>
        <w:t xml:space="preserve">[21] </w:t>
      </w:r>
      <w:hyperlink r:id="rId259">
        <w:r>
          <w:rPr>
            <w:color w:val="1155CC"/>
            <w:u w:val="single"/>
          </w:rPr>
          <w:t>面内分子线桥接作为提高 MXene 纤维强度和韧性的方法</w:t>
        </w:r>
      </w:hyperlink>
    </w:p>
    <w:p>
      <w:pPr>
        <w:spacing w:before="0" w:after="80"/>
      </w:pPr>
      <w:r>
        <w:rPr>
          <w:i/>
          <w:sz w:val="20"/>
        </w:rPr>
        <w:t>EN: In-plane molecular cord bridging as a method for boosting MXene fiber strength and toughness</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MXene 使高性能纤维具有强度、韧性和导电性，但纳米片之间较弱的边对边相互作用仍然是一个关键挑战。受层状装甲的绳索结构的启发，我们使用羧甲基纤维素包裹的单壁碳纳米管的分子绳通过离子配位桥接相邻的 MXene 纳米片。通过温和、连续的湿纺、交联和热压，我们制造了仅含有 0.12 wt% 分子线的 MXene 纤维，具有增强的机械性能：拉伸强度为 1.48 ± 0.06 GPa（峰值：1.55 GPa），延展性为 17.7 ± 0.8%，韧性为 131.0 ± 8.7 MJ m−3（峰值： 140 MJ m−3)，比原始 MXene 纤维增强了 480%、300% 和 1620%，同时保持高于 10,400 S cm−1 的电导率和 1645 F cm−3 的体积电容。这些分子线增强了层间粘合和面内桥接，从而在二维纳米片纤维中实现有效的应力传递和裂纹抑制。这种分子绳策略有可能用于最大限度地提高源自其他二维纳米片的纤维的机械性能。</w:t>
      </w:r>
    </w:p>
    <w:p>
      <w:pPr>
        <w:spacing w:before="0" w:after="200" w:lineRule="auto" w:line="276"/>
      </w:pPr>
      <w:r>
        <w:rPr>
          <w:b/>
        </w:rPr>
        <w:t xml:space="preserve">Abstract (EN): </w:t>
      </w:r>
      <w:r>
        <w:t>MXenes enable high-performance fibers with strength, toughness, and conductivity, yet weak edge-to-edge interactions between nanosheets remain a critical challenge. Inspired by the cord-bound architecture of lamellar armor, we use molecular cords of carboxymethyl cellulose-wrapped single-walled carbon nanotubes to bridge adjacent MXene nanosheets via ionic coordination. Through mild and continuous wet-spinning, crosslinking, and hot-pressing, we fabricate MXene fibers containing only 0.12 wt% of the molecular cords that deliver enhanced mechanical properties: a tensile strength of 1.48 ± 0.06 GPa (peak: 1.55 GPa), ductility of 17.7 ± 0.8%, and toughness of 131.0 ± 8.7 MJ m−3 (peak: 140 MJ m−3), representing enhancements of 480%, 300%, and 1620% over pristine MXene fibers, while retaining electrical conductivity above 10,400 S cm−1 and a volumetric capacitance of 1645 F cm−3. These molecular cords reinforce interlayer bonding and in-plane bridges, enabling efficient stress transfer and crack inhibition in 2D nanosheet fibers. This molecular cord strategy could potentially be applied to maximize the mechanical performance of fibers derived from other two-dimensional nanosheets.</w:t>
      </w:r>
    </w:p>
    <w:p>
      <w:pPr>
        <w:spacing w:before="120" w:after="120"/>
      </w:pPr>
      <w:r>
        <w:rPr>
          <w:sz w:val="18"/>
        </w:rPr>
        <w:t>——————————————————————————————————————————————————————————————————————</w:t>
      </w:r>
    </w:p>
    <w:p>
      <w:pPr>
        <w:spacing w:before="160" w:after="40" w:line="240" w:lineRule="auto"/>
      </w:pPr>
      <w:r>
        <w:rPr>
          <w:b/>
        </w:rPr>
        <w:t xml:space="preserve">[22] </w:t>
      </w:r>
      <w:hyperlink r:id="rId260">
        <w:r>
          <w:rPr>
            <w:color w:val="1155CC"/>
            <w:u w:val="single"/>
          </w:rPr>
          <w:t>通过沉淀物控制和界面水合实现铝空气电池的连续、类似燃料电池的运行</w:t>
        </w:r>
      </w:hyperlink>
    </w:p>
    <w:p>
      <w:pPr>
        <w:spacing w:before="0" w:after="80"/>
      </w:pPr>
      <w:r>
        <w:rPr>
          <w:i/>
          <w:sz w:val="20"/>
        </w:rPr>
        <w:t>EN: Continuous, fuel-cell-like operation of aluminum-air batteries via precipitate control and interfacial hydration</w:t>
      </w:r>
    </w:p>
    <w:p>
      <w:pPr>
        <w:spacing w:before="0" w:after="120"/>
      </w:pPr>
      <w:r>
        <w:rPr>
          <w:b/>
        </w:rPr>
        <w:t xml:space="preserve">Source: </w:t>
      </w:r>
      <w:r>
        <w:t>Joule</w:t>
      </w:r>
      <w:r>
        <w:t xml:space="preserve">    </w:t>
      </w:r>
      <w:r>
        <w:rPr>
          <w:b/>
        </w:rPr>
        <w:t xml:space="preserve">Pub date: </w:t>
      </w:r>
      <w:r>
        <w:t>2026-08-12 00:00:00+00:00</w:t>
      </w:r>
      <w:r>
        <w:t xml:space="preserve">    </w:t>
      </w:r>
      <w:r>
        <w:rPr>
          <w:b/>
        </w:rPr>
        <w:t xml:space="preserve">DOI: </w:t>
      </w:r>
      <w:hyperlink r:id="rId261">
        <w:r>
          <w:rPr>
            <w:color w:val="1155CC"/>
            <w:u w:val="single"/>
          </w:rPr>
          <w:t>10.1016/j.joule.2026.102629</w:t>
        </w:r>
      </w:hyperlink>
    </w:p>
    <w:p>
      <w:pPr>
        <w:spacing w:before="0" w:after="120"/>
      </w:pPr>
      <w:r>
        <w:rPr>
          <w:b/>
        </w:rPr>
        <w:t xml:space="preserve">Notes: </w:t>
      </w:r>
      <w:r>
        <w:t>abstract_source=rss_cell</w:t>
      </w:r>
    </w:p>
    <w:p>
      <w:pPr>
        <w:spacing w:before="0" w:after="80" w:lineRule="auto" w:line="276"/>
      </w:pPr>
      <w:r>
        <w:rPr>
          <w:b/>
        </w:rPr>
        <w:t xml:space="preserve">摘要（ZH）: </w:t>
      </w:r>
      <w:r>
        <w:t>施等人。研究表明，当同时控制放电产物的积累、水合、氢气释放和界面接触时，铝-空气电池可以以类似燃料电池的模式运行。可更换的阳极袋、电解质微剂量和兼容的外壳在补充金属燃料的同时保留了可重复使用的硬件，为由金属空气系统供电的连续运行机器提供了设计原理。</w:t>
      </w:r>
    </w:p>
    <w:p>
      <w:pPr>
        <w:spacing w:before="0" w:after="200" w:lineRule="auto" w:line="276"/>
      </w:pPr>
      <w:r>
        <w:rPr>
          <w:b/>
        </w:rPr>
        <w:t xml:space="preserve">Abstract (EN): </w:t>
      </w:r>
      <w:r>
        <w:t>Shi et al. show that aluminum-air batteries can operate in a fuel-cell-like mode when discharge-product buildup, hydration, hydrogen release, and interfacial contact are controlled together. A replaceable anode pouch, electrolyte microdosing, and a compliant enclosure preserve reusable hardware while replenishing metal fuel, providing design principles for continuously operating machines powered by metal-air systems.</w:t>
      </w:r>
    </w:p>
    <w:p>
      <w:pPr>
        <w:spacing w:before="120" w:after="120"/>
      </w:pPr>
      <w:r>
        <w:rPr>
          <w:sz w:val="18"/>
        </w:rPr>
        <w:t>——————————————————————————————————————————————————————————————————————</w:t>
      </w:r>
    </w:p>
    <w:p>
      <w:pPr>
        <w:spacing w:before="160" w:after="40" w:line="240" w:lineRule="auto"/>
      </w:pPr>
      <w:r>
        <w:rPr>
          <w:b/>
        </w:rPr>
        <w:t xml:space="preserve">[23] </w:t>
      </w:r>
      <w:hyperlink r:id="rId262">
        <w:r>
          <w:rPr>
            <w:color w:val="1155CC"/>
            <w:u w:val="single"/>
          </w:rPr>
          <w:t>海藻酸钠增强 PAAKS 水凝胶电解质具有协同增强的拉伸性和导电性，适用于柔性锌空气电池和自供电传感</w:t>
        </w:r>
      </w:hyperlink>
    </w:p>
    <w:p>
      <w:pPr>
        <w:spacing w:before="0" w:after="80"/>
      </w:pPr>
      <w:r>
        <w:rPr>
          <w:i/>
          <w:sz w:val="20"/>
        </w:rPr>
        <w:t>EN: Sodium Alginate Reinforced PAAKS Hydrogel Electrolyte with Synergistically Enhanced Stretchability and Conductivity for Flexible Zinc–Air Batteries and Self-Powered Sensing</w:t>
      </w:r>
    </w:p>
    <w:p>
      <w:pPr>
        <w:spacing w:before="0" w:after="120"/>
      </w:pPr>
      <w:r>
        <w:rPr>
          <w:b/>
        </w:rPr>
        <w:t xml:space="preserve">Source: </w:t>
      </w:r>
      <w:r>
        <w:t>ACS Applied Materials &amp; Interfaces: Latest Articles (ACS Publications)</w:t>
      </w:r>
      <w:r>
        <w:t xml:space="preserve">    </w:t>
      </w:r>
      <w:r>
        <w:rPr>
          <w:b/>
        </w:rPr>
        <w:t xml:space="preserve">Pub date: </w:t>
      </w:r>
      <w:r>
        <w:t>2026-08-12 00:00:00+00:00</w:t>
      </w:r>
      <w:r>
        <w:t xml:space="preserve">    </w:t>
      </w:r>
      <w:r>
        <w:rPr>
          <w:b/>
        </w:rPr>
        <w:t xml:space="preserve">DOI: </w:t>
      </w:r>
      <w:hyperlink r:id="rId263">
        <w:r>
          <w:rPr>
            <w:color w:val="1155CC"/>
            <w:u w:val="single"/>
          </w:rPr>
          <w:t>10.1021/acsami.6c13985</w:t>
        </w:r>
      </w:hyperlink>
    </w:p>
    <w:p>
      <w:pPr>
        <w:spacing w:before="0" w:after="120"/>
      </w:pPr>
      <w:r>
        <w:rPr>
          <w:b/>
        </w:rPr>
        <w:t xml:space="preserve">Notes: </w:t>
      </w:r>
      <w:r>
        <w:t>abstract_source=crossref</w:t>
      </w:r>
    </w:p>
    <w:p>
      <w:pPr>
        <w:spacing w:before="0" w:after="80" w:lineRule="auto" w:line="276"/>
      </w:pPr>
      <w:r>
        <w:rPr>
          <w:b/>
        </w:rPr>
        <w:t xml:space="preserve">摘要（ZH）: </w:t>
      </w:r>
      <w:r>
        <w:t>摘要 先进的人机界面技术需要灵活的可穿戴电子产品，包括传感器和能量存储。水凝胶对于这些设备至关重要，但通常受到韧性差、应变下开裂和离子电导率低的限制。为了解决这些问题，通过将海藻酸钠（SA）纳入互穿网络来制备高性能复合水凝胶PAAKS（已制备）。 SA 增强了机械性能，拉伸断裂能为 1641 kJ·m–3，断裂伸长率为 2260%，拉伸强度为 5.5 kPa。无需KOH浸泡，即可将离子电导率提升至1.48 S·m–1，实现强度、韧性和电导率的协同优化。当用作柔性锌空气电池（FZAB）的电解质时，KOH浸泡的PAAKS水凝胶能够实现33小时的稳定充放电循环，比容量为798 mAh·g–1。两个串联电池成功为发光二极管 (LED) 和电子钟供电。该水凝胶还表现出作为应变传感器的高灵敏度（应变系数，GF = 2.28），可检测 1% 至 600% 的变形，并可作为摩擦纳米发电机，开路电压为 11 V，最大功率密度为 0.027 W·m–2。这项研究为设计水凝胶电解质和开发稳定的 FZAB 提供了新的见解。</w:t>
      </w:r>
    </w:p>
    <w:p>
      <w:pPr>
        <w:spacing w:before="0" w:after="200" w:lineRule="auto" w:line="276"/>
      </w:pPr>
      <w:r>
        <w:rPr>
          <w:b/>
        </w:rPr>
        <w:t xml:space="preserve">Abstract (EN): </w:t>
      </w:r>
      <w:r>
        <w:t>Advanced human–machine interface technology demands flexible wearable electronics, including sensors and energy storage. Hydrogels, crucial to these devices, are often limited by poor toughness, cracking under strain, and low ionic conductivity. To address these issues, a high-performance composite hydrogel, PAAKS (as-prepared), was prepared by incorporating sodium alginate (SA) into an interpenetrating network. SA enhances mechanical properties, resulting in a tensile fracture energy of 1641 kJ·m–3, an elongation at break of 2260%, and a tensile strength of 5.5 kPa. It without KOH immersion, it boosts the ionic conductivity to 1.48 S·m–1, achieving synergistic optimization of strength, toughness, and conductivity. When used as an electrolyte in flexible zinc–air batteries (FZABs), the KOH-soaked PAAKS hydrogel enabled stable charge–discharge cycling for 33 h with a specific capacity of 798 mAh·g–1. Two series-connected batteries successfully power light-emitting diodes (LEDs) and electronic clocks. The hydrogel also demonstrated high sensitivity (gauge factor, GF = 2.28) as a strain sensor, detecting deformations from 1% to 600%, and functioned as a triboelectric nanogenerator with an open-circuit voltage of 11 V and a maximum power density of 0.027 W·m–2. This research offers new insights for designing hydrogel electrolytes and developing stable FZABs.</w:t>
      </w:r>
    </w:p>
    <w:p>
      <w:pPr>
        <w:spacing w:before="120" w:after="120"/>
      </w:pPr>
      <w:r>
        <w:rPr>
          <w:sz w:val="18"/>
        </w:rPr>
        <w:t>——————————————————————————————————————————————————————————————————————</w:t>
      </w:r>
    </w:p>
    <w:p>
      <w:pPr>
        <w:spacing w:before="160" w:after="40" w:line="240" w:lineRule="auto"/>
      </w:pPr>
      <w:r>
        <w:rPr>
          <w:b/>
        </w:rPr>
        <w:t xml:space="preserve">[24] </w:t>
      </w:r>
      <w:hyperlink r:id="rId264">
        <w:r>
          <w:rPr>
            <w:color w:val="1155CC"/>
            <w:u w:val="single"/>
          </w:rPr>
          <w:t>约束诱导的唐南势使得微升水能够产生密封的水力发电</w:t>
        </w:r>
      </w:hyperlink>
    </w:p>
    <w:p>
      <w:pPr>
        <w:spacing w:before="0" w:after="80"/>
      </w:pPr>
      <w:r>
        <w:rPr>
          <w:i/>
          <w:sz w:val="20"/>
        </w:rPr>
        <w:t>EN: Confinement‐Induced Donnan Potential Enables Sealed Hydrovoltaic Power From Microliter Water</w:t>
      </w:r>
    </w:p>
    <w:p>
      <w:pPr>
        <w:spacing w:before="0" w:after="120"/>
      </w:pPr>
      <w:r>
        <w:rPr>
          <w:b/>
        </w:rPr>
        <w:t xml:space="preserve">Source: </w:t>
      </w:r>
      <w:r>
        <w:t>Wiley: Advanced Materials: Table of Contents</w:t>
      </w:r>
      <w:r>
        <w:t xml:space="preserve">    </w:t>
      </w:r>
      <w:r>
        <w:rPr>
          <w:b/>
        </w:rPr>
        <w:t xml:space="preserve">Pub date: </w:t>
      </w:r>
      <w:r>
        <w:t>2026-08-12 07:56:07+00:00</w:t>
      </w:r>
      <w:r>
        <w:t xml:space="preserve">    </w:t>
      </w:r>
      <w:r>
        <w:rPr>
          <w:b/>
        </w:rPr>
        <w:t xml:space="preserve">DOI: </w:t>
      </w:r>
      <w:hyperlink r:id="rId265">
        <w:r>
          <w:rPr>
            <w:color w:val="1155CC"/>
            <w:u w:val="single"/>
          </w:rPr>
          <w:t>10.1002/adma.74566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力发电为可持续能源发电提供了一条有前途的途径，但现有系统通常依赖于蒸发驱动流或环境湿度梯度，限制了设备封装和紧凑集成。在这里，我们引入了一种约束诱导的离子选择机制，可以用最少的水输入实现密封水力发电。通过在 MXene/纤维素纳米纤维 (CNF) 复合材料中设计不对称纳米通道限制，局部水合产生空间上不同的阳离子选择性，建立持久的离子梯度和驱动电容电荷积累的限制依赖的唐南电位。所收获的能量来自于具有高表面积与体积比的纳米通道水合时释放的大量界面自由能。缓慢的毛细管迁移会延迟离子梯度的松弛，维持这种充电并延长由此产生的直流电 (DC) 输出，而不依赖于蒸发驱动的流或环境湿度。因此，单个 3 µL 水滴可实现长达 45 小时的稳定直流输出。该设备在气流（5–20 L min</w:t>
      </w:r>
      <w:r>
        <w:t xml:space="preserve"> </w:t>
      </w:r>
      <w:r>
        <w:t>−1</w:t>
      </w:r>
      <w:r>
        <w:t xml:space="preserve"> </w:t>
      </w:r>
      <w:r>
        <w:t>）、相对湿度（17%–90%）和各种电解质（自来水、海水和汗水），展示了对湿度不敏感的密封操作。这种约束控制的水力发电框架扩展了对水力发电的机械理解，并为可穿戴和分布式发电提供了一个可扩展的平台</w:t>
      </w:r>
    </w:p>
    <w:p>
      <w:pPr>
        <w:spacing w:before="0" w:after="200" w:lineRule="auto" w:line="276"/>
      </w:pPr>
      <w:r>
        <w:rPr>
          <w:b/>
        </w:rPr>
        <w:t xml:space="preserve">Abstract (EN): </w:t>
      </w:r>
      <w:r>
        <w:t>Hydrovoltaic power generation offers a promising route for sustainable energy generation, yet existing systems typically rely on evaporation‐driven flow or environmental moisture gradients, limiting device encapsulation and compact integration. Here, we introduce a confinement‐induced ion‐selective mechanism that enables sealed hydrovoltaic power generation from minimal water input. By engineering asymmetric nanochannel confinement in MXene/cellulose nanofiber (CNF) composites, localized hydration generates spatially distinct cation selectivity, establishing a persistent ion gradient and a confinement‐dependent Donnan potential that drives capacitive charge accumulation. The harvested energy derives from substantial interfacial free energy released upon hydration of nanochannels with a high surface‐to‐volume ratio. Slow capillary migration then delays relaxation of the ion gradient, sustaining this charging and prolonging the resulting direct current (DC) output, without reliance on evaporation‐driven flow or ambient humidity. Consequently, a single 3 µL water droplet enables stable DC output for up to 45 h. The device operates robustly under airflow (5–20 L min</w:t>
      </w:r>
      <w:r>
        <w:t xml:space="preserve"> </w:t>
      </w:r>
      <w:r>
        <w:t>−1</w:t>
      </w:r>
      <w:r>
        <w:t xml:space="preserve"> </w:t>
      </w:r>
      <w:r>
        <w:t>), relative humidity (17%–90%), and various electrolytes (tap water, seawater, and sweat), demonstrating humidity‐insensitive, sealed operation. This confinement‐governed hydrovoltaic framework expands the mechanistic understanding of water‐enabled energy generation and provides a scalable platform for wearable and distributed electronics.</w:t>
      </w:r>
    </w:p>
    <w:p>
      <w:pPr>
        <w:spacing w:before="120" w:after="120"/>
      </w:pPr>
      <w:r>
        <w:rPr>
          <w:sz w:val="18"/>
        </w:rPr>
        <w:t>——————————————————————————————————————————————————————————————————————</w:t>
      </w:r>
    </w:p>
    <w:p>
      <w:pPr>
        <w:spacing w:before="160" w:after="40" w:line="240" w:lineRule="auto"/>
      </w:pPr>
      <w:r>
        <w:rPr>
          <w:b/>
        </w:rPr>
        <w:t xml:space="preserve">[25] </w:t>
      </w:r>
      <w:hyperlink r:id="rId266">
        <w:r>
          <w:rPr>
            <w:color w:val="1155CC"/>
            <w:u w:val="single"/>
          </w:rPr>
          <w:t>用于电化学能量存储和转换的 MAX 相及其衍生物的组成和结构工程</w:t>
        </w:r>
      </w:hyperlink>
    </w:p>
    <w:p>
      <w:pPr>
        <w:spacing w:before="0" w:after="80"/>
      </w:pPr>
      <w:r>
        <w:rPr>
          <w:i/>
          <w:sz w:val="20"/>
        </w:rPr>
        <w:t>EN: Compositional and Structural Engineering of MAX Phases and Their Derivatives for Electrochemical Energy Storage and Conversion</w:t>
      </w:r>
    </w:p>
    <w:p>
      <w:pPr>
        <w:spacing w:before="0" w:after="120"/>
      </w:pPr>
      <w:r>
        <w:rPr>
          <w:b/>
        </w:rPr>
        <w:t xml:space="preserve">Source: </w:t>
      </w:r>
      <w:r>
        <w:t>Wiley: Advanced Materials: Table of Contents</w:t>
      </w:r>
      <w:r>
        <w:t xml:space="preserve">    </w:t>
      </w:r>
      <w:r>
        <w:rPr>
          <w:b/>
        </w:rPr>
        <w:t xml:space="preserve">Pub date: </w:t>
      </w:r>
      <w:r>
        <w:t>2026-08-12 08:01:10+00:00</w:t>
      </w:r>
      <w:r>
        <w:t xml:space="preserve">    </w:t>
      </w:r>
      <w:r>
        <w:rPr>
          <w:b/>
        </w:rPr>
        <w:t xml:space="preserve">DOI: </w:t>
      </w:r>
      <w:hyperlink r:id="rId267">
        <w:r>
          <w:rPr>
            <w:color w:val="1155CC"/>
            <w:u w:val="single"/>
          </w:rPr>
          <w:t>10.1002/adma.74600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MAX 相具有卓越的成分和结构可调性，可作为电化学能量存储和转换的多功能材料平台，既可以作为直接活性材料，也可以作为一系列功能衍生物的化学前体。然而，将 MAX 相平台材料的成分和结构演化与电化学功能连接起来的统一框架仍然不发达。在这里，我们回顾了 MAX 相及其衍生物在电化学能量存储和转换方面的最新进展。我们专注于成分设计、结构调制和衍生工程及其在二次电池、超级电容器和电催化的电荷存储机制、反应动力学和长期稳定性方面的作用。最后，我们根据成分-结构-功能关系概述了未来的前景和设计原则，以指导电化学应用中基于 MAX 的材料的合理设计。</w:t>
      </w:r>
    </w:p>
    <w:p>
      <w:pPr>
        <w:spacing w:before="0" w:after="200" w:lineRule="auto" w:line="276"/>
      </w:pPr>
      <w:r>
        <w:rPr>
          <w:b/>
        </w:rPr>
        <w:t xml:space="preserve">Abstract (EN): </w:t>
      </w:r>
      <w:r>
        <w:t>MAX phases feature exceptional compositional and structural tunability, serving as a versatile materials platform for electrochemical energy storage and conversion, both as direct active materials and as chemical precursors for an array of functional derivatives. However, a unified framework connecting compositional and structural evolution across the MAX‐phase platform materials with electrochemical functionality remains underdeveloped. Here, we review recent advances in MAX phases and their derivatives for electrochemical energy storage and conversion. We focus on compositional design, structural modulation, and derivative engineering and their roles in shaping charge‐storage mechanisms, reaction kinetics, and long‐term stability across secondary batteries, supercapacitors, and electrocatalysis. Finally, we outline future perspectives and design principles based on compositional‐structural‐functional relationships to guide the rational design of MAX‐based materials for electrochemical applications.</w:t>
      </w:r>
    </w:p>
    <w:p>
      <w:pPr>
        <w:spacing w:before="120" w:after="120"/>
      </w:pPr>
      <w:r>
        <w:rPr>
          <w:sz w:val="18"/>
        </w:rPr>
        <w:t>——————————————————————————————————————————————————————————————————————</w:t>
      </w:r>
    </w:p>
    <w:p>
      <w:pPr>
        <w:spacing w:before="160" w:after="40" w:line="240" w:lineRule="auto"/>
      </w:pPr>
      <w:r>
        <w:rPr>
          <w:b/>
        </w:rPr>
        <w:t xml:space="preserve">[26] </w:t>
      </w:r>
      <w:hyperlink r:id="rId268">
        <w:r>
          <w:rPr>
            <w:color w:val="1155CC"/>
            <w:u w:val="single"/>
          </w:rPr>
          <w:t>用于锌空气电池的拓扑缺陷设计的 Cu/N-C 催化剂在高电流密度下超稳定循环超过 2000 小时</w:t>
        </w:r>
      </w:hyperlink>
    </w:p>
    <w:p>
      <w:pPr>
        <w:spacing w:before="0" w:after="80"/>
      </w:pPr>
      <w:r>
        <w:rPr>
          <w:i/>
          <w:sz w:val="20"/>
        </w:rPr>
        <w:t>EN: Topological Defect‐Engineered Cu/N–C Catalysts for Zinc‐Air Battery With Ultra‐Stable Cycling Over 2000 h at High Current Densities</w:t>
      </w:r>
    </w:p>
    <w:p>
      <w:pPr>
        <w:spacing w:before="0" w:after="120"/>
      </w:pPr>
      <w:r>
        <w:rPr>
          <w:b/>
        </w:rPr>
        <w:t xml:space="preserve">Source: </w:t>
      </w:r>
      <w:r>
        <w:t>Wiley: Advanced Energy Materials: Table of Contents</w:t>
      </w:r>
      <w:r>
        <w:t xml:space="preserve">    </w:t>
      </w:r>
      <w:r>
        <w:rPr>
          <w:b/>
        </w:rPr>
        <w:t xml:space="preserve">Pub date: </w:t>
      </w:r>
      <w:r>
        <w:t>2026-08-12 09:31:08+00:00</w:t>
      </w:r>
      <w:r>
        <w:t xml:space="preserve">    </w:t>
      </w:r>
      <w:r>
        <w:rPr>
          <w:b/>
        </w:rPr>
        <w:t xml:space="preserve">DOI: </w:t>
      </w:r>
      <w:hyperlink r:id="rId269">
        <w:r>
          <w:rPr>
            <w:color w:val="1155CC"/>
            <w:u w:val="single"/>
          </w:rPr>
          <w:t>10.1002/aenm.71441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用于高电流密度运行的锌空气电池（ZAB）对于高功率应用至关重要，但由于缺乏集高活性、耐用性和低成本于一体的电催化剂，仍然受到限制。铜单原子催化剂为铂族金属提供了一种有前途的替代品，但其性能常常受到含氧中间体的不适当吸附和铜活性位点的不稳定性的阻碍。在这里，我们报道了一种氮掺杂碳纳米纤维上的拓扑缺陷工程铜单原子催化剂（Cu/TD</w:t>
      </w:r>
      <w:r>
        <w:t xml:space="preserve"> </w:t>
      </w:r>
      <w:r>
        <w:t>1/5</w:t>
      </w:r>
      <w:r>
        <w:t xml:space="preserve"> </w:t>
      </w:r>
      <w:r>
        <w:t>–NCFs），其中拓扑缺陷引起的几何限制稳定了 Cu-N</w:t>
      </w:r>
      <w:r>
        <w:t xml:space="preserve"> </w:t>
      </w:r>
      <w:r>
        <w:t>x</w:t>
      </w:r>
      <w:r>
        <w:t xml:space="preserve"> </w:t>
      </w:r>
      <w:r>
        <w:t>位点并抑制操作过程中铜的迁移、聚集、浸出和失活。同时，拓扑缺陷调节的电子环境优化了含氧中间体的吸附，从而促进ORR动力学。因此，组装好的 ZAB 可在 100 mA cm 电流下提供超过 2000 小时的超长循环稳定性</w:t>
      </w:r>
      <w:r>
        <w:t xml:space="preserve"> </w:t>
      </w:r>
      <w:r>
        <w:t>−2</w:t>
      </w:r>
      <w:r>
        <w:t xml:space="preserve"> </w:t>
      </w:r>
      <w:r>
        <w:t>，在类似条件下优于大多数报告的系统。该策略的稳健性得到了不同金属前体和催化剂配置的一致再现性和普遍适用性的进一步支持。总的来说，这些发现强调了拓扑缺陷引起的几何限制是稳定单原子催化剂并实现</w:t>
      </w:r>
    </w:p>
    <w:p>
      <w:pPr>
        <w:spacing w:before="0" w:after="200" w:lineRule="auto" w:line="276"/>
      </w:pPr>
      <w:r>
        <w:rPr>
          <w:b/>
        </w:rPr>
        <w:t xml:space="preserve">Abstract (EN): </w:t>
      </w:r>
      <w:r>
        <w:t>Developing zinc‐air batteries (ZABs) for high‐current‐density operation is critical for high‐power applications, yet remains limited by the lack of electrocatalysts that integrate high activity, durability, and low cost. Cu single‐atom catalysts offer a promising alternative to platinum group metals, but their performance is often hindered by inappropriate adsorption of oxygenated intermediates and the instability of Cu active sites. Here, we report a topological defect‐engineered Cu single‐atom catalyst on nitrogen‐doped carbon nanofibers (Cu/TD</w:t>
      </w:r>
      <w:r>
        <w:t xml:space="preserve"> </w:t>
      </w:r>
      <w:r>
        <w:t>1/5</w:t>
      </w:r>
      <w:r>
        <w:t xml:space="preserve"> </w:t>
      </w:r>
      <w:r>
        <w:t>–NCFs), where topological‐defect‐induced geometric confinement stabilizes Cu–N</w:t>
      </w:r>
      <w:r>
        <w:t xml:space="preserve"> </w:t>
      </w:r>
      <w:r>
        <w:t>x</w:t>
      </w:r>
      <w:r>
        <w:t xml:space="preserve"> </w:t>
      </w:r>
      <w:r>
        <w:t>sites and suppresses Cu migration, aggregation, leaching, and deactivation during operation. Meanwhile, the topological‐defect‐regulated electronic environment optimizes the adsorption of oxygenated intermediates, thereby facilitating ORR kinetics. As a result, the assembled ZAB delivers ultralong cycling stability exceeding 2000 h at 100 mA cm</w:t>
      </w:r>
      <w:r>
        <w:t xml:space="preserve"> </w:t>
      </w:r>
      <w:r>
        <w:t>−2</w:t>
      </w:r>
      <w:r>
        <w:t xml:space="preserve"> </w:t>
      </w:r>
      <w:r>
        <w:t>, outperforming most reported systems under similar conditions. The robustness of this strategy is further supported by consistent reproducibility and general applicability across different metal precursors and catalyst configurations. Collectively, these findings highlight topological‐defect‐induced geometric confinement as an effective strategy for stabilizing single‐atom catalysts and enabling durable energy devices.</w:t>
      </w:r>
    </w:p>
    <w:p>
      <w:pPr>
        <w:spacing w:before="120" w:after="120"/>
      </w:pPr>
      <w:r>
        <w:rPr>
          <w:sz w:val="18"/>
        </w:rPr>
        <w:t>——————————————————————————————————————————————————————————————————————</w:t>
      </w:r>
    </w:p>
    <w:p>
      <w:pPr>
        <w:spacing w:before="160" w:after="40" w:line="240" w:lineRule="auto"/>
      </w:pPr>
      <w:r>
        <w:rPr>
          <w:b/>
        </w:rPr>
        <w:t xml:space="preserve">[27] </w:t>
      </w:r>
      <w:hyperlink r:id="rId270">
        <w:r>
          <w:rPr>
            <w:color w:val="1155CC"/>
            <w:u w:val="single"/>
          </w:rPr>
          <w:t>分子工程 MoS2 通道中的湿度响应离子耦合网络，用于增强离子传输</w:t>
        </w:r>
      </w:hyperlink>
    </w:p>
    <w:p>
      <w:pPr>
        <w:spacing w:before="0" w:after="80"/>
      </w:pPr>
      <w:r>
        <w:rPr>
          <w:i/>
          <w:sz w:val="20"/>
        </w:rPr>
        <w:t>EN: Moisture‐Responsive Ion‐Coupling Networks in Molecularly Engineered MoS2 Channels for Enhanced Ion Transport</w:t>
      </w:r>
    </w:p>
    <w:p>
      <w:pPr>
        <w:spacing w:before="0" w:after="120"/>
      </w:pPr>
      <w:r>
        <w:rPr>
          <w:b/>
        </w:rPr>
        <w:t xml:space="preserve">Source: </w:t>
      </w:r>
      <w:r>
        <w:t>Wiley: Angewandte Chemie International Edition: Table of Contents</w:t>
      </w:r>
      <w:r>
        <w:t xml:space="preserve">    </w:t>
      </w:r>
      <w:r>
        <w:rPr>
          <w:b/>
        </w:rPr>
        <w:t xml:space="preserve">Pub date: </w:t>
      </w:r>
      <w:r>
        <w:t>2026-08-12 16:44:49+00:00</w:t>
      </w:r>
      <w:r>
        <w:t xml:space="preserve">    </w:t>
      </w:r>
      <w:r>
        <w:rPr>
          <w:b/>
        </w:rPr>
        <w:t xml:space="preserve">DOI: </w:t>
      </w:r>
      <w:hyperlink r:id="rId271">
        <w:r>
          <w:rPr>
            <w:color w:val="1155CC"/>
            <w:u w:val="single"/>
          </w:rPr>
          <w:t>10.1002/anie.9721428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经典的纳米流体离子传输主要依赖于固定表面电荷来实现选择性。然而，这种静电荷系统从根本上受到“固定效应”的限制。离子招募所需的深能量井不可避免地会阻碍随后的释放，从而抑制连续的传输动力学。在此，我们报告了一种由表面锚定反离子介导的范式转换动态离子耦合机制，该机制与移动物种建立短暂的、湿度响应性的协调。通过装饰埃级二维二硫化钼 (MoS</w:t>
      </w:r>
      <w:r>
        <w:rPr>
          <w:vertAlign w:val="subscript"/>
        </w:rPr>
        <w:t>2</w:t>
      </w:r>
      <w:r>
        <w:t>) 具有单位点 Pb 的通道</w:t>
      </w:r>
      <w:r>
        <w:t xml:space="preserve"> </w:t>
      </w:r>
      <w:r>
        <w:t>2+</w:t>
      </w:r>
      <w:r>
        <w:t xml:space="preserve"> </w:t>
      </w:r>
      <w:r>
        <w:t>，我们创建了一个分子工程界面，促进快速离子跳跃。这种策略使迁移能量景观变得平坦，并将离子的进入与释放分离，从而规避了传统固定电荷膜固有的权衡。与原始通道相比，我们的仿生方法实现了离子电流非凡的 30 倍增强。利用这些动态相互作用，我们展示了一种湿度驱动的能量发生器，可提供 532.8 µW cm 的创纪录高功率密度</w:t>
      </w:r>
      <w:r>
        <w:t xml:space="preserve"> </w:t>
      </w:r>
      <w:r>
        <w:t>-</w:t>
      </w:r>
      <w:r>
        <w:rPr>
          <w:vertAlign w:val="subscript"/>
        </w:rPr>
        <w:t>2</w:t>
      </w:r>
      <w:r>
        <w:t>相对湿度约为 75%，明显超越了最先进的技术。这些发现将动态离子耦合确立为推进分子离子电子学、自供电传感和下一代能量转换的强大蓝图。</w:t>
      </w:r>
    </w:p>
    <w:p>
      <w:pPr>
        <w:spacing w:before="0" w:after="200" w:lineRule="auto" w:line="276"/>
      </w:pPr>
      <w:r>
        <w:rPr>
          <w:b/>
        </w:rPr>
        <w:t xml:space="preserve">Abstract (EN): </w:t>
      </w:r>
      <w:r>
        <w:t>Classical nanofluidic ion transport predominantly relies on fixed surface charges for selectivity. However, such static‐charge systems are fundamentally limited by an “immobilization effect”; the deep energy wells required for ion recruitment inevitably hinder subsequent release, stifling continuous transport kinetics. Herein, we report a paradigm‐shifting dynamic ion‐coupling mechanism mediated by surface‐anchored counter‐ions that establish transient, moisture‐responsive coordination with mobile species. By decorating angstrom‐scale 2D molybdenum disulfide (MoS</w:t>
      </w:r>
      <w:r>
        <w:rPr>
          <w:vertAlign w:val="subscript"/>
        </w:rPr>
        <w:t>2</w:t>
      </w:r>
      <w:r>
        <w:t>) channels with single‐site Pb</w:t>
      </w:r>
      <w:r>
        <w:t xml:space="preserve"> </w:t>
      </w:r>
      <w:r>
        <w:t>2+</w:t>
      </w:r>
      <w:r>
        <w:t xml:space="preserve"> </w:t>
      </w:r>
      <w:r>
        <w:t>, we create a molecularly engineered interface that facilitates rapid ion hopping. This strategy flattens the migration energy landscape and decouples ion entry from release, circumventing the inherent trade‐off in traditional fixed‐charge membranes. Our biomimetic approach achieves an extraordinary 30‐fold enhancement in ionic current compared to pristine channels. Leveraging these dynamic interactions, we demonstrate a humidity‐driven energy generator delivering a record‐high power density of 532.8 µW cm</w:t>
      </w:r>
      <w:r>
        <w:t xml:space="preserve"> </w:t>
      </w:r>
      <w:r>
        <w:t>−</w:t>
      </w:r>
      <w:r>
        <w:rPr>
          <w:vertAlign w:val="subscript"/>
        </w:rPr>
        <w:t>2</w:t>
      </w:r>
      <w:r>
        <w:t>at ∼75% RH, significantly surpassing state‐of‐the‐art technologies. These findings establish dynamic ion coupling as a powerful blueprint for advancing molecular iontronics, self‐powered sensing, and next‐generation energy conversion.</w:t>
      </w:r>
    </w:p>
    <w:p>
      <w:pPr>
        <w:spacing w:before="120" w:after="120"/>
      </w:pPr>
      <w:r>
        <w:rPr>
          <w:sz w:val="18"/>
        </w:rPr>
        <w:t>——————————————————————————————————————————————————————————————————————</w:t>
      </w:r>
    </w:p>
    <w:p>
      <w:pPr>
        <w:spacing w:before="160" w:after="40" w:line="240" w:lineRule="auto"/>
      </w:pPr>
      <w:r>
        <w:rPr>
          <w:b/>
        </w:rPr>
        <w:t xml:space="preserve">[28] </w:t>
      </w:r>
      <w:hyperlink r:id="rId272">
        <w:r>
          <w:rPr>
            <w:color w:val="1155CC"/>
            <w:u w:val="single"/>
          </w:rPr>
          <w:t>极端条件下的储能：MXene基超级电容器的挑战与策略</w:t>
        </w:r>
      </w:hyperlink>
    </w:p>
    <w:p>
      <w:pPr>
        <w:spacing w:before="0" w:after="80"/>
      </w:pPr>
      <w:r>
        <w:rPr>
          <w:i/>
          <w:sz w:val="20"/>
        </w:rPr>
        <w:t>EN: Energy storage under extreme conditions: challenges and strategies for MXene-based supercapacitors</w:t>
      </w:r>
    </w:p>
    <w:p>
      <w:pPr>
        <w:spacing w:before="0" w:after="120"/>
      </w:pPr>
      <w:r>
        <w:rPr>
          <w:b/>
        </w:rPr>
        <w:t xml:space="preserve">Source: </w:t>
      </w:r>
      <w:r>
        <w:t>ScienceDirect Publication: Applied Energy</w:t>
      </w:r>
      <w:r>
        <w:t xml:space="preserve">    </w:t>
      </w:r>
      <w:r>
        <w:rPr>
          <w:b/>
        </w:rPr>
        <w:t xml:space="preserve">Pub date: </w:t>
      </w:r>
      <w:r>
        <w:t>2026-08-13 00:00:00+00:00</w:t>
      </w:r>
      <w:r>
        <w:t xml:space="preserve">    </w:t>
      </w:r>
      <w:r>
        <w:rPr>
          <w:b/>
        </w:rPr>
        <w:t xml:space="preserve">DOI: </w:t>
      </w:r>
      <w:hyperlink r:id="rId273">
        <w:r>
          <w:rPr>
            <w:color w:val="1155CC"/>
            <w:u w:val="single"/>
          </w:rPr>
          <w:t>10.1016/j.apenergy.2026.128677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 </w:t>
      </w:r>
      <w:hyperlink r:id="rId274">
        <w:r>
          <w:rPr>
            <w:color w:val="1155CC"/>
            <w:u w:val="single"/>
          </w:rPr>
          <w:t>溶剂辅助硼化物分层制备高性能微型超级电容器和集成微系统</w:t>
        </w:r>
      </w:hyperlink>
    </w:p>
    <w:p>
      <w:pPr>
        <w:spacing w:before="0" w:after="80"/>
      </w:pPr>
      <w:r>
        <w:rPr>
          <w:i/>
          <w:sz w:val="20"/>
        </w:rPr>
        <w:t>EN: Solvent-Assisted Delamination of Boridene toward High-Performance Micro-Supercapacitors and Integrated Microsystems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275">
        <w:r>
          <w:rPr>
            <w:color w:val="1155CC"/>
            <w:u w:val="single"/>
          </w:rPr>
          <w:t>10.1021/jacs.6c08895</w:t>
        </w:r>
      </w:hyperlink>
    </w:p>
    <w:p>
      <w:pPr>
        <w:spacing w:before="0" w:after="120"/>
      </w:pPr>
      <w:r>
        <w:rPr>
          <w:b/>
        </w:rPr>
        <w:t xml:space="preserve">Notes: </w:t>
      </w:r>
      <w:r>
        <w:t>abstract_source=crossref</w:t>
      </w:r>
    </w:p>
    <w:p>
      <w:pPr>
        <w:spacing w:before="0" w:after="80" w:lineRule="auto" w:line="276"/>
      </w:pPr>
      <w:r>
        <w:rPr>
          <w:b/>
        </w:rPr>
        <w:t xml:space="preserve">摘要（ZH）: </w:t>
      </w:r>
      <w:r>
        <w:t>摘要：将 MoAlB 蚀刻的 MoB 分层成高质量、分离良好的硼化物纳米片仍然是一个艰巨的挑战。当前的方法产生厚的、重新堆叠的组件，严重限制了其高性能应用的潜力。在此，我们报告了通过无水锂离子插层将 MoAlB 蚀刻 MoB 进行溶剂辅助分层成二维 (2D) 硼化物纳米片。分层的 MoB (d-MoB) 纳米片表现出均匀的片状形态（~3 nm 厚度，~300 nm 横向尺寸）和高比表面积。该策略通过利用-Cl/O-封端的MoB中锂离子嵌入的基本机制，克服了报道方法中持续存在的挑战，即不完全的Al脱嵌和分层不良。具体来说，由于低吸附能 (Eads.≈ -3.934 eV) 和增强的电子局域化，锂-二甲基亚砜 (DMSO) 复合物可以更有效地嵌入，从而实现有效的溶剂驱动分层。由此产生的基于 d-MoB 的微型超级电容器在 1 M KOH 中提供 102.4 mF cm–2 (10 mV s–1)，并在 350 μW cm–2 下实现 4 μWh cm–2。此外，它们在-30°C下运行，并在灵活的平台上与基于d-MoB的压力传感器集成，凸显了良好分层的硼化物纳米片对于灵活的集成微系统的重要性。</w:t>
      </w:r>
    </w:p>
    <w:p>
      <w:pPr>
        <w:spacing w:before="0" w:after="200" w:lineRule="auto" w:line="276"/>
      </w:pPr>
      <w:r>
        <w:rPr>
          <w:b/>
        </w:rPr>
        <w:t xml:space="preserve">Abstract (EN): </w:t>
      </w:r>
      <w:r>
        <w:t>Delaminating MoAlB-etched MoB into high-quality well-separated boridene nanosheets remains a formidable challenge. Current methods yield thick, restacked assemblies, severely limiting its potential for high-performance applications. Herein, we report solvent-assisted delamination of MoAlB-etched MoB into two-dimensional (2D) boridene nanosheets by anhydrous Li-ion intercalation. The delaminated MoB (d-MoB) nanosheets show a uniform sheet-like morphology (∼3 nm thickness, ∼300 nm lateral size) and a high specific surface area. This strategy overcomes persistent challenges in reported methods, namely, incomplete Al deintercalation and poor delamination, by exploiting the fundamental mechanism of Li-ion intercalation in –Cl/O-terminated MoB. Specifically, Li-dimethyl sulfoxide (DMSO) complexes intercalate more efficiently due to low adsorption energy (Eads.≈ −3.934 eV) and enhanced electron localization, enabling effective solvent-driven delamination. The resulting d-MoB-based microsupercapacitors deliver 102.4 mF cm–2 (10 mV s–1) in 1 M KOH, and achieve 4 μWh cm–2 at 350 μW cm–2. Moreover, they operate at −30 °C and integrate with a d-MoB-based pressure sensor on a flexible platform, highlighting the importance of well-delaminated boridene nanosheets for flexible, integrated microsystems.</w:t>
      </w:r>
    </w:p>
    <w:p>
      <w:pPr>
        <w:spacing w:before="120" w:after="120"/>
      </w:pPr>
      <w:r>
        <w:rPr>
          <w:sz w:val="18"/>
        </w:rPr>
        <w:t>——————————————————————————————————————————————————————————————————————</w:t>
      </w:r>
    </w:p>
    <w:p>
      <w:pPr>
        <w:spacing w:before="160" w:after="40" w:line="240" w:lineRule="auto"/>
      </w:pPr>
      <w:r>
        <w:rPr>
          <w:b/>
        </w:rPr>
        <w:t xml:space="preserve">[30] </w:t>
      </w:r>
      <w:hyperlink r:id="rId276">
        <w:r>
          <w:rPr>
            <w:color w:val="1155CC"/>
            <w:u w:val="single"/>
          </w:rPr>
          <w:t>用于柔性高性能储能的莫特-肖特基异质结构的缺陷工程</w:t>
        </w:r>
      </w:hyperlink>
    </w:p>
    <w:p>
      <w:pPr>
        <w:spacing w:before="0" w:after="80"/>
      </w:pPr>
      <w:r>
        <w:rPr>
          <w:i/>
          <w:sz w:val="20"/>
        </w:rPr>
        <w:t>EN: Defect Engineering of Mott–Schottky Heterostructure for Flexible High-Performance Energy Storage</w:t>
      </w:r>
    </w:p>
    <w:p>
      <w:pPr>
        <w:spacing w:before="0" w:after="120"/>
      </w:pPr>
      <w:r>
        <w:rPr>
          <w:b/>
        </w:rPr>
        <w:t xml:space="preserve">Source: </w:t>
      </w:r>
      <w:r>
        <w:t>ACS Applied Materials &amp; Interfaces: Latest Articles (ACS Publications)</w:t>
      </w:r>
      <w:r>
        <w:t xml:space="preserve">    </w:t>
      </w:r>
      <w:r>
        <w:rPr>
          <w:b/>
        </w:rPr>
        <w:t xml:space="preserve">Pub date: </w:t>
      </w:r>
      <w:r>
        <w:t>2026-08-13 00:00:00+00:00</w:t>
      </w:r>
      <w:r>
        <w:t xml:space="preserve">    </w:t>
      </w:r>
      <w:r>
        <w:rPr>
          <w:b/>
        </w:rPr>
        <w:t xml:space="preserve">DOI: </w:t>
      </w:r>
      <w:hyperlink r:id="rId277">
        <w:r>
          <w:rPr>
            <w:color w:val="1155CC"/>
            <w:u w:val="single"/>
          </w:rPr>
          <w:t>10.1021/acsami.6c08189</w:t>
        </w:r>
      </w:hyperlink>
    </w:p>
    <w:p>
      <w:pPr>
        <w:spacing w:before="0" w:after="120"/>
      </w:pPr>
      <w:r>
        <w:rPr>
          <w:b/>
        </w:rPr>
        <w:t xml:space="preserve">Notes: </w:t>
      </w:r>
      <w:r>
        <w:t>abstract_source=crossref</w:t>
      </w:r>
    </w:p>
    <w:p>
      <w:pPr>
        <w:spacing w:before="0" w:after="80" w:lineRule="auto" w:line="276"/>
      </w:pPr>
      <w:r>
        <w:rPr>
          <w:b/>
        </w:rPr>
        <w:t xml:space="preserve">摘要（ZH）: </w:t>
      </w:r>
      <w:r>
        <w:t>摘要 镍基过渡金属硒化物由于其高容量而成为有前途的混合超级电容器（HSC）阴极，但其结构退化、导电性差和电荷转移缓慢，限制了循环稳定性和倍率性能。在此，本研究采用协同方法，在 NiSe2@FeSe(VNSFS) 莫特肖特基异质结中设计内置电场 (BIEF) 和 Se 空位，增强电解质离子嵌入/脱嵌过程中的结构完整性，促进更快的离子扩散动力学，诱导大的电活性位点，并降低激活能垒。原位/异位分析和恒电流间歇滴定技术证实了离子扩散的增强，而 DRT 分析则证明了电荷转移动力学的改善。此外，准固态VNSFS//AC柔性HSC可提供94.17 Wh kg-1的高能量密度，无需补偿功率密度为750 W kg-1，并具有5​​0,000次循环的长期稳定性。该设备通过集成用于能量收集和存储的商用太阳能模块来提高可持续性，能够在 2 分钟内充电为各种电子设备供电，同时支持无线充电和高效的交流滤波。因此，这项工作提供了高安全性和灵活的储能装置。</w:t>
      </w:r>
    </w:p>
    <w:p>
      <w:pPr>
        <w:spacing w:before="0" w:after="200" w:lineRule="auto" w:line="276"/>
      </w:pPr>
      <w:r>
        <w:rPr>
          <w:b/>
        </w:rPr>
        <w:t xml:space="preserve">Abstract (EN): </w:t>
      </w:r>
      <w:r>
        <w:t>Nickel-based transition metal selenides are promising hybrid supercapacitor (HSC) cathodes owing to their high capacity yet suffer from structural degradation, poor conductivity, and sluggish charge transfer, limiting cycling stability and rate performance. Herein, this study employs a synergistic approach by engineering a built-in electric field (BIEF) and Se vacancies in the NiSe2@FeSe(VNSFS) Mott–Schottky heterojunction that enhances structural integrity during the intercalation/deintercalation of electrolyte ions, promotes faster ion diffusion kinetics, induces large electroactive sites, and reduces the activation energy barrier. In situ/ex situ analyses and galvanostatic intermittent titration technique confirm enhanced ion diffusion, while DRT analysis evidences improved charge transfer dynamics. Furthermore, a quasi-solid-state VNSFS//AC flexible HSC delivers a high energy density of 94.17 Wh kg–1, without compensating power density of 750 W kg–1, with prolonged stability of 50,000 cycles. The device advances sustainability by integrating a commercial solar module for energy harvesting and storage, enabling ∼2 min charging to power various electronic devices while supporting wireless charging and efficient AC-filtering. Thus, this work offers high-safety and flexible energy storage devices.</w:t>
      </w:r>
    </w:p>
    <w:p>
      <w:pPr>
        <w:spacing w:before="120" w:after="120"/>
      </w:pPr>
      <w:r>
        <w:rPr>
          <w:sz w:val="18"/>
        </w:rPr>
        <w:t>——————————————————————————————————————————————————————————————————————</w:t>
      </w:r>
    </w:p>
    <w:p>
      <w:pPr>
        <w:spacing w:before="160" w:after="40" w:line="240" w:lineRule="auto"/>
      </w:pPr>
      <w:r>
        <w:rPr>
          <w:b/>
        </w:rPr>
        <w:t xml:space="preserve">[31] </w:t>
      </w:r>
      <w:hyperlink r:id="rId278">
        <w:r>
          <w:rPr>
            <w:color w:val="1155CC"/>
            <w:u w:val="single"/>
          </w:rPr>
          <w:t>恶劣环境下高性能摩擦电复合材料的定向结构和纳米填料的协同策略</w:t>
        </w:r>
      </w:hyperlink>
    </w:p>
    <w:p>
      <w:pPr>
        <w:spacing w:before="0" w:after="80"/>
      </w:pPr>
      <w:r>
        <w:rPr>
          <w:i/>
          <w:sz w:val="20"/>
        </w:rPr>
        <w:t>EN: Synergistic Strategy of Oriented Structure and Nanofillers for High-Performance Triboelectric Composites in Harsh Environments</w:t>
      </w:r>
    </w:p>
    <w:p>
      <w:pPr>
        <w:spacing w:before="0" w:after="120"/>
      </w:pPr>
      <w:r>
        <w:rPr>
          <w:b/>
        </w:rPr>
        <w:t xml:space="preserve">Source: </w:t>
      </w:r>
      <w:r>
        <w:t>ACS Applied Materials &amp; Interfaces: Latest Articles (ACS Publications)</w:t>
      </w:r>
      <w:r>
        <w:t xml:space="preserve">    </w:t>
      </w:r>
      <w:r>
        <w:rPr>
          <w:b/>
        </w:rPr>
        <w:t xml:space="preserve">Pub date: </w:t>
      </w:r>
      <w:r>
        <w:t>2026-08-13 00:00:00+00:00</w:t>
      </w:r>
      <w:r>
        <w:t xml:space="preserve">    </w:t>
      </w:r>
      <w:r>
        <w:rPr>
          <w:b/>
        </w:rPr>
        <w:t xml:space="preserve">DOI: </w:t>
      </w:r>
      <w:hyperlink r:id="rId279">
        <w:r>
          <w:rPr>
            <w:color w:val="1155CC"/>
            <w:u w:val="single"/>
          </w:rPr>
          <w:t>10.1021/acsami.6c09595</w:t>
        </w:r>
      </w:hyperlink>
    </w:p>
    <w:p>
      <w:pPr>
        <w:spacing w:before="0" w:after="120"/>
      </w:pPr>
      <w:r>
        <w:rPr>
          <w:b/>
        </w:rPr>
        <w:t xml:space="preserve">Notes: </w:t>
      </w:r>
      <w:r>
        <w:t>abstract_source=crossref</w:t>
      </w:r>
    </w:p>
    <w:p>
      <w:pPr>
        <w:spacing w:before="0" w:after="80" w:lineRule="auto" w:line="276"/>
      </w:pPr>
      <w:r>
        <w:rPr>
          <w:b/>
        </w:rPr>
        <w:t xml:space="preserve">摘要（ZH）: </w:t>
      </w:r>
      <w:r>
        <w:t>摘要 摩擦纳米发电机（TENG）在恶劣条件下容易失效，这对可穿戴电子产品提出了严峻的挑战。在此，通过高速静电纺丝构建了一种耐化学摩擦电材料（OP/CM3），该材料通过取向结构（聚偏二氟乙烯，PVDF）和纳米填料（羧化多壁碳纳米管，C-MWCNT）实现协同效应。由于机械拉伸和氢键相互作用形成的高β相含量，OP/CM3表现出出色的摩擦电性能（105.21 V）和拉伸强度（5.73 MPa），比无规PVDF/C-MWCNT高1.49和3.18倍。同时，OP/CM3在离开火焰后1秒内自熄，表现出优异的阻燃性。此外，OP/CM3-TENG的开路电压在200℃时保持46.12%，燃烧30s后保持16.43%，高于大多数阻燃摩擦电材料。最终，该装置在NaOH、醋酸乙酯、氯化钠溶液中浸泡30分钟后不仅能输出稳定的信号，而且在200℃的温度下能立即触发警报，监控消防员的实时状态。这项工作提供了一种协同增强摩擦电材料性能的方法，从而扩展了其在多种恶劣环境中的效用。</w:t>
      </w:r>
    </w:p>
    <w:p>
      <w:pPr>
        <w:spacing w:before="0" w:after="200" w:lineRule="auto" w:line="276"/>
      </w:pPr>
      <w:r>
        <w:rPr>
          <w:b/>
        </w:rPr>
        <w:t xml:space="preserve">Abstract (EN): </w:t>
      </w:r>
      <w:r>
        <w:t>Triboelectric nanogenerators (TENGs) are prone to invalidity in harsh conditions, which presents a critical challenge for wearable electronics. Herein, a chemical-resistant triboelectric material (OP/CM3), with a synergistic effect achieved by oriented structure (polyvinylidene fluoride, PVDF) and nanofiller (carboxylated multiwalled carbon nanotubes, C-MWCNT), is constructed via high-speed electrospinning. The OP/CM3 exhibits outstanding triboelectric performance (105.21 V) and tensile strength (5.73 MPa) due to high β-phase content formed by mechanical stretching and hydrogen bond interactions, which are 1.49 and 3.18 times higher than those of the random PVDF/C-MWCNT. Meanwhile, the OP/CM3 self-extinguishes within 1 s after leaving the flame, which demonstrates excellent flame retardance. In addition, the open-circuit voltage of the OP/CM3-TENG maintains 46.12% at 200 °C and 16.43% after burning for 30 s and is higher than most flame-retardant triboelectric materials. Ultimately, the device not only outputs stable signals after being immersed in solutions of NaOH, ethyl acetate, and NaCl for 30 min but also triggers an alarm instantly at 200 °C and monitors firefighters’ real-time status. This work provides a method for synergistically enhancing triboelectric material properties, which expands its utilities in multiple harsh environments.</w:t>
      </w:r>
    </w:p>
    <w:p>
      <w:pPr>
        <w:spacing w:before="120" w:after="120"/>
      </w:pPr>
      <w:r>
        <w:rPr>
          <w:sz w:val="18"/>
        </w:rPr>
        <w:t>——————————————————————————————————————————————————————————————————————</w:t>
      </w:r>
    </w:p>
    <w:p>
      <w:pPr>
        <w:spacing w:before="160" w:after="40" w:line="240" w:lineRule="auto"/>
      </w:pPr>
      <w:r>
        <w:rPr>
          <w:b/>
        </w:rPr>
        <w:t xml:space="preserve">[32] </w:t>
      </w:r>
      <w:hyperlink r:id="rId280">
        <w:r>
          <w:rPr>
            <w:color w:val="1155CC"/>
            <w:u w:val="single"/>
          </w:rPr>
          <w:t>共价有机框架的孔隙工程可提高 Li─Cl2 电池中的氯限制和电化学性能</w:t>
        </w:r>
      </w:hyperlink>
    </w:p>
    <w:p>
      <w:pPr>
        <w:spacing w:before="0" w:after="80"/>
      </w:pPr>
      <w:r>
        <w:rPr>
          <w:i/>
          <w:sz w:val="20"/>
        </w:rPr>
        <w:t>EN: Pore Engineering of Covalent Organic Frameworks Boosts Chlorine Confinement and Electrochemical Performance in Li─Cl2 Batteries</w:t>
      </w:r>
    </w:p>
    <w:p>
      <w:pPr>
        <w:spacing w:before="0" w:after="120"/>
      </w:pPr>
      <w:r>
        <w:rPr>
          <w:b/>
        </w:rPr>
        <w:t xml:space="preserve">Source: </w:t>
      </w:r>
      <w:r>
        <w:t>Wiley: Advanced Materials: Table of Contents</w:t>
      </w:r>
      <w:r>
        <w:t xml:space="preserve">    </w:t>
      </w:r>
      <w:r>
        <w:rPr>
          <w:b/>
        </w:rPr>
        <w:t xml:space="preserve">Pub date: </w:t>
      </w:r>
      <w:r>
        <w:t>2026-08-13 05:33:54+00:00</w:t>
      </w:r>
      <w:r>
        <w:t xml:space="preserve">    </w:t>
      </w:r>
      <w:r>
        <w:rPr>
          <w:b/>
        </w:rPr>
        <w:t xml:space="preserve">DOI: </w:t>
      </w:r>
      <w:hyperlink r:id="rId281">
        <w:r>
          <w:rPr>
            <w:color w:val="1155CC"/>
            <w:u w:val="single"/>
          </w:rPr>
          <w:t>10.1002/adma.74624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高能量密度Li─Cl的研究进展</w:t>
      </w:r>
      <w:r>
        <w:rPr>
          <w:vertAlign w:val="subscript"/>
        </w:rPr>
        <w:t>2</w:t>
      </w:r>
      <w:r>
        <w:t>电池因 Cl 不足而受到阻碍</w:t>
      </w:r>
      <w:r>
        <w:rPr>
          <w:vertAlign w:val="subscript"/>
        </w:rPr>
        <w:t>2</w:t>
      </w:r>
      <w:r>
        <w:t>储存在阴极。尽管多孔主体材料已被初步探索，但孔径对 Cl 的影响</w:t>
      </w:r>
      <w:r>
        <w:rPr>
          <w:vertAlign w:val="subscript"/>
        </w:rPr>
        <w:t>2</w:t>
      </w:r>
      <w:r>
        <w:t>限制和电化学行为仍不清楚。在此，通过将苯并菲-2,3,6,7,10,11-六羧酸分别与3-和6-连接的胺反应制备了两种具有不同孔径的新型共价有机框架（COF），即TH-COF（介孔，2.7 nm）和HH-COF（微孔，0.9 nm），作为阐明孔径效应的模型系统。氯化锂</w:t>
      </w:r>
      <w:r>
        <w:rPr>
          <w:vertAlign w:val="subscript"/>
        </w:rPr>
        <w:t>2</w:t>
      </w:r>
      <w:r>
        <w:t>电池。由于孔径更小，空间限制更强，微孔 HH-COF 能够实现优异的 Cl</w:t>
      </w:r>
      <w:r>
        <w:rPr>
          <w:vertAlign w:val="subscript"/>
        </w:rPr>
        <w:t>2</w:t>
      </w:r>
      <w:r>
        <w:t>捕获并显着增强电池性能，例如 4500 mAh g 的高容量</w:t>
      </w:r>
      <w:r>
        <w:t xml:space="preserve"> </w:t>
      </w:r>
      <w:r>
        <w:t>−1</w:t>
      </w:r>
      <w:r>
        <w:t xml:space="preserve"> </w:t>
      </w:r>
      <w:r>
        <w:t>，10 000 mA g-1的高电流密度</w:t>
      </w:r>
      <w:r>
        <w:t xml:space="preserve"> </w:t>
      </w:r>
      <w:r>
        <w:t>−1</w:t>
      </w:r>
      <w:r>
        <w:t xml:space="preserve"> </w:t>
      </w:r>
      <w:r>
        <w:t>，并且在 500 个循环中每个循环的库仑效率 (CE) 均高于 94%，优于其介孔 TH-COF 对应物和所有先前报道的电极。密度泛函理论计算揭示了Cl之间更强的主客体相互作用</w:t>
      </w:r>
      <w:r>
        <w:rPr>
          <w:vertAlign w:val="subscript"/>
        </w:rPr>
        <w:t>2</w:t>
      </w:r>
      <w:r>
        <w:t>微孔 HH-COF 优于其介孔对应物 TH-COF。这项研究不仅</w:t>
      </w:r>
    </w:p>
    <w:p>
      <w:pPr>
        <w:spacing w:before="0" w:after="200" w:lineRule="auto" w:line="276"/>
      </w:pPr>
      <w:r>
        <w:rPr>
          <w:b/>
        </w:rPr>
        <w:t xml:space="preserve">Abstract (EN): </w:t>
      </w:r>
      <w:r>
        <w:t>The development of high‐energy‐density Li─Cl</w:t>
      </w:r>
      <w:r>
        <w:rPr>
          <w:vertAlign w:val="subscript"/>
        </w:rPr>
        <w:t>2</w:t>
      </w:r>
      <w:r>
        <w:t>batteries is hindered by insufficient Cl</w:t>
      </w:r>
      <w:r>
        <w:rPr>
          <w:vertAlign w:val="subscript"/>
        </w:rPr>
        <w:t>2</w:t>
      </w:r>
      <w:r>
        <w:t>storage in cathodes. Although porous host materials have been preliminarily explored, the effect of pore size on Cl</w:t>
      </w:r>
      <w:r>
        <w:rPr>
          <w:vertAlign w:val="subscript"/>
        </w:rPr>
        <w:t>2</w:t>
      </w:r>
      <w:r>
        <w:t>confinement and electrochemical behavior still remains unclear. Herein, two novel covalent organic frameworks (COFs) with distinct pore sizes, namely TH‐COF (mesoporous, 2.7 nm) and HH‐COF (microporous, 0.9 nm), were fabricated by reacting triphenylene‐2,3,6,7,10,11‐hexacarboxylic acid with 3‐ and 6‐connected amines, respectively, to serve as a model system for elucidating the pore‐size effect in Li‐Cl</w:t>
      </w:r>
      <w:r>
        <w:rPr>
          <w:vertAlign w:val="subscript"/>
        </w:rPr>
        <w:t>2</w:t>
      </w:r>
      <w:r>
        <w:t>batteries. Owing to its smaller pore size and resultant stronger spatial confinement, the microporous HH‐COF enables superior Cl</w:t>
      </w:r>
      <w:r>
        <w:rPr>
          <w:vertAlign w:val="subscript"/>
        </w:rPr>
        <w:t>2</w:t>
      </w:r>
      <w:r>
        <w:t>capture and markedly enhanced battery performance, as exemplified by a high capacity of 4500 mAh g</w:t>
      </w:r>
      <w:r>
        <w:t xml:space="preserve"> </w:t>
      </w:r>
      <w:r>
        <w:t>−1</w:t>
      </w:r>
      <w:r>
        <w:t xml:space="preserve"> </w:t>
      </w:r>
      <w:r>
        <w:t>, a high current density of 10 000 mA g</w:t>
      </w:r>
      <w:r>
        <w:t xml:space="preserve"> </w:t>
      </w:r>
      <w:r>
        <w:t>−1</w:t>
      </w:r>
      <w:r>
        <w:t xml:space="preserve"> </w:t>
      </w:r>
      <w:r>
        <w:t>, and a Coulombic efficiency (CE) above 94% for each of the 500 cycles, outperforming its mesoporous TH‐COF counterpart and all previously reported electrodes. Density functional theory calculations reveal stronger host‐guest interactions between Cl</w:t>
      </w:r>
      <w:r>
        <w:rPr>
          <w:vertAlign w:val="subscript"/>
        </w:rPr>
        <w:t>2</w:t>
      </w:r>
      <w:r>
        <w:t>and the microporous HH‐COF than its mesoporous counterpart TH‐COF. This study not only clarifies the pivotal role of pore‐size engineering in Li‐Cl</w:t>
      </w:r>
      <w:r>
        <w:rPr>
          <w:vertAlign w:val="subscript"/>
        </w:rPr>
        <w:t>2</w:t>
      </w:r>
      <w:r>
        <w:t>batteries but also establishes a rational design principle for developing high‐performance Cl</w:t>
      </w:r>
      <w:r>
        <w:rPr>
          <w:vertAlign w:val="subscript"/>
        </w:rPr>
        <w:t>2</w:t>
      </w:r>
      <w:r>
        <w:t>host cathodes.</w:t>
      </w:r>
    </w:p>
    <w:p>
      <w:pPr>
        <w:spacing w:before="120" w:after="120"/>
      </w:pPr>
      <w:r>
        <w:rPr>
          <w:sz w:val="18"/>
        </w:rPr>
        <w:t>——————————————————————————————————————————————————————————————————————</w:t>
      </w:r>
    </w:p>
    <w:p>
      <w:pPr>
        <w:spacing w:before="160" w:after="40" w:line="240" w:lineRule="auto"/>
      </w:pPr>
      <w:r>
        <w:rPr>
          <w:b/>
        </w:rPr>
        <w:t xml:space="preserve">[33] </w:t>
      </w:r>
      <w:hyperlink r:id="rId282">
        <w:r>
          <w:rPr>
            <w:color w:val="1155CC"/>
            <w:u w:val="single"/>
          </w:rPr>
          <w:t>克服织构化压电陶瓷的性能天花板</w:t>
        </w:r>
      </w:hyperlink>
    </w:p>
    <w:p>
      <w:pPr>
        <w:spacing w:before="0" w:after="80"/>
      </w:pPr>
      <w:r>
        <w:rPr>
          <w:i/>
          <w:sz w:val="20"/>
        </w:rPr>
        <w:t>EN: Overcoming the performance ceiling of textured piezoelectric ceramics</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283">
        <w:r>
          <w:rPr>
            <w:color w:val="1155CC"/>
            <w:u w:val="single"/>
          </w:rPr>
          <w:t>10.1126/science.aei0475</w:t>
        </w:r>
      </w:hyperlink>
    </w:p>
    <w:p>
      <w:pPr>
        <w:spacing w:before="0" w:after="120"/>
      </w:pPr>
      <w:r>
        <w:rPr>
          <w:b/>
        </w:rPr>
        <w:t xml:space="preserve">Notes: </w:t>
      </w:r>
      <w:r>
        <w:t>abstract_source=crossref</w:t>
      </w:r>
    </w:p>
    <w:p>
      <w:pPr>
        <w:spacing w:before="0" w:after="80" w:lineRule="auto" w:line="276"/>
      </w:pPr>
      <w:r>
        <w:rPr>
          <w:b/>
        </w:rPr>
        <w:t xml:space="preserve">摘要（ZH）: </w:t>
      </w:r>
      <w:r>
        <w:t>织构化压电陶瓷可以提供单晶的超高压，同时保留传统陶瓷的机械鲁棒性和成本效益，但经过数十年的努力，其压电性尚未接近单晶。我们利用机器学习方法，利用了纹理陶瓷的成分灵活性，这是相对于单晶陶瓷的一个关键优势。我们的钐 (Sm) 掺杂 Pb(In</w:t>
      </w:r>
      <w:r>
        <w:t xml:space="preserve"> </w:t>
      </w:r>
      <w:r>
        <w:t>1/2</w:t>
      </w:r>
      <w:r>
        <w:t xml:space="preserve"> </w:t>
      </w:r>
      <w:r>
        <w:t>铌</w:t>
      </w:r>
      <w:r>
        <w:t xml:space="preserve"> </w:t>
      </w:r>
      <w:r>
        <w:t>1/2</w:t>
      </w:r>
      <w:r>
        <w:t xml:space="preserve"> </w:t>
      </w:r>
      <w:r>
        <w:t>)O</w:t>
      </w:r>
      <w:r>
        <w:rPr>
          <w:vertAlign w:val="subscript"/>
        </w:rPr>
        <w:t>3</w:t>
      </w:r>
      <w:r>
        <w:t>-Pb(Sc</w:t>
      </w:r>
      <w:r>
        <w:t xml:space="preserve"> </w:t>
      </w:r>
      <w:r>
        <w:t>1/2</w:t>
      </w:r>
      <w:r>
        <w:t xml:space="preserve"> </w:t>
      </w:r>
      <w:r>
        <w:t>铌</w:t>
      </w:r>
      <w:r>
        <w:t xml:space="preserve"> </w:t>
      </w:r>
      <w:r>
        <w:t>1/2</w:t>
      </w:r>
      <w:r>
        <w:t xml:space="preserve"> </w:t>
      </w:r>
      <w:r>
        <w:t>)O</w:t>
      </w:r>
      <w:r>
        <w:rPr>
          <w:vertAlign w:val="subscript"/>
        </w:rPr>
        <w:t>3</w:t>
      </w:r>
      <w:r>
        <w:t>-钛酸铅</w:t>
      </w:r>
      <w:r>
        <w:rPr>
          <w:vertAlign w:val="subscript"/>
        </w:rPr>
        <w:t>3</w:t>
      </w:r>
      <w:r>
        <w:t>织构陶瓷表现出超高压压电系数（</w:t>
      </w:r>
      <w:r>
        <w:t xml:space="preserve"> </w:t>
      </w:r>
      <w:r>
        <w:t>d</w:t>
      </w:r>
      <w:r>
        <w:rPr>
          <w:vertAlign w:val="subscript"/>
        </w:rPr>
        <w:t>33</w:t>
      </w:r>
      <w:r>
        <w:t>）为 1720 皮库伦/牛顿，居里温度为 250°C。这些值可与最先进的单晶相媲美，甚至超过。原位 X 射线衍射和瑞利分析表明，它们卓越的压电性主要是固有的，而不是由域切换驱动的。利用这些纹理陶瓷，我们制造了一种压电加速器，与单晶加速器相比，它不仅具有更高的灵敏度，而且具有更好的可靠性。</w:t>
      </w:r>
    </w:p>
    <w:p>
      <w:pPr>
        <w:spacing w:before="0" w:after="200" w:lineRule="auto" w:line="276"/>
      </w:pPr>
      <w:r>
        <w:rPr>
          <w:b/>
        </w:rPr>
        <w:t xml:space="preserve">Abstract (EN): </w:t>
      </w:r>
      <w:r>
        <w:t>Textured piezoelectric ceramics could deliver the ultrahigh piezoelectricity of single crystals while retaining the mechanical robustness and cost-effectiveness of conventional ceramics, but after decades of effort, their piezoelectricity has not approached that of single crystals. We exploited compositional flexibility of textured ceramics, a critical advantage over single-crystal counterparts, using a machine-learning approach. Our samarium (Sm)–doped Pb(In</w:t>
      </w:r>
      <w:r>
        <w:t xml:space="preserve"> </w:t>
      </w:r>
      <w:r>
        <w:t>1/2</w:t>
      </w:r>
      <w:r>
        <w:t xml:space="preserve"> </w:t>
      </w:r>
      <w:r>
        <w:t>Nb</w:t>
      </w:r>
      <w:r>
        <w:t xml:space="preserve"> </w:t>
      </w:r>
      <w:r>
        <w:t>1/2</w:t>
      </w:r>
      <w:r>
        <w:t xml:space="preserve"> </w:t>
      </w:r>
      <w:r>
        <w:t>)O</w:t>
      </w:r>
      <w:r>
        <w:rPr>
          <w:vertAlign w:val="subscript"/>
        </w:rPr>
        <w:t>3</w:t>
      </w:r>
      <w:r>
        <w:t>-Pb(Sc</w:t>
      </w:r>
      <w:r>
        <w:t xml:space="preserve"> </w:t>
      </w:r>
      <w:r>
        <w:t>1/2</w:t>
      </w:r>
      <w:r>
        <w:t xml:space="preserve"> </w:t>
      </w:r>
      <w:r>
        <w:t>Nb</w:t>
      </w:r>
      <w:r>
        <w:t xml:space="preserve"> </w:t>
      </w:r>
      <w:r>
        <w:t>1/2</w:t>
      </w:r>
      <w:r>
        <w:t xml:space="preserve"> </w:t>
      </w:r>
      <w:r>
        <w:t>)O</w:t>
      </w:r>
      <w:r>
        <w:rPr>
          <w:vertAlign w:val="subscript"/>
        </w:rPr>
        <w:t>3</w:t>
      </w:r>
      <w:r>
        <w:t>-PbTiO</w:t>
      </w:r>
      <w:r>
        <w:rPr>
          <w:vertAlign w:val="subscript"/>
        </w:rPr>
        <w:t>3</w:t>
      </w:r>
      <w:r>
        <w:t>textured ceramics exhibited an ultrahigh piezoelectric coefficient (</w:t>
      </w:r>
      <w:r>
        <w:t xml:space="preserve"> </w:t>
      </w:r>
      <w:r>
        <w:t>d</w:t>
      </w:r>
      <w:r>
        <w:rPr>
          <w:vertAlign w:val="subscript"/>
        </w:rPr>
        <w:t>33</w:t>
      </w:r>
      <w:r>
        <w:t>) of 1720 picocoulombs per newton and a Curie temperature of 250°C. These values are comparable to, or even surpass, those of state-of-the-art single crystals. In situ x-ray diffraction and Rayleigh analysis indicate that their exceptional piezoelectricity is predominantly intrinsic rather than driven by domain switching. Leveraging these textured ceramics, we fabricated a piezoelectric accelerator that exhibits not only higher sensitivity but also substantially better reliability than its single-crystal counterparts.</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284">
        <w:r>
          <w:rPr>
            <w:color w:val="1155CC"/>
            <w:u w:val="single"/>
          </w:rPr>
          <w:t>新型无釉太阳能-空气双源热泵系统的防霜弹性：多气候研究</w:t>
        </w:r>
      </w:hyperlink>
    </w:p>
    <w:p>
      <w:pPr>
        <w:spacing w:before="0" w:after="80"/>
      </w:pPr>
      <w:r>
        <w:rPr>
          <w:i/>
          <w:sz w:val="20"/>
        </w:rPr>
        <w:t>EN: Frost-suppression resilience of a novel unglazed solar-air dual-source heat pump system: a multi-climatic study</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285">
        <w:r>
          <w:rPr>
            <w:color w:val="1155CC"/>
            <w:u w:val="single"/>
          </w:rPr>
          <w:t>10.1016/j.apenergy.2026.128593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86">
        <w:r>
          <w:rPr>
            <w:color w:val="1155CC"/>
            <w:u w:val="single"/>
          </w:rPr>
          <w:t>用于个人热量和湿度管理的背纬凉爽面料</w:t>
        </w:r>
      </w:hyperlink>
    </w:p>
    <w:p>
      <w:pPr>
        <w:spacing w:before="0" w:after="80"/>
      </w:pPr>
      <w:r>
        <w:rPr>
          <w:i/>
          <w:sz w:val="20"/>
        </w:rPr>
        <w:t>EN: Weft-Backed Cooling Fabric for Personal Thermal and Moisture Management</w:t>
      </w:r>
    </w:p>
    <w:p>
      <w:pPr>
        <w:spacing w:before="0" w:after="120"/>
      </w:pPr>
      <w:r>
        <w:rPr>
          <w:b/>
        </w:rPr>
        <w:t xml:space="preserve">Source: </w:t>
      </w:r>
      <w:r>
        <w:t>ACS Applied Materials &amp; Interfaces: Latest Articles (ACS Publications)</w:t>
      </w:r>
      <w:r>
        <w:t xml:space="preserve">    </w:t>
      </w:r>
      <w:r>
        <w:rPr>
          <w:b/>
        </w:rPr>
        <w:t xml:space="preserve">Pub date: </w:t>
      </w:r>
      <w:r>
        <w:t>2026-08-07 00:00:00+00:00</w:t>
      </w:r>
      <w:r>
        <w:t xml:space="preserve">    </w:t>
      </w:r>
      <w:r>
        <w:rPr>
          <w:b/>
        </w:rPr>
        <w:t xml:space="preserve">DOI: </w:t>
      </w:r>
      <w:hyperlink r:id="rId287">
        <w:r>
          <w:rPr>
            <w:color w:val="1155CC"/>
            <w:u w:val="single"/>
          </w:rPr>
          <w:t>10.1021/acsami.6c12312</w:t>
        </w:r>
      </w:hyperlink>
    </w:p>
    <w:p>
      <w:pPr>
        <w:spacing w:before="0" w:after="120"/>
      </w:pPr>
      <w:r>
        <w:rPr>
          <w:b/>
        </w:rPr>
        <w:t xml:space="preserve">Notes: </w:t>
      </w:r>
      <w:r>
        <w:t>abstract_source=crossref</w:t>
      </w:r>
    </w:p>
    <w:p>
      <w:pPr>
        <w:spacing w:before="0" w:after="80" w:lineRule="auto" w:line="276"/>
      </w:pPr>
      <w:r>
        <w:rPr>
          <w:b/>
        </w:rPr>
        <w:t xml:space="preserve">摘要（ZH）: </w:t>
      </w:r>
      <w:r>
        <w:t>摘要 在湿热环境下进行剧烈体力活动或暴露在太阳辐射下，热量不断在体表积聚，导致出汗过多，增加脱水、中暑甚至中暑的风险，严重影响人体热湿舒适度。因此，具有集成热量和湿度管理功能的纺织品引起了人们的广泛关注。然而，许多报道的材料仍然依赖于静电纺丝、多层膜组装或复杂的后功能化，这可能限制可扩展的制造和单纺织品集成。本文开发了一种 PET/PLA 混合纬背湿气冷却织物 (HCF)，用于个人热量和湿度管理。该织物由经过超疏水 (PDMS) 涂层处理的内 PET 层、由 PET/PLA 混合纱线组成的导湿中间层和喷涂有高散射 Al2O3 纳米颗粒 (NP) 的亲水性 PLA/PLA 外层组成。通过具有成本效益的编织策略，定向水分输送和辐射冷却被有效地集成到织物结构中。 HCF 的单向水分传输指数 (R) 为 614%，同时有效抑制反向水渗透，R 值为 –606%。水分蒸发率达到0.25 g·h–1。此外，HCF 的太阳反射率（0.3-2.5 μm）为 90.80%，中红外发射率（7-14 μm）为 92.46%。在阳光明媚的室外条件下，HCF 实现平均低于环境温度 10.4 °C</w:t>
      </w:r>
    </w:p>
    <w:p>
      <w:pPr>
        <w:spacing w:before="0" w:after="200" w:lineRule="auto" w:line="276"/>
      </w:pPr>
      <w:r>
        <w:rPr>
          <w:b/>
        </w:rPr>
        <w:t xml:space="preserve">Abstract (EN): </w:t>
      </w:r>
      <w:r>
        <w:t>During intense physical activity or exposure to solar radiation in hot and humid environments, heat continuously accumulates at the body surface and induces excessive sweating, thereby increasing the risks of dehydration, heat exhaustion, and even heat stroke, which severely compromise human thermal and moisture comfort. Consequently, textiles with integrated heat and moisture management capabilities have attracted considerable attention. However, many reported materials still rely on electrospinning, multilayer membrane assembly, or complex postfunctionalization, which may limit scalable fabrication and single-textile integration. Herein, a PET/PLA Hybrid Weft-Backed Moisture-Cooling Fabric (HCF) was developed for personal thermal and moisture management. The fabric consists of an inner PET layer treated with a superhydrophobic (PDMS) coating, a moisture-transport middle layer composed of PET/PLA hybrid yarns, and an outer hydrophilic PLA/PLA layer spray-coated with highly scattering Al2O3 nanoparticles (NPs). Through a cost-effective weaving strategy, directional moisture transport and radiative cooling were effectively integrated into the fabric structure. The HCF exhibits a one-way moisture transport index (R) of 614%, while reverse water penetration is effectively suppressed, with an R value of –606%. The moisture evaporation rate reaches 0.25 g·h–1. In addition, the HCF demonstrates a solar reflectance (0.3–2.5 μm) of 90.80% and a mid-infrared emissivity (7–14 μm) of 92.46%. Under sunny outdoor conditions, HCF achieved an average subambient cooling of 10.4 °C relative to ambient air and was more than 5 °C cooler than conventional cotton fabric, indicating its potential to provide a cooler and drier skin-side microenvironment. This work offers a promising strategy for the design and application of advanced functional textiles, facilitating improved human adaptability to complex and dynamic environments.</w:t>
      </w:r>
    </w:p>
    <w:p>
      <w:pPr>
        <w:spacing w:before="120" w:after="120"/>
      </w:pPr>
      <w:r>
        <w:rPr>
          <w:sz w:val="18"/>
        </w:rPr>
        <w:t>——————————————————————————————————————————————————————————————————————</w:t>
      </w:r>
    </w:p>
    <w:p>
      <w:pPr>
        <w:spacing w:before="160" w:after="40" w:line="240" w:lineRule="auto"/>
      </w:pPr>
      <w:r>
        <w:rPr>
          <w:b/>
        </w:rPr>
        <w:t xml:space="preserve">[3] </w:t>
      </w:r>
      <w:hyperlink r:id="rId288">
        <w:r>
          <w:rPr>
            <w:color w:val="1155CC"/>
            <w:u w:val="single"/>
          </w:rPr>
          <w:t>光敏聚酰亚胺作为先进半导体封装的使能材料</w:t>
        </w:r>
      </w:hyperlink>
    </w:p>
    <w:p>
      <w:pPr>
        <w:spacing w:before="0" w:after="80"/>
      </w:pPr>
      <w:r>
        <w:rPr>
          <w:i/>
          <w:sz w:val="20"/>
        </w:rPr>
        <w:t>EN: Photosensitive Polyimides as Enabling Materials for Advanced Semiconductor Packaging</w:t>
      </w:r>
    </w:p>
    <w:p>
      <w:pPr>
        <w:spacing w:before="0" w:after="120"/>
      </w:pPr>
      <w:r>
        <w:rPr>
          <w:b/>
        </w:rPr>
        <w:t xml:space="preserve">Source: </w:t>
      </w:r>
      <w:r>
        <w:t>ACS Applied Materials &amp; Interfaces: Latest Articles (ACS Publications)</w:t>
      </w:r>
      <w:r>
        <w:t xml:space="preserve">    </w:t>
      </w:r>
      <w:r>
        <w:rPr>
          <w:b/>
        </w:rPr>
        <w:t xml:space="preserve">Pub date: </w:t>
      </w:r>
      <w:r>
        <w:t>2026-08-07 00:00:00+00:00</w:t>
      </w:r>
      <w:r>
        <w:t xml:space="preserve">    </w:t>
      </w:r>
      <w:r>
        <w:rPr>
          <w:b/>
        </w:rPr>
        <w:t xml:space="preserve">DOI: </w:t>
      </w:r>
      <w:hyperlink r:id="rId289">
        <w:r>
          <w:rPr>
            <w:color w:val="1155CC"/>
            <w:u w:val="single"/>
          </w:rPr>
          <w:t>10.1021/acsami.6c09651</w:t>
        </w:r>
      </w:hyperlink>
    </w:p>
    <w:p>
      <w:pPr>
        <w:spacing w:before="0" w:after="120"/>
      </w:pPr>
      <w:r>
        <w:rPr>
          <w:b/>
        </w:rPr>
        <w:t xml:space="preserve">Notes: </w:t>
      </w:r>
      <w:r>
        <w:t>abstract_source=crossref</w:t>
      </w:r>
    </w:p>
    <w:p>
      <w:pPr>
        <w:spacing w:before="0" w:after="80" w:lineRule="auto" w:line="276"/>
      </w:pPr>
      <w:r>
        <w:rPr>
          <w:b/>
        </w:rPr>
        <w:t xml:space="preserve">摘要（ZH）: </w:t>
      </w:r>
      <w:r>
        <w:t>摘要 先进的封装技术使电子设备朝着小型化、更高集成密度和可扩展的光电应用方向发展。在低介电再分布层的关键材料中，光敏聚酰亚胺（PSPI）因其具有光图案化能力、机械强度和低介电损耗的综合能力而成为合适的候选材料。然而，最近的研究挑战了性能权衡的传统观点，证明分子设计和热管理可以协同设计以增强器件性能。本综述总结了多功能 PSPI 设计分子设计的最新进展，并重点介绍了它们与晶圆级封装架构的集成。我们重点关注它们在促进从芯片到外部封装的高效散热以及减少介电损耗以提高信号完整性方面的作用。最后，提出了基于 PSPI 的材料的未来方向，为下一代高性能和柔性电子产品提供了前瞻性的视角。</w:t>
      </w:r>
    </w:p>
    <w:p>
      <w:pPr>
        <w:spacing w:before="0" w:after="200" w:lineRule="auto" w:line="276"/>
      </w:pPr>
      <w:r>
        <w:rPr>
          <w:b/>
        </w:rPr>
        <w:t xml:space="preserve">Abstract (EN): </w:t>
      </w:r>
      <w:r>
        <w:t>Advanced packaging technologies have enabled electronic devices toward miniaturization, higher integration densities, and scalable optoelectronic applications. Among the key materials for low-dielectric redistribution layers, photosensitive polyimides (PSPIs) have emerged as a suitable candidate, owing to their combined capabilities in photo-patterning ability, mechanical strength, and low dielectric loss. However, recent research challenges the conventional view of performance trade-offs, demonstrating that molecular design and thermal management can be synergistically codesigned to enhance device performance. This review summarizes the latest advances in the molecular design of multifunctional PSPI design and highlights their integration into wafer-level packaging architectures. We focus on their role in promoting efficient heat dissipation from chip to external package and on reducing dielectric losses to improve signal integrity. Finally, future directions for PSPI-based materials are proposed, offering a forward-looking perspective for next-generation high-performance and flexible electronics.</w:t>
      </w:r>
    </w:p>
    <w:p>
      <w:pPr>
        <w:spacing w:before="120" w:after="120"/>
      </w:pPr>
      <w:r>
        <w:rPr>
          <w:sz w:val="18"/>
        </w:rPr>
        <w:t>——————————————————————————————————————————————————————————————————————</w:t>
      </w:r>
    </w:p>
    <w:p>
      <w:pPr>
        <w:spacing w:before="160" w:after="40" w:line="240" w:lineRule="auto"/>
      </w:pPr>
      <w:r>
        <w:rPr>
          <w:b/>
        </w:rPr>
        <w:t xml:space="preserve">[4] </w:t>
      </w:r>
      <w:hyperlink r:id="rId290">
        <w:r>
          <w:rPr>
            <w:color w:val="1155CC"/>
            <w:u w:val="single"/>
          </w:rPr>
          <w:t>基于纺织电极的电响应和磁响应超疏水形状记忆涂层，用于防冰/除冰应用</w:t>
        </w:r>
      </w:hyperlink>
    </w:p>
    <w:p>
      <w:pPr>
        <w:spacing w:before="0" w:after="80"/>
      </w:pPr>
      <w:r>
        <w:rPr>
          <w:i/>
          <w:sz w:val="20"/>
        </w:rPr>
        <w:t>EN: Electro- and Magneto-Responsive Superhydrophobic Shape Memory Coating Based on a Textile Electrode for Anti-Icing/Deicing Applications</w:t>
      </w:r>
    </w:p>
    <w:p>
      <w:pPr>
        <w:spacing w:before="0" w:after="120"/>
      </w:pPr>
      <w:r>
        <w:rPr>
          <w:b/>
        </w:rPr>
        <w:t xml:space="preserve">Source: </w:t>
      </w:r>
      <w:r>
        <w:t>ACS Applied Materials &amp; Interfaces: Latest Articles (ACS Publications)</w:t>
      </w:r>
      <w:r>
        <w:t xml:space="preserve">    </w:t>
      </w:r>
      <w:r>
        <w:rPr>
          <w:b/>
        </w:rPr>
        <w:t xml:space="preserve">Pub date: </w:t>
      </w:r>
      <w:r>
        <w:t>2026-08-07 00:00:00+00:00</w:t>
      </w:r>
      <w:r>
        <w:t xml:space="preserve">    </w:t>
      </w:r>
      <w:r>
        <w:rPr>
          <w:b/>
        </w:rPr>
        <w:t xml:space="preserve">DOI: </w:t>
      </w:r>
      <w:hyperlink r:id="rId291">
        <w:r>
          <w:rPr>
            <w:color w:val="1155CC"/>
            <w:u w:val="single"/>
          </w:rPr>
          <w:t>10.1021/acsami.6c08479</w:t>
        </w:r>
      </w:hyperlink>
    </w:p>
    <w:p>
      <w:pPr>
        <w:spacing w:before="0" w:after="120"/>
      </w:pPr>
      <w:r>
        <w:rPr>
          <w:b/>
        </w:rPr>
        <w:t xml:space="preserve">Notes: </w:t>
      </w:r>
      <w:r>
        <w:t>abstract_source=crossref</w:t>
      </w:r>
    </w:p>
    <w:p>
      <w:pPr>
        <w:spacing w:before="0" w:after="80" w:lineRule="auto" w:line="276"/>
      </w:pPr>
      <w:r>
        <w:rPr>
          <w:b/>
        </w:rPr>
        <w:t xml:space="preserve">摘要（ZH）: </w:t>
      </w:r>
      <w:r>
        <w:t>摘要 纺织电极的多响应超疏水涂层在防冰和除冰应用中显示出巨大的前景。然而，多重响应和机械磨损往往会损害其长期疏水稳定性和耐久性。在此，我们通过将导电MWCNT/MXene网络（C）集成到蚀刻聚酯织物（APT）上，然后喷涂用水解十八烷基三甲氧基硅烷（OTMS，表示为HFe）改性的Fe3O4纳米颗粒，然后涂覆形状记忆聚合物（SMP），制备了超疏水纺织电极（SMP-HFe-C@APT）。所得电极在电热和磁热的协同双重响应下表现出优异的超疏水性（WCA = 162.3 ± 0.5°）、较长的结冰延迟（1241 ± 10 s）和快速除冰（82 s）。 HFe 纳米粒子和 SMP 基质之间的共价键将玻璃化转变温度降低至 15.8 ± 0.5 °C，在软化的 SMP 涂层和刚性冰滴之间建立模量失配，并加速冰的脱离。此外，高吸收性内层（C 和 HFe）与反射性 SMP 外层的组合会产生内部热循环，从而增强除冰过程中的热限制和利用。热效应同时引起SMP涂层中的EP（环氧树脂）和PDMS（聚二甲基硅氧烷）分子重排，从而实现纳米材料微观结构和低表面能的恢复。这项工作为制造集成界面热学的耐用防冰和除冰涂层提供了一种新策略。</w:t>
      </w:r>
    </w:p>
    <w:p>
      <w:pPr>
        <w:spacing w:before="0" w:after="200" w:lineRule="auto" w:line="276"/>
      </w:pPr>
      <w:r>
        <w:rPr>
          <w:b/>
        </w:rPr>
        <w:t xml:space="preserve">Abstract (EN): </w:t>
      </w:r>
      <w:r>
        <w:t>Multi-response superhydrophobic coating of the textile electrodes show great promise for anti-icing and deicing applications; however, multi-response and mechanical abrasion often compromise their long-term hydrophobic stability and durability. Herein, we fabricate a superhydrophobic textile electrode (SMP-HFe-C@APT) by integrating conductive MWCNT/MXene network (C) onto an etched polyester fabric (APT), followed by spraying Fe3O4 nanoparticles modified with hydrolyzed octadecyltrimethoxysilane (OTMS, denoted as HFe), and then by coating with a shape memory polymer (SMP). The resulting electrode exhibits excellent superhydrophobicity (WCA = 162.3 ± 0.5°), prolonged icing delay (1241 ± 10 s), and rapid deicing (82 s) under synergistic dual electrothermal and magnetothermal response. Covalent bonding between HFe nanoparticles and the SMP matrix reduces the glass transition temperature to 15.8 ± 0.5 °C, establishing a modulus mismatch between the softened SMP coating and the rigid ice droplets, and accelerating ice detachment. Additionally, the combination of highly absorptive inner layers (C and HFe) and a reflective SMP outer layer gives rise to an internal thermal cycling, which enhances heat confinement and utilization during deicing. The thermal effect simultaneously induces EP (epoxy resin) and PDMS (polydimethylsiloxane) molecular rearrangement in the SMP coating, enabling recovery of nano-material microstructure and low surface energy. This work provides a new strategy for fabricating durable anti-icing and deicing coatings that integrate interfacial thermal management and dynamic self-healing.</w:t>
      </w:r>
    </w:p>
    <w:p>
      <w:pPr>
        <w:spacing w:before="120" w:after="120"/>
      </w:pPr>
      <w:r>
        <w:rPr>
          <w:sz w:val="18"/>
        </w:rPr>
        <w:t>——————————————————————————————————————————————————————————————————————</w:t>
      </w:r>
    </w:p>
    <w:p>
      <w:pPr>
        <w:spacing w:before="160" w:after="40" w:line="240" w:lineRule="auto"/>
      </w:pPr>
      <w:r>
        <w:rPr>
          <w:b/>
        </w:rPr>
        <w:t xml:space="preserve">[5] </w:t>
      </w:r>
      <w:hyperlink r:id="rId292">
        <w:r>
          <w:rPr>
            <w:color w:val="1155CC"/>
            <w:u w:val="single"/>
          </w:rPr>
          <w:t>在氨合成回路中使用熔盐热能存储重新配置可再生电力制氨系统的灵活性：协调的电氢热调度方法</w:t>
        </w:r>
      </w:hyperlink>
    </w:p>
    <w:p>
      <w:pPr>
        <w:spacing w:before="0" w:after="80"/>
      </w:pPr>
      <w:r>
        <w:rPr>
          <w:i/>
          <w:sz w:val="20"/>
        </w:rPr>
        <w:t>EN: Reconfiguring flexibility in renewable power-to-ammonia systems using molten-salt thermal energy storage in the ammonia synthesis loop: A coordinated electro‑hydrogen-thermal scheduling approach</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293">
        <w:r>
          <w:rPr>
            <w:color w:val="1155CC"/>
            <w:u w:val="single"/>
          </w:rPr>
          <w:t>10.1016/j.apenergy.2026.128609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294">
        <w:r>
          <w:rPr>
            <w:color w:val="1155CC"/>
            <w:u w:val="single"/>
          </w:rPr>
          <w:t>受象皮启发的多孔水泥质砖，具有用于被动冷却的可编程裂缝网络（Adv. Mater. 44/2026）</w:t>
        </w:r>
      </w:hyperlink>
    </w:p>
    <w:p>
      <w:pPr>
        <w:spacing w:before="0" w:after="80"/>
      </w:pPr>
      <w:r>
        <w:rPr>
          <w:i/>
          <w:sz w:val="20"/>
        </w:rPr>
        <w:t>EN: Elephant‐Skin‐Inspired Porous Cementitious Tiles with Programmable Crack Networks for Passive Cooling (Adv. Mater. 44/2026)</w:t>
      </w:r>
    </w:p>
    <w:p>
      <w:pPr>
        <w:spacing w:before="0" w:after="120"/>
      </w:pPr>
      <w:r>
        <w:rPr>
          <w:b/>
        </w:rPr>
        <w:t xml:space="preserve">Source: </w:t>
      </w:r>
      <w:r>
        <w:t>Wiley: Advanced Materials: Table of Contents</w:t>
      </w:r>
      <w:r>
        <w:t xml:space="preserve">    </w:t>
      </w:r>
      <w:r>
        <w:rPr>
          <w:b/>
        </w:rPr>
        <w:t xml:space="preserve">Pub date: </w:t>
      </w:r>
      <w:r>
        <w:t>2026-08-07 10:09:44+00:00</w:t>
      </w:r>
      <w:r>
        <w:t xml:space="preserve">    </w:t>
      </w:r>
      <w:r>
        <w:rPr>
          <w:b/>
        </w:rPr>
        <w:t xml:space="preserve">DOI: </w:t>
      </w:r>
      <w:hyperlink r:id="rId295">
        <w:r>
          <w:rPr>
            <w:color w:val="1155CC"/>
            <w:u w:val="single"/>
          </w:rPr>
          <w:t>10.1002/adma.74427</w:t>
        </w:r>
      </w:hyperlink>
    </w:p>
    <w:p>
      <w:pPr>
        <w:spacing w:before="0" w:after="120"/>
      </w:pPr>
      <w:r>
        <w:rPr>
          <w:b/>
        </w:rPr>
        <w:t xml:space="preserve">Notes: </w:t>
      </w:r>
      <w:r>
        <w:t>abstract_source=openalex</w:t>
      </w:r>
    </w:p>
    <w:p>
      <w:pPr>
        <w:spacing w:before="0" w:after="80" w:lineRule="auto" w:line="276"/>
      </w:pPr>
      <w:r>
        <w:rPr>
          <w:b/>
        </w:rPr>
        <w:t xml:space="preserve">摘要（ZH）: </w:t>
      </w:r>
      <w:r>
        <w:t>受象皮启发的多孔水泥质瓷砖建筑物占美国一次能源消耗的 40%，其中近一半用于暖通空调和照明。建筑围护结构可以作为温度调节的第一道防线——调节室内外之间的热量和空气交换。蒸发冷却，以最少的外部能量利用水的潜热。然而，现实世界的部署受到水效率低下、矿物质污染、液滴捕获不良以及从毛细管持续蒸发到扩散限制蒸发的不受控制的转变的限制。大象皮肤呈现出致密的引导裂纹网络，可以储存和重新分配水，抑制水滴反弹，并将蒸发热损失提高一个数量级。受这一机制的启发，Kun-Hao Yu、Shu Yang 及其同事在硅藻土 (DE) 配制的低成本、灰泥相容性水泥基复合材料中开发了一种基材引导破裂策略。 DE 的微米和纳米孔隙度可实现超快吸水和回弹抑制，而水泥基体则提供机械坚固性以及与现有围护结构的兼容性。这种结构增强了保水性并延长了蒸发冷却时间，提供了一种可扩展的策略来制造多孔水泥砖，以提高建筑围护结构的冷却性能。更多详细信息请参阅研究文章 (DOI: 10.1002/adma.202523133)。</w:t>
      </w:r>
    </w:p>
    <w:p>
      <w:pPr>
        <w:spacing w:before="0" w:after="200" w:lineRule="auto" w:line="276"/>
      </w:pPr>
      <w:r>
        <w:rPr>
          <w:b/>
        </w:rPr>
        <w:t xml:space="preserve">Abstract (EN): </w:t>
      </w:r>
      <w:r>
        <w:t>Elephant-Skin-Inspired Porous Cementitious Tiles Buildings account for ∼40% of U.S. primary energy use, with nearly half consumed by HVAC and lighting. Building envelopescan act as the first line of thermoregulation–moderating the exchange of heat and air between indoor and outdoor. Evaporative cooling, which harnesses the latent heat of water with minimal external energy. Yet real-world deployment is constrained by water inefficiencies, mineral fouling, poor droplet capture, and uncontrolled transitions from capillary-sustained to diffusion-limited evaporation. Elephant skin exhibits dense, guided crack networks that store and redistribute water, suppress droplet rebound, and enhance evaporative heat loss by up to an order of magnitude. Inspired by this mechanism, Kun-Hao Yu, Shu Yang, and co-workers have developed a substrate-guided cracking strategy in a low-cost, stucco-compatible cementitious composite formulated with diatomaceous earth (DE). DE's micro- and nanoporosity enables ultrafast water imbibition and rebound suppression, while the cement matrix provides mechanical robustness and compatibility with existing envelopes. This architecture enhances water retention and prolongs evaporative cooling, offering a scalable strategy to fabricate porous cementitious tiles for improved building-envelope cooling performance. More details can be found in the Research Article (DOI: 10.1002/adma.202523133).</w:t>
      </w:r>
    </w:p>
    <w:p>
      <w:pPr>
        <w:spacing w:before="120" w:after="120"/>
      </w:pPr>
      <w:r>
        <w:rPr>
          <w:sz w:val="18"/>
        </w:rPr>
        <w:t>——————————————————————————————————————————————————————————————————————</w:t>
      </w:r>
    </w:p>
    <w:p>
      <w:pPr>
        <w:spacing w:before="160" w:after="40" w:line="240" w:lineRule="auto"/>
      </w:pPr>
      <w:r>
        <w:rPr>
          <w:b/>
        </w:rPr>
        <w:t xml:space="preserve">[7] </w:t>
      </w:r>
      <w:hyperlink r:id="rId296">
        <w:r>
          <w:rPr>
            <w:color w:val="1155CC"/>
            <w:u w:val="single"/>
          </w:rPr>
          <w:t>用于光热催化生物质增值和过氧化氢生产的共价有机框架纳米结构的溶剂驱动调节</w:t>
        </w:r>
      </w:hyperlink>
    </w:p>
    <w:p>
      <w:pPr>
        <w:spacing w:before="0" w:after="80"/>
      </w:pPr>
      <w:r>
        <w:rPr>
          <w:i/>
          <w:sz w:val="20"/>
        </w:rPr>
        <w:t>EN: Solvent‐Driven Modulation of Covalent‐Organic Framework Nano‐Architectures for Photothermal‐Catalytic Biomass Valorization and Hydrogen Peroxide Production</w:t>
      </w:r>
    </w:p>
    <w:p>
      <w:pPr>
        <w:spacing w:before="0" w:after="120"/>
      </w:pPr>
      <w:r>
        <w:rPr>
          <w:b/>
        </w:rPr>
        <w:t xml:space="preserve">Source: </w:t>
      </w:r>
      <w:r>
        <w:t>Wiley: Angewandte Chemie International Edition: Table of Contents</w:t>
      </w:r>
      <w:r>
        <w:t xml:space="preserve">    </w:t>
      </w:r>
      <w:r>
        <w:rPr>
          <w:b/>
        </w:rPr>
        <w:t xml:space="preserve">Pub date: </w:t>
      </w:r>
      <w:r>
        <w:t>2026-08-07 13:07:54+00:00</w:t>
      </w:r>
      <w:r>
        <w:t xml:space="preserve">    </w:t>
      </w:r>
      <w:r>
        <w:rPr>
          <w:b/>
        </w:rPr>
        <w:t xml:space="preserve">DOI: </w:t>
      </w:r>
      <w:hyperlink r:id="rId297">
        <w:r>
          <w:rPr>
            <w:color w:val="1155CC"/>
            <w:u w:val="single"/>
          </w:rPr>
          <w:t>10.1002/anie.2408330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将三维（3D）共价有机框架（COF）调制成多功能纳米结构对于其扩展应用来说是非常理想的，但在材料设计和形态研究方面仍然具有挑战性。在这里，我们设计了一种功能性3D COF（DPP-TAM-COF），并通过溶剂驱动的调谐策略成功地将其调制成多种纳米结构，包括纳米环、空心球和纳米海胆。所生产的纳米结构具有双官能团、良好的形态、高孔隙率和光热特性，可应用于高效的光热生物质增值和过氧化氢生产。具体来说，他们可以实现糠醇转化为糠酸，最佳生成效率为39.0 mmol/g，同时高效生成过氧化氢，优于大多数已报道的材料。基于各种表征和理论计算，纳米结构和双官能团的功能已在偶联反应中得到验证。这项工作旨在扩展 3D COF 的应用范围，可能为 3D COF 的结构或形态研究提供新的见解。</w:t>
      </w:r>
    </w:p>
    <w:p>
      <w:pPr>
        <w:spacing w:before="0" w:after="200" w:lineRule="auto" w:line="276"/>
      </w:pPr>
      <w:r>
        <w:rPr>
          <w:b/>
        </w:rPr>
        <w:t xml:space="preserve">Abstract (EN): </w:t>
      </w:r>
      <w:r>
        <w:t>The modulation of three‐dimensional (3D) covalent‐organic frameworks (COFs) into multifunctional nano‐architectures is highly desirable for their extended applications yet still challenging in both material design and morphology investigation. Here, we have designed a functional 3D COF (DPP‐TAM‐COF) and successfully modulated it into diverse nano‐architectures, including nano‐ring, hollow‐sphere, and nano‐urchin, through a solvent‐driven tuning strategy. The produced nano‐architectures possess bifunctional groups, well‐tuned morphology, high porosity, and photothermal properties that can be applied in efficient photothermal biomass valorization coupled with hydrogen peroxide production. Specifically, they can realize the furfuryl alcohol conversion into furoic acid with an optimal generation efficiency of 39.0 mmol/g coupled with the efficient hydrogen peroxide production, which is superior to the majority of reported materials. Based on various characterizations and theoretical calculations, the functions of nano‐architectures and bifunctional groups have been validated in the coupling reaction. Aiming at extending the application regimes of 3D COFs, this work might give new insights into the structure or morphology study of 3D COFs.</w:t>
      </w:r>
    </w:p>
    <w:p>
      <w:pPr>
        <w:spacing w:before="120" w:after="120"/>
      </w:pPr>
      <w:r>
        <w:rPr>
          <w:sz w:val="18"/>
        </w:rPr>
        <w:t>——————————————————————————————————————————————————————————————————————</w:t>
      </w:r>
    </w:p>
    <w:p>
      <w:pPr>
        <w:spacing w:before="160" w:after="40" w:line="240" w:lineRule="auto"/>
      </w:pPr>
      <w:r>
        <w:rPr>
          <w:b/>
        </w:rPr>
        <w:t xml:space="preserve">[8] </w:t>
      </w:r>
      <w:hyperlink r:id="rId298">
        <w:r>
          <w:rPr>
            <w:color w:val="1155CC"/>
            <w:u w:val="single"/>
          </w:rPr>
          <w:t>Hypercube：用于快速、稳健的城市建筑能源建模的混合物理学习框架</w:t>
        </w:r>
      </w:hyperlink>
    </w:p>
    <w:p>
      <w:pPr>
        <w:spacing w:before="0" w:after="80"/>
      </w:pPr>
      <w:r>
        <w:rPr>
          <w:i/>
          <w:sz w:val="20"/>
        </w:rPr>
        <w:t>EN: Hypercube: A hybrid physics-learning framework for rapid, robust urban building energy modeling</w:t>
      </w:r>
    </w:p>
    <w:p>
      <w:pPr>
        <w:spacing w:before="0" w:after="120"/>
      </w:pPr>
      <w:r>
        <w:rPr>
          <w:b/>
        </w:rPr>
        <w:t xml:space="preserve">Source: </w:t>
      </w:r>
      <w:r>
        <w:t>ScienceDirect Publication: Applied Energy</w:t>
      </w:r>
      <w:r>
        <w:t xml:space="preserve">    </w:t>
      </w:r>
      <w:r>
        <w:rPr>
          <w:b/>
        </w:rPr>
        <w:t xml:space="preserve">Pub date: </w:t>
      </w:r>
      <w:r>
        <w:t>2026-08-08 00:00:00+00:00</w:t>
      </w:r>
      <w:r>
        <w:t xml:space="preserve">    </w:t>
      </w:r>
      <w:r>
        <w:rPr>
          <w:b/>
        </w:rPr>
        <w:t xml:space="preserve">DOI: </w:t>
      </w:r>
      <w:hyperlink r:id="rId299">
        <w:r>
          <w:rPr>
            <w:color w:val="1155CC"/>
            <w:u w:val="single"/>
          </w:rPr>
          <w:t>10.1016/j.apenergy.2026.128467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300">
        <w:r>
          <w:rPr>
            <w:color w:val="1155CC"/>
            <w:u w:val="single"/>
          </w:rPr>
          <w:t>跨越转型：北京农村天然气采用的经济和环境影响评估</w:t>
        </w:r>
      </w:hyperlink>
    </w:p>
    <w:p>
      <w:pPr>
        <w:spacing w:before="0" w:after="80"/>
      </w:pPr>
      <w:r>
        <w:rPr>
          <w:i/>
          <w:sz w:val="20"/>
        </w:rPr>
        <w:t>EN: Bridging the transition: Economic and environmental impact assessment of rural natural gas adoption in Beijing</w:t>
      </w:r>
    </w:p>
    <w:p>
      <w:pPr>
        <w:spacing w:before="0" w:after="120"/>
      </w:pPr>
      <w:r>
        <w:rPr>
          <w:b/>
        </w:rPr>
        <w:t xml:space="preserve">Source: </w:t>
      </w:r>
      <w:r>
        <w:t>ScienceDirect Publication: Energy Policy</w:t>
      </w:r>
      <w:r>
        <w:t xml:space="preserve">    </w:t>
      </w:r>
      <w:r>
        <w:rPr>
          <w:b/>
        </w:rPr>
        <w:t xml:space="preserve">Pub date: </w:t>
      </w:r>
      <w:r>
        <w:t>2026-08-08 00:00:00+00:00</w:t>
      </w:r>
      <w:r>
        <w:t xml:space="preserve">    </w:t>
      </w:r>
      <w:r>
        <w:rPr>
          <w:b/>
        </w:rPr>
        <w:t xml:space="preserve">DOI: </w:t>
      </w:r>
      <w:hyperlink r:id="rId301">
        <w:r>
          <w:rPr>
            <w:color w:val="1155CC"/>
            <w:u w:val="single"/>
          </w:rPr>
          <w:t>10.1016/j.enpol.2026.115545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6">
        <w:r>
          <w:rPr>
            <w:color w:val="1155CC"/>
            <w:u w:val="single"/>
          </w:rPr>
          <w:t>在高达 1800 K 的平面热源上展示高效 GaSb 热光伏电池，适用于高温应用</w:t>
        </w:r>
      </w:hyperlink>
    </w:p>
    <w:p>
      <w:pPr>
        <w:spacing w:before="0" w:after="80"/>
      </w:pPr>
      <w:r>
        <w:rPr>
          <w:i/>
          <w:sz w:val="20"/>
        </w:rPr>
        <w:t>EN: High-efficiency GaSb thermophotovoltaic cell demonstrated on a planar heat source up to 1800 K for high-temperature applications</w:t>
      </w:r>
    </w:p>
    <w:p>
      <w:pPr>
        <w:spacing w:before="0" w:after="120"/>
      </w:pPr>
      <w:r>
        <w:rPr>
          <w:b/>
        </w:rPr>
        <w:t xml:space="preserve">Source: </w:t>
      </w:r>
      <w:r>
        <w:t>ScienceDirect Publication: Applied Energy</w:t>
      </w:r>
      <w:r>
        <w:t xml:space="preserve">    </w:t>
      </w:r>
      <w:r>
        <w:rPr>
          <w:b/>
        </w:rPr>
        <w:t xml:space="preserve">Pub date: </w:t>
      </w:r>
      <w:r>
        <w:t>2026-08-08 00:00:00+00:00</w:t>
      </w:r>
      <w:r>
        <w:t xml:space="preserve">    </w:t>
      </w:r>
      <w:r>
        <w:rPr>
          <w:b/>
        </w:rPr>
        <w:t xml:space="preserve">DOI: </w:t>
      </w:r>
      <w:hyperlink r:id="rId27">
        <w:r>
          <w:rPr>
            <w:color w:val="1155CC"/>
            <w:u w:val="single"/>
          </w:rPr>
          <w:t>10.1016/j.apenergy.2026.128650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302">
        <w:r>
          <w:rPr>
            <w:color w:val="1155CC"/>
            <w:u w:val="single"/>
          </w:rPr>
          <w:t>用于低湿度热量收集的高性能自组装两亲性嵌段共聚物热电离子凝胶</w:t>
        </w:r>
      </w:hyperlink>
    </w:p>
    <w:p>
      <w:pPr>
        <w:spacing w:before="0" w:after="80"/>
      </w:pPr>
      <w:r>
        <w:rPr>
          <w:i/>
          <w:sz w:val="20"/>
        </w:rPr>
        <w:t>EN: High‐Performance Self‐Assembled Amphiphilic Block Copolymer Thermoelectric Ionogel for Low‐Humidity Heat Harvesting</w:t>
      </w:r>
    </w:p>
    <w:p>
      <w:pPr>
        <w:spacing w:before="0" w:after="120"/>
      </w:pPr>
      <w:r>
        <w:rPr>
          <w:b/>
        </w:rPr>
        <w:t xml:space="preserve">Source: </w:t>
      </w:r>
      <w:r>
        <w:t>Wiley: Advanced Energy Materials: Table of Contents</w:t>
      </w:r>
      <w:r>
        <w:t xml:space="preserve">    </w:t>
      </w:r>
      <w:r>
        <w:rPr>
          <w:b/>
        </w:rPr>
        <w:t xml:space="preserve">Pub date: </w:t>
      </w:r>
      <w:r>
        <w:t>2026-08-08 09:10:56+00:00</w:t>
      </w:r>
      <w:r>
        <w:t xml:space="preserve">    </w:t>
      </w:r>
      <w:r>
        <w:rPr>
          <w:b/>
        </w:rPr>
        <w:t xml:space="preserve">DOI: </w:t>
      </w:r>
      <w:hyperlink r:id="rId303">
        <w:r>
          <w:rPr>
            <w:color w:val="1155CC"/>
            <w:u w:val="single"/>
          </w:rPr>
          <w:t>10.1002/aenm.71397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离子热电（i-TE）材料因其能够产生高热电压以收集低品位余热而引起了极大的兴趣。然而，开发高性能 i-TE 材料仍然面临挑战，特别是在相对低湿度 (RH) 范围&lt;60% 的情况下。在此，基于交联 Pluronic 嵌段共聚物（PEO</w:t>
      </w:r>
      <w:r>
        <w:t xml:space="preserve"> </w:t>
      </w:r>
      <w:r>
        <w:t>x</w:t>
      </w:r>
      <w:r>
        <w:t xml:space="preserve"> </w:t>
      </w:r>
      <w:r>
        <w:t>‐PPO</w:t>
      </w:r>
      <w:r>
        <w:t xml:space="preserve"> </w:t>
      </w:r>
      <w:r>
        <w:t>y</w:t>
      </w:r>
      <w:r>
        <w:t xml:space="preserve"> </w:t>
      </w:r>
      <w:r>
        <w:t>‐PEO</w:t>
      </w:r>
      <w:r>
        <w:t xml:space="preserve"> </w:t>
      </w:r>
      <w:r>
        <w:t>x</w:t>
      </w:r>
      <w:r>
        <w:t xml:space="preserve"> </w:t>
      </w:r>
      <w:r>
        <w:t>）开发了同时增强离子电导率和离子塞贝克系数的二丙烯酸酯和离子液体。受益于 Pluronic 嵌段共聚物的两亲性质，自组装胶束在离子凝胶中自发形成，形成可控的纳米相分离胶束结构，同时交联抑制 PEO 结晶。这种独特的结构促进了连续的离子传输路径并导致高离子电导率。此外，离子和嵌段共聚物主链之间的分子间相互作用可以通过 Pluronic 嵌段共聚物中不同的 PO 嵌段比例来调节。因此，Pluronic P123DA 离子凝胶表现出卓越的性能</w:t>
      </w:r>
      <w:r>
        <w:t xml:space="preserve"> </w:t>
      </w:r>
      <w:r>
        <w:t>σ</w:t>
      </w:r>
      <w:r>
        <w:t xml:space="preserve"> </w:t>
      </w:r>
      <w:r>
        <w:t>我</w:t>
      </w:r>
      <w:r>
        <w:t xml:space="preserve"> </w:t>
      </w:r>
      <w:r>
        <w:t>4.29 平方米</w:t>
      </w:r>
      <w:r>
        <w:t xml:space="preserve"> </w:t>
      </w:r>
      <w:r>
        <w:t>−1</w:t>
      </w:r>
      <w:r>
        <w:t xml:space="preserve"> </w:t>
      </w:r>
      <w:r>
        <w:t>,</w:t>
      </w:r>
      <w:r>
        <w:t xml:space="preserve"> </w:t>
      </w:r>
      <w:r>
        <w:t>S</w:t>
      </w:r>
      <w:r>
        <w:t xml:space="preserve"> </w:t>
      </w:r>
      <w:r>
        <w:t>我</w:t>
      </w:r>
      <w:r>
        <w:t xml:space="preserve"> </w:t>
      </w:r>
      <w:r>
        <w:t>18.2 mV K</w:t>
      </w:r>
      <w:r>
        <w:t xml:space="preserve"> </w:t>
      </w:r>
      <w:r>
        <w:t>−1</w:t>
      </w:r>
      <w:r>
        <w:t xml:space="preserve"> </w:t>
      </w:r>
      <w:r>
        <w:t>和信函</w:t>
      </w:r>
    </w:p>
    <w:p>
      <w:pPr>
        <w:spacing w:before="0" w:after="200" w:lineRule="auto" w:line="276"/>
      </w:pPr>
      <w:r>
        <w:rPr>
          <w:b/>
        </w:rPr>
        <w:t xml:space="preserve">Abstract (EN): </w:t>
      </w:r>
      <w:r>
        <w:t>Ionic thermoelectric (i‐TE) materials have attracted considerable interest due to their abilities to generate high thermovoltage for low‐grade waste heat harvesting. However, challenge still remains to develop high‐performance i‐TE materials, especially at relative low humidity (RH) range &amp;lt;60%. Herein, i‐TE ionogels based on cross‐linked Pluronic block copolymer (PEO</w:t>
      </w:r>
      <w:r>
        <w:t xml:space="preserve"> </w:t>
      </w:r>
      <w:r>
        <w:t>x</w:t>
      </w:r>
      <w:r>
        <w:t xml:space="preserve"> </w:t>
      </w:r>
      <w:r>
        <w:t>‐PPO</w:t>
      </w:r>
      <w:r>
        <w:t xml:space="preserve"> </w:t>
      </w:r>
      <w:r>
        <w:t>y</w:t>
      </w:r>
      <w:r>
        <w:t xml:space="preserve"> </w:t>
      </w:r>
      <w:r>
        <w:t>‐PEO</w:t>
      </w:r>
      <w:r>
        <w:t xml:space="preserve"> </w:t>
      </w:r>
      <w:r>
        <w:t>x</w:t>
      </w:r>
      <w:r>
        <w:t xml:space="preserve"> </w:t>
      </w:r>
      <w:r>
        <w:t>) diacrylate and ionic liquid with simultaneously enhanced ionic conductivity and ionic Seebeck coefficient were developed. Benefiting from the amphiphilic nature of Pluronic block copolymers, self‐assembled micelles spontaneously form in ionogels, leading to a controllable nanophase‐separated micellar structure, while crosslinking suppresses PEO crystallization. This unique structure promotes continuous ion‐transport pathways and leads to high ionic conductivity. In addition, the intermolecular interactions between ions and block copolymer backbones could be tuned by different PO block ratios in Pluronic block copolymers. Consequently, the Pluronic P123DA ionogel exhibited an exceptional</w:t>
      </w:r>
      <w:r>
        <w:t xml:space="preserve"> </w:t>
      </w:r>
      <w:r>
        <w:t>σ</w:t>
      </w:r>
      <w:r>
        <w:t xml:space="preserve"> </w:t>
      </w:r>
      <w:r>
        <w:t>i</w:t>
      </w:r>
      <w:r>
        <w:t xml:space="preserve"> </w:t>
      </w:r>
      <w:r>
        <w:t>of 4.29 S m</w:t>
      </w:r>
      <w:r>
        <w:t xml:space="preserve"> </w:t>
      </w:r>
      <w:r>
        <w:t>−1</w:t>
      </w:r>
      <w:r>
        <w:t xml:space="preserve"> </w:t>
      </w:r>
      <w:r>
        <w:t>,</w:t>
      </w:r>
      <w:r>
        <w:t xml:space="preserve"> </w:t>
      </w:r>
      <w:r>
        <w:t>S</w:t>
      </w:r>
      <w:r>
        <w:t xml:space="preserve"> </w:t>
      </w:r>
      <w:r>
        <w:t>i</w:t>
      </w:r>
      <w:r>
        <w:t xml:space="preserve"> </w:t>
      </w:r>
      <w:r>
        <w:t>of 18.2 mV K</w:t>
      </w:r>
      <w:r>
        <w:t xml:space="preserve"> </w:t>
      </w:r>
      <w:r>
        <w:t>−1</w:t>
      </w:r>
      <w:r>
        <w:t xml:space="preserve"> </w:t>
      </w:r>
      <w:r>
        <w:t>and corresponding PF of 1422.4 µW m</w:t>
      </w:r>
      <w:r>
        <w:t xml:space="preserve"> </w:t>
      </w:r>
      <w:r>
        <w:t>−1</w:t>
      </w:r>
      <w:r>
        <w:t xml:space="preserve"> </w:t>
      </w:r>
      <w:r>
        <w:t>K</w:t>
      </w:r>
      <w:r>
        <w:t xml:space="preserve"> </w:t>
      </w:r>
      <w:r>
        <w:t>−2</w:t>
      </w:r>
      <w:r>
        <w:t xml:space="preserve"> </w:t>
      </w:r>
      <w:r>
        <w:t>and</w:t>
      </w:r>
      <w:r>
        <w:t xml:space="preserve"> </w:t>
      </w:r>
      <w:r>
        <w:t>ZT</w:t>
      </w:r>
      <w:r>
        <w:t xml:space="preserve"> </w:t>
      </w:r>
      <w:r>
        <w:t>i</w:t>
      </w:r>
      <w:r>
        <w:t xml:space="preserve"> </w:t>
      </w:r>
      <w:r>
        <w:t>of 1.89 at RH of 55%. This design of amphiphilic Pluronic‐DA ionogels provides a versatile strategy for high‐performance i‐TE ionogels for promising low‐humidity low‐grade heat harvesting applications.</w:t>
      </w:r>
    </w:p>
    <w:p>
      <w:pPr>
        <w:spacing w:before="120" w:after="120"/>
      </w:pPr>
      <w:r>
        <w:rPr>
          <w:sz w:val="18"/>
        </w:rPr>
        <w:t>——————————————————————————————————————————————————————————————————————</w:t>
      </w:r>
    </w:p>
    <w:p>
      <w:pPr>
        <w:spacing w:before="160" w:after="40" w:line="240" w:lineRule="auto"/>
      </w:pPr>
      <w:r>
        <w:rPr>
          <w:b/>
        </w:rPr>
        <w:t xml:space="preserve">[12] </w:t>
      </w:r>
      <w:hyperlink r:id="rId304">
        <w:r>
          <w:rPr>
            <w:color w:val="1155CC"/>
            <w:u w:val="single"/>
          </w:rPr>
          <w:t>含有稠合 5-/7-环对的碗形纳米石墨烯的合成、结构和光热转换</w:t>
        </w:r>
      </w:hyperlink>
    </w:p>
    <w:p>
      <w:pPr>
        <w:spacing w:before="0" w:after="80"/>
      </w:pPr>
      <w:r>
        <w:rPr>
          <w:i/>
          <w:sz w:val="20"/>
        </w:rPr>
        <w:t>EN: Synthesis, Structure, and Photothermal Conversion of a Bowl‐Shaped Nanographene Containing Fused 5‐/7‐Ring Pairs</w:t>
      </w:r>
    </w:p>
    <w:p>
      <w:pPr>
        <w:spacing w:before="0" w:after="120"/>
      </w:pPr>
      <w:r>
        <w:rPr>
          <w:b/>
        </w:rPr>
        <w:t xml:space="preserve">Source: </w:t>
      </w:r>
      <w:r>
        <w:t>Wiley: Angewandte Chemie International Edition: Table of Contents</w:t>
      </w:r>
      <w:r>
        <w:t xml:space="preserve">    </w:t>
      </w:r>
      <w:r>
        <w:rPr>
          <w:b/>
        </w:rPr>
        <w:t xml:space="preserve">Pub date: </w:t>
      </w:r>
      <w:r>
        <w:t>2026-08-08 11:04:31+00:00</w:t>
      </w:r>
      <w:r>
        <w:t xml:space="preserve">    </w:t>
      </w:r>
      <w:r>
        <w:rPr>
          <w:b/>
        </w:rPr>
        <w:t xml:space="preserve">DOI: </w:t>
      </w:r>
      <w:hyperlink r:id="rId305">
        <w:r>
          <w:rPr>
            <w:color w:val="1155CC"/>
            <w:u w:val="single"/>
          </w:rPr>
          <w:t>10.1002/anie.7946369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将非六边形拓扑纳入碗形纳米石墨烯中，为调整其电子特性和超分子行为提供了机会，但这种弯曲系统的合成仍然具有挑战性。在此，我们报告了碗形纳米石墨烯的简便合成（</w:t>
      </w:r>
      <w:r>
        <w:t xml:space="preserve"> </w:t>
      </w:r>
      <w:r>
        <w:t>TAT</w:t>
      </w:r>
      <w:r>
        <w:t xml:space="preserve"> </w:t>
      </w:r>
      <w:r>
        <w:t>）通过三重分子内赫克反应嵌入三个环状稠合的五边形-七边形（5/7）对。其凹面几何形状已通过核磁共振 (NMR) 光谱、高分辨率质谱和 X 射线晶体学验证。可变温度</w:t>
      </w:r>
      <w:r>
        <w:rPr>
          <w:vertAlign w:val="subscript"/>
        </w:rPr>
        <w:t>1</w:t>
      </w:r>
      <w:r>
        <w:t>H NMR 研究揭示了 13.5 ± 1.3 kcal·mol 的低碗间反转势垒</w:t>
      </w:r>
      <w:r>
        <w:t xml:space="preserve"> </w:t>
      </w:r>
      <w:r>
        <w:t>−1</w:t>
      </w:r>
      <w:r>
        <w:t xml:space="preserve"> </w:t>
      </w:r>
      <w:r>
        <w:t>，即使在室温下也能实现快速动态运动。紫外线-</w:t>
      </w:r>
      <w:r>
        <w:t>可见</w:t>
      </w:r>
      <w:r>
        <w:t xml:space="preserve"> </w:t>
      </w:r>
      <w:r>
        <w:t>吸收光谱和循环伏安法显示出狭窄的能隙，反映了其高度离域的π共轭体系。凹几何形状为</w:t>
      </w:r>
      <w:r>
        <w:t xml:space="preserve"> </w:t>
      </w:r>
      <w:r>
        <w:t>TAT</w:t>
      </w:r>
      <w:r>
        <w:t xml:space="preserve"> </w:t>
      </w:r>
      <w:r>
        <w:t>使其与富勒烯共组装，与 C 形成 2:1 复合物</w:t>
      </w:r>
      <w:r>
        <w:rPr>
          <w:vertAlign w:val="subscript"/>
        </w:rPr>
        <w:t>60</w:t>
      </w:r>
      <w:r>
        <w:t>通过单晶 X 射线衍射分析证实。此外，飞秒瞬态吸收光谱揭示了其超快非辐射激发态失活过程。受益于这种光物理行为，水溶性纳米颗粒</w:t>
      </w:r>
      <w:r>
        <w:t xml:space="preserve"> </w:t>
      </w:r>
      <w:r>
        <w:t>TAT</w:t>
      </w:r>
      <w:r>
        <w:t xml:space="preserve"> </w:t>
      </w:r>
      <w:r>
        <w:t>封装在双亲中</w:t>
      </w:r>
    </w:p>
    <w:p>
      <w:pPr>
        <w:spacing w:before="0" w:after="200" w:lineRule="auto" w:line="276"/>
      </w:pPr>
      <w:r>
        <w:rPr>
          <w:b/>
        </w:rPr>
        <w:t xml:space="preserve">Abstract (EN): </w:t>
      </w:r>
      <w:r>
        <w:t>Incorporation of non‐hexagonal topologies into bowl‐shaped nanographenes offers opportunities for tailoring their electronic properties and supramolecular behavior, however synthesis of such curved systems remains challenging. Herein, we report the facile synthesis of a bowl‐shaped nanographene (</w:t>
      </w:r>
      <w:r>
        <w:t xml:space="preserve"> </w:t>
      </w:r>
      <w:r>
        <w:t>TAT</w:t>
      </w:r>
      <w:r>
        <w:t xml:space="preserve"> </w:t>
      </w:r>
      <w:r>
        <w:t>) embedded with three circularly fused pentagon–heptagon (5/7) pairs via a three‐fold intramolecular Heck reaction. Its concave geometry is verified by nuclear magnetic resonance (NMR) spectroscopy, high resolution mass spectrometry, and x‐ray crystallography. Variable‐temperature</w:t>
      </w:r>
      <w:r>
        <w:rPr>
          <w:vertAlign w:val="subscript"/>
        </w:rPr>
        <w:t>1</w:t>
      </w:r>
      <w:r>
        <w:t>H NMR studies reveal a low bowl‐to‐bowl inversion barrier of 13.5 ± 1.3 kcal·mol</w:t>
      </w:r>
      <w:r>
        <w:t xml:space="preserve"> </w:t>
      </w:r>
      <w:r>
        <w:t>−1</w:t>
      </w:r>
      <w:r>
        <w:t xml:space="preserve"> </w:t>
      </w:r>
      <w:r>
        <w:t>, enabling its fast dynamic motion even at room temperature. UV‐</w:t>
      </w:r>
      <w:r>
        <w:t xml:space="preserve"> </w:t>
      </w:r>
      <w:r>
        <w:t>vis</w:t>
      </w:r>
      <w:r>
        <w:t xml:space="preserve"> </w:t>
      </w:r>
      <w:r>
        <w:t>absorption spectroscopy and cyclic voltammetry demonstrate a narrow energy gap, reflecting its highly delocalized π‐conjugation system. The concave geometry of</w:t>
      </w:r>
      <w:r>
        <w:t xml:space="preserve"> </w:t>
      </w:r>
      <w:r>
        <w:t>TAT</w:t>
      </w:r>
      <w:r>
        <w:t xml:space="preserve"> </w:t>
      </w:r>
      <w:r>
        <w:t>allows it to co‐assemble with fullerenes, forming a 2:1 complex with C</w:t>
      </w:r>
      <w:r>
        <w:rPr>
          <w:vertAlign w:val="subscript"/>
        </w:rPr>
        <w:t>60</w:t>
      </w:r>
      <w:r>
        <w:t>as confirmed by single‐crystal x‐ray diffraction analysis. Furthermore, femtosecond transient absorption spectroscopy reveals its ultrafast nonradiative excited‐state deactivation process. Benefiting from this photophysical behavior, water‐soluble nanoparticles of</w:t>
      </w:r>
      <w:r>
        <w:t xml:space="preserve"> </w:t>
      </w:r>
      <w:r>
        <w:t>TAT</w:t>
      </w:r>
      <w:r>
        <w:t xml:space="preserve"> </w:t>
      </w:r>
      <w:r>
        <w:t>encapsulated in an amphiphilic polymer achieve a high photothermal conversion efficiency of 41%. This work establishes a bottom‐up strategy for synthesizing an unprecedented bowl‐shaped nanographene and provides insights into its intrinsic optoelectronic, supramolecular properties, and photothermal conversion potentials.</w:t>
      </w:r>
    </w:p>
    <w:p>
      <w:pPr>
        <w:spacing w:before="120" w:after="120"/>
      </w:pPr>
      <w:r>
        <w:rPr>
          <w:sz w:val="18"/>
        </w:rPr>
        <w:t>——————————————————————————————————————————————————————————————————————</w:t>
      </w:r>
    </w:p>
    <w:p>
      <w:pPr>
        <w:spacing w:before="160" w:after="40" w:line="240" w:lineRule="auto"/>
      </w:pPr>
      <w:r>
        <w:rPr>
          <w:b/>
        </w:rPr>
        <w:t xml:space="preserve">[13] </w:t>
      </w:r>
      <w:hyperlink r:id="rId306">
        <w:r>
          <w:rPr>
            <w:color w:val="1155CC"/>
            <w:u w:val="single"/>
          </w:rPr>
          <w:t>角极戈薇材料增强横向热电</w:t>
        </w:r>
      </w:hyperlink>
    </w:p>
    <w:p>
      <w:pPr>
        <w:spacing w:before="0" w:after="80"/>
      </w:pPr>
      <w:r>
        <w:rPr>
          <w:i/>
          <w:sz w:val="20"/>
        </w:rPr>
        <w:t>EN: Goniopolar kagome materials boost transverse thermoelectricity</w:t>
      </w:r>
    </w:p>
    <w:p>
      <w:pPr>
        <w:spacing w:before="0" w:after="120"/>
      </w:pPr>
      <w:r>
        <w:rPr>
          <w:b/>
        </w:rPr>
        <w:t xml:space="preserve">Source: </w:t>
      </w:r>
      <w:r>
        <w:t>Nature Materials</w:t>
      </w:r>
      <w:r>
        <w:t xml:space="preserve">    </w:t>
      </w:r>
      <w:r>
        <w:rPr>
          <w:b/>
        </w:rPr>
        <w:t xml:space="preserve">Pub date: </w:t>
      </w:r>
      <w:r>
        <w:t>2026-08-10 00:00:00+00:00</w:t>
      </w:r>
      <w:r>
        <w:t xml:space="preserve">    </w:t>
      </w:r>
      <w:r>
        <w:rPr>
          <w:b/>
        </w:rPr>
        <w:t xml:space="preserve">DOI: </w:t>
      </w:r>
      <w:hyperlink r:id="rId307">
        <w:r>
          <w:rPr>
            <w:color w:val="1155CC"/>
            <w:u w:val="single"/>
          </w:rPr>
          <w:t>10.1038/s41563-026-02706-3</w:t>
        </w:r>
      </w:hyperlink>
    </w:p>
    <w:p>
      <w:pPr>
        <w:spacing w:before="0" w:after="120"/>
      </w:pPr>
      <w:r>
        <w:rPr>
          <w:b/>
        </w:rPr>
        <w:t xml:space="preserve">Notes: </w:t>
      </w:r>
      <w:r>
        <w:t>abstract_source=rss_nature</w:t>
      </w:r>
    </w:p>
    <w:p>
      <w:pPr>
        <w:spacing w:before="0" w:after="80" w:lineRule="auto" w:line="276"/>
      </w:pPr>
      <w:r>
        <w:rPr>
          <w:b/>
        </w:rPr>
        <w:t xml:space="preserve">摘要（ZH）: </w:t>
      </w:r>
      <w:r>
        <w:t>热电能够实现热量和充电电流之间的相互转换，但现有的材料平台依赖于受限的纵向几何形状、复杂的制造或外部磁场来实现高性能。现在，由于平坦的电子能带或范霍夫奇点，角极戈薇材料无需施加磁场即可实现强大的横向热电。</w:t>
      </w:r>
    </w:p>
    <w:p>
      <w:pPr>
        <w:spacing w:before="0" w:after="200" w:lineRule="auto" w:line="276"/>
      </w:pPr>
      <w:r>
        <w:rPr>
          <w:b/>
        </w:rPr>
        <w:t xml:space="preserve">Abstract (EN): </w:t>
      </w:r>
      <w:r>
        <w:t>Thermoelectricity enables interconversion between heat and charge currents, but existing material platforms rely on constrained longitudinal geometries, complex fabrication or an external magnetic field to achieve high performance. Now, goniopolar kagome materials enable strong transversal thermoelectricity without an applied magnetic field, owing to flat electronic bands or van Hove singularities.</w:t>
      </w:r>
    </w:p>
    <w:p>
      <w:pPr>
        <w:spacing w:before="120" w:after="120"/>
      </w:pPr>
      <w:r>
        <w:rPr>
          <w:sz w:val="18"/>
        </w:rPr>
        <w:t>——————————————————————————————————————————————————————————————————————</w:t>
      </w:r>
    </w:p>
    <w:p>
      <w:pPr>
        <w:spacing w:before="160" w:after="40" w:line="240" w:lineRule="auto"/>
      </w:pPr>
      <w:r>
        <w:rPr>
          <w:b/>
        </w:rPr>
        <w:t xml:space="preserve">[14] </w:t>
      </w:r>
      <w:hyperlink r:id="rId308">
        <w:r>
          <w:rPr>
            <w:color w:val="1155CC"/>
            <w:u w:val="single"/>
          </w:rPr>
          <w:t>全国范围内运河对城市温度影响的评估</w:t>
        </w:r>
      </w:hyperlink>
    </w:p>
    <w:p>
      <w:pPr>
        <w:spacing w:before="0" w:after="80"/>
      </w:pPr>
      <w:r>
        <w:rPr>
          <w:i/>
          <w:sz w:val="20"/>
        </w:rPr>
        <w:t>EN: A national-scale assessment of the impact of canals on urban temperatures</w:t>
      </w:r>
    </w:p>
    <w:p>
      <w:pPr>
        <w:spacing w:before="0" w:after="120"/>
      </w:pPr>
      <w:r>
        <w:rPr>
          <w:b/>
        </w:rPr>
        <w:t xml:space="preserve">Source: </w:t>
      </w:r>
      <w:r>
        <w:t>Scientific community and society : Nature Communications subject feeds</w:t>
      </w:r>
      <w:r>
        <w:t xml:space="preserve">    </w:t>
      </w:r>
      <w:r>
        <w:rPr>
          <w:b/>
        </w:rPr>
        <w:t xml:space="preserve">Pub date: </w:t>
      </w:r>
      <w:r>
        <w:t>2026-08-10 00:00:00+00:00</w:t>
      </w:r>
    </w:p>
    <w:p>
      <w:pPr>
        <w:spacing w:before="0" w:after="120"/>
      </w:pPr>
      <w:r>
        <w:rPr>
          <w:b/>
        </w:rPr>
        <w:t xml:space="preserve">Notes: </w:t>
      </w:r>
      <w:r>
        <w:t>abstract_source=nature_html</w:t>
      </w:r>
    </w:p>
    <w:p>
      <w:pPr>
        <w:spacing w:before="0" w:after="80" w:lineRule="auto" w:line="276"/>
      </w:pPr>
      <w:r>
        <w:rPr>
          <w:b/>
        </w:rPr>
        <w:t xml:space="preserve">摘要（ZH）: </w:t>
      </w:r>
      <w:r>
        <w:t>城市人口特别容易遭受与高温相关的死亡和发病。气候响应型城市设计，包括绿色和蓝色空间的开发，有可能抵消气候变化相关的影响。与绿色空间相比，蓝色空间对城市温度的​​影响相对较少受到关注，城市降温的程度也存在不确定性。在这项研究中，我们开发了一个能量平衡模型来估计运河的热效应，并将其应用于英国和爱尔兰的运河网络。在这里，我们表明，模拟运河在运河网络附近提供年平均白天冷却效果约 0.8 °C (0.7 – 1 °C)，在春季和初夏 (~1.2 – 1.4 °C) 和热浪期间 (~1.5 – 2.3 °C) 冷却效果更为明显。虽然热效应并不完全是积极的，但我们的研究结果表明，运河可以提高热舒适度并降低热风险，从而对人口健康和福祉带来相关好处。</w:t>
      </w:r>
    </w:p>
    <w:p>
      <w:pPr>
        <w:spacing w:before="0" w:after="200" w:lineRule="auto" w:line="276"/>
      </w:pPr>
      <w:r>
        <w:rPr>
          <w:b/>
        </w:rPr>
        <w:t xml:space="preserve">Abstract (EN): </w:t>
      </w:r>
      <w:r>
        <w:t>Urban populations are particularly vulnerable to heat-related mortality and morbidity. Climate-responsive urban design, which can include development of green and bluespaces, has the potential to offset climate change-related impacts. Compared to greenspaces, the effects of bluespaces on urban temperatures have received comparatively little attention, with uncertainty regarding the magnitude of urban cooling. In this study, we develop an energy balance model to estimate the thermal effects of canals and apply this to the canal network of Great Britain and Ireland. Here we show that the modelled canals provide an average annual daytime cooling effect of ~0.8 °C (0.7 – 1 °C) within the immediate vicinity of the canal network, with more pronounced cooling during spring and early summer (~1.2 – 1.4 °C) and during heatwaves (~1.5 – 2.3 °C). While thermal effects are not exclusively positive, our results indicate that canals can improve thermal comfort and reduce heat risk, with related benefits for population health and wellbeing.</w:t>
      </w:r>
    </w:p>
    <w:p>
      <w:pPr>
        <w:spacing w:before="120" w:after="120"/>
      </w:pPr>
      <w:r>
        <w:rPr>
          <w:sz w:val="18"/>
        </w:rPr>
        <w:t>——————————————————————————————————————————————————————————————————————</w:t>
      </w:r>
    </w:p>
    <w:p>
      <w:pPr>
        <w:spacing w:before="160" w:after="40" w:line="240" w:lineRule="auto"/>
      </w:pPr>
      <w:r>
        <w:rPr>
          <w:b/>
        </w:rPr>
        <w:t xml:space="preserve">[15] </w:t>
      </w:r>
      <w:hyperlink r:id="rId309">
        <w:r>
          <w:rPr>
            <w:color w:val="1155CC"/>
            <w:u w:val="single"/>
          </w:rPr>
          <w:t>连续制造用于隔热的仿生全生物质气凝胶纤维</w:t>
        </w:r>
      </w:hyperlink>
    </w:p>
    <w:p>
      <w:pPr>
        <w:spacing w:before="0" w:after="80"/>
      </w:pPr>
      <w:r>
        <w:rPr>
          <w:i/>
          <w:sz w:val="20"/>
        </w:rPr>
        <w:t>EN: Continuous Fabrication of Bioinspired All-Biomass Aerogel Fibers for Thermal Insulation</w:t>
      </w:r>
    </w:p>
    <w:p>
      <w:pPr>
        <w:spacing w:before="0" w:after="120"/>
      </w:pPr>
      <w:r>
        <w:rPr>
          <w:b/>
        </w:rPr>
        <w:t xml:space="preserve">Source: </w:t>
      </w:r>
      <w:r>
        <w:t>Nano-Micro Letters</w:t>
      </w:r>
      <w:r>
        <w:t xml:space="preserve">    </w:t>
      </w:r>
      <w:r>
        <w:rPr>
          <w:b/>
        </w:rPr>
        <w:t xml:space="preserve">Pub date: </w:t>
      </w:r>
      <w:r>
        <w:t>2026-08-10 00:00:00+00:00</w:t>
      </w:r>
      <w:r>
        <w:t xml:space="preserve">    </w:t>
      </w:r>
      <w:r>
        <w:rPr>
          <w:b/>
        </w:rPr>
        <w:t xml:space="preserve">DOI: </w:t>
      </w:r>
      <w:hyperlink r:id="rId310">
        <w:r>
          <w:rPr>
            <w:color w:val="1155CC"/>
            <w:u w:val="single"/>
          </w:rPr>
          <w:t>10.1007/s40820-026-02332-3</w:t>
        </w:r>
      </w:hyperlink>
    </w:p>
    <w:p>
      <w:pPr>
        <w:spacing w:before="0" w:after="120"/>
      </w:pPr>
      <w:r>
        <w:rPr>
          <w:b/>
        </w:rPr>
        <w:t xml:space="preserve">Notes: </w:t>
      </w:r>
      <w:r>
        <w:t>abstract_source=rss_description</w:t>
      </w:r>
    </w:p>
    <w:p>
      <w:pPr>
        <w:spacing w:before="0" w:after="80" w:lineRule="auto" w:line="276"/>
      </w:pPr>
      <w:r>
        <w:rPr>
          <w:b/>
        </w:rPr>
        <w:t xml:space="preserve">摘要（ZH）: </w:t>
      </w:r>
      <w:r>
        <w:t>气凝胶纤维由于其高孔隙率和低导热率而被认为是热防护纺织品的一种有前途的解决方案。然而，可持续且机械强度高的气凝胶纤维的规模化生产仍然是一个严峻的挑战。在这里，受北极熊毛发的多孔核壳结构的启发，我们报告了一种连续策略来制造全生物质气凝胶纤维，该纤维具有封装的核壳结构，使用丝素蛋白作为核，纤维素作为壳。这种可调结构具有径向排列的片状孔和可调节的壳厚度，是通过氢键驱动的纤维素收缩和酒精诱导的片状丝素蛋白固化来实现的。这种多孔结构有效地抑制了对流传热，并促进了红外辐射的多重反射效应。所得纤维表现出良好的机械鲁棒性，单根气凝胶纤维在无增强情况下的拉伸载荷高达 200 g。同时，气凝胶纤维保持高孔隙率（79.78%）、低导热率（52.4±4.2 mW m−1 K−1）和低密度（0.193±0.01 g cm−3）。此外，由这些纤维制成的气凝胶手套表现出良好的隔热性。这些结果为具有核壳结构的仿生气凝胶纤维的设计提供了新的见解，为先进的可穿戴热管理提供了可扩展且环保的途径。亮点：1 建立了一种可扩展的连续方法来制造全生物质气凝胶纤维。2 氢键驱动的纤维素收缩和</w:t>
      </w:r>
    </w:p>
    <w:p>
      <w:pPr>
        <w:spacing w:before="0" w:after="200" w:lineRule="auto" w:line="276"/>
      </w:pPr>
      <w:r>
        <w:rPr>
          <w:b/>
        </w:rPr>
        <w:t xml:space="preserve">Abstract (EN): </w:t>
      </w:r>
      <w:r>
        <w:t>Aerogel fibers have been considered as a promising solution for thermal protection textiles due to their high porosity and low thermal conductivity. However, the scalable production of sustainable and mechanical strong aerogel fibers remains a critical challenge. Here, inspired by the porous core–shell structure of polar bear hair, we report a continuous strategy to fabricate all-biomass aerogel fibers featuring an encapsulated core–shell architecture using silk fibroin as the core and cellulose as the shell. This tunable structure, with radially aligned sheet-like pores and adjustable shell thickness, is achieved through hydrogen bond-driven cellulose contraction and alcohol-induced curing of sheet-like silk fibroin. Such a porous architecture effectively suppresses convective heat transfer and promotes a multi-reflective effect for infrared radiation. The resulting fibers exhibit good mechanical robustness with a tensile load of a single aerogel fiber is up to 200 g without reinforcement. Meanwhile, the aerogel fiber maintains high porosity (79.78%), low thermal conductivity (52.4 ± 4.2 mW m−1 K−1), and low density (0.193 ± 0.01 g cm−3). Furthermore, an aerogel glove fabricated from these fibers demonstrates good thermal insulation. These results provide new insights for the design of biomimetic aerogel fibers with core–shell architecture, offering a scalable and eco-friendly pathway toward advanced wearable thermal management. Highlights:1 A scalable continuous method was established for fabricating all-biomass aerogel fibers.2 Hydrogen-bond-driven cellulose shrinkage and alcohol-cured silk fibroin collaboratively enabled the formation of a core-shell aerogel fiber with aligned lamellar pores in the core.3 The hierarchical aerogel fibers exhibit low thermal conductivity (52.4 ± 4.2 mW m−1 K−1), low density (0.193 ± 0.01 g cm−3), excellent mechanical flexibility, wash stability, and effective thermal protection.</w:t>
      </w:r>
    </w:p>
    <w:p>
      <w:pPr>
        <w:spacing w:before="120" w:after="120"/>
      </w:pPr>
      <w:r>
        <w:rPr>
          <w:sz w:val="18"/>
        </w:rPr>
        <w:t>——————————————————————————————————————————————————————————————————————</w:t>
      </w:r>
    </w:p>
    <w:p>
      <w:pPr>
        <w:spacing w:before="160" w:after="40" w:line="240" w:lineRule="auto"/>
      </w:pPr>
      <w:r>
        <w:rPr>
          <w:b/>
        </w:rPr>
        <w:t xml:space="preserve">[16] </w:t>
      </w:r>
      <w:hyperlink r:id="rId311">
        <w:r>
          <w:rPr>
            <w:color w:val="1155CC"/>
            <w:u w:val="single"/>
          </w:rPr>
          <w:t>扭曲范德华界面中违反直觉的温度相关界面热阻</w:t>
        </w:r>
      </w:hyperlink>
    </w:p>
    <w:p>
      <w:pPr>
        <w:spacing w:before="0" w:after="80"/>
      </w:pPr>
      <w:r>
        <w:rPr>
          <w:i/>
          <w:sz w:val="20"/>
        </w:rPr>
        <w:t>EN: Counterintuitive Temperature-Dependent Interfacial Thermal Resistance in Twisted van der Waals Interfaces</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312">
        <w:r>
          <w:rPr>
            <w:color w:val="1155CC"/>
            <w:u w:val="single"/>
          </w:rPr>
          <w:t>10.1021/acsami.6c07853</w:t>
        </w:r>
      </w:hyperlink>
    </w:p>
    <w:p>
      <w:pPr>
        <w:spacing w:before="0" w:after="120"/>
      </w:pPr>
      <w:r>
        <w:rPr>
          <w:b/>
        </w:rPr>
        <w:t xml:space="preserve">Notes: </w:t>
      </w:r>
      <w:r>
        <w:t>abstract_source=crossref</w:t>
      </w:r>
    </w:p>
    <w:p>
      <w:pPr>
        <w:spacing w:before="0" w:after="80" w:lineRule="auto" w:line="276"/>
      </w:pPr>
      <w:r>
        <w:rPr>
          <w:b/>
        </w:rPr>
        <w:t xml:space="preserve">摘要（ZH）: </w:t>
      </w:r>
      <w:r>
        <w:t>摘要 界面热阻 (ITR) 的精确控制对于范德华 (vdW) 器件的热管理至关重要。在这里，我们报告了扭曲 PtX2（X = S、Se、Te）界面中 ITR 与温度相关的反直觉反转。在接近相称的小扭转角下，升高的温度会增强非谐波散射，抑制直接声子传输并显着增加 ITR。相比之下，在不相称的大扭转角下，热传输反而会得到改善，因为直接传输本质上受到结构失配的限制，从而使热激活的非弹性振动路径占主导地位并降低 ITR。光谱能量密度和光谱热流分析证实，这种逆转是由直接通道的退化和非弹性通道的激活之间的动态竞争引起的。这种现象普遍延伸到其他 vdW 架构，包括石墨烯和 MoS2，建立扭转温度共同调节作为定制 vdW 材料中界面热传输的有效途径。</w:t>
      </w:r>
    </w:p>
    <w:p>
      <w:pPr>
        <w:spacing w:before="0" w:after="200" w:lineRule="auto" w:line="276"/>
      </w:pPr>
      <w:r>
        <w:rPr>
          <w:b/>
        </w:rPr>
        <w:t xml:space="preserve">Abstract (EN): </w:t>
      </w:r>
      <w:r>
        <w:t>Precise control of interfacial thermal resistance (ITR) is essential for thermal management in van der Waals (vdW) devices. Here, we report a counterintuitive temperature-dependent reversal of ITR in twisted PtX2 (X = S, Se, Te) interfaces. At near-commensurate small twist angles, elevated temperatures enhance anharmonic scattering, suppressing direct phonon transmission and dramatically increasing ITR. In contrast, at incommensurate large twist angles, heat transport paradoxically improves because direct transmission is inherently limited by structural mismatch, allowing thermally activated inelastic vibrational pathways to dominate and reduce ITR. Spectral energy density and spectral heat current analyses confirm that this reversal arises from a dynamic competition between the degradation of direct channels and the activation of inelastic channels. The phenomenon extends universally to other vdW architectures, including graphene and MoS2, establishing twist-temperature co-regulation as an effective route for tailoring interfacial thermal transport in vdW materials.</w:t>
      </w:r>
    </w:p>
    <w:p>
      <w:pPr>
        <w:spacing w:before="120" w:after="120"/>
      </w:pPr>
      <w:r>
        <w:rPr>
          <w:sz w:val="18"/>
        </w:rPr>
        <w:t>——————————————————————————————————————————————————————————————————————</w:t>
      </w:r>
    </w:p>
    <w:p>
      <w:pPr>
        <w:spacing w:before="160" w:after="40" w:line="240" w:lineRule="auto"/>
      </w:pPr>
      <w:r>
        <w:rPr>
          <w:b/>
        </w:rPr>
        <w:t xml:space="preserve">[17] </w:t>
      </w:r>
      <w:hyperlink r:id="rId313">
        <w:r>
          <w:rPr>
            <w:color w:val="1155CC"/>
            <w:u w:val="single"/>
          </w:rPr>
          <w:t>用于被动辐射冷却的具有负泊松比的结构热解耦水泥基气凝胶</w:t>
        </w:r>
      </w:hyperlink>
    </w:p>
    <w:p>
      <w:pPr>
        <w:spacing w:before="0" w:after="80"/>
      </w:pPr>
      <w:r>
        <w:rPr>
          <w:i/>
          <w:sz w:val="20"/>
        </w:rPr>
        <w:t>EN: Structural–Thermal Decoupled Cement-Based Aerogels with Negative Poisson’s Ratio for Passive Radiative Cooling</w:t>
      </w:r>
    </w:p>
    <w:p>
      <w:pPr>
        <w:spacing w:before="0" w:after="120"/>
      </w:pPr>
      <w:r>
        <w:rPr>
          <w:b/>
        </w:rPr>
        <w:t xml:space="preserve">Source: </w:t>
      </w:r>
      <w:r>
        <w:t>ACS Applied Materials &amp; Interfaces: Latest Articles (ACS Publications)</w:t>
      </w:r>
      <w:r>
        <w:t xml:space="preserve">    </w:t>
      </w:r>
      <w:r>
        <w:rPr>
          <w:b/>
        </w:rPr>
        <w:t xml:space="preserve">Pub date: </w:t>
      </w:r>
      <w:r>
        <w:t>2026-08-11 00:00:00+00:00</w:t>
      </w:r>
      <w:r>
        <w:t xml:space="preserve">    </w:t>
      </w:r>
      <w:r>
        <w:rPr>
          <w:b/>
        </w:rPr>
        <w:t xml:space="preserve">DOI: </w:t>
      </w:r>
      <w:hyperlink r:id="rId314">
        <w:r>
          <w:rPr>
            <w:color w:val="1155CC"/>
            <w:u w:val="single"/>
          </w:rPr>
          <w:t>10.1021/acsami.6c10369</w:t>
        </w:r>
      </w:hyperlink>
    </w:p>
    <w:p>
      <w:pPr>
        <w:spacing w:before="0" w:after="120"/>
      </w:pPr>
      <w:r>
        <w:rPr>
          <w:b/>
        </w:rPr>
        <w:t xml:space="preserve">Notes: </w:t>
      </w:r>
      <w:r>
        <w:t>abstract_source=crossref</w:t>
      </w:r>
    </w:p>
    <w:p>
      <w:pPr>
        <w:spacing w:before="0" w:after="80" w:lineRule="auto" w:line="276"/>
      </w:pPr>
      <w:r>
        <w:rPr>
          <w:b/>
        </w:rPr>
        <w:t xml:space="preserve">摘要（ZH）: </w:t>
      </w:r>
      <w:r>
        <w:t>摘要 被动辐射冷却（PRC）为可持续建筑热管理带来了巨大希望，但面临着一个关键的材料悖论：高性能光学冷却器通常在机械上脆弱，而坚固的结构材料缺乏光谱选择性。在此，提出了一种结构-热解耦策略，通过开发一种受生物启发、机械鲁棒性和光谱选择性的水泥基冷却气凝胶（CCA）来解决这一冲突。该设计的核心是合成钙矾石 (AFt) 的识别，这是一种基本的水泥水化产物，不仅作为刚性机械骨架，而且作为源自其丰富的硫酸盐和羟基的固有红外发射器。模仿天然结构复合材料中的分层有机-无机相互作用，我们通过化学桥接刚性的红外活性 AFt 纳米晶体与坚韧的聚（乙烯醇）/对位芳纶纳米纤维韧带网络，构建了定向排列的蜂窝结构。这种各向异性设计使 CCA 能够在沿排列方向的 80% 应变下达到 43.25 MPa 的压应力，以及垂直于排列方向的 0.031 W m–1 K–1 的超低导热系数。至关重要的是，该材料在压缩下表现出与应变相关的负泊松比 (–0.165)，从而具有出色的结构弹性和抗冲击性。多尺度孔隙散射和固有分子振动协同作用，使 CCA 具有 0.91 的高太阳反射率和 0.96 的中红外发射率。在室外样板房测试中</w:t>
      </w:r>
    </w:p>
    <w:p>
      <w:pPr>
        <w:spacing w:before="0" w:after="200" w:lineRule="auto" w:line="276"/>
      </w:pPr>
      <w:r>
        <w:rPr>
          <w:b/>
        </w:rPr>
        <w:t xml:space="preserve">Abstract (EN): </w:t>
      </w:r>
      <w:r>
        <w:t>Passive radiative cooling (PRC) holds immense promise for sustainable building thermal management but faces a critical material paradox: high-performance optical coolers are typically mechanically fragile, while robust structural materials lack spectral selectivity. Herein, a structural–thermal decoupling strategy is proposed to resolve this conflict by developing a bio-inspired, mechanically robust, and spectrally selective cement-based cooling aerogel (CCA). Central to this design is the identification of synthesized ettringite (AFt), a fundamental cement hydration product—not only as a rigid mechanical skeleton but also as an intrinsic infrared emitter derived from its abundant sulfate and hydroxyl groups. Mimicking the hierarchical organic–inorganic interplay in natural structural composites, we construct a directionally aligned honeycomb architecture by chemically bridging rigid, infrared-active AFt nanocrystals with a tough poly(vinyl alcohol)/para-aramid nanofiber ligament network. This anisotropic design enables the CCA to reach a compressive stress of 43.25 MPa at 80% strain along the alignment direction and an ultralow thermal conductivity of 0.031 W m–1 K–1 perpendicular to the alignment. Crucially, the material exhibits a strain-dependent negative Poisson’s ratio (–0.165) under compression, conferring exceptional structural resilience and impact resistance. Synergistically, the multiscale pore scattering and intrinsic molecular vibrations grant the CCA a high solar reflectance of 0.91 and a mid-infrared emissivity of 0.96. In an outdoor model-house test, the CCA roof reduced the indoor temperature by up to 8.5 °C compared with the bare cement-roof control. Coupled with robust environmental durability, this work establishes a paradigm for transforming fragile photonic coolers into resilient.</w:t>
      </w:r>
    </w:p>
    <w:p>
      <w:pPr>
        <w:spacing w:before="120" w:after="120"/>
      </w:pPr>
      <w:r>
        <w:rPr>
          <w:sz w:val="18"/>
        </w:rPr>
        <w:t>——————————————————————————————————————————————————————————————————————</w:t>
      </w:r>
    </w:p>
    <w:p>
      <w:pPr>
        <w:spacing w:before="160" w:after="40" w:line="240" w:lineRule="auto"/>
      </w:pPr>
      <w:r>
        <w:rPr>
          <w:b/>
        </w:rPr>
        <w:t xml:space="preserve">[18] </w:t>
      </w:r>
      <w:hyperlink r:id="rId315">
        <w:r>
          <w:rPr>
            <w:color w:val="1155CC"/>
            <w:u w:val="single"/>
          </w:rPr>
          <w:t>协同形状-界面-通道排序增强太阳能驱动的热化学能量存储</w:t>
        </w:r>
      </w:hyperlink>
    </w:p>
    <w:p>
      <w:pPr>
        <w:spacing w:before="0" w:after="80"/>
      </w:pPr>
      <w:r>
        <w:rPr>
          <w:i/>
          <w:sz w:val="20"/>
        </w:rPr>
        <w:t>EN: Synergistic shape-interface-channel ordering enhances solar-driven thermochemical energy storage</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基于盐水合物的太阳能驱动的热化学储能具有高能量密度和长时间存储，为缓解可再生能源供应和热需求之间的时间不匹配提供了一条有前途的途径。然而，反应动力学缓慢、循环稳定性差和太阳能利用效率低仍然是长期存在的挑战。在这里，我们展示了一种协同的形状-界面-通道排序策略，通过对具有模拟红细胞形状、纳米工程亲水界面和分层叶脉启发的通道网络的CaCl2基颗粒的合理设计，显着增强热化学储能性能。优化后的样品表现出0.03973 min−1的超快吸附速率系数、885 mg g−1的高吸附容量和988.38 kJ kg−1的高储能密度，在1000次循环（~3722 h）内容量衰减仅为5.65%。进一步借助97.72%的高太阳吸收率，在1个太阳照射下，60分钟内解吸效率高达93%。这项工作建立了基于多尺度结构排序的热化学储能颗粒的通用设计范例，为可扩展的太阳能驱动热化学储能提供了途径。</w:t>
      </w:r>
    </w:p>
    <w:p>
      <w:pPr>
        <w:spacing w:before="0" w:after="200" w:lineRule="auto" w:line="276"/>
      </w:pPr>
      <w:r>
        <w:rPr>
          <w:b/>
        </w:rPr>
        <w:t xml:space="preserve">Abstract (EN): </w:t>
      </w:r>
      <w:r>
        <w:t>Solar-driven thermochemical energy storage based on salt hydrates offers high energy density and long-duration storage, providing a promising route to mitigate the temporal mismatch between renewable energy supply and thermal demand. However, sluggish reaction kinetics, poor cycle stability, and low solar utilization efficiency remain long-standing challenges. Here, we demonstrate a synergistic shape-interface-channel ordering strategy that substantially enhances thermochemical energy storage performance through rational engineering of CaCl2-based pellets featuring red blood cell-mimic shape, nanoengineered hydrophilic interfaces, and hierarchical leaf veins-inspired channel networks. The optimized sample exhibits an ultrafast sorption rate coefficient of 0.03973 min−1, a high sorption capacity of 885 mg g−1, and a high energy storage density of 988.38 kJ kg−1, with only 5.65% capacity decay over 1000 cycles (~3722 h). With further assistance of high solar absorptance of 97.72%, the desorption efficiency achieves as high as 93% within 60 min under one-Sun irradiation. This work establishes a general design paradigm for thermochemical energy storage pellets based on multiscale structural ordering, offering a pathway towards scalable solar-driven thermochemical energy storage.</w:t>
      </w:r>
    </w:p>
    <w:p>
      <w:pPr>
        <w:spacing w:before="120" w:after="120"/>
      </w:pPr>
      <w:r>
        <w:rPr>
          <w:sz w:val="18"/>
        </w:rPr>
        <w:t>——————————————————————————————————————————————————————————————————————</w:t>
      </w:r>
    </w:p>
    <w:p>
      <w:pPr>
        <w:spacing w:before="160" w:after="40" w:line="240" w:lineRule="auto"/>
      </w:pPr>
      <w:r>
        <w:rPr>
          <w:b/>
        </w:rPr>
        <w:t xml:space="preserve">[19] </w:t>
      </w:r>
      <w:hyperlink r:id="rId316">
        <w:r>
          <w:rPr>
            <w:color w:val="1155CC"/>
            <w:u w:val="single"/>
          </w:rPr>
          <w:t>高达 2200 °C 的超弹性陶瓷气凝胶</w:t>
        </w:r>
      </w:hyperlink>
    </w:p>
    <w:p>
      <w:pPr>
        <w:spacing w:before="0" w:after="80"/>
      </w:pPr>
      <w:r>
        <w:rPr>
          <w:i/>
          <w:sz w:val="20"/>
        </w:rPr>
        <w:t>EN: Superelastic ceramic aerogels up to 2200 °C</w:t>
      </w:r>
    </w:p>
    <w:p>
      <w:pPr>
        <w:spacing w:before="0" w:after="120"/>
      </w:pPr>
      <w:r>
        <w:rPr>
          <w:b/>
        </w:rPr>
        <w:t xml:space="preserve">Source: </w:t>
      </w:r>
      <w:r>
        <w:t>Physical sciences : Nature Communications subject feeds</w:t>
      </w:r>
      <w:r>
        <w:t xml:space="preserve">    </w:t>
      </w:r>
      <w:r>
        <w:rPr>
          <w:b/>
        </w:rPr>
        <w:t xml:space="preserve">Pub date: </w:t>
      </w:r>
      <w:r>
        <w:t>2026-08-12 00:00:00+00:00</w:t>
      </w:r>
    </w:p>
    <w:p>
      <w:pPr>
        <w:spacing w:before="0" w:after="120"/>
      </w:pPr>
      <w:r>
        <w:rPr>
          <w:b/>
        </w:rPr>
        <w:t xml:space="preserve">Notes: </w:t>
      </w:r>
      <w:r>
        <w:t>abstract_source=nature_html</w:t>
      </w:r>
    </w:p>
    <w:p>
      <w:pPr>
        <w:spacing w:before="0" w:after="80" w:lineRule="auto" w:line="276"/>
      </w:pPr>
      <w:r>
        <w:rPr>
          <w:b/>
        </w:rPr>
        <w:t xml:space="preserve">摘要（ZH）: </w:t>
      </w:r>
      <w:r>
        <w:t>陶瓷气凝胶在隔热方面有着巨大的前景，但其弹性和工作温度却不足以满足极端应用的需要。在这里，我们设计了一种熵稳定的非晶-晶体杂化结构，并开发了(Hf、Zr、Ta、Nb、Ti)C高熵碳化物纳米纤维气凝胶。这些气凝胶表现出高达 99% 的可恢复应变、在 25–1000 °C 范围内 21–66 mW·m−1·K−1 的低热导率以及在氩气下高达 2200 °C 的高工作温度。这些吸引人的特性的结合使得气凝胶在从深空探索到下一代能源汽车的极端应用中极具前景。这项研究不仅为先进隔热材料提供了极具竞争力的候选方案，而且还为提高陶瓷绝缘体的机械和热性能提供了设计范例。</w:t>
      </w:r>
    </w:p>
    <w:p>
      <w:pPr>
        <w:spacing w:before="0" w:after="200" w:lineRule="auto" w:line="276"/>
      </w:pPr>
      <w:r>
        <w:rPr>
          <w:b/>
        </w:rPr>
        <w:t xml:space="preserve">Abstract (EN): </w:t>
      </w:r>
      <w:r>
        <w:t>Ceramic aerogels hold great promise for thermal insulation, yet their elasticity and operating temperature fall short for extreme applications. Here, we design an entropy-stabilized amorphous-crystalline hybrid structure and develop (Hf, Zr, Ta, Nb, Ti)C high-entropy carbide nanofibrous aerogels. These aerogels exhibit a recoverable strain up to 99%, a low thermal conductivity of 21–66 mW·m−1·K−1 across 25–1000 °C, and a high operating temperature up to 2200 °C under argon. The integration of these appealing characteristics makes the aerogels highly promising for extreme applications, ranging from deep-space exploration to next-generation energy vehicles. This study not only presents a highly competitive candidate for advanced thermal insulation but also furnishes a design paradigm for enhancing the mechanical and thermal performance of ceramic insulators.</w:t>
      </w:r>
    </w:p>
    <w:p>
      <w:pPr>
        <w:spacing w:before="120" w:after="120"/>
      </w:pPr>
      <w:r>
        <w:rPr>
          <w:sz w:val="18"/>
        </w:rPr>
        <w:t>——————————————————————————————————————————————————————————————————————</w:t>
      </w:r>
    </w:p>
    <w:p>
      <w:pPr>
        <w:spacing w:before="160" w:after="40" w:line="240" w:lineRule="auto"/>
      </w:pPr>
      <w:r>
        <w:rPr>
          <w:b/>
        </w:rPr>
        <w:t xml:space="preserve">[20] </w:t>
      </w:r>
      <w:hyperlink r:id="rId317">
        <w:r>
          <w:rPr>
            <w:color w:val="1155CC"/>
            <w:u w:val="single"/>
          </w:rPr>
          <w:t>通过电气化和蓄热实现水泥生产脱碳：对电力市场和输电重新调度的影响</w:t>
        </w:r>
      </w:hyperlink>
    </w:p>
    <w:p>
      <w:pPr>
        <w:spacing w:before="0" w:after="80"/>
      </w:pPr>
      <w:r>
        <w:rPr>
          <w:i/>
          <w:sz w:val="20"/>
        </w:rPr>
        <w:t>EN: Decarbonising cement production through electrification and thermal storage: impacts on electricity markets and transmission redispatch</w:t>
      </w:r>
    </w:p>
    <w:p>
      <w:pPr>
        <w:spacing w:before="0" w:after="120"/>
      </w:pPr>
      <w:r>
        <w:rPr>
          <w:b/>
        </w:rPr>
        <w:t xml:space="preserve">Source: </w:t>
      </w:r>
      <w:r>
        <w:t>ScienceDirect Publication: Applied Energy</w:t>
      </w:r>
      <w:r>
        <w:t xml:space="preserve">    </w:t>
      </w:r>
      <w:r>
        <w:rPr>
          <w:b/>
        </w:rPr>
        <w:t xml:space="preserve">Pub date: </w:t>
      </w:r>
      <w:r>
        <w:t>2026-08-12 00:00:00+00:00</w:t>
      </w:r>
      <w:r>
        <w:t xml:space="preserve">    </w:t>
      </w:r>
      <w:r>
        <w:rPr>
          <w:b/>
        </w:rPr>
        <w:t xml:space="preserve">DOI: </w:t>
      </w:r>
      <w:hyperlink r:id="rId318">
        <w:r>
          <w:rPr>
            <w:color w:val="1155CC"/>
            <w:u w:val="single"/>
          </w:rPr>
          <w:t>10.1016/j.apenergy.2026.128666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319">
        <w:r>
          <w:rPr>
            <w:color w:val="1155CC"/>
            <w:u w:val="single"/>
          </w:rPr>
          <w:t>用于智能织物的十八烷@SiO2-ZnO微胶囊和MXene/壳聚糖-聚丙烯酸酯复合涂层，具有快速湿度传感和主动热管理功能</w:t>
        </w:r>
      </w:hyperlink>
    </w:p>
    <w:p>
      <w:pPr>
        <w:spacing w:before="0" w:after="80"/>
      </w:pPr>
      <w:r>
        <w:rPr>
          <w:i/>
          <w:sz w:val="20"/>
        </w:rPr>
        <w:t>EN: A Composite Coating of Octadecane@SiO2-ZnO Microcapsules and MXene/Chitosan-Polyacrylate for Smart Fabrics with Rapid Humidity Sensing and Active Thermal Management</w:t>
      </w:r>
    </w:p>
    <w:p>
      <w:pPr>
        <w:spacing w:before="0" w:after="120"/>
      </w:pPr>
      <w:r>
        <w:rPr>
          <w:b/>
        </w:rPr>
        <w:t xml:space="preserve">Source: </w:t>
      </w:r>
      <w:r>
        <w:t>ACS Applied Materials &amp; Interfaces: Latest Articles (ACS Publications)</w:t>
      </w:r>
      <w:r>
        <w:t xml:space="preserve">    </w:t>
      </w:r>
      <w:r>
        <w:rPr>
          <w:b/>
        </w:rPr>
        <w:t xml:space="preserve">Pub date: </w:t>
      </w:r>
      <w:r>
        <w:t>2026-08-12 00:00:00+00:00</w:t>
      </w:r>
      <w:r>
        <w:t xml:space="preserve">    </w:t>
      </w:r>
      <w:r>
        <w:rPr>
          <w:b/>
        </w:rPr>
        <w:t xml:space="preserve">DOI: </w:t>
      </w:r>
      <w:hyperlink r:id="rId320">
        <w:r>
          <w:rPr>
            <w:color w:val="1155CC"/>
            <w:u w:val="single"/>
          </w:rPr>
          <w:t>10.1021/acsami.6c08276</w:t>
        </w:r>
      </w:hyperlink>
    </w:p>
    <w:p>
      <w:pPr>
        <w:spacing w:before="0" w:after="120"/>
      </w:pPr>
      <w:r>
        <w:rPr>
          <w:b/>
        </w:rPr>
        <w:t xml:space="preserve">Notes: </w:t>
      </w:r>
      <w:r>
        <w:t>abstract_source=crossref</w:t>
      </w:r>
    </w:p>
    <w:p>
      <w:pPr>
        <w:spacing w:before="0" w:after="80" w:lineRule="auto" w:line="276"/>
      </w:pPr>
      <w:r>
        <w:rPr>
          <w:b/>
        </w:rPr>
        <w:t xml:space="preserve">摘要（ZH）: </w:t>
      </w:r>
      <w:r>
        <w:t>摘要 推进灵敏、快速响应的织物湿度传感器和具有主动热管理功能的纺织品的开发对于提高复杂环境中的佩戴者安全和用户体验至关重要。在此，通过在二氧化硅微胶囊上生长氧化锌壳来开发具有粗糙表面的双壳微胶囊。含有乙酰乙酸酯基团的聚丙烯酸酯与羧甲基壳聚糖交联，形成稳定的复合体系。该系统通过与 MXene 纳米片的静电相互作用进一步稳定。随后，微胶囊被集成到通过整理工艺应用于织物的导电复合涂层中。基于相变芯材的有效封装，微胶囊的相变热函达到57.33 J/g，表现出优异的储热能力。由于羧甲基壳聚糖中质子化氨基的亲水性和粗糙微胶囊表面的活性位点，复合涂层表现出10186%的显着湿度敏感性。抗菌性能方面，羧甲基壳聚糖中的质子化氨基与含氧化锌的外壳协同作用，对大肠杆菌和金黄色葡萄球菌的抑制率分别达到99.78%和99.99%，表现出优异的广谱抗菌活性。当应用于人体手臂排汗监测时，展示了实时湿度跟踪和有效的热管理能力，展示了其在智能穿戴中的广阔应用前景</w:t>
      </w:r>
    </w:p>
    <w:p>
      <w:pPr>
        <w:spacing w:before="0" w:after="200" w:lineRule="auto" w:line="276"/>
      </w:pPr>
      <w:r>
        <w:rPr>
          <w:b/>
        </w:rPr>
        <w:t xml:space="preserve">Abstract (EN): </w:t>
      </w:r>
      <w:r>
        <w:t>Advancing the development of sensitive, rapid-response fabric humidity sensors and textiles with active thermal management is crucial for enhancing wearer safety and user experience in complex environments. Herein, a double-shell microcapsule featuring a rough surface was developed by growing a zinc oxide shell on silica microcapsules. A polyacrylate containing acetoacetate groups was crosslinked with carboxymethyl chitosan, resulting in a stable composite system. This system was further stabilized through electrostatic interactions with MXene nanosheets. The microcapsules were subsequently integrated into a conductive composite coating applied to fabric through a finishing process. Based on effective encapsulation of the phase-change core material, the microcapsules exhibited a phase-change enthalpy of 57.33 J/g, demonstrating excellent thermal energy storage capacity. Due to the hydrophilicity of the protonated amino groups in carboxymethyl chitosan and the active sites on the rough microcapsule surface, the composite coating exhibited a remarkable humidity sensitivity of 10186%. Regarding antibacterial performance, the protonated amino groups in carboxymethyl chitosan synergize with the zinc oxide-containing shell, achieving inhibition rates of 99.78% and 99.99% against E. coli and S. aureus, respectively, demonstrating excellent broad-spectrum antibacterial activity. When applied for perspiration monitoring on human arm, it demonstrated real-time humidity tracking and effective thermal management capabilities, showcasing its promising applications in smart wearable technology.</w:t>
      </w:r>
    </w:p>
    <w:p>
      <w:pPr>
        <w:spacing w:before="120" w:after="120"/>
      </w:pPr>
      <w:r>
        <w:rPr>
          <w:sz w:val="18"/>
        </w:rPr>
        <w:t>——————————————————————————————————————————————————————————————————————</w:t>
      </w:r>
    </w:p>
    <w:p>
      <w:pPr>
        <w:spacing w:before="160" w:after="40" w:line="240" w:lineRule="auto"/>
      </w:pPr>
      <w:r>
        <w:rPr>
          <w:b/>
        </w:rPr>
        <w:t xml:space="preserve">[22] </w:t>
      </w:r>
      <w:hyperlink r:id="rId321">
        <w:r>
          <w:rPr>
            <w:color w:val="1155CC"/>
            <w:u w:val="single"/>
          </w:rPr>
          <w:t>通过金刚石集成近结冷却增强半导体芯片</w:t>
        </w:r>
      </w:hyperlink>
    </w:p>
    <w:p>
      <w:pPr>
        <w:spacing w:before="0" w:after="80"/>
      </w:pPr>
      <w:r>
        <w:rPr>
          <w:i/>
          <w:sz w:val="20"/>
        </w:rPr>
        <w:t>EN: Empowering semiconductor chips via diamond-integrated near-junction cooling</w:t>
      </w:r>
    </w:p>
    <w:p>
      <w:pPr>
        <w:spacing w:before="0" w:after="120"/>
      </w:pPr>
      <w:r>
        <w:rPr>
          <w:b/>
        </w:rPr>
        <w:t xml:space="preserve">Source: </w:t>
      </w:r>
      <w:r>
        <w:t>National Science Review Advance Access</w:t>
      </w:r>
      <w:r>
        <w:t xml:space="preserve">    </w:t>
      </w:r>
      <w:r>
        <w:rPr>
          <w:b/>
        </w:rPr>
        <w:t xml:space="preserve">Pub date: </w:t>
      </w:r>
      <w:r>
        <w:t>2026-08-12 00:00:00+00:00</w:t>
      </w:r>
      <w:r>
        <w:t xml:space="preserve">    </w:t>
      </w:r>
      <w:r>
        <w:rPr>
          <w:b/>
        </w:rPr>
        <w:t xml:space="preserve">DOI: </w:t>
      </w:r>
      <w:hyperlink r:id="rId322">
        <w:r>
          <w:rPr>
            <w:color w:val="1155CC"/>
            <w:u w:val="single"/>
          </w:rPr>
          <w:t>10.1093/nsr/nwag482</w:t>
        </w:r>
      </w:hyperlink>
    </w:p>
    <w:p>
      <w:pPr>
        <w:spacing w:before="0" w:after="120"/>
      </w:pPr>
      <w:r>
        <w:rPr>
          <w:b/>
        </w:rPr>
        <w:t xml:space="preserve">Notes: </w:t>
      </w:r>
      <w:r>
        <w:t>abstract_source=openalex</w:t>
      </w:r>
    </w:p>
    <w:p>
      <w:pPr>
        <w:spacing w:before="0" w:after="80" w:lineRule="auto" w:line="276"/>
      </w:pPr>
      <w:r>
        <w:rPr>
          <w:b/>
        </w:rPr>
        <w:t xml:space="preserve">摘要（ZH）: </w:t>
      </w:r>
      <w:r>
        <w:t>梁文军，杨璐；通过金刚石集成近结冷却增强半导体芯片，国家科学评论，nwag482，https://doi.org/10。</w:t>
      </w:r>
    </w:p>
    <w:p>
      <w:pPr>
        <w:spacing w:before="0" w:after="200" w:lineRule="auto" w:line="276"/>
      </w:pPr>
      <w:r>
        <w:rPr>
          <w:b/>
        </w:rPr>
        <w:t xml:space="preserve">Abstract (EN): </w:t>
      </w:r>
      <w:r>
        <w:t>Wenjun Liang, Yang Lu; Empowering semiconductor chips via diamond-integrated near-junction cooling, National Science Review, , nwag482, https://doi.org/10.</w:t>
      </w:r>
    </w:p>
    <w:p>
      <w:pPr>
        <w:spacing w:before="120" w:after="120"/>
      </w:pPr>
      <w:r>
        <w:rPr>
          <w:sz w:val="18"/>
        </w:rPr>
        <w:t>——————————————————————————————————————————————————————————————————————</w:t>
      </w:r>
    </w:p>
    <w:p>
      <w:pPr>
        <w:spacing w:before="160" w:after="40" w:line="240" w:lineRule="auto"/>
      </w:pPr>
      <w:r>
        <w:rPr>
          <w:b/>
        </w:rPr>
        <w:t xml:space="preserve">[23] </w:t>
      </w:r>
      <w:hyperlink r:id="rId323">
        <w:r>
          <w:rPr>
            <w:color w:val="1155CC"/>
            <w:u w:val="single"/>
          </w:rPr>
          <w:t>具有鲁棒机械稳定性和自除霜/除冰性能的光热超疏水表面的仿生设计</w:t>
        </w:r>
      </w:hyperlink>
    </w:p>
    <w:p>
      <w:pPr>
        <w:spacing w:before="0" w:after="80"/>
      </w:pPr>
      <w:r>
        <w:rPr>
          <w:i/>
          <w:sz w:val="20"/>
        </w:rPr>
        <w:t>EN: Biomimetic Design of Photothermal Superhydrophobic Surfaces with Robust Mechanical Stability and Self-defrosting/Deicing Performance</w:t>
      </w:r>
    </w:p>
    <w:p>
      <w:pPr>
        <w:spacing w:before="0" w:after="120"/>
      </w:pPr>
      <w:r>
        <w:rPr>
          <w:b/>
        </w:rPr>
        <w:t xml:space="preserve">Source: </w:t>
      </w:r>
      <w:r>
        <w:t>ACS Applied Materials &amp; Interfaces: Latest Articles (ACS Publications)</w:t>
      </w:r>
      <w:r>
        <w:t xml:space="preserve">    </w:t>
      </w:r>
      <w:r>
        <w:rPr>
          <w:b/>
        </w:rPr>
        <w:t xml:space="preserve">Pub date: </w:t>
      </w:r>
      <w:r>
        <w:t>2026-08-12 00:00:00+00:00</w:t>
      </w:r>
      <w:r>
        <w:t xml:space="preserve">    </w:t>
      </w:r>
      <w:r>
        <w:rPr>
          <w:b/>
        </w:rPr>
        <w:t xml:space="preserve">DOI: </w:t>
      </w:r>
      <w:hyperlink r:id="rId324">
        <w:r>
          <w:rPr>
            <w:color w:val="1155CC"/>
            <w:u w:val="single"/>
          </w:rPr>
          <w:t>10.1021/acsami.6c13619</w:t>
        </w:r>
      </w:hyperlink>
    </w:p>
    <w:p>
      <w:pPr>
        <w:spacing w:before="0" w:after="120"/>
      </w:pPr>
      <w:r>
        <w:rPr>
          <w:b/>
        </w:rPr>
        <w:t xml:space="preserve">Notes: </w:t>
      </w:r>
      <w:r>
        <w:t>abstract_source=crossref</w:t>
      </w:r>
    </w:p>
    <w:p>
      <w:pPr>
        <w:spacing w:before="0" w:after="80" w:lineRule="auto" w:line="276"/>
      </w:pPr>
      <w:r>
        <w:rPr>
          <w:b/>
        </w:rPr>
        <w:t xml:space="preserve">摘要（ZH）: </w:t>
      </w:r>
      <w:r>
        <w:t>摘要 超疏水表面由于其独特的不润湿性和良好的防冰/除冰潜力而受到广泛关注，但由于机械鲁棒性差和耐湿性低，常常会出现显着的性能下降。在这里，我们开发了一种复合结构（M-PNPs-T），将蜂窝状薄壁金属框架集成到具有光热超疏水（PNPs-T）表面的聚二甲基硅氧烷（PDMS）基体中，其中超疏水特性是通过在PNPs-T上激光制造分层微/纳米结构来实现的，金属框架充当“盔甲”来保护超疏水性。 PNPs-T 表面免受潜在损坏。即使 M-PNPs-T 表面在 2.65 kPa 的压力下用 600 粒度的 SiC 砂纸进行机械磨损 1100 m，这种设计也使得 PNPs-T 表面仍能保持超疏水性。复合材料M-PNPs-T表面在大温差（–14±0.5至26±0.5℃）和低温（–14±0.5℃）条件下均表现出良好的自除霜和自除冰性能。特别是，M-PNPs-T表面形成的霜层和冰滴分别在光照射60和186 s后完全融化。借助金属框架表面薄水层提供的润滑和引导，熔化的液滴在重力作用下很容易从 M-PNPs-T 表面滑落。此外，PNPs-T优异的光热转换性能使M-PNPs-T表面能够保持高温（&gt;22°</w:t>
      </w:r>
    </w:p>
    <w:p>
      <w:pPr>
        <w:spacing w:before="0" w:after="200" w:lineRule="auto" w:line="276"/>
      </w:pPr>
      <w:r>
        <w:rPr>
          <w:b/>
        </w:rPr>
        <w:t xml:space="preserve">Abstract (EN): </w:t>
      </w:r>
      <w:r>
        <w:t>Superhydrophobic surfaces have attracted extensive attention due to their unique nonwettability and good anti-icing/deicing potential but often experience significant performance degradation due to poor mechanical robustness and low humidity tolerance. Here, we developed a composite architecture (M-PNPs-T) by integrating a honeycomb-inspired thin-walled metallic frame into a polydimethylsiloxane (PDMS)-based matrix with the photothermal superhydrophobic (PNPs-T) surface, where the superhydrophobic property was achieved through laser-fabricating hierarchical micro/nanostructures on PNPs-T and the metallic frame acted as an ‘armor’ to protect the superhydrophobic PNPs-T surface from potential damage. This design allowed the PNPs-T surface to remain superhydrophobicity even after the M-PNPs-T surface underwent mechanical abrasion against a 600 grit SiC sandpaper for 1100 m at a pressure of 2.65 kPa. The composite M-PNPs-T surface exhibited good self-defrosting and self-deicing performance under both large temperature-difference (–14 ± 0.5 to 26 ± 0.5 °C) and low-temperature (–14 ± 0.5 °C) conditions. Particularly, the frost layer and the ice droplets formed on the M-PNPs-T surface completely melted after light irradiation for merely 60 and 186 s, respectively. The melted droplets easily slid off the M-PNPs-T surface under gravity with the help of lubrication and guidance provided by a thin water layer on the metallic frame surface. Moreover, the superior photothermal conversion performance of PNPs-T enabled the M-PNPs-T surface to maintain a high temperature (&amp;gt;22 °C) so as to exhibit good anti-icing/frosting properties under a low-temperature environment. Our design strategy provides an effective and facile route to prepare photothermal superhydrophobic surfaces with robust stability for potential deicing/defrosting applications.</w:t>
      </w:r>
    </w:p>
    <w:p>
      <w:pPr>
        <w:spacing w:before="120" w:after="120"/>
      </w:pPr>
      <w:r>
        <w:rPr>
          <w:sz w:val="18"/>
        </w:rPr>
        <w:t>——————————————————————————————————————————————————————————————————————</w:t>
      </w:r>
    </w:p>
    <w:p>
      <w:pPr>
        <w:spacing w:before="160" w:after="40" w:line="240" w:lineRule="auto"/>
      </w:pPr>
      <w:r>
        <w:rPr>
          <w:b/>
        </w:rPr>
        <w:t xml:space="preserve">[24] </w:t>
      </w:r>
      <w:hyperlink r:id="rId325">
        <w:r>
          <w:rPr>
            <w:color w:val="1155CC"/>
            <w:u w:val="single"/>
          </w:rPr>
          <w:t>气候变化和热电厂效率损失：来自中国的证据</w:t>
        </w:r>
      </w:hyperlink>
    </w:p>
    <w:p>
      <w:pPr>
        <w:spacing w:before="0" w:after="80"/>
      </w:pPr>
      <w:r>
        <w:rPr>
          <w:i/>
          <w:sz w:val="20"/>
        </w:rPr>
        <w:t>EN: Climate change and efficiency losses in combined heat and power plants: Evidence from China</w:t>
      </w:r>
    </w:p>
    <w:p>
      <w:pPr>
        <w:spacing w:before="0" w:after="120"/>
      </w:pPr>
      <w:r>
        <w:rPr>
          <w:b/>
        </w:rPr>
        <w:t xml:space="preserve">Source: </w:t>
      </w:r>
      <w:r>
        <w:t>ScienceDirect Publication: Energy Policy</w:t>
      </w:r>
      <w:r>
        <w:t xml:space="preserve">    </w:t>
      </w:r>
      <w:r>
        <w:rPr>
          <w:b/>
        </w:rPr>
        <w:t xml:space="preserve">Pub date: </w:t>
      </w:r>
      <w:r>
        <w:t>2026-08-12 00:00:00+00:00</w:t>
      </w:r>
      <w:r>
        <w:t xml:space="preserve">    </w:t>
      </w:r>
      <w:r>
        <w:rPr>
          <w:b/>
        </w:rPr>
        <w:t xml:space="preserve">DOI: </w:t>
      </w:r>
      <w:hyperlink r:id="rId326">
        <w:r>
          <w:rPr>
            <w:color w:val="1155CC"/>
            <w:u w:val="single"/>
          </w:rPr>
          <w:t>10.1016/j.enpol.2026.115546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327">
        <w:r>
          <w:rPr>
            <w:color w:val="1155CC"/>
            <w:u w:val="single"/>
          </w:rPr>
          <w:t>半导体介电超晶格实现光热电探测器中的巨大光热电转换</w:t>
        </w:r>
      </w:hyperlink>
    </w:p>
    <w:p>
      <w:pPr>
        <w:spacing w:before="0" w:after="80"/>
      </w:pPr>
      <w:r>
        <w:rPr>
          <w:i/>
          <w:sz w:val="20"/>
        </w:rPr>
        <w:t>EN: Giant Light‐Heat‐Electricity Conversion in Photothermoelectric Detector Enabled by Semiconductor‐Dielectric Superlattices</w:t>
      </w:r>
    </w:p>
    <w:p>
      <w:pPr>
        <w:spacing w:before="0" w:after="120"/>
      </w:pPr>
      <w:r>
        <w:rPr>
          <w:b/>
        </w:rPr>
        <w:t xml:space="preserve">Source: </w:t>
      </w:r>
      <w:r>
        <w:t>Wiley: Advanced Materials: Table of Contents</w:t>
      </w:r>
      <w:r>
        <w:t xml:space="preserve">    </w:t>
      </w:r>
      <w:r>
        <w:rPr>
          <w:b/>
        </w:rPr>
        <w:t xml:space="preserve">Pub date: </w:t>
      </w:r>
      <w:r>
        <w:t>2026-08-12 08:07:27+00:00</w:t>
      </w:r>
      <w:r>
        <w:t xml:space="preserve">    </w:t>
      </w:r>
      <w:r>
        <w:rPr>
          <w:b/>
        </w:rPr>
        <w:t xml:space="preserve">DOI: </w:t>
      </w:r>
      <w:hyperlink r:id="rId328">
        <w:r>
          <w:rPr>
            <w:color w:val="1155CC"/>
            <w:u w:val="single"/>
          </w:rPr>
          <w:t>10.1002/adma.74574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光热电（PTE）探测器依靠光热和热电效应进行工作，可以克服光子驱动探测器中材料带隙带来的固有光谱限制。然而，利用光热电级联转换的设备的硬件实现仍然具有挑战性。在这里，我们报告MoS的构建</w:t>
      </w:r>
      <w:r>
        <w:rPr>
          <w:vertAlign w:val="subscript"/>
        </w:rPr>
        <w:t>2</w:t>
      </w:r>
      <w:r>
        <w:t>/二氧化硅</w:t>
      </w:r>
      <w:r>
        <w:rPr>
          <w:vertAlign w:val="subscript"/>
        </w:rPr>
        <w:t>2</w:t>
      </w:r>
      <w:r>
        <w:t>半导体/介电超晶格薄膜具有纳米级层定义、高结晶质量和晶圆级可制造性的特点。受益于层间干扰和电场局域化，MoS</w:t>
      </w:r>
      <w:r>
        <w:rPr>
          <w:vertAlign w:val="subscript"/>
        </w:rPr>
        <w:t>2</w:t>
      </w:r>
      <w:r>
        <w:t>/二氧化硅</w:t>
      </w:r>
      <w:r>
        <w:rPr>
          <w:vertAlign w:val="subscript"/>
        </w:rPr>
        <w:t>2</w:t>
      </w:r>
      <w:r>
        <w:t>超晶格在可见光到红外光谱范围内表现出显着增强的光学吸收，从而实现了高光热能量转换效率和超过 70 K 的大幅温升。PTE 检测通过将超晶格吸收器与基于 Bi 的微型热电 (μ-TE) 平台集成来实现</w:t>
      </w:r>
      <w:r>
        <w:rPr>
          <w:vertAlign w:val="subscript"/>
        </w:rPr>
        <w:t>2</w:t>
      </w:r>
      <w:r>
        <w:t>碲</w:t>
      </w:r>
      <w:r>
        <w:rPr>
          <w:vertAlign w:val="subscript"/>
        </w:rPr>
        <w:t>3</w:t>
      </w:r>
      <w:r>
        <w:t>/锑</w:t>
      </w:r>
      <w:r>
        <w:rPr>
          <w:vertAlign w:val="subscript"/>
        </w:rPr>
        <w:t>2</w:t>
      </w:r>
      <w:r>
        <w:t>碲</w:t>
      </w:r>
      <w:r>
        <w:rPr>
          <w:vertAlign w:val="subscript"/>
        </w:rPr>
        <w:t>3</w:t>
      </w:r>
      <w:r>
        <w:t>P-N 对通过强光-物质相互作用和优化的热管理实现高效光电检测。自供电探测器可以在延伸至 1550 nm 的广谱范围内稳定运行，展示了</w:t>
      </w:r>
    </w:p>
    <w:p>
      <w:pPr>
        <w:spacing w:before="0" w:after="200" w:lineRule="auto" w:line="276"/>
      </w:pPr>
      <w:r>
        <w:rPr>
          <w:b/>
        </w:rPr>
        <w:t xml:space="preserve">Abstract (EN): </w:t>
      </w:r>
      <w:r>
        <w:t>Photothermoelectric (PTE) detectors, which operate relying on the photothermal and thermoelectric effects, can overcome the intrinsic spectral limitations originated from material bandgaps in photon‐driven detectors. However, the hardware implementation of devices leveraging light‐heat‐electricity cascade conversion remains challenging. Here, we report the construction of MoS</w:t>
      </w:r>
      <w:r>
        <w:rPr>
          <w:vertAlign w:val="subscript"/>
        </w:rPr>
        <w:t>2</w:t>
      </w:r>
      <w:r>
        <w:t>/SiO</w:t>
      </w:r>
      <w:r>
        <w:rPr>
          <w:vertAlign w:val="subscript"/>
        </w:rPr>
        <w:t>2</w:t>
      </w:r>
      <w:r>
        <w:t>semiconductor/dielectric superlattice films with features of nanoscale layer definition, high crystalline quality, and wafer‐level manufacturability. Benefiting from the interlayer interference and electric‐field localization, the MoS</w:t>
      </w:r>
      <w:r>
        <w:rPr>
          <w:vertAlign w:val="subscript"/>
        </w:rPr>
        <w:t>2</w:t>
      </w:r>
      <w:r>
        <w:t>/SiO</w:t>
      </w:r>
      <w:r>
        <w:rPr>
          <w:vertAlign w:val="subscript"/>
        </w:rPr>
        <w:t>2</w:t>
      </w:r>
      <w:r>
        <w:t>superlattices exhibit remarkably enhanced optical absorption across the visible to infrared spectrum, which enables the high photothermal energy conversion efficiency and substantial temperature rise exceeding 70 K. The PTE detection, implemented by integrating superlattice absorber with a microscale thermoelectric (μ‐TE) platform based on Bi</w:t>
      </w:r>
      <w:r>
        <w:rPr>
          <w:vertAlign w:val="subscript"/>
        </w:rPr>
        <w:t>2</w:t>
      </w:r>
      <w:r>
        <w:t>Te</w:t>
      </w:r>
      <w:r>
        <w:rPr>
          <w:vertAlign w:val="subscript"/>
        </w:rPr>
        <w:t>3</w:t>
      </w:r>
      <w:r>
        <w:t>/Sb</w:t>
      </w:r>
      <w:r>
        <w:rPr>
          <w:vertAlign w:val="subscript"/>
        </w:rPr>
        <w:t>2</w:t>
      </w:r>
      <w:r>
        <w:t>Te</w:t>
      </w:r>
      <w:r>
        <w:rPr>
          <w:vertAlign w:val="subscript"/>
        </w:rPr>
        <w:t>3</w:t>
      </w:r>
      <w:r>
        <w:t>P–N pairs, enables high‐efficiency photodetection through strong light–matter interaction and optimized thermal management. The self‐powered detector can stably operate over a broad‐spectrum range extending to 1550 nm, demonstrating a temporal response (∼16 ms), high responsivity (17.6 V W</w:t>
      </w:r>
      <w:r>
        <w:t xml:space="preserve"> </w:t>
      </w:r>
      <w:r>
        <w:t>−1</w:t>
      </w:r>
      <w:r>
        <w:t xml:space="preserve"> </w:t>
      </w:r>
      <w:r>
        <w:t>), and detectivity exceeding 1.20 × 10</w:t>
      </w:r>
      <w:r>
        <w:rPr>
          <w:vertAlign w:val="subscript"/>
        </w:rPr>
        <w:t>10</w:t>
      </w:r>
      <w:r>
        <w:t>Jones, comparable to state‐of‐the‐art broadband PTE detectors. Array‐level integration facilitates high‐fidelity 1550 nm imaging with a 256‐pixel prototype, while wafer‐scale fabrication of over 3000 units on a 2‐inch substrate confirms excellent uniformity, reproducibility and scalability, unlocking the potential for advanced large‐scale imaging applications.</w:t>
      </w:r>
    </w:p>
    <w:p>
      <w:pPr>
        <w:spacing w:before="120" w:after="120"/>
      </w:pPr>
      <w:r>
        <w:rPr>
          <w:sz w:val="18"/>
        </w:rPr>
        <w:t>——————————————————————————————————————————————————————————————————————</w:t>
      </w:r>
    </w:p>
    <w:p>
      <w:pPr>
        <w:spacing w:before="160" w:after="40" w:line="240" w:lineRule="auto"/>
      </w:pPr>
      <w:r>
        <w:rPr>
          <w:b/>
        </w:rPr>
        <w:t xml:space="preserve">[26] </w:t>
      </w:r>
      <w:hyperlink r:id="rId329">
        <w:r>
          <w:rPr>
            <w:color w:val="1155CC"/>
            <w:u w:val="single"/>
          </w:rPr>
          <w:t>具有高功率因数和机械稳定性的化学计量调节的 Ag2Se 柔性薄膜</w:t>
        </w:r>
      </w:hyperlink>
    </w:p>
    <w:p>
      <w:pPr>
        <w:spacing w:before="0" w:after="80"/>
      </w:pPr>
      <w:r>
        <w:rPr>
          <w:i/>
          <w:sz w:val="20"/>
        </w:rPr>
        <w:t>EN: Stoichiometry‐Regulated Ag2Se Flexible Thin Films With High Power Factor and Mechanical Stability</w:t>
      </w:r>
    </w:p>
    <w:p>
      <w:pPr>
        <w:spacing w:before="0" w:after="120"/>
      </w:pPr>
      <w:r>
        <w:rPr>
          <w:b/>
        </w:rPr>
        <w:t xml:space="preserve">Source: </w:t>
      </w:r>
      <w:r>
        <w:t>Wiley: Advanced Energy Materials: Table of Contents</w:t>
      </w:r>
      <w:r>
        <w:t xml:space="preserve">    </w:t>
      </w:r>
      <w:r>
        <w:rPr>
          <w:b/>
        </w:rPr>
        <w:t xml:space="preserve">Pub date: </w:t>
      </w:r>
      <w:r>
        <w:t>2026-08-12 09:22:10+00:00</w:t>
      </w:r>
      <w:r>
        <w:t xml:space="preserve">    </w:t>
      </w:r>
      <w:r>
        <w:rPr>
          <w:b/>
        </w:rPr>
        <w:t xml:space="preserve">DOI: </w:t>
      </w:r>
      <w:hyperlink r:id="rId330">
        <w:r>
          <w:rPr>
            <w:color w:val="1155CC"/>
            <w:u w:val="single"/>
          </w:rPr>
          <w:t>10.1002/aenm.71408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银</w:t>
      </w:r>
      <w:r>
        <w:rPr>
          <w:vertAlign w:val="subscript"/>
        </w:rPr>
        <w:t>2</w:t>
      </w:r>
      <w:r>
        <w:t>硒基热电薄膜对于近室温能量收集很有吸引力，但由于硒空位而存在严重的非化学计量（Ag/Se &gt; 2:1），这会导致载流子浓度过高并降低热电性能。在这里，我们通过化学计量工程结合液相蚀刻、物理剥离和硒蒸气退火策略克服了这一限制。这种方法可以抑制空位形成，同时保持高结晶度，从而优化载流子浓度并减少热传输。所得薄膜表现出~32.2 µW cm 的高功率因数</w:t>
      </w:r>
      <w:r>
        <w:t xml:space="preserve"> </w:t>
      </w:r>
      <w:r>
        <w:t>−1</w:t>
      </w:r>
      <w:r>
        <w:t xml:space="preserve"> </w:t>
      </w:r>
      <w:r>
        <w:t>K</w:t>
      </w:r>
      <w:r>
        <w:t xml:space="preserve"> </w:t>
      </w:r>
      <w:r>
        <w:t>−2</w:t>
      </w:r>
      <w:r>
        <w:t xml:space="preserve"> </w:t>
      </w:r>
      <w:r>
        <w:t>398 K 和具有竞争力的热电品质因数 (</w:t>
      </w:r>
      <w:r>
        <w:t xml:space="preserve"> </w:t>
      </w:r>
      <w:r>
        <w:t>ZT</w:t>
      </w:r>
      <w:r>
        <w:t xml:space="preserve"> </w:t>
      </w:r>
      <w:r>
        <w:t>）在 300 K 时为 ∼1.1。五腿柔性器件可提供 ∼4.2 µW cm 的标准化功率密度</w:t>
      </w:r>
      <w:r>
        <w:t xml:space="preserve"> </w:t>
      </w:r>
      <w:r>
        <w:t>−2</w:t>
      </w:r>
      <w:r>
        <w:t xml:space="preserve"> </w:t>
      </w:r>
      <w:r>
        <w:t>K</w:t>
      </w:r>
      <w:r>
        <w:t xml:space="preserve"> </w:t>
      </w:r>
      <w:r>
        <w:t>−2</w:t>
      </w:r>
      <w:r>
        <w:t xml:space="preserve"> </w:t>
      </w:r>
      <w:r>
        <w:t>1000 次弯曲循环（半径 4 毫米）后仍保持 &gt; 97% 的性能。这些结果强调化学计量控制是提高柔性热电器件性能和耐用性的有效策略。</w:t>
      </w:r>
    </w:p>
    <w:p>
      <w:pPr>
        <w:spacing w:before="0" w:after="200" w:lineRule="auto" w:line="276"/>
      </w:pPr>
      <w:r>
        <w:rPr>
          <w:b/>
        </w:rPr>
        <w:t xml:space="preserve">Abstract (EN): </w:t>
      </w:r>
      <w:r>
        <w:t>Ag</w:t>
      </w:r>
      <w:r>
        <w:rPr>
          <w:vertAlign w:val="subscript"/>
        </w:rPr>
        <w:t>2</w:t>
      </w:r>
      <w:r>
        <w:t>Se‐based thermoelectric thin films are attractive for near‐room‐temperature energy harvesting, yet suffer from severe non‐stoichiometry (Ag/Se &amp;gt; 2:1) due to Se vacancies, which induce excessive carrier concentration and degrade thermoelectric performance. Here we overcome this limitation through stoichiometry engineering by using a combined liquid‐phase etching, physical exfoliation, and Se vapour annealing strategy. Such an approach suppresses vacancy formation while preserving high crystallinity, enabling optimized carrier concentration and reduced thermal transport. The resulting films exhibit a high power factor of ∼32.2 µW cm</w:t>
      </w:r>
      <w:r>
        <w:t xml:space="preserve"> </w:t>
      </w:r>
      <w:r>
        <w:t>−1</w:t>
      </w:r>
      <w:r>
        <w:t xml:space="preserve"> </w:t>
      </w:r>
      <w:r>
        <w:t>K</w:t>
      </w:r>
      <w:r>
        <w:t xml:space="preserve"> </w:t>
      </w:r>
      <w:r>
        <w:t>−2</w:t>
      </w:r>
      <w:r>
        <w:t xml:space="preserve"> </w:t>
      </w:r>
      <w:r>
        <w:t>at 398 K and a competitive thermoelectric figure of merit (</w:t>
      </w:r>
      <w:r>
        <w:t xml:space="preserve"> </w:t>
      </w:r>
      <w:r>
        <w:t>ZT</w:t>
      </w:r>
      <w:r>
        <w:t xml:space="preserve"> </w:t>
      </w:r>
      <w:r>
        <w:t>) of ∼1.1 at 300 K. A five‐leg flexible device delivers a normalized power density of ∼4.2 µW cm</w:t>
      </w:r>
      <w:r>
        <w:t xml:space="preserve"> </w:t>
      </w:r>
      <w:r>
        <w:t>−2</w:t>
      </w:r>
      <w:r>
        <w:t xml:space="preserve"> </w:t>
      </w:r>
      <w:r>
        <w:t>K</w:t>
      </w:r>
      <w:r>
        <w:t xml:space="preserve"> </w:t>
      </w:r>
      <w:r>
        <w:t>−2</w:t>
      </w:r>
      <w:r>
        <w:t xml:space="preserve"> </w:t>
      </w:r>
      <w:r>
        <w:t>and maintains &amp;gt; 97% performance after 1000 bending cycles (4 mm radius). These results highlight stoichiometry control as an effective strategy for enhancing the performance and durability of flexible thermoelectric devices.</w:t>
      </w:r>
    </w:p>
    <w:p>
      <w:pPr>
        <w:spacing w:before="120" w:after="120"/>
      </w:pPr>
      <w:r>
        <w:rPr>
          <w:sz w:val="18"/>
        </w:rPr>
        <w:t>——————————————————————————————————————————————————————————————————————</w:t>
      </w:r>
    </w:p>
    <w:p>
      <w:pPr>
        <w:spacing w:before="160" w:after="40" w:line="240" w:lineRule="auto"/>
      </w:pPr>
      <w:r>
        <w:rPr>
          <w:b/>
        </w:rPr>
        <w:t xml:space="preserve">[27] </w:t>
      </w:r>
      <w:hyperlink r:id="rId331">
        <w:r>
          <w:rPr>
            <w:color w:val="1155CC"/>
            <w:u w:val="single"/>
          </w:rPr>
          <w:t>T C 可调自旋交叉复合体中巨大且可逆的气压热和溶剂热效应</w:t>
        </w:r>
      </w:hyperlink>
    </w:p>
    <w:p>
      <w:pPr>
        <w:spacing w:before="0" w:after="80"/>
      </w:pPr>
      <w:r>
        <w:rPr>
          <w:i/>
          <w:sz w:val="20"/>
        </w:rPr>
        <w:t>EN: Colossal and Reversible Barocaloric and Solvent-Caloric Effects in a T C-Adjustable Spin-Crossover Complex</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332">
        <w:r>
          <w:rPr>
            <w:color w:val="1155CC"/>
            <w:u w:val="single"/>
          </w:rPr>
          <w:t>10.1021/jacs.6c09635</w:t>
        </w:r>
      </w:hyperlink>
    </w:p>
    <w:p>
      <w:pPr>
        <w:spacing w:before="0" w:after="120"/>
      </w:pPr>
      <w:r>
        <w:rPr>
          <w:b/>
        </w:rPr>
        <w:t xml:space="preserve">Notes: </w:t>
      </w:r>
      <w:r>
        <w:t>abstract_source=crossref</w:t>
      </w:r>
    </w:p>
    <w:p>
      <w:pPr>
        <w:spacing w:before="0" w:after="80" w:lineRule="auto" w:line="276"/>
      </w:pPr>
      <w:r>
        <w:rPr>
          <w:b/>
        </w:rPr>
        <w:t xml:space="preserve">摘要（ZH）: </w:t>
      </w:r>
      <w:r>
        <w:t>摘要 气压热效应（BCE）是一种颇具吸引力的制冷技术，最近引起了人们的极大兴趣。然而，大多数 BCE 材料由于其固定的相变温度 TC 以及驱动较宽的冷却温度跨度所需的极高压力，仍然无法满足现实世界的制冷要求。在这里，我们通过在 SCO 复合物 Fe[L2] 中设计分子通道来解决这些瓶颈。除了在 Fe[L2] 中观察到巨大且可逆的 BCE 之外，所设计的分子通道还允许 H2O 和 CH3OH 快速换向，从而实现 TC 的可调性，并通过简单地改变溶剂气氛来创建高达 80 K 的制冷窗口，这一点已通过 SC-XRD、P-DSC、PXRD、拉曼和 DFT 计算证实。受所提出的“溶剂热”效应的启发，常压下的制冷能力比传统BCE方法在100 MPa下实现的制冷能力高出9倍，大大提高了不同BCE制冷场景的通用性。我们的结果表明，SCO复合物中设计的分子通道可以影响SCO转变特性，从而产生奇异的热量现象，为编排新型冷却材料提供新途径。</w:t>
      </w:r>
    </w:p>
    <w:p>
      <w:pPr>
        <w:spacing w:before="0" w:after="200" w:lineRule="auto" w:line="276"/>
      </w:pPr>
      <w:r>
        <w:rPr>
          <w:b/>
        </w:rPr>
        <w:t xml:space="preserve">Abstract (EN): </w:t>
      </w:r>
      <w:r>
        <w:t>Barocaloric effects (BCE) represent an appealing refrigeration technology and have attracted great interest recently. However, most BCE materials still cannot meet real-world refrigeration requirements because of their fixed phase transition temperature TC and the significantly high pressure required to drive a wide cooling temperature span. Here, we address these bottlenecks by engineering molecular channels in a SCO complex, Fe[L2]. Besides the observation of colossal and reversible BCE in Fe[L2], the designed molecular channels allow fast commutation of H2O and CH3OH, which enables the tunability of TC and creates a refrigeration window as wide as 80 K by simply altering the solvent atmosphere, as confirmed by SC-XRD, P-DSC, PXRD, Raman, and DFT calculations. Inspired by the proposed “solvent-caloric” effect, the refrigeration capacity at ambient pressure can be 9 times higher than that achieved at 100 MPa using conventional BCE methods, greatly boosting the universality for different BCE refrigeration scenarios. Our results demonstrate that the designed molecular channels in SCO complexes can influence the SCO transition properties and thereby bring forth singular caloric phenomena, offering new routes for orchestrating novel cooling materials.</w:t>
      </w:r>
    </w:p>
    <w:p>
      <w:pPr>
        <w:spacing w:before="120" w:after="120"/>
      </w:pPr>
      <w:r>
        <w:rPr>
          <w:sz w:val="18"/>
        </w:rPr>
        <w:t>——————————————————————————————————————————————————————————————————————</w:t>
      </w:r>
    </w:p>
    <w:p>
      <w:pPr>
        <w:spacing w:before="160" w:after="40" w:line="240" w:lineRule="auto"/>
      </w:pPr>
      <w:r>
        <w:rPr>
          <w:b/>
        </w:rPr>
        <w:t xml:space="preserve">[28] </w:t>
      </w:r>
      <w:hyperlink r:id="rId333">
        <w:r>
          <w:rPr>
            <w:color w:val="1155CC"/>
            <w:u w:val="single"/>
          </w:rPr>
          <w:t>线性、混合整数线性、分段线性和非线性热潮流模型对区域供热管网设计的影响</w:t>
        </w:r>
      </w:hyperlink>
    </w:p>
    <w:p>
      <w:pPr>
        <w:spacing w:before="0" w:after="80"/>
      </w:pPr>
      <w:r>
        <w:rPr>
          <w:i/>
          <w:sz w:val="20"/>
        </w:rPr>
        <w:t>EN: Influence of linear, mixed-integer linear, piecewise-linear, and nonlinear thermal power flow models on district heating network design</w:t>
      </w:r>
    </w:p>
    <w:p>
      <w:pPr>
        <w:spacing w:before="0" w:after="120"/>
      </w:pPr>
      <w:r>
        <w:rPr>
          <w:b/>
        </w:rPr>
        <w:t xml:space="preserve">Source: </w:t>
      </w:r>
      <w:r>
        <w:t>ScienceDirect Publication: Applied Energy</w:t>
      </w:r>
      <w:r>
        <w:t xml:space="preserve">    </w:t>
      </w:r>
      <w:r>
        <w:rPr>
          <w:b/>
        </w:rPr>
        <w:t xml:space="preserve">Pub date: </w:t>
      </w:r>
      <w:r>
        <w:t>2026-08-13 00:00:00+00:00</w:t>
      </w:r>
      <w:r>
        <w:t xml:space="preserve">    </w:t>
      </w:r>
      <w:r>
        <w:rPr>
          <w:b/>
        </w:rPr>
        <w:t xml:space="preserve">DOI: </w:t>
      </w:r>
      <w:hyperlink r:id="rId334">
        <w:r>
          <w:rPr>
            <w:color w:val="1155CC"/>
            <w:u w:val="single"/>
          </w:rPr>
          <w:t>10.1016/j.apenergy.2026.128578</w:t>
        </w:r>
      </w:hyperlink>
    </w:p>
    <w:p>
      <w:pPr>
        <w:spacing w:before="0" w:after="120"/>
      </w:pPr>
      <w:r>
        <w:rPr>
          <w:b/>
        </w:rPr>
        <w:t xml:space="preserve">Notes: </w:t>
      </w:r>
      <w:r>
        <w:t>abstract_source=openalex</w:t>
      </w:r>
    </w:p>
    <w:p>
      <w:pPr>
        <w:spacing w:before="0" w:after="80" w:lineRule="auto" w:line="276"/>
      </w:pPr>
      <w:r>
        <w:rPr>
          <w:b/>
        </w:rPr>
        <w:t xml:space="preserve">摘要（ZH）: </w:t>
      </w:r>
      <w:r>
        <w:t>优化可以实现具有成本效益的区域供热网络设计，但可扩展性限制限制了其在大城市地区的适用性。尽管许多混合整数线性规划模型依赖于线性热潮流模型，但没有研究系统地研究回归模型选择如何影响计算可扩展性和网络设计质量。现有的基准比较整个优化框架，而没有隔离底层热流模型的影响，因为所选的回归直接决定了可实现的区域大小和设计可靠性。因此，本文系统地比较了管道投资成本和热损失的六种回归模型。分段线性回归可实现最高精度的投资成本，而对数模型可实现最高精度的热损失。基于这些回归的 7 个线性、混合整数线性和非线性规划公式在 56 个现实世界区域（拥有多达 10,000 个散热器）进行了基准测试，涵盖强制设计和经济设计、单个和多个设计周期以及单个和多个热源。引入了一种新颖的混合热功率流模型，并实现了包含散热器经济连接决策的非线性功率流模型。结果表明，纯线性模型提供最短的求解时间，但通常会产生较差的网络设计。分段线性模型实现了最佳目标值，但区域可扩展性有限。仿射和混合模型提供接近最优的解决方案</w:t>
      </w:r>
    </w:p>
    <w:p>
      <w:pPr>
        <w:spacing w:before="0" w:after="200" w:lineRule="auto" w:line="276"/>
      </w:pPr>
      <w:r>
        <w:rPr>
          <w:b/>
        </w:rPr>
        <w:t xml:space="preserve">Abstract (EN): </w:t>
      </w:r>
      <w:r>
        <w:t>Optimization enables cost-effective district heating network design, but scalability constraints limit its applicability to large urban districts. Although many mixed-integer linear programming models rely on linearized thermal power flow models, no study has systematically investigated how regression model choices affect computational scalability and network design quality. Existing benchmarks compare entire optimization frameworks without isolating the impact of the underlying thermal flow model, since the chosen regression directly determines the achievable district size and the design reliability. Thus, this paper systematically compares six regression models for pipe investment costs and heat losses. Piecewise-linear regressions achieve the highest accuracy for investment costs, while logarithmic models achieve the highest accuracy for heat losses. Seven linear, mixed-integer linear, and nonlinear programming formulations based on these regressions are benchmarked across 56 real-world districts with up to 10,000 heat sinks, spanning forced and economic designs, single and multiple design periods, and single and multiple heat sources. A novel hybrid thermal power flow model is introduced, and a nonlinear power flow model incorporating economic connection decisions for heat sinks is implemented. Results reveal that purely linear models offer the shortest solving times but usually yield inferior network designs. Piecewise-linear models achieve the best objective values yet suffer from limited scalability for districts. Affine and hybrid models deliver near-optimal solutions with significantly improved scalability, while constant models sacrifice minimal optimality for substantial gains in solvable district size. For multi-period and economic optimizations, only linear formulations achieve optimal designs for large districts with more than 2250 heat sinks, whereas hybrid and constant models best balance solution quality and computational efficiency for medium-scale systems.</w:t>
      </w:r>
    </w:p>
    <w:p>
      <w:pPr>
        <w:spacing w:before="120" w:after="120"/>
      </w:pPr>
      <w:r>
        <w:rPr>
          <w:sz w:val="18"/>
        </w:rPr>
        <w:t>——————————————————————————————————————————————————————————————————————</w:t>
      </w:r>
    </w:p>
    <w:p>
      <w:pPr>
        <w:spacing w:before="160" w:after="40" w:line="240" w:lineRule="auto"/>
      </w:pPr>
      <w:r>
        <w:rPr>
          <w:b/>
        </w:rPr>
        <w:t xml:space="preserve">[29] </w:t>
      </w:r>
      <w:hyperlink r:id="rId335">
        <w:r>
          <w:rPr>
            <w:color w:val="1155CC"/>
            <w:u w:val="single"/>
          </w:rPr>
          <w:t>Bi2Te3 中非抛物线带边输运的低温热电增强</w:t>
        </w:r>
      </w:hyperlink>
    </w:p>
    <w:p>
      <w:pPr>
        <w:spacing w:before="0" w:after="80"/>
      </w:pPr>
      <w:r>
        <w:rPr>
          <w:i/>
          <w:sz w:val="20"/>
        </w:rPr>
        <w:t>EN: Cryogenic Thermoelectric Enhancement by Nonparabolic Band‐Edge Transport in Bi2Te3</w:t>
      </w:r>
    </w:p>
    <w:p>
      <w:pPr>
        <w:spacing w:before="0" w:after="120"/>
      </w:pPr>
      <w:r>
        <w:rPr>
          <w:b/>
        </w:rPr>
        <w:t xml:space="preserve">Source: </w:t>
      </w:r>
      <w:r>
        <w:t>Wiley: Advanced Materials: Table of Contents</w:t>
      </w:r>
      <w:r>
        <w:t xml:space="preserve">    </w:t>
      </w:r>
      <w:r>
        <w:rPr>
          <w:b/>
        </w:rPr>
        <w:t xml:space="preserve">Pub date: </w:t>
      </w:r>
      <w:r>
        <w:t>2026-08-13 05:26:38+00:00</w:t>
      </w:r>
      <w:r>
        <w:t xml:space="preserve">    </w:t>
      </w:r>
      <w:r>
        <w:rPr>
          <w:b/>
        </w:rPr>
        <w:t xml:space="preserve">DOI: </w:t>
      </w:r>
      <w:hyperlink r:id="rId336">
        <w:r>
          <w:rPr>
            <w:color w:val="1155CC"/>
            <w:u w:val="single"/>
          </w:rPr>
          <w:t>10.1002/adma.74476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费米能级附近电子的选择性散射是热电效应的动力学起源。能带边缘附近明显的能带非抛物线性预计将促进高塞贝克系数与高电导率的解耦；然而，在低温下获得这种带边传输机制仍然具有挑战性，因为缺陷主导的散射通常掩盖了固有的带结构效应。在这里，我们通过实验证明单晶 Bi</w:t>
      </w:r>
      <w:r>
        <w:rPr>
          <w:vertAlign w:val="subscript"/>
        </w:rPr>
        <w:t>2</w:t>
      </w:r>
      <w:r>
        <w:t>碲</w:t>
      </w:r>
      <w:r>
        <w:rPr>
          <w:vertAlign w:val="subscript"/>
        </w:rPr>
        <w:t>3</w:t>
      </w:r>
      <w:r>
        <w:t>可以进入减少散射的带边输运机制，其中输运分布变得强烈依赖于能量，从而在低温下同时实现相当大的热电势和高载流子迁移率。这种方法产生了创纪录的热电功率因数，是传统抛物线能带主导的 Bi 的三倍</w:t>
      </w:r>
      <w:r>
        <w:rPr>
          <w:vertAlign w:val="subscript"/>
        </w:rPr>
        <w:t>2</w:t>
      </w:r>
      <w:r>
        <w:t>碲</w:t>
      </w:r>
      <w:r>
        <w:rPr>
          <w:vertAlign w:val="subscript"/>
        </w:rPr>
        <w:t>3</w:t>
      </w:r>
      <w:r>
        <w:t>。量子振荡测量揭示了与 Bi 的能带结构复杂性一致的多带传输分量</w:t>
      </w:r>
      <w:r>
        <w:rPr>
          <w:vertAlign w:val="subscript"/>
        </w:rPr>
        <w:t>2</w:t>
      </w:r>
      <w:r>
        <w:t>碲</w:t>
      </w:r>
      <w:r>
        <w:rPr>
          <w:vertAlign w:val="subscript"/>
        </w:rPr>
        <w:t>3</w:t>
      </w:r>
      <w:r>
        <w:t>，磁热导率测量表明洛伦兹因子降低，电子热导率受到抑制。传统 Bi 的热电增强超过 600%</w:t>
      </w:r>
      <w:r>
        <w:rPr>
          <w:vertAlign w:val="subscript"/>
        </w:rPr>
        <w:t>2</w:t>
      </w:r>
      <w:r>
        <w:t>碲</w:t>
      </w:r>
      <w:r>
        <w:rPr>
          <w:vertAlign w:val="subscript"/>
        </w:rPr>
        <w:t>3</w:t>
      </w:r>
      <w:r>
        <w:t>恶魔</w:t>
      </w:r>
    </w:p>
    <w:p>
      <w:pPr>
        <w:spacing w:before="0" w:after="200" w:lineRule="auto" w:line="276"/>
      </w:pPr>
      <w:r>
        <w:rPr>
          <w:b/>
        </w:rPr>
        <w:t xml:space="preserve">Abstract (EN): </w:t>
      </w:r>
      <w:r>
        <w:t>Selective scattering of electrons near the Fermi level is the kinetic origin of the thermoelectric effect. Pronounced band nonparabolicity near the band edge is expected to promote the decoupling of a high Seebeck coefficient from high electrical conductivity; however, accessing this band‐edge transport regime at low temperatures remains challenging, as defect‐dominated scattering often masks the intrinsic band‐structure effects. Here, we experimentally show that single‐crystalline Bi</w:t>
      </w:r>
      <w:r>
        <w:rPr>
          <w:vertAlign w:val="subscript"/>
        </w:rPr>
        <w:t>2</w:t>
      </w:r>
      <w:r>
        <w:t>Te</w:t>
      </w:r>
      <w:r>
        <w:rPr>
          <w:vertAlign w:val="subscript"/>
        </w:rPr>
        <w:t>3</w:t>
      </w:r>
      <w:r>
        <w:t>can access a reduced‐scattering band‐edge transport regime in which the transport distribution becomes strongly energy dependent, enabling simultaneously a sizable thermopower and a high carrier mobility at cryogenic temperatures. This approach yields a record thermoelectric power factor of three times as high as that of conventional parabolic band‐dominated Bi</w:t>
      </w:r>
      <w:r>
        <w:rPr>
          <w:vertAlign w:val="subscript"/>
        </w:rPr>
        <w:t>2</w:t>
      </w:r>
      <w:r>
        <w:t>Te</w:t>
      </w:r>
      <w:r>
        <w:rPr>
          <w:vertAlign w:val="subscript"/>
        </w:rPr>
        <w:t>3</w:t>
      </w:r>
      <w:r>
        <w:t>. Quantum oscillation measurements reveal multiband transport components consistent with the band‐structure complexity of Bi</w:t>
      </w:r>
      <w:r>
        <w:rPr>
          <w:vertAlign w:val="subscript"/>
        </w:rPr>
        <w:t>2</w:t>
      </w:r>
      <w:r>
        <w:t>Te</w:t>
      </w:r>
      <w:r>
        <w:rPr>
          <w:vertAlign w:val="subscript"/>
        </w:rPr>
        <w:t>3</w:t>
      </w:r>
      <w:r>
        <w:t>, and magneto‐thermal conductivity measurements indicate a reduced Lorenz factor and suppressed electronic thermal conductivity in the same regime. The resultant over 600% thermoelectric enhancement in conventional Bi</w:t>
      </w:r>
      <w:r>
        <w:rPr>
          <w:vertAlign w:val="subscript"/>
        </w:rPr>
        <w:t>2</w:t>
      </w:r>
      <w:r>
        <w:t>Te</w:t>
      </w:r>
      <w:r>
        <w:rPr>
          <w:vertAlign w:val="subscript"/>
        </w:rPr>
        <w:t>3</w:t>
      </w:r>
      <w:r>
        <w:t>demonstrates a practical strategy of advancement by engineering band‐edge transport in strong spin–orbit coupled materials.</w:t>
      </w:r>
    </w:p>
    <w:p>
      <w:pPr>
        <w:spacing w:before="120" w:after="120"/>
      </w:pPr>
      <w:r>
        <w:rPr>
          <w:sz w:val="18"/>
        </w:rPr>
        <w:t>——————————————————————————————————————————————————————————————————————</w:t>
      </w:r>
    </w:p>
    <w:p>
      <w:pPr>
        <w:spacing w:before="160" w:after="40" w:line="240" w:lineRule="auto"/>
      </w:pPr>
      <w:r>
        <w:rPr>
          <w:b/>
        </w:rPr>
        <w:t xml:space="preserve">[30] </w:t>
      </w:r>
      <w:hyperlink r:id="rId337">
        <w:r>
          <w:rPr>
            <w:color w:val="1155CC"/>
            <w:u w:val="single"/>
          </w:rPr>
          <w:t>集高效且匹配的光热和蒸发性能于一体的双仿生水电热电联产系统</w:t>
        </w:r>
      </w:hyperlink>
    </w:p>
    <w:p>
      <w:pPr>
        <w:spacing w:before="0" w:after="80"/>
      </w:pPr>
      <w:r>
        <w:rPr>
          <w:i/>
          <w:sz w:val="20"/>
        </w:rPr>
        <w:t>EN: Dual‐Bionic Water‐Electricity Cogeneration Systems Integrating Efficient and Matched Photothermal and Evaporative Performances</w:t>
      </w:r>
    </w:p>
    <w:p>
      <w:pPr>
        <w:spacing w:before="0" w:after="120"/>
      </w:pPr>
      <w:r>
        <w:rPr>
          <w:b/>
        </w:rPr>
        <w:t xml:space="preserve">Source: </w:t>
      </w:r>
      <w:r>
        <w:t>Wiley: Advanced Energy Materials: Table of Contents</w:t>
      </w:r>
      <w:r>
        <w:t xml:space="preserve">    </w:t>
      </w:r>
      <w:r>
        <w:rPr>
          <w:b/>
        </w:rPr>
        <w:t xml:space="preserve">Pub date: </w:t>
      </w:r>
      <w:r>
        <w:t>2026-08-13 07:23:43+00:00</w:t>
      </w:r>
      <w:r>
        <w:t xml:space="preserve">    </w:t>
      </w:r>
      <w:r>
        <w:rPr>
          <w:b/>
        </w:rPr>
        <w:t xml:space="preserve">DOI: </w:t>
      </w:r>
      <w:hyperlink r:id="rId338">
        <w:r>
          <w:rPr>
            <w:color w:val="1155CC"/>
            <w:u w:val="single"/>
          </w:rPr>
          <w:t>10.1002/aenm.71460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光热和蒸发界面的水电联产系统为绿色发电和淡水生产提供了一种有前景的方法。系统效率不仅取决于光热转换和蒸发性能，还取决于这些过程之间经常被忽视的匹配。在这里，我们提出了一种双仿生水电联产系统，该系统集成了光热和蒸发界面，分别受到蝴蝶翅膀强大的光子捕获效应和瓶子草毛细管效应的启发。这种设计增强了单个组件的性能，并实现了传热和蒸发之间的最佳匹配，显着提高了太阳能的整体利用效率。在单太阳辐照度下，光热界面和蒸发界面之间的温差达到7.4°C，产生245 mV的开路电压和5.56 W m的功率密度</w:t>
      </w:r>
      <w:r>
        <w:t xml:space="preserve"> </w:t>
      </w:r>
      <w:r>
        <w:t>−2</w:t>
      </w:r>
      <w:r>
        <w:t xml:space="preserve"> </w:t>
      </w:r>
      <w:r>
        <w:t>，优于大多数同类系统。此外，该系统的水蒸发率达到 2.88 kg m</w:t>
      </w:r>
      <w:r>
        <w:t xml:space="preserve"> </w:t>
      </w:r>
      <w:r>
        <w:t>−2</w:t>
      </w:r>
      <w:r>
        <w:t xml:space="preserve"> </w:t>
      </w:r>
      <w:r>
        <w:t>小时</w:t>
      </w:r>
      <w:r>
        <w:t xml:space="preserve"> </w:t>
      </w:r>
      <w:r>
        <w:t>−1</w:t>
      </w:r>
      <w:r>
        <w:t xml:space="preserve"> </w:t>
      </w:r>
      <w:r>
        <w:t>，并通过有效抑制盐沉积证明海水淡化过程中的长期稳定性。堆叠热电模块可以进一步放大功率输出，而不需要严格的面向太阳对齐，这与传统光伏系统形成鲜明对比。这些发现为开发高效能提供了一条实用途径</w:t>
      </w:r>
    </w:p>
    <w:p>
      <w:pPr>
        <w:spacing w:before="0" w:after="200" w:lineRule="auto" w:line="276"/>
      </w:pPr>
      <w:r>
        <w:rPr>
          <w:b/>
        </w:rPr>
        <w:t xml:space="preserve">Abstract (EN): </w:t>
      </w:r>
      <w:r>
        <w:t>Water‐electricity cogeneration systems based on photothermal and evaporative interfaces offer a promising approach to green power generation and freshwater production. System efficiency depends not only on photothermal conversion and evaporation performance but also on the often‐overlooked matching between these processes. Here, we present a dual‐bionic water‐electricity cogeneration system that integrates photothermal and evaporative interfaces inspired by the robust photon‐trapping effect of butterfly wings and capillary effect of sarracenia, respectively. This design enhances both individual components and achieves an optimal match between heat transfer and evaporation, significantly improving overall solar energy utilization efficiency. Under one‐sun irradiance, the temperature difference between the photothermal and evaporative interfaces reaches 7.4°C, generating an open‐circuit voltage of 245 mV and a power density of 5.56 W m</w:t>
      </w:r>
      <w:r>
        <w:t xml:space="preserve"> </w:t>
      </w:r>
      <w:r>
        <w:t>−2</w:t>
      </w:r>
      <w:r>
        <w:t xml:space="preserve"> </w:t>
      </w:r>
      <w:r>
        <w:t>, outperforming most comparable systems. Furthermore, the system achieves a water evaporation rate of 2.88 kg m</w:t>
      </w:r>
      <w:r>
        <w:t xml:space="preserve"> </w:t>
      </w:r>
      <w:r>
        <w:t>−2</w:t>
      </w:r>
      <w:r>
        <w:t xml:space="preserve"> </w:t>
      </w:r>
      <w:r>
        <w:t>h</w:t>
      </w:r>
      <w:r>
        <w:t xml:space="preserve"> </w:t>
      </w:r>
      <w:r>
        <w:t>−1</w:t>
      </w:r>
      <w:r>
        <w:t xml:space="preserve"> </w:t>
      </w:r>
      <w:r>
        <w:t>, and demonstrates long‐term stability during seawater desalination by effectively suppressing salt deposition. Stacking thermoelectric modules can further amplify the power output without the need for strict sun‐facing alignment, which is quite in contrast to conventional photovoltaic systems. These findings offer a practical pathway for developing highly efficient water‐electricity cogeneration systems.</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339">
        <w:r>
          <w:rPr>
            <w:color w:val="1155CC"/>
            <w:u w:val="single"/>
          </w:rPr>
          <w:t>通过增强拉格朗日方法用于未来聚变反应堆的仿星器线圈</w:t>
        </w:r>
      </w:hyperlink>
    </w:p>
    <w:p>
      <w:pPr>
        <w:spacing w:before="0" w:after="80"/>
      </w:pPr>
      <w:r>
        <w:rPr>
          <w:i/>
          <w:sz w:val="20"/>
        </w:rPr>
        <w:t>EN: Stellarator Coils for Future Fusion Reactors via an Augmented Lagrangian Approach</w:t>
      </w:r>
    </w:p>
    <w:p>
      <w:pPr>
        <w:spacing w:before="0" w:after="120"/>
      </w:pPr>
      <w:r>
        <w:rPr>
          <w:b/>
        </w:rPr>
        <w:t xml:space="preserve">Source: </w:t>
      </w:r>
      <w:r>
        <w:t>Recent Articles in Phys. Rev. Lett.</w:t>
      </w:r>
      <w:r>
        <w:t xml:space="preserve">    </w:t>
      </w:r>
      <w:r>
        <w:rPr>
          <w:b/>
        </w:rPr>
        <w:t xml:space="preserve">Pub date: </w:t>
      </w:r>
      <w:r>
        <w:t>2026-08-07 10:00:00+00:00</w:t>
      </w:r>
      <w:r>
        <w:t xml:space="preserve">    </w:t>
      </w:r>
      <w:r>
        <w:rPr>
          <w:b/>
        </w:rPr>
        <w:t xml:space="preserve">DOI: </w:t>
      </w:r>
      <w:hyperlink r:id="rId340">
        <w:r>
          <w:rPr>
            <w:color w:val="1155CC"/>
            <w:u w:val="single"/>
          </w:rPr>
          <w:t>10.1103/n7gk-922h</w:t>
        </w:r>
      </w:hyperlink>
    </w:p>
    <w:p>
      <w:pPr>
        <w:spacing w:before="0" w:after="120"/>
      </w:pPr>
      <w:r>
        <w:rPr>
          <w:b/>
        </w:rPr>
        <w:t xml:space="preserve">Notes: </w:t>
      </w:r>
      <w:r>
        <w:t>abstract_source=rss_description</w:t>
      </w:r>
    </w:p>
    <w:p>
      <w:pPr>
        <w:spacing w:before="0" w:after="80" w:lineRule="auto" w:line="276"/>
      </w:pPr>
      <w:r>
        <w:rPr>
          <w:b/>
        </w:rPr>
        <w:t xml:space="preserve">摘要（ZH）: </w:t>
      </w:r>
      <w:r>
        <w:t>作者：Pedro F. Gil、Weiping Li、Julianne Stratton、Alan A. Kaptanoglu 和 Eve V. Stenson 使用增强拉格朗日方法将聚变线圈设计重铸为高度非凸等式约束优化问题，从而产生一类具有增强物理性能并满足基本设计要求的仿星器线圈。莱特牧师。 137, 065101] 发布于 2026 年 8 月 7 日星期五</w:t>
      </w:r>
    </w:p>
    <w:p>
      <w:pPr>
        <w:spacing w:before="0" w:after="200" w:lineRule="auto" w:line="276"/>
      </w:pPr>
      <w:r>
        <w:rPr>
          <w:b/>
        </w:rPr>
        <w:t xml:space="preserve">Abstract (EN): </w:t>
      </w:r>
      <w:r>
        <w:t>Author(s): Pedro F. Gil, Weiping Li, Julianne Stratton, Alan A. Kaptanoglu, and Eve V. StensonRecasting fusion coil design as a highly nonconvex equality-constrained optimization problem with an augmented Lagrangian method leads to a class of stellarator coils that exhibit enhanced physics performance and meet essential design requirements.[Phys. Rev. Lett. 137, 065101] Published Fri Aug 07, 2026</w:t>
      </w:r>
    </w:p>
    <w:p>
      <w:pPr>
        <w:spacing w:before="120" w:after="120"/>
      </w:pPr>
      <w:r>
        <w:rPr>
          <w:sz w:val="18"/>
        </w:rPr>
        <w:t>——————————————————————————————————————————————————————————————————————</w:t>
      </w:r>
    </w:p>
    <w:p>
      <w:pPr>
        <w:spacing w:before="160" w:after="40" w:line="240" w:lineRule="auto"/>
      </w:pPr>
      <w:r>
        <w:rPr>
          <w:b/>
        </w:rPr>
        <w:t xml:space="preserve">[2] </w:t>
      </w:r>
      <w:hyperlink r:id="rId341">
        <w:r>
          <w:rPr>
            <w:color w:val="1155CC"/>
            <w:u w:val="single"/>
          </w:rPr>
          <w:t>$^{16}\mathrm{O}^{40.48}\mathrm{Ca}$ 微观聚变中的同位素差异</w:t>
        </w:r>
      </w:hyperlink>
    </w:p>
    <w:p>
      <w:pPr>
        <w:spacing w:before="0" w:after="80"/>
      </w:pPr>
      <w:r>
        <w:rPr>
          <w:i/>
          <w:sz w:val="20"/>
        </w:rPr>
        <w:t>EN: Isotopic discrepancy in microscopic fusion of $^{16}\mathrm{O}+^{40,48}\mathrm{Ca}$</w:t>
      </w:r>
    </w:p>
    <w:p>
      <w:pPr>
        <w:spacing w:before="0" w:after="120"/>
      </w:pPr>
      <w:r>
        <w:rPr>
          <w:b/>
        </w:rPr>
        <w:t xml:space="preserve">Source: </w:t>
      </w:r>
      <w:r>
        <w:t>Recent Articles in Phys. Rev. C</w:t>
      </w:r>
      <w:r>
        <w:t xml:space="preserve">    </w:t>
      </w:r>
      <w:r>
        <w:rPr>
          <w:b/>
        </w:rPr>
        <w:t xml:space="preserve">Pub date: </w:t>
      </w:r>
      <w:r>
        <w:t>2026-08-07 10:00:00+00:00</w:t>
      </w:r>
      <w:r>
        <w:t xml:space="preserve">    </w:t>
      </w:r>
      <w:r>
        <w:rPr>
          <w:b/>
        </w:rPr>
        <w:t xml:space="preserve">DOI: </w:t>
      </w:r>
      <w:hyperlink r:id="rId342">
        <w:r>
          <w:rPr>
            <w:color w:val="1155CC"/>
            <w:u w:val="single"/>
          </w:rPr>
          <w:t>10.1103/v7jd-l94j</w:t>
        </w:r>
      </w:hyperlink>
    </w:p>
    <w:p>
      <w:pPr>
        <w:spacing w:before="0" w:after="120"/>
      </w:pPr>
      <w:r>
        <w:rPr>
          <w:b/>
        </w:rPr>
        <w:t xml:space="preserve">Notes: </w:t>
      </w:r>
      <w:r>
        <w:t>abstract_source=rss_description</w:t>
      </w:r>
    </w:p>
    <w:p>
      <w:pPr>
        <w:spacing w:before="0" w:after="80" w:lineRule="auto" w:line="276"/>
      </w:pPr>
      <w:r>
        <w:rPr>
          <w:b/>
        </w:rPr>
        <w:t xml:space="preserve">摘要（ZH）: </w:t>
      </w:r>
      <w:r>
        <w:t>作者：M. Arik、K. Godbey 和 A. S. Umar 我们在完全微观时间相关的 Hartree-Fock 框架内对 $^{16}\mathrm{O}+{}^{40,48}\mathrm{Ca}$ 中的亚势垒、近势垒和势垒以上能量的聚变进行了详细比较。虽然 $^{16}\mathrm{O}+^{40}\mathrm{Ca}$ 融合横截面在可用的实验中重现......[Phys。 Rev. C 114, L021601] 2026 年 8 月 7 日星期五发布</w:t>
      </w:r>
    </w:p>
    <w:p>
      <w:pPr>
        <w:spacing w:before="0" w:after="200" w:lineRule="auto" w:line="276"/>
      </w:pPr>
      <w:r>
        <w:rPr>
          <w:b/>
        </w:rPr>
        <w:t xml:space="preserve">Abstract (EN): </w:t>
      </w:r>
      <w:r>
        <w:t>Author(s): M. Arik, K. Godbey, and A. S. UmarWe present a detailed comparison of fusion in $^{16}\mathrm{O}+{}^{40,48}\mathrm{Ca}$ within a fully microscopic time-dependent Hartree-Fock framework over sub-, near-, and above-barrier energies. While $^{16}\mathrm{O}+^{40}\mathrm{Ca}$ fusion cross sections are reproduced within the available expe…[Phys. Rev. C 114, L021601] Published Fri Aug 07, 2026</w:t>
      </w:r>
    </w:p>
    <w:p>
      <w:pPr>
        <w:spacing w:before="120" w:after="120"/>
      </w:pPr>
      <w:r>
        <w:rPr>
          <w:sz w:val="18"/>
        </w:rPr>
        <w:t>——————————————————————————————————————————————————————————————————————</w:t>
      </w:r>
    </w:p>
    <w:p>
      <w:pPr>
        <w:spacing w:before="160" w:after="40" w:line="240" w:lineRule="auto"/>
      </w:pPr>
      <w:r>
        <w:rPr>
          <w:b/>
        </w:rPr>
        <w:t xml:space="preserve">[3] </w:t>
      </w:r>
      <w:hyperlink r:id="rId343">
        <w:r>
          <w:rPr>
            <w:color w:val="1155CC"/>
            <w:u w:val="single"/>
          </w:rPr>
          <w:t>用于从污染水中动态捕获放射性铯的智能仿生超分子吸附剂</w:t>
        </w:r>
      </w:hyperlink>
    </w:p>
    <w:p>
      <w:pPr>
        <w:spacing w:before="0" w:after="80"/>
      </w:pPr>
      <w:r>
        <w:rPr>
          <w:i/>
          <w:sz w:val="20"/>
        </w:rPr>
        <w:t>EN: A Smart Biomimetic Supramolecular Adsorbent for Dynamic Radiocesium Capture from Contaminated Water</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344">
        <w:r>
          <w:rPr>
            <w:color w:val="1155CC"/>
            <w:u w:val="single"/>
          </w:rPr>
          <w:t>10.1021/jacs.6c11091</w:t>
        </w:r>
      </w:hyperlink>
    </w:p>
    <w:p>
      <w:pPr>
        <w:spacing w:before="0" w:after="120"/>
      </w:pPr>
      <w:r>
        <w:rPr>
          <w:b/>
        </w:rPr>
        <w:t xml:space="preserve">Notes: </w:t>
      </w:r>
      <w:r>
        <w:t>abstract_source=crossref</w:t>
      </w:r>
    </w:p>
    <w:p>
      <w:pPr>
        <w:spacing w:before="0" w:after="80" w:lineRule="auto" w:line="276"/>
      </w:pPr>
      <w:r>
        <w:rPr>
          <w:b/>
        </w:rPr>
        <w:t xml:space="preserve">摘要（ZH）: </w:t>
      </w:r>
      <w:r>
        <w:t>摘要 从受污染的水中封存放射性 137Cs 对于核废水管理、应急放射响应和水资源的长期保护至关重要。然而，选择性去除复杂水系统中的 137Cs 仍然具有挑战性，因为它以高度溶解、弱配位的 137Cs+ 形式存在，并且通常与压倒性浓度的竞争离子共存。在这里，我们报道了 ZJU-X66，一种阴离子铟基金属有机框架，具有超分子捕蝇草状结构。 ZJU-X66在真实放射性条件下表现出快速、高选择性的137Cs+吸收，在西湖水中5分钟内达到吸附平衡，并在10分钟内实现&gt;98%的去除。它还可在 30 分钟内在纯水中提供超过 107 mL/g 的 137Cs+ 优异 Kd 值，同时在不同的水基体中保持高于 105 mL/g 的 Kd 值，使其跻身报道的性能最佳的 137Cs+ 吸附剂之列。 ZJU-X66 可再生超过五个周期，可承受高达 200 kGy 的 β 和 γ 辐射，并可处理约突破前连续流动的床体积为 3,900 个。结合 ssNMR、XAFS、TOF-SIMS、原位振动光谱、SCXRD、MD 模拟和 DFT 计算的机理研究为智能客体响应捕获过程提供了动态分子级证据，其中 Cs+ 选择性触发框架收缩和空腔闭合以实现自适应物理封装。这项工作为放射性 137Cs+ 修复建立了一种罕见的动态识别、封闭和封装策略。</w:t>
      </w:r>
    </w:p>
    <w:p>
      <w:pPr>
        <w:spacing w:before="0" w:after="200" w:lineRule="auto" w:line="276"/>
      </w:pPr>
      <w:r>
        <w:rPr>
          <w:b/>
        </w:rPr>
        <w:t xml:space="preserve">Abstract (EN): </w:t>
      </w:r>
      <w:r>
        <w:t>Sequestering radioactive 137Cs from contaminated water is crucial for nuclear wastewater management, emergency radiological response, and long-term protection of water resources. However, selectively removing 137Cs in complex water systems remains challenging because it exists as highly soluble, weakly coordinating 137Cs+ and typically coexists with overwhelming concentrations of competing ions. Here we report ZJU-X66, an anionic indium-based metal–organic framework featuring a supramolecular Venus flytrap-like structure. ZJU-X66 exhibits rapid and highly selective 137Cs+ uptake under authentic radioactive conditions, reaching sorption equilibrium within 5 min and achieving &amp;gt;98% removal within 10 min in West Lake water. It further delivers an exceptional Kd value for 137Cs+ exceeding 107 mL/g in pure water within 30 min, while retaining a Kd value above 105 mL/g across diverse aqueous matrices, placing it among the top-performing reported 137Cs+ sorbents. ZJU-X66 is regenerable over five cycles, withstands β and γ irradiation up to 200 kGy, and treats ca. 3,900 bed volumes in continuous flow before breakthrough. Mechanistic studies combining ssNMR, XAFS, TOF-SIMS, in situ vibrational spectroscopy, SCXRD, MD simulations, and DFT calculations provide dynamic molecular-level evidence for a smart guest-responsive capture process, in which Cs+ selectively triggers framework contraction and cavity closure for adaptive physical encapsulation. This work establishes a rare dynamic recognition, closure, and encapsulation strategy for radioactive 137Cs+ remediation.</w:t>
      </w:r>
    </w:p>
    <w:p>
      <w:pPr>
        <w:spacing w:before="120" w:after="120"/>
      </w:pPr>
      <w:r>
        <w:rPr>
          <w:sz w:val="18"/>
        </w:rPr>
        <w:t>——————————————————————————————————————————————————————————————————————</w:t>
      </w:r>
    </w:p>
    <w:p>
      <w:pPr>
        <w:spacing w:before="160" w:after="40" w:line="240" w:lineRule="auto"/>
      </w:pPr>
      <w:r>
        <w:rPr>
          <w:b/>
        </w:rPr>
        <w:t xml:space="preserve">[4] </w:t>
      </w:r>
      <w:hyperlink r:id="rId345">
        <w:r>
          <w:rPr>
            <w:color w:val="1155CC"/>
            <w:u w:val="single"/>
          </w:rPr>
          <w:t>勘误表：EXL-50U 实验概述：解决未来球形环面反应堆的关键物理问题 (2026 Nucl. Fusion 66 116009)</w:t>
        </w:r>
      </w:hyperlink>
    </w:p>
    <w:p>
      <w:pPr>
        <w:spacing w:before="0" w:after="80"/>
      </w:pPr>
      <w:r>
        <w:rPr>
          <w:i/>
          <w:sz w:val="20"/>
        </w:rPr>
        <w:t>EN: CORRIGENDUM: Overview of EXL-50U experiments: addressing key physics issues for future spherical torus reactors (2026 Nucl. Fusion 66 116009)</w:t>
      </w:r>
    </w:p>
    <w:p>
      <w:pPr>
        <w:spacing w:before="0" w:after="120"/>
      </w:pPr>
      <w:r>
        <w:rPr>
          <w:b/>
        </w:rPr>
        <w:t xml:space="preserve">Source: </w:t>
      </w:r>
      <w:r>
        <w:t>Nuclear Fusion - latest papers</w:t>
      </w:r>
      <w:r>
        <w:t xml:space="preserve">    </w:t>
      </w:r>
      <w:r>
        <w:rPr>
          <w:b/>
        </w:rPr>
        <w:t xml:space="preserve">Pub date: </w:t>
      </w:r>
      <w:r>
        <w:t>2026-08-10 23:00:00+00:00</w:t>
      </w:r>
      <w:r>
        <w:t xml:space="preserve">    </w:t>
      </w:r>
      <w:r>
        <w:rPr>
          <w:b/>
        </w:rPr>
        <w:t xml:space="preserve">DOI: </w:t>
      </w:r>
      <w:hyperlink r:id="rId346">
        <w:r>
          <w:rPr>
            <w:color w:val="1155CC"/>
            <w:u w:val="single"/>
          </w:rPr>
          <w:t>10.1088/1741-4326/ae8f58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347">
        <w:r>
          <w:rPr>
            <w:color w:val="1155CC"/>
            <w:u w:val="single"/>
          </w:rPr>
          <w:t>ASDEX 升级中辐射撕裂模式的现象学</w:t>
        </w:r>
      </w:hyperlink>
    </w:p>
    <w:p>
      <w:pPr>
        <w:spacing w:before="0" w:after="80"/>
      </w:pPr>
      <w:r>
        <w:rPr>
          <w:i/>
          <w:sz w:val="20"/>
        </w:rPr>
        <w:t>EN: Phenomenology of radiative tearing modes in ASDEX Upgrade</w:t>
      </w:r>
    </w:p>
    <w:p>
      <w:pPr>
        <w:spacing w:before="0" w:after="120"/>
      </w:pPr>
      <w:r>
        <w:rPr>
          <w:b/>
        </w:rPr>
        <w:t xml:space="preserve">Source: </w:t>
      </w:r>
      <w:r>
        <w:t>Nuclear Fusion - latest papers</w:t>
      </w:r>
      <w:r>
        <w:t xml:space="preserve">    </w:t>
      </w:r>
      <w:r>
        <w:rPr>
          <w:b/>
        </w:rPr>
        <w:t xml:space="preserve">Pub date: </w:t>
      </w:r>
      <w:r>
        <w:t>2026-08-10 23:00:00+00:00</w:t>
      </w:r>
      <w:r>
        <w:t xml:space="preserve">    </w:t>
      </w:r>
      <w:r>
        <w:rPr>
          <w:b/>
        </w:rPr>
        <w:t xml:space="preserve">DOI: </w:t>
      </w:r>
      <w:hyperlink r:id="rId348">
        <w:r>
          <w:rPr>
            <w:color w:val="1155CC"/>
            <w:u w:val="single"/>
          </w:rPr>
          <w:t>10.1088/1741-4326/ae8ccb</w:t>
        </w:r>
      </w:hyperlink>
    </w:p>
    <w:p>
      <w:pPr>
        <w:spacing w:before="0" w:after="120"/>
      </w:pPr>
      <w:r>
        <w:rPr>
          <w:b/>
        </w:rPr>
        <w:t xml:space="preserve">Notes: </w:t>
      </w:r>
      <w:r>
        <w:t>abstract_source=rss_description</w:t>
      </w:r>
    </w:p>
    <w:p>
      <w:pPr>
        <w:spacing w:before="0" w:after="80" w:lineRule="auto" w:line="276"/>
      </w:pPr>
      <w:r>
        <w:rPr>
          <w:b/>
        </w:rPr>
        <w:t xml:space="preserve">摘要（ZH）: </w:t>
      </w:r>
      <w:r>
        <w:t>辐射撕裂模式（TM）是内部积聚有杂质的磁岛。本文讨论了实验证据，并首次演示了在这种模式下同时测量温度、密度和钨浓度。首次报道了 TM 中同时出现的空心电子温度分布和峰值电子密度分布。使用四个示例性放电说明了辐射 (2,1) TM 的演变和形成。基于磁流体动力学和粒子输运理论，提供了特征时间尺度和对观察到的辐射TM行为的物理解释。</w:t>
      </w:r>
    </w:p>
    <w:p>
      <w:pPr>
        <w:spacing w:before="0" w:after="200" w:lineRule="auto" w:line="276"/>
      </w:pPr>
      <w:r>
        <w:rPr>
          <w:b/>
        </w:rPr>
        <w:t xml:space="preserve">Abstract (EN): </w:t>
      </w:r>
      <w:r>
        <w:t>Radiative tearing modes (TMs) are magnetic islands with impurities accumulated inside. The present paper discusses experimental evidence and demonstrates, for the first time, simultaneous measurements of temperature, density, and tungsten concentration in such modes. A simultaneously hollow electron temperature profile and peaked electron density profile in a TM is reported for the first time. The evolution and formation of radiative (2,1) TMs are illustrated using four exemplary discharges. Characteristic time scales and a physical explanation for the observed behavior of radiative TMs are provided based on magnetohydrodynamic and particle transport theories.</w:t>
      </w:r>
    </w:p>
    <w:p>
      <w:pPr>
        <w:spacing w:before="120" w:after="120"/>
      </w:pPr>
      <w:r>
        <w:rPr>
          <w:sz w:val="18"/>
        </w:rPr>
        <w:t>——————————————————————————————————————————————————————————————————————</w:t>
      </w:r>
    </w:p>
    <w:p>
      <w:pPr>
        <w:spacing w:before="160" w:after="40" w:line="240" w:lineRule="auto"/>
      </w:pPr>
      <w:r>
        <w:rPr>
          <w:b/>
        </w:rPr>
        <w:t xml:space="preserve">[6] </w:t>
      </w:r>
      <w:hyperlink r:id="rId349">
        <w:r>
          <w:rPr>
            <w:color w:val="1155CC"/>
            <w:u w:val="single"/>
          </w:rPr>
          <w:t>D/D–T/T 中 JET 基线等离子体的集成 core-SOL 建模：ELM 和同位素组成对钨溅射的影响</w:t>
        </w:r>
      </w:hyperlink>
    </w:p>
    <w:p>
      <w:pPr>
        <w:spacing w:before="0" w:after="80"/>
      </w:pPr>
      <w:r>
        <w:rPr>
          <w:i/>
          <w:sz w:val="20"/>
        </w:rPr>
        <w:t>EN: Integrated core-SOL modelling of JET baseline plasmas in D/D–T/T: impact of ELMs and isotopic composition on tungsten sputtering</w:t>
      </w:r>
    </w:p>
    <w:p>
      <w:pPr>
        <w:spacing w:before="0" w:after="120"/>
      </w:pPr>
      <w:r>
        <w:rPr>
          <w:b/>
        </w:rPr>
        <w:t xml:space="preserve">Source: </w:t>
      </w:r>
      <w:r>
        <w:t>Nuclear Fusion - latest papers</w:t>
      </w:r>
      <w:r>
        <w:t xml:space="preserve">    </w:t>
      </w:r>
      <w:r>
        <w:rPr>
          <w:b/>
        </w:rPr>
        <w:t xml:space="preserve">Pub date: </w:t>
      </w:r>
      <w:r>
        <w:t>2026-08-10 23:00:00+00:00</w:t>
      </w:r>
      <w:r>
        <w:t xml:space="preserve">    </w:t>
      </w:r>
      <w:r>
        <w:rPr>
          <w:b/>
        </w:rPr>
        <w:t xml:space="preserve">DOI: </w:t>
      </w:r>
      <w:hyperlink r:id="rId350">
        <w:r>
          <w:rPr>
            <w:color w:val="1155CC"/>
            <w:u w:val="single"/>
          </w:rPr>
          <w:t>10.1088/1741-4326/ae90c1</w:t>
        </w:r>
      </w:hyperlink>
    </w:p>
    <w:p>
      <w:pPr>
        <w:spacing w:before="0" w:after="120"/>
      </w:pPr>
      <w:r>
        <w:rPr>
          <w:b/>
        </w:rPr>
        <w:t xml:space="preserve">Notes: </w:t>
      </w:r>
      <w:r>
        <w:t>abstract_source=rss_description</w:t>
      </w:r>
    </w:p>
    <w:p>
      <w:pPr>
        <w:spacing w:before="0" w:after="80" w:lineRule="auto" w:line="276"/>
      </w:pPr>
      <w:r>
        <w:rPr>
          <w:b/>
        </w:rPr>
        <w:t xml:space="preserve">摘要（ZH）: </w:t>
      </w:r>
      <w:r>
        <w:t>JET DTE2 实验活动揭示了基线情景中的同位素依赖性，其中在氚和氘-氚混合物中无法维持在氘等离子体中实现的目标稳定条件。这种稳定性的丧失与等离子体密度的逐渐增加、ELM 活性的降低和核心辐射的增加有关。这项工作研究了同位素依赖性钨溅射是否会导致 JET DTE2 基线等离子体中观察到的稳定性丧失。分析重点关注钨溅射源以及 ELM 相间和内部的钨传输，作为主等离子体同位素种类的函数。该研究是使用集成的核心-边缘-SOL 框架 COCONUT/JINTRAC 进行的，该框架用于在整个域内自洽地演化等离子体。模拟显示了钨溅射源的明显同位素依赖性，其随着主等离子体离子的质量而增加，并在氚等离子体中达到最高水平。尽管增强了钨源，但大多数溅射钨仍然局限于 SOL，并且在 ELM 时间窗口内，在等离子体核心中没有观察到钨含量的显着净增加。基座条件影响钨穿过分界线的传输以及 ELM 循环期间的瞬态钨响应。结果还表明 ELM 动力学，特别是 ELM 频率，可以改变堆芯中的瞬态钨含量。总体而言，模拟表明同位素组成和 ELM 活性影响钨</w:t>
      </w:r>
    </w:p>
    <w:p>
      <w:pPr>
        <w:spacing w:before="0" w:after="200" w:lineRule="auto" w:line="276"/>
      </w:pPr>
      <w:r>
        <w:rPr>
          <w:b/>
        </w:rPr>
        <w:t xml:space="preserve">Abstract (EN): </w:t>
      </w:r>
      <w:r>
        <w:t>The JET DTE2 experimental campaign revealed an isotopic dependence in the baseline scenario, where the target stationary conditions achieved in deuterium plasmas could not be maintained in tritium and deuterium–tritium mixtures. This loss of stationarity was associated with a gradual increase in plasma density, reduced ELM activity, and rising core radiation. This work investigates whether isotope-dependent tungsten sputtering contributes to the loss of stationarity observed in JET DTE2 baseline plasmas. The analysis focuses on the tungsten sputtering source and on tungsten transport during inter- and intra-ELM phases, as a function of the isotopic species of the main plasma. The study is carried out using the integrated core-edge-SOL framework COCONUT/JINTRAC, which was used to evolve the plasma self-consistently across the entire domain. The simulations show a clear isotopic dependence of the tungsten sputtering source, which increases with the mass of the main plasma ion and reaches the highest levels in tritium plasmas. Despite the enhanced tungsten source, most of the sputtered tungsten remains confined to the SOL, and no substantial net increase of the tungsten content is observed in the plasma core over the ELM time window. Pedestal conditions affect tungsten transport across the separatrix and the transient tungsten response during the ELM cycle. The results also indicate that ELM dynamics, in particular the ELM frequency, can modify the transient tungsten content in the core. Overall, the simulations suggest that isotope composition and ELM activity affect the tungsten sputtering source and its short-time redistribution, but that ELM-induced sputtering alone does not explain the loss of stationarity observed experimentally.</w:t>
      </w:r>
    </w:p>
    <w:p>
      <w:pPr>
        <w:spacing w:before="120" w:after="120"/>
      </w:pPr>
      <w:r>
        <w:rPr>
          <w:sz w:val="18"/>
        </w:rPr>
        <w:t>——————————————————————————————————————————————————————————————————————</w:t>
      </w:r>
    </w:p>
    <w:p>
      <w:pPr>
        <w:spacing w:before="160" w:after="40" w:line="240" w:lineRule="auto"/>
      </w:pPr>
      <w:r>
        <w:rPr>
          <w:b/>
        </w:rPr>
        <w:t xml:space="preserve">[7] </w:t>
      </w:r>
      <w:hyperlink r:id="rId351">
        <w:r>
          <w:rPr>
            <w:color w:val="1155CC"/>
            <w:u w:val="single"/>
          </w:rPr>
          <w:t>EAST托卡马克动态辐射带特征及机制研究</w:t>
        </w:r>
      </w:hyperlink>
    </w:p>
    <w:p>
      <w:pPr>
        <w:spacing w:before="0" w:after="80"/>
      </w:pPr>
      <w:r>
        <w:rPr>
          <w:i/>
          <w:sz w:val="20"/>
        </w:rPr>
        <w:t>EN: Investigation of dynamic radiation belt characteristics and mechanisms in EAST tokamak</w:t>
      </w:r>
    </w:p>
    <w:p>
      <w:pPr>
        <w:spacing w:before="0" w:after="120"/>
      </w:pPr>
      <w:r>
        <w:rPr>
          <w:b/>
        </w:rPr>
        <w:t xml:space="preserve">Source: </w:t>
      </w:r>
      <w:r>
        <w:t>Nuclear Fusion - latest papers</w:t>
      </w:r>
      <w:r>
        <w:t xml:space="preserve">    </w:t>
      </w:r>
      <w:r>
        <w:rPr>
          <w:b/>
        </w:rPr>
        <w:t xml:space="preserve">Pub date: </w:t>
      </w:r>
      <w:r>
        <w:t>2026-08-10 23:00:00+00:00</w:t>
      </w:r>
      <w:r>
        <w:t xml:space="preserve">    </w:t>
      </w:r>
      <w:r>
        <w:rPr>
          <w:b/>
        </w:rPr>
        <w:t xml:space="preserve">DOI: </w:t>
      </w:r>
      <w:hyperlink r:id="rId352">
        <w:r>
          <w:rPr>
            <w:color w:val="1155CC"/>
            <w:u w:val="single"/>
          </w:rPr>
          <w:t>10.1088/1741-4326/ae8bbe</w:t>
        </w:r>
      </w:hyperlink>
    </w:p>
    <w:p>
      <w:pPr>
        <w:spacing w:before="0" w:after="120"/>
      </w:pPr>
      <w:r>
        <w:rPr>
          <w:b/>
        </w:rPr>
        <w:t xml:space="preserve">Notes: </w:t>
      </w:r>
      <w:r>
        <w:t>abstract_source=rss_description</w:t>
      </w:r>
    </w:p>
    <w:p>
      <w:pPr>
        <w:spacing w:before="0" w:after="80" w:lineRule="auto" w:line="276"/>
      </w:pPr>
      <w:r>
        <w:rPr>
          <w:b/>
        </w:rPr>
        <w:t xml:space="preserve">摘要（ZH）: </w:t>
      </w:r>
      <w:r>
        <w:t>在先进超导托卡马克实验装置（EAST）中对动态辐射带进行了观察和研究，该辐射带具有强辐射、高密度和低电子温度的特征，类似于来自边缘的多面不对称辐射（MARFE）。该带在杂质注入的偏滤器区域中形成，并在从 H 模式转变为 L 模式（H-L 转变）或约束退化后，随后向 X 点和等离子体边界的高场侧 (HFS) 迁移。带穿过内部中平面，到达相对的偏滤器，并且随后退回到其初始偏滤器位置。这种迁移伴随着关键等离子体参数极向不对称性的同时演化，包括电子密度、辐射分布、中性压力和壁热负荷分布。辐射带的迁移与边缘中性气压的演化密切相关。反转环形磁场 (BT) 方向会反转辐射带的初始位置及其轨迹。 BT 方向变化后上、下偏滤器之间中性压力不对称性的逆转证明了 B 方向相关漂移效应的作用。此外，辐射带的迁移始终伴随着等离子体辐射和密度信号频率高达 10 kHz 的局部波动。在带偏移过程中，磁振荡从宽带频谱转变为相干窄带发射，被识别为 m/n = 2/1 磁水力</w:t>
      </w:r>
    </w:p>
    <w:p>
      <w:pPr>
        <w:spacing w:before="0" w:after="200" w:lineRule="auto" w:line="276"/>
      </w:pPr>
      <w:r>
        <w:rPr>
          <w:b/>
        </w:rPr>
        <w:t xml:space="preserve">Abstract (EN): </w:t>
      </w:r>
      <w:r>
        <w:t>A dynamic radiation belt—exhibiting characteristics of intense radiation, high density, and low electron temperature, akin to multifaceted asymmetric radiation from the edge (MARFE)—was observed and investigated in the Experimental Advanced Superconducting Tokamak (EAST). This belt forms in the divertor region with impurity injection and subsequently migrates towards the X-point and the high-field side (HFS) of the plasma boundary after the transition from H mode to L mode (H–L transition) or confinement degradation. The belt traverses the inner mid-plane, reaches the opposite divertor, and subsequently retreats back to its initial divertor location. This migration is accompanied by a concurrent evolution of poloidal asymmetry in key plasma parameters, including electron density, radiation profiles, neutral pressure, and wall heat load distribution. The migration of the radiation belt is closely related to the evolution of the edge neutral pressure. Reversing the toroidal magnetic field (BT) direction inverts both the initial position of the radiation belt and its trajectory. The reversal of neutral pressure asymmetry between upper and lower divertors following BT direction change demonstrates the role of B-direction-dependent drift effects. Furthermore, the migration of the radiation belt is consistently accompanied by localized fluctuations with frequencies up to 10 kHz in bothplasma radiation and density signals. During belt migration, the magnetic oscillations transition from a broadband spectrum to a coherent narrowband emission, identified as an m/n = 2/1 magnetohydrodynamic (MHD) instability mode. The frequency of the mode is positively correlated with the distance of the radiation belt from its initial position. Excessive increases in the magnetic oscillation frequency typically precede plasma disruptions, which may suggest a critical link between oscillation spectral characteristics and disruption onset mechanisms.</w:t>
      </w:r>
    </w:p>
    <w:p>
      <w:pPr>
        <w:spacing w:before="120" w:after="120"/>
      </w:pPr>
      <w:r>
        <w:rPr>
          <w:sz w:val="18"/>
        </w:rPr>
        <w:t>——————————————————————————————————————————————————————————————————————</w:t>
      </w:r>
    </w:p>
    <w:p>
      <w:pPr>
        <w:spacing w:before="160" w:after="40" w:line="240" w:lineRule="auto"/>
      </w:pPr>
      <w:r>
        <w:rPr>
          <w:b/>
        </w:rPr>
        <w:t xml:space="preserve">[8] </w:t>
      </w:r>
      <w:hyperlink r:id="rId353">
        <w:r>
          <w:rPr>
            <w:color w:val="1155CC"/>
            <w:u w:val="single"/>
          </w:rPr>
          <w:t>CFEDR 上三离子加热场景的数值分析和比较研究</w:t>
        </w:r>
      </w:hyperlink>
    </w:p>
    <w:p>
      <w:pPr>
        <w:spacing w:before="0" w:after="80"/>
      </w:pPr>
      <w:r>
        <w:rPr>
          <w:i/>
          <w:sz w:val="20"/>
        </w:rPr>
        <w:t>EN: Numerical analysis and comparative study of three-ion heating scenarios on the CFEDR</w:t>
      </w:r>
    </w:p>
    <w:p>
      <w:pPr>
        <w:spacing w:before="0" w:after="120"/>
      </w:pPr>
      <w:r>
        <w:rPr>
          <w:b/>
        </w:rPr>
        <w:t xml:space="preserve">Source: </w:t>
      </w:r>
      <w:r>
        <w:t>Nuclear Fusion - latest papers</w:t>
      </w:r>
      <w:r>
        <w:t xml:space="preserve">    </w:t>
      </w:r>
      <w:r>
        <w:rPr>
          <w:b/>
        </w:rPr>
        <w:t xml:space="preserve">Pub date: </w:t>
      </w:r>
      <w:r>
        <w:t>2026-08-10 23:00:00+00:00</w:t>
      </w:r>
      <w:r>
        <w:t xml:space="preserve">    </w:t>
      </w:r>
      <w:r>
        <w:rPr>
          <w:b/>
        </w:rPr>
        <w:t xml:space="preserve">DOI: </w:t>
      </w:r>
      <w:hyperlink r:id="rId354">
        <w:r>
          <w:rPr>
            <w:color w:val="1155CC"/>
            <w:u w:val="single"/>
          </w:rPr>
          <w:t>10.1088/1741-4326/ae91fd</w:t>
        </w:r>
      </w:hyperlink>
    </w:p>
    <w:p>
      <w:pPr>
        <w:spacing w:before="0" w:after="120"/>
      </w:pPr>
      <w:r>
        <w:rPr>
          <w:b/>
        </w:rPr>
        <w:t xml:space="preserve">Notes: </w:t>
      </w:r>
      <w:r>
        <w:t>abstract_source=rss_description</w:t>
      </w:r>
    </w:p>
    <w:p>
      <w:pPr>
        <w:spacing w:before="0" w:after="80" w:lineRule="auto" w:line="276"/>
      </w:pPr>
      <w:r>
        <w:rPr>
          <w:b/>
        </w:rPr>
        <w:t xml:space="preserve">摘要（ZH）: </w:t>
      </w:r>
      <w:r>
        <w:t>离子回旋共振加热（IC​​RH）是托卡马克常用的辅助加热方法之一。因此，优化托卡马克ICRH方案具有重要意义。在这项研究中，采用二维全波代码交互式流体动力学（INTFLUK）系统地研究了中国聚变工程示范堆（CFEDR）的ICRH场景。对D-T-7Li三离子加热方案与常规D-T-3He少数方案进行了对比分析。 D-T-7Li 和 D-T-3He 场景均表现出相对较高的目标离子吸收分数。对于 D-T-7Li 方案，增加 7Li 离子浓度，同时降低 T 离子浓度，有效地最大限度地减少了向电子的碰撞能量转移。此外，结果表明，D-T-7Li 方案中的目标离子吸收分数优于其他三离子替代方案。最后，对优化方案下α粒子效应的评估表明，当α粒子浓度达到3%时，其功率吸收率超过50%。然而，与传统的减速分布相比，假设等效的麦克斯韦分布稍微高估了α粒子功率吸收分数。</w:t>
      </w:r>
    </w:p>
    <w:p>
      <w:pPr>
        <w:spacing w:before="0" w:after="200" w:lineRule="auto" w:line="276"/>
      </w:pPr>
      <w:r>
        <w:rPr>
          <w:b/>
        </w:rPr>
        <w:t xml:space="preserve">Abstract (EN): </w:t>
      </w:r>
      <w:r>
        <w:t>Ion cyclotron resonance heating (ICRH) is one of the common auxiliary heating methods employed in tokamaks. Therefore, optimizing the ICRH scheme for tokamaks is of great importance. In this study, the two-dimensional full-wave code Interative fluid-kinetics (INTFLUK) is employed to systematically investigate ICRH scenarios for the China Fusion Engineering Demonstration Reactor (CFEDR). A comparative analysis is conducted between the D–T–7Li three-ion heating scheme and the conventional D–T–3He minority scheme. Both the D–T–7Li and D–T–3He scenarios exhibit a relatively high target ion absorption fraction. For the D–T–7Li scheme, increasing the 7Li ion concentration while reducing the T ion concentration effectively minimizes collisional energy transfer to electrons Furthermore, results indicate that the target ion absorption fraction in the D–T–7Li scenario is superior to that of other three-ion alternatives. Finally, an assessment of alpha particle effects under the optimized scheme reveals that when the alpha particle concentration reaches 3%, its power absorption fraction exceeds 50%. However, assuming an equivalent Maxwellian distribution slightlyoverestimates the alpha particle power absorption fraction compared to a conventional slowing-down distribution.</w:t>
      </w:r>
    </w:p>
    <w:p>
      <w:pPr>
        <w:spacing w:before="120" w:after="120"/>
      </w:pPr>
      <w:r>
        <w:rPr>
          <w:sz w:val="18"/>
        </w:rPr>
        <w:t>——————————————————————————————————————————————————————————————————————</w:t>
      </w:r>
    </w:p>
    <w:p>
      <w:pPr>
        <w:spacing w:before="160" w:after="40" w:line="240" w:lineRule="auto"/>
      </w:pPr>
      <w:r>
        <w:rPr>
          <w:b/>
        </w:rPr>
        <w:t xml:space="preserve">[9] </w:t>
      </w:r>
      <w:hyperlink r:id="rId355">
        <w:r>
          <w:rPr>
            <w:color w:val="1155CC"/>
            <w:u w:val="single"/>
          </w:rPr>
          <w:t>KSTAR 中从基于图像的 UFO 事件检测到基于参数的预测</w:t>
        </w:r>
      </w:hyperlink>
    </w:p>
    <w:p>
      <w:pPr>
        <w:spacing w:before="0" w:after="80"/>
      </w:pPr>
      <w:r>
        <w:rPr>
          <w:i/>
          <w:sz w:val="20"/>
        </w:rPr>
        <w:t>EN: From image-based detection to parameter-based prediction of UFO events in KSTAR</w:t>
      </w:r>
    </w:p>
    <w:p>
      <w:pPr>
        <w:spacing w:before="0" w:after="120"/>
      </w:pPr>
      <w:r>
        <w:rPr>
          <w:b/>
        </w:rPr>
        <w:t xml:space="preserve">Source: </w:t>
      </w:r>
      <w:r>
        <w:t>Nuclear Fusion - latest papers</w:t>
      </w:r>
      <w:r>
        <w:t xml:space="preserve">    </w:t>
      </w:r>
      <w:r>
        <w:rPr>
          <w:b/>
        </w:rPr>
        <w:t xml:space="preserve">Pub date: </w:t>
      </w:r>
      <w:r>
        <w:t>2026-08-10 23:00:00+00:00</w:t>
      </w:r>
      <w:r>
        <w:t xml:space="preserve">    </w:t>
      </w:r>
      <w:r>
        <w:rPr>
          <w:b/>
        </w:rPr>
        <w:t xml:space="preserve">DOI: </w:t>
      </w:r>
      <w:hyperlink r:id="rId356">
        <w:r>
          <w:rPr>
            <w:color w:val="1155CC"/>
            <w:u w:val="single"/>
          </w:rPr>
          <w:t>10.1088/1741-4326/ae91fc</w:t>
        </w:r>
      </w:hyperlink>
    </w:p>
    <w:p>
      <w:pPr>
        <w:spacing w:before="0" w:after="120"/>
      </w:pPr>
      <w:r>
        <w:rPr>
          <w:b/>
        </w:rPr>
        <w:t xml:space="preserve">Notes: </w:t>
      </w:r>
      <w:r>
        <w:t>abstract_source=rss_description</w:t>
      </w:r>
    </w:p>
    <w:p>
      <w:pPr>
        <w:spacing w:before="0" w:after="80" w:lineRule="auto" w:line="276"/>
      </w:pPr>
      <w:r>
        <w:rPr>
          <w:b/>
        </w:rPr>
        <w:t xml:space="preserve">摘要（ZH）: </w:t>
      </w:r>
      <w:r>
        <w:t>等离子体中断预测是托卡马克装置可靠运行的一个核心挑战，但在基于标量参数的建模中，中间非正常现象的预测价值，特别是可能先于或触发中断的 UFO（不明飞行物）事件，在很大程度上仍未得到探索。在这里，使用可见相机序列和框架对齐的标量平衡以及 KSTAR（韩国超导托卡马克高级研究）的操作参数，我们表明可以仅根据常规诊断信号系统地表征和预测 UFO 事件。我们首先通过手动注释建立地面实况事件标签，并证明 ResNet-18 图像分类器在镜头感知评估下以 0.911 的 UFO 1 分数重现该参考，同时还量化事件级别分割大大提高了表观性能。在此基础上，我们证明随机森林分类器仅使用 12 个标量参数即可区分 UFO 和非 UFO 帧，达到 0.96 的准确度和 0.94 的 UFO 1 分数，并且最具辨别力的变量包括上三角度 ( )、内部电感 ( ) 和轴上安全系数 ( )。射击级事件对齐分析进一步表明，判别力和时间优先级是不同的：其中，只有等离子体形状参数（特别是和伸长率）在发作前显着变化，因此充当真正的前兆，而仅在发作后做出响应，并且没有显示显着的发作前趋势。我们将这些前体签名解释为正确的</w:t>
      </w:r>
    </w:p>
    <w:p>
      <w:pPr>
        <w:spacing w:before="0" w:after="200" w:lineRule="auto" w:line="276"/>
      </w:pPr>
      <w:r>
        <w:rPr>
          <w:b/>
        </w:rPr>
        <w:t xml:space="preserve">Abstract (EN): </w:t>
      </w:r>
      <w:r>
        <w:t>Plasma disruption prediction is a central challenge for reliable tokamak operation, yet the predictive value of intermediate off-normal phenomena, particularly UFO (unidentified flying object) events that may precede or trigger disruptions, remains largely unexplored in the context of scalar parameter-based modeling. Here, using visible-camera sequences and frame-aligned scalar equilibrium and operational parameters from KSTAR (Korea Superconducting Tokamak Advanced Research), we show that UFO events can be systematically characterized and predicted from routine diagnostic signals alone. We first establish ground-truth event labels by manual annotation and demonstrate that a ResNet-18 image classifier reproduces this reference with a UFO 1-score of 0.911 under shot-aware evaluation, while also quantifying that event-level splitting substantially inflates apparent performance. Building on this ground truth, we show that a random forest classifier distinguishes UFO from Non-UFO frames using only 12 scalar parameters, achieving an accuracy of 0.96 and a UFO 1-score of 0.94, and that the most discriminative variables include upper triangularity ( ), internal inductance ( ), and on-axis safety factor ( ). A shot-level event-aligned analysis further shows that discriminative power and temporal precedence are distinct: among these, only the plasma shape parameters (notably and elongation ) change significantly before onset and thus act as genuine precursors, whereas responds only after onset and shows no significant pre-onset trend. We interpret these precursor signatures as correlational operational states rather than causal drivers of UFO occurrence. Taken together, these findings demonstrate that data-driven prediction can be extended beyond terminal disruption outcomes to actionable precursor phenomena, suggesting a deployable detect–classify–predict pathway for real-time UFO monitoring in KSTAR.</w:t>
      </w:r>
    </w:p>
    <w:p>
      <w:pPr>
        <w:spacing w:before="120" w:after="120"/>
      </w:pPr>
      <w:r>
        <w:rPr>
          <w:sz w:val="18"/>
        </w:rPr>
        <w:t>——————————————————————————————————————————————————————————————————————</w:t>
      </w:r>
    </w:p>
    <w:p>
      <w:pPr>
        <w:spacing w:before="160" w:after="40" w:line="240" w:lineRule="auto"/>
      </w:pPr>
      <w:r>
        <w:rPr>
          <w:b/>
        </w:rPr>
        <w:t xml:space="preserve">[10] </w:t>
      </w:r>
      <w:hyperlink r:id="rId357">
        <w:r>
          <w:rPr>
            <w:color w:val="1155CC"/>
            <w:u w:val="single"/>
          </w:rPr>
          <w:t>基于 JET 和 TFTR 氘氚等离子体的机器学习辅助中子产额检测无爆炸弹</w:t>
        </w:r>
      </w:hyperlink>
    </w:p>
    <w:p>
      <w:pPr>
        <w:spacing w:before="0" w:after="80"/>
      </w:pPr>
      <w:r>
        <w:rPr>
          <w:i/>
          <w:sz w:val="20"/>
        </w:rPr>
        <w:t>EN: Machine learning aided neutron yield for dud detection based on JET and TFTR deuterium–tritium plasmas</w:t>
      </w:r>
    </w:p>
    <w:p>
      <w:pPr>
        <w:spacing w:before="0" w:after="120"/>
      </w:pPr>
      <w:r>
        <w:rPr>
          <w:b/>
        </w:rPr>
        <w:t xml:space="preserve">Source: </w:t>
      </w:r>
      <w:r>
        <w:t>Nuclear Fusion - latest papers</w:t>
      </w:r>
      <w:r>
        <w:t xml:space="preserve">    </w:t>
      </w:r>
      <w:r>
        <w:rPr>
          <w:b/>
        </w:rPr>
        <w:t xml:space="preserve">Pub date: </w:t>
      </w:r>
      <w:r>
        <w:t>2026-08-10 23:00:00+00:00</w:t>
      </w:r>
      <w:r>
        <w:t xml:space="preserve">    </w:t>
      </w:r>
      <w:r>
        <w:rPr>
          <w:b/>
        </w:rPr>
        <w:t xml:space="preserve">DOI: </w:t>
      </w:r>
      <w:hyperlink r:id="rId358">
        <w:r>
          <w:rPr>
            <w:color w:val="1155CC"/>
            <w:u w:val="single"/>
          </w:rPr>
          <w:t>10.1088/1741-4326/ae91fa</w:t>
        </w:r>
      </w:hyperlink>
    </w:p>
    <w:p>
      <w:pPr>
        <w:spacing w:before="0" w:after="120"/>
      </w:pPr>
      <w:r>
        <w:rPr>
          <w:b/>
        </w:rPr>
        <w:t xml:space="preserve">Notes: </w:t>
      </w:r>
      <w:r>
        <w:t>abstract_source=rss_description</w:t>
      </w:r>
    </w:p>
    <w:p>
      <w:pPr>
        <w:spacing w:before="0" w:after="80" w:lineRule="auto" w:line="276"/>
      </w:pPr>
      <w:r>
        <w:rPr>
          <w:b/>
        </w:rPr>
        <w:t xml:space="preserve">摘要（ZH）: </w:t>
      </w:r>
      <w:r>
        <w:t>在未来的聚变反应堆中，测量氘氚（DT）聚变反应的中子产生率至关重要，因为它表明聚变性能。为了优化氚消耗并限制中子激活，如果等离子体未能达到预期的聚变性能，等离子体控制系统中包含的称为无用探测器的支持功能将触发警报。该功能已在欧洲联合环面开发并在 DT 活动期间常规使用。这项研究提出了基于中子率替代模型的机器学习方法，可用作先进的无用探测器。在为 BEST、HL-3、ITER 和 SPARC 中的 DT 操作做准备时，我们通过分析在托卡马克聚变测试反应堆进行的类似 DT 实验来研究这些机器学习方法的可移植性和固有局限性。</w:t>
      </w:r>
    </w:p>
    <w:p>
      <w:pPr>
        <w:spacing w:before="0" w:after="200" w:lineRule="auto" w:line="276"/>
      </w:pPr>
      <w:r>
        <w:rPr>
          <w:b/>
        </w:rPr>
        <w:t xml:space="preserve">Abstract (EN): </w:t>
      </w:r>
      <w:r>
        <w:t>In future fusion reactors, measuring the neutron production rate from deuterium–tritium (DT) fusion reactions will be crucial as it indicates fusion performance. To optimize Tritium consumption and limit neutron activation, a support function included in the plasma control system called a dud detector will trigger an alarm if the plasma fails to achieve expected fusion performance. This function has been developed and routinely employed at Joint European Torus during DT campaigns. This study presents machine-learning methods based on a surrogate model of the neutron rate, which can be used as an advanced dud detector. In preparation for DT operations in BEST, HL-3, ITER and SPARC, we investigate the portability and inherent limitations of these machine learning methods by analyzing similar DT experiments conducted at Tokamak Fusion Test Reactor.</w:t>
      </w:r>
    </w:p>
    <w:p>
      <w:pPr>
        <w:spacing w:before="120" w:after="120"/>
      </w:pPr>
      <w:r>
        <w:rPr>
          <w:sz w:val="18"/>
        </w:rPr>
        <w:t>——————————————————————————————————————————————————————————————————————</w:t>
      </w:r>
    </w:p>
    <w:p>
      <w:pPr>
        <w:spacing w:before="160" w:after="40" w:line="240" w:lineRule="auto"/>
      </w:pPr>
      <w:r>
        <w:rPr>
          <w:b/>
        </w:rPr>
        <w:t xml:space="preserve">[11] </w:t>
      </w:r>
      <w:hyperlink r:id="rId359">
        <w:r>
          <w:rPr>
            <w:color w:val="1155CC"/>
            <w:u w:val="single"/>
          </w:rPr>
          <w:t>在 DIII-D 中实现高密度、高约束和高 β 托卡马克等离子体状态，以及对 ITER 和 FPP 的低电流路径的影响</w:t>
        </w:r>
      </w:hyperlink>
    </w:p>
    <w:p>
      <w:pPr>
        <w:spacing w:before="0" w:after="80"/>
      </w:pPr>
      <w:r>
        <w:rPr>
          <w:i/>
          <w:sz w:val="20"/>
        </w:rPr>
        <w:t>EN: Achievement of a high-density, high-confinement, and high-beta tokamak plasma regime in DIII-D, and implications for a lower-current path for ITER and FPP</w:t>
      </w:r>
    </w:p>
    <w:p>
      <w:pPr>
        <w:spacing w:before="0" w:after="120"/>
      </w:pPr>
      <w:r>
        <w:rPr>
          <w:b/>
        </w:rPr>
        <w:t xml:space="preserve">Source: </w:t>
      </w:r>
      <w:r>
        <w:t>Nuclear Fusion - latest papers</w:t>
      </w:r>
      <w:r>
        <w:t xml:space="preserve">    </w:t>
      </w:r>
      <w:r>
        <w:rPr>
          <w:b/>
        </w:rPr>
        <w:t xml:space="preserve">Pub date: </w:t>
      </w:r>
      <w:r>
        <w:t>2026-08-11 23:00:00+00:00</w:t>
      </w:r>
      <w:r>
        <w:t xml:space="preserve">    </w:t>
      </w:r>
      <w:r>
        <w:rPr>
          <w:b/>
        </w:rPr>
        <w:t xml:space="preserve">DOI: </w:t>
      </w:r>
      <w:hyperlink r:id="rId360">
        <w:r>
          <w:rPr>
            <w:color w:val="1155CC"/>
            <w:u w:val="single"/>
          </w:rPr>
          <w:t>10.1088/1741-4326/ae93dc</w:t>
        </w:r>
      </w:hyperlink>
    </w:p>
    <w:p>
      <w:pPr>
        <w:spacing w:before="0" w:after="120"/>
      </w:pPr>
      <w:r>
        <w:rPr>
          <w:b/>
        </w:rPr>
        <w:t xml:space="preserve">Notes: </w:t>
      </w:r>
      <w:r>
        <w:t>abstract_source=rss_description</w:t>
      </w:r>
    </w:p>
    <w:p>
      <w:pPr>
        <w:spacing w:before="0" w:after="80" w:lineRule="auto" w:line="276"/>
      </w:pPr>
      <w:r>
        <w:rPr>
          <w:b/>
        </w:rPr>
        <w:t xml:space="preserve">摘要（ZH）: </w:t>
      </w:r>
      <w:r>
        <w:t>DIII-D 上的实验证明了密度-约束协同作用，能够在以前未达到的参数范围内维持高性能，同时具有非常高的能量约束质量 (H98y2 ⩾ 1.5)、非常高的线平均密度格林沃尔德分数 (fGr= πa2 /IP ⩾ 1.4) 和高环形 beta (⩾ 3%)。这种状态下的托卡马克运行对于紧凑型稳态 FPP 以及 ITER 中 Q = 10、IP ≪ 15 MA 的聚变功率 500 MW 至关重要。这些实验利用了这样的知识：在高极向β ( ) 状态下，密度梯度可以增强由高 ( ) 引起的湍流稳定性。这通过理论预测和回旋输运模拟进行了描述（Kotschenreuther et al 2024 Nucl. Fusion64 076033），后来通过 DIII-D 上的实验得到证实（Ding et al 2024 Nature629 555）。为了增加 和 ，新实验通过使用更小的等离子体外壁距离和更高的等离子体横截面三角形度（顶部/底部平均 δ ∼ 0.9）来增加理想壁稳定性极限，这是通过最近对 DIII-D 偏滤器的“形状和体积上升”（SVR）修改实现的。更高的三角形度还有助于通过实现更高的基座密度来实现更高的 ▪Gr。在高密度下，基座的膨胀受到限制，并表现出小而频繁的 ELM，而即使没有任何杂质晶种，偏滤器也接近分离。获得并可重复地维持高等离子体性能，随着电流曲线缓慢继续，MHD 模式导致最终终止不稳定</w:t>
      </w:r>
    </w:p>
    <w:p>
      <w:pPr>
        <w:spacing w:before="0" w:after="200" w:lineRule="auto" w:line="276"/>
      </w:pPr>
      <w:r>
        <w:rPr>
          <w:b/>
        </w:rPr>
        <w:t xml:space="preserve">Abstract (EN): </w:t>
      </w:r>
      <w:r>
        <w:t>Experiments on DIII-D have demonstrated a density-confinement synergy that enables sustainment of high performance in a previously unattained parameter regime of simultaneous very high energy confinement quality (H98y2 ⩾ 1.5), very high line-average density Greenwald fraction (ƒGr= πa2 /IP ⩾ 1.4), and high toroidal beta ( ⩾ 3%). Tokamak operation in this regime is essential for a compact steady-state FPP, as well as for Q = 10 with 500 MW of fusion power in ITER at IP ≪ 15 MA. These experiments leveraged the knowledge that, in the high-poloidal-beta ( ) regime, density gradients can enhance turbulence stabilization caused by high ( ). This was described by theoretical predictions and gyrokinetic transport simulations (Kotschenreuther et al 2024 Nucl. Fusion64 076033), and later confirmed by experiments on DIII-D (Ding et al 2024 Nature629 555). To increase both and , the new experiments increased the ideal-wall stability -limit by using a smaller plasma-outer wall distance and higher triangularity in the plasma cross section (top/bottom average δ ∼ 0.9), enabled by the recent ‘shape &amp; volume rise’ (SVR) modification to the DIII-D divertor. The higher triangularity also contributed to achieving higher ƒGr by enabling higher pedestal density. At high density, the pedestal is ballooning limited and exhibits small and frequent ELMs, while the divertor is near detachment even without any impurity seeding. Highplasma performance was attained and sustained reproducibly, with the eventual terminations brought about by an MHD mode destabilized as the current profile slowly continued to evolve. A path to stationary fully noninductive operation might include ECH injection to reduce both core impurity accumulation and the electron collisionality, thus increasing the bootstrap current. These experiments provide the first experimental demonstration of the ƒGr, H98y2, and values required simultaneously for ITER Q= 10 at IP &lt; 10 MA, pointing to practical ways to improve the energy confinement in a fusion reactor.</w:t>
      </w:r>
    </w:p>
    <w:p>
      <w:pPr>
        <w:spacing w:before="120" w:after="120"/>
      </w:pPr>
      <w:r>
        <w:rPr>
          <w:sz w:val="18"/>
        </w:rPr>
        <w:t>——————————————————————————————————————————————————————————————————————</w:t>
      </w:r>
    </w:p>
    <w:p>
      <w:pPr>
        <w:spacing w:before="160" w:after="40" w:line="240" w:lineRule="auto"/>
      </w:pPr>
      <w:r>
        <w:rPr>
          <w:b/>
        </w:rPr>
        <w:t xml:space="preserve">[12] </w:t>
      </w:r>
      <w:hyperlink r:id="rId361">
        <w:r>
          <w:rPr>
            <w:color w:val="1155CC"/>
            <w:u w:val="single"/>
          </w:rPr>
          <w:t>使用大型螺旋装置中未解析的过渡阵列评估时空钨密度分布</w:t>
        </w:r>
      </w:hyperlink>
    </w:p>
    <w:p>
      <w:pPr>
        <w:spacing w:before="0" w:after="80"/>
      </w:pPr>
      <w:r>
        <w:rPr>
          <w:i/>
          <w:sz w:val="20"/>
        </w:rPr>
        <w:t>EN: Evaluation of spatiotemporal tungsten density profiles using unresolved transition arrays in the Large Helical Device</w:t>
      </w:r>
    </w:p>
    <w:p>
      <w:pPr>
        <w:spacing w:before="0" w:after="120"/>
      </w:pPr>
      <w:r>
        <w:rPr>
          <w:b/>
        </w:rPr>
        <w:t xml:space="preserve">Source: </w:t>
      </w:r>
      <w:r>
        <w:t>Nuclear Fusion - latest papers</w:t>
      </w:r>
      <w:r>
        <w:t xml:space="preserve">    </w:t>
      </w:r>
      <w:r>
        <w:rPr>
          <w:b/>
        </w:rPr>
        <w:t xml:space="preserve">Pub date: </w:t>
      </w:r>
      <w:r>
        <w:t>2026-08-11 23:00:00+00:00</w:t>
      </w:r>
      <w:r>
        <w:t xml:space="preserve">    </w:t>
      </w:r>
      <w:r>
        <w:rPr>
          <w:b/>
        </w:rPr>
        <w:t xml:space="preserve">DOI: </w:t>
      </w:r>
      <w:hyperlink r:id="rId362">
        <w:r>
          <w:rPr>
            <w:color w:val="1155CC"/>
            <w:u w:val="single"/>
          </w:rPr>
          <w:t>10.1088/1741-4326/ae9326</w:t>
        </w:r>
      </w:hyperlink>
    </w:p>
    <w:p>
      <w:pPr>
        <w:spacing w:before="0" w:after="120"/>
      </w:pPr>
      <w:r>
        <w:rPr>
          <w:b/>
        </w:rPr>
        <w:t xml:space="preserve">Notes: </w:t>
      </w:r>
      <w:r>
        <w:t>abstract_source=rss_description</w:t>
      </w:r>
    </w:p>
    <w:p>
      <w:pPr>
        <w:spacing w:before="0" w:after="80" w:lineRule="auto" w:line="276"/>
      </w:pPr>
      <w:r>
        <w:rPr>
          <w:b/>
        </w:rPr>
        <w:t xml:space="preserve">摘要（ZH）: </w:t>
      </w:r>
      <w:r>
        <w:t>钨光谱研究已在大型螺旋装置中采用颗粒注射技术进行。使用空间分辨光谱仪评估电子温度低于 1 keV 且电子密度为 1019–1020 m−3 的等离子体的钨密度时空分布。 Slice &amp; Stack 是一种重建发射率的方法，应用于 191.7 Å 的谱线，该谱线是 90-250 Å 的未解析过渡阵列 (UTA) 光谱的一部分。使用 W17+–W27+ 的光子发射系数获得钨密度，并根据碰撞辐射模型进行评估。从等离子体外部注入的钨颗粒首先在边缘等离子体中被烧蚀，随后扩散到整个等离子体中。这种行为是颗粒注射实验的典型行为。此外，在中性束注入（NBI）击穿触发事件后，钨在核心等离子体中积聚。根据评估的钨密度分布和冷却系数数据集估算辐射功率，并与测辐射热计测量进行比较。这一系列过程对于验证低到中电荷态的钨离子的原子数据非常有用。</w:t>
      </w:r>
    </w:p>
    <w:p>
      <w:pPr>
        <w:spacing w:before="0" w:after="200" w:lineRule="auto" w:line="276"/>
      </w:pPr>
      <w:r>
        <w:rPr>
          <w:b/>
        </w:rPr>
        <w:t xml:space="preserve">Abstract (EN): </w:t>
      </w:r>
      <w:r>
        <w:t>Tungsten spectroscopic studies have been conducted in the Large Helical Device with a pellet injection technique. Spatiotemporal profiles of tungsten density were evaluated using a space-resolved spectrometer, for plasmas with an electron temperature of below 1 keV and electron density of 1019–1020 m−3. Slice &amp; Stack, a method for reconstructing emissivity, was applied to a line at 191.7 Å, which is a part of the unresolved transition array (UTA) spectrum at 90–250 Å. Tungsten density was obtained using photon emission coefficients of W17+–W27+, evaluated from collisional-radiative model. The tungsten pellet injected from outside the plasma was first ablated in the edge plasma and subsequently diffused throughout the plasma. This behavior is typical of pellet injection experiments. Furthermore, after an event triggered by neutral beam injection (NBI) breakdown, tungsten accumulated in the core plasma. The radiation power was estimated from the evaluated tungsten density profile and cooling factor dataset, and compared with bolometer measurement. This sequence of processes would be useful for validating atomic data of tungsten ions in low-to-intermediate charge states.</w:t>
      </w:r>
    </w:p>
    <w:p>
      <w:pPr>
        <w:spacing w:before="120" w:after="120"/>
      </w:pPr>
      <w:r>
        <w:rPr>
          <w:sz w:val="18"/>
        </w:rPr>
        <w:t>——————————————————————————————————————————————————————————————————————</w:t>
      </w:r>
    </w:p>
    <w:p>
      <w:pPr>
        <w:spacing w:before="160" w:after="40" w:line="240" w:lineRule="auto"/>
      </w:pPr>
      <w:r>
        <w:rPr>
          <w:b/>
        </w:rPr>
        <w:t xml:space="preserve">[13] </w:t>
      </w:r>
      <w:hyperlink r:id="rId363">
        <w:r>
          <w:rPr>
            <w:color w:val="1155CC"/>
            <w:u w:val="single"/>
          </w:rPr>
          <w:t>反向磁剪切中 Alfvénic 离子温度梯度模式的回旋全局模拟</w:t>
        </w:r>
      </w:hyperlink>
    </w:p>
    <w:p>
      <w:pPr>
        <w:spacing w:before="0" w:after="80"/>
      </w:pPr>
      <w:r>
        <w:rPr>
          <w:i/>
          <w:sz w:val="20"/>
        </w:rPr>
        <w:t>EN: Gyrokinetic global simulation of Alfvénic ion temperature gradient mode in reversed magnetic shear</w:t>
      </w:r>
    </w:p>
    <w:p>
      <w:pPr>
        <w:spacing w:before="0" w:after="120"/>
      </w:pPr>
      <w:r>
        <w:rPr>
          <w:b/>
        </w:rPr>
        <w:t xml:space="preserve">Source: </w:t>
      </w:r>
      <w:r>
        <w:t>Nuclear Fusion - latest papers</w:t>
      </w:r>
      <w:r>
        <w:t xml:space="preserve">    </w:t>
      </w:r>
      <w:r>
        <w:rPr>
          <w:b/>
        </w:rPr>
        <w:t xml:space="preserve">Pub date: </w:t>
      </w:r>
      <w:r>
        <w:t>2026-08-11 23:00:00+00:00</w:t>
      </w:r>
      <w:r>
        <w:t xml:space="preserve">    </w:t>
      </w:r>
      <w:r>
        <w:rPr>
          <w:b/>
        </w:rPr>
        <w:t xml:space="preserve">DOI: </w:t>
      </w:r>
      <w:hyperlink r:id="rId364">
        <w:r>
          <w:rPr>
            <w:color w:val="1155CC"/>
            <w:u w:val="single"/>
          </w:rPr>
          <w:t>10.1088/1741-4326/ae9324</w:t>
        </w:r>
      </w:hyperlink>
    </w:p>
    <w:p>
      <w:pPr>
        <w:spacing w:before="0" w:after="120"/>
      </w:pPr>
      <w:r>
        <w:rPr>
          <w:b/>
        </w:rPr>
        <w:t xml:space="preserve">Notes: </w:t>
      </w:r>
      <w:r>
        <w:t>abstract_source=rss_description</w:t>
      </w:r>
    </w:p>
    <w:p>
      <w:pPr>
        <w:spacing w:before="0" w:after="80" w:lineRule="auto" w:line="276"/>
      </w:pPr>
      <w:r>
        <w:rPr>
          <w:b/>
        </w:rPr>
        <w:t xml:space="preserve">摘要（ZH）: </w:t>
      </w:r>
      <w:r>
        <w:t>在这项工作中，使用回旋粒子胞内模拟对具有反向磁剪切的磁约束聚变等离子体中的温度梯度驱动的电磁不稳定性进行了系统研究。研究了低区中出现的电磁不稳定性，其中 表示等离子体压力与磁压力的比率。在反向剪切安全系数 ( ) 分布中，当模式有理面与零剪切位置重合时，会出现仅由一种极向谐波主导的不稳定性，而不是传统的离子温度梯度 (ITG) 模式。模拟结果表明，即使在低态，不稳定性也表现出明显的电磁极化，其实际频率明显高于 ITG 模式，并表明它是由温度梯度而不是密度梯度破坏的。即使对于具有弱磁剪切的单调分布也可以观察到这种不稳定性。基于与其他典型静电和电磁不稳定性的系统比较，这种不稳定性被确定为弱剪切Alfvénic-ITG（WSAITG）模式，这可以为实验中观察到的低频Alfvén模式（LFAM）提供解释。相空间中的波粒共振分析表明，与 ITG 模式相比，良好通过的粒子提供了驱动 WSAITG 模式的额外共振群体。</w:t>
      </w:r>
    </w:p>
    <w:p>
      <w:pPr>
        <w:spacing w:before="0" w:after="200" w:lineRule="auto" w:line="276"/>
      </w:pPr>
      <w:r>
        <w:rPr>
          <w:b/>
        </w:rPr>
        <w:t xml:space="preserve">Abstract (EN): </w:t>
      </w:r>
      <w:r>
        <w:t>In this work, a systematic study of electromagnetic instabilities driven by the temperature gradient in magnetically confined fusion plasmas with reversed magnetic shear is conducted using gyrokinetic particle-in-cell simulations. An electromagnetic instability arising in the low- regime is investigated, where denotes the ratio of plasma pressure to magnetic pressure. Within a reversed shear safety factor ( ) profile, when a mode rational surface coincides with the position of zero shear, an instability dominated by only one poloidal harmonic emerges, rather than the conventional ion-temperature-gradient (ITG) mode. Simulation results demonstrate that the instability exhibits pronounced electromagnetic polarization even in the low- regime, with a real frequency significantly higher than that of ITG modes, and show that it is destabilized by the temperature gradient and not by the density gradient. This instability can be observed even for a monotonic profile with weak magnetic shear. Based on a systematic comparison with other typical electrostatic and electromagnetic instabilities, this instability is identified as a weak shear Alfvénic-ITG (WSAITG) mode, which may provide an explanation for the low-frequency Alfvén modes (LFAM) observed in experiments. Wave–particle resonance analysis in phase space reveals that, in contrast to the ITG mode, well-passing particles provide an additional resonant population that drives the WSAITG mode.</w:t>
      </w:r>
    </w:p>
    <w:p>
      <w:pPr>
        <w:spacing w:before="120" w:after="120"/>
      </w:pPr>
      <w:r>
        <w:rPr>
          <w:sz w:val="18"/>
        </w:rPr>
        <w:t>——————————————————————————————————————————————————————————————————————</w:t>
      </w:r>
    </w:p>
    <w:p>
      <w:pPr>
        <w:spacing w:before="160" w:after="40" w:line="240" w:lineRule="auto"/>
      </w:pPr>
      <w:r>
        <w:rPr>
          <w:b/>
        </w:rPr>
        <w:t xml:space="preserve">[14] </w:t>
      </w:r>
      <w:hyperlink r:id="rId365">
        <w:r>
          <w:rPr>
            <w:color w:val="1155CC"/>
            <w:u w:val="single"/>
          </w:rPr>
          <w:t>动量传递在反应堆规模托卡马克功率瞬变分离前沿响应中的作用</w:t>
        </w:r>
      </w:hyperlink>
    </w:p>
    <w:p>
      <w:pPr>
        <w:spacing w:before="0" w:after="80"/>
      </w:pPr>
      <w:r>
        <w:rPr>
          <w:i/>
          <w:sz w:val="20"/>
        </w:rPr>
        <w:t>EN: The role of momentum transfer in the detachment front response to power transients for reactor scale tokamaks</w:t>
      </w:r>
    </w:p>
    <w:p>
      <w:pPr>
        <w:spacing w:before="0" w:after="120"/>
      </w:pPr>
      <w:r>
        <w:rPr>
          <w:b/>
        </w:rPr>
        <w:t xml:space="preserve">Source: </w:t>
      </w:r>
      <w:r>
        <w:t>Nuclear Fusion - latest papers</w:t>
      </w:r>
      <w:r>
        <w:t xml:space="preserve">    </w:t>
      </w:r>
      <w:r>
        <w:rPr>
          <w:b/>
        </w:rPr>
        <w:t xml:space="preserve">Pub date: </w:t>
      </w:r>
      <w:r>
        <w:t>2026-08-11 23:00:00+00:00</w:t>
      </w:r>
      <w:r>
        <w:t xml:space="preserve">    </w:t>
      </w:r>
      <w:r>
        <w:rPr>
          <w:b/>
        </w:rPr>
        <w:t xml:space="preserve">DOI: </w:t>
      </w:r>
      <w:hyperlink r:id="rId366">
        <w:r>
          <w:rPr>
            <w:color w:val="1155CC"/>
            <w:u w:val="single"/>
          </w:rPr>
          <w:t>10.1088/1741-4326/ae91f8</w:t>
        </w:r>
      </w:hyperlink>
    </w:p>
    <w:p>
      <w:pPr>
        <w:spacing w:before="0" w:after="120"/>
      </w:pPr>
      <w:r>
        <w:rPr>
          <w:b/>
        </w:rPr>
        <w:t xml:space="preserve">Notes: </w:t>
      </w:r>
      <w:r>
        <w:t>abstract_source=rss_description</w:t>
      </w:r>
    </w:p>
    <w:p>
      <w:pPr>
        <w:spacing w:before="0" w:after="80" w:lineRule="auto" w:line="276"/>
      </w:pPr>
      <w:r>
        <w:rPr>
          <w:b/>
        </w:rPr>
        <w:t xml:space="preserve">摘要（ZH）: </w:t>
      </w:r>
      <w:r>
        <w:t>我们使用与反应堆规模托卡马克（例如用于能源生产的球形托卡马克（STEP））相关的尺度和参数范围上的刮除层的一维模拟，研究了分离等离子体对多毫秒时间尺度功率瞬变的响应。使用流体代码 Hermes-3 进行模拟，并采用求解器 CVODE 进行稳健的时间积分。研究发现，在模拟中包含或忽略中性气体通过电荷交换反应接收到的动量会极大地影响分离前沿的响应。在分析中，分离等离子体的电离前沿的运动是由两种不同的机制决定的：当中性云被快速压缩时，会出现快速的初始压力主导响应，而当云被电离时，会出现缓慢的烧穿主导响应。只有在动量转移到中性粒子的情况下，才会观察到前者。由于中性粒子的动量转移被禁用，等离子体仅通过电离和重组与中性粒子相互作用。因此，瞬态期间的前速度仅由中性线的烧穿率决定。将模拟与最近的半经验再附着模型（Henderson et al 2024 Nucl.Fusion64 066006）进行比较，其中对于没有中性动量的情况以及基线功率的功率上升，可以看到最佳的定性一致性。这些协议的差异包含在模型参数选择提供的潜在拟合范围内。</w:t>
      </w:r>
    </w:p>
    <w:p>
      <w:pPr>
        <w:spacing w:before="0" w:after="200" w:lineRule="auto" w:line="276"/>
      </w:pPr>
      <w:r>
        <w:rPr>
          <w:b/>
        </w:rPr>
        <w:t xml:space="preserve">Abstract (EN): </w:t>
      </w:r>
      <w:r>
        <w:t>We have investigated the response of detached plasmas to multi-ms timescale power transients using 1D simulations of the scrape-off layer on a scale and parameter range relevant for reactor-scale tokamaks, such as the Spherical Tokamak for Energy Production (STEP). Simulations were performed using the fluid code Hermes-3, employing the solver CVODE for robust time integration. Including or disregarding the momentum received by the neutral gas via charge exchange reactions in simulations is found to dramatically affect the detachment front’s response. In the analysis, motion of the ionisation front of a detached plasma is determined by two distinct mechanisms; a fast initial pressure-dominated response as the neutral cloud is rapidly compressed, and a slow burn-through dominated one as the cloud is ionised. The former is only observed if the momentum transfer to neutrals is kept. With transfer of momentum to the neutrals disabled, the plasma only interacts with the neutrals through ionisation and recombination. Thus, the front speed during the transient is determined by the rate of burn-through of the neutrals only. Simulations are compared to a recent semi-empirical reattachment model (Henderson et al 2024 Nucl. Fusion64 066006), where the best qualitative agreement is seen for cases without neutral momentum and for power rises of their baseline power. The difference in these agreements are encompassed by the range of potential fits provided by model parameter choice.</w:t>
      </w:r>
    </w:p>
    <w:p>
      <w:pPr>
        <w:spacing w:before="120" w:after="120"/>
      </w:pPr>
      <w:r>
        <w:rPr>
          <w:sz w:val="18"/>
        </w:rPr>
        <w:t>——————————————————————————————————————————————————————————————————————</w:t>
      </w:r>
    </w:p>
    <w:p>
      <w:pPr>
        <w:spacing w:before="160" w:after="40" w:line="240" w:lineRule="auto"/>
      </w:pPr>
      <w:r>
        <w:rPr>
          <w:b/>
        </w:rPr>
        <w:t xml:space="preserve">[15] </w:t>
      </w:r>
      <w:hyperlink r:id="rId367">
        <w:r>
          <w:rPr>
            <w:color w:val="1155CC"/>
            <w:u w:val="single"/>
          </w:rPr>
          <w:t>使用可解释的机器学习解码 J-TEXT 中的密度限制破坏前兆模式</w:t>
        </w:r>
      </w:hyperlink>
    </w:p>
    <w:p>
      <w:pPr>
        <w:spacing w:before="0" w:after="80"/>
      </w:pPr>
      <w:r>
        <w:rPr>
          <w:i/>
          <w:sz w:val="20"/>
        </w:rPr>
        <w:t>EN: Decoding density limit disruption precursor patterns in J-TEXT using interpretable machine learning</w:t>
      </w:r>
    </w:p>
    <w:p>
      <w:pPr>
        <w:spacing w:before="0" w:after="120"/>
      </w:pPr>
      <w:r>
        <w:rPr>
          <w:b/>
        </w:rPr>
        <w:t xml:space="preserve">Source: </w:t>
      </w:r>
      <w:r>
        <w:t>Nuclear Fusion - latest papers</w:t>
      </w:r>
      <w:r>
        <w:t xml:space="preserve">    </w:t>
      </w:r>
      <w:r>
        <w:rPr>
          <w:b/>
        </w:rPr>
        <w:t xml:space="preserve">Pub date: </w:t>
      </w:r>
      <w:r>
        <w:t>2026-08-11 23:00:00+00:00</w:t>
      </w:r>
      <w:r>
        <w:t xml:space="preserve">    </w:t>
      </w:r>
      <w:r>
        <w:rPr>
          <w:b/>
        </w:rPr>
        <w:t xml:space="preserve">DOI: </w:t>
      </w:r>
      <w:hyperlink r:id="rId368">
        <w:r>
          <w:rPr>
            <w:color w:val="1155CC"/>
            <w:u w:val="single"/>
          </w:rPr>
          <w:t>10.1088/1741-4326/ae8d38</w:t>
        </w:r>
      </w:hyperlink>
    </w:p>
    <w:p>
      <w:pPr>
        <w:spacing w:before="0" w:after="120"/>
      </w:pPr>
      <w:r>
        <w:rPr>
          <w:b/>
        </w:rPr>
        <w:t xml:space="preserve">Notes: </w:t>
      </w:r>
      <w:r>
        <w:t>abstract_source=rss_description</w:t>
      </w:r>
    </w:p>
    <w:p>
      <w:pPr>
        <w:spacing w:before="0" w:after="80" w:lineRule="auto" w:line="276"/>
      </w:pPr>
      <w:r>
        <w:rPr>
          <w:b/>
        </w:rPr>
        <w:t xml:space="preserve">摘要（ZH）: </w:t>
      </w:r>
      <w:r>
        <w:t>实现高密度运行对于最大化未来托卡马克的聚变增益因子至关重要。虽然格林沃尔德密度极限被广泛使用，但它缺乏第一性原理基础，其基础物理学仍在讨论中。最近的研究表明，密度极限破坏（DLD）与边缘局部演化密切相关，而不仅仅是与全局密度参数相关。机器学习 (ML) 模型可以高精度预测中断，但其决策规则通常仍然难以解释。在这项工作中，我们开发了一个可解释的框架，用于分析 J-TEXT 上的 DLD 前体模式。为了减少模型简单依赖格林沃尔德缩放的可能性，格林沃尔德分数和核心密度被故意从输入特征中排除。相反，我们使用反映边缘密度梯度变化、边缘密度不对称、杂质辐射、回收和 MHD 活动的特征。该模型实现了较高的预测性能，射击级 AUC 为 0.9791，TPR 为 98.65%，FPR 为 6.67%。与主要表征全局密度水平的fGW相比，可解释性分析表明该模型响应边缘密度和辐射状态的变化。高场侧 (HFS) 主导的 DenAsym1 状态往往会增加 DLD 类的模型输出，而较低的 CIIIAsym1 值（对应于低场侧 (LFS) 主导的 CIII 辐射状态）也对 DLD 分类有积极贡献。进一步分析表明，当以下情况时，中间 Den_ngrad 范围会受到强烈的积极归因：</w:t>
      </w:r>
    </w:p>
    <w:p>
      <w:pPr>
        <w:spacing w:before="0" w:after="200" w:lineRule="auto" w:line="276"/>
      </w:pPr>
      <w:r>
        <w:rPr>
          <w:b/>
        </w:rPr>
        <w:t xml:space="preserve">Abstract (EN): </w:t>
      </w:r>
      <w:r>
        <w:t>Achieving high-density operation is crucial for maximizing the fusion gain factor in future tokamaks. While the Greenwald density limit is widely used, it lacks a first-principles basis and its underlying physics remains under discussion. Recent research suggests that density limit disruptions (DLDs) are closely related to edge-localized evolution rather than only to global density parameters. Machine learning (ML) models can predict disruptions with high accuracy, but their decision rules often remain difficult to interpret. In this work, we developed an interpretable framework for analyzing DLD precursor patterns on J-TEXT. To reduce the possibility that the model simply relies on Greenwald scaling, the Greenwald fraction and core density are deliberately excluded from the input features. Instead, we used features reflecting edge density gradient variation, edge density asymmetry, impurity radiation, recycling, and MHD activity. The model achieves high predictive performance, with a shot-level AUC of 0.9791, TPR of 98.65%, and FPR of 6.67%. Compared with fGW, which mainly characterizes the global density level, the interpretability analysis shows that the model responds to changes in edge density and radiation states. A high-field side (HFS)-dominated DenAsym1 state tends to increase the model output toward the DLD class, while lower CIIIAsym1 values, corresponding to a low-field side (LFS)-dominated CIII radiation state, also contribute positively to DLD classification. Further analysis shows that an intermediate Den_ngrad range receives strong positive attribution when accompanied by HFS-dominated density asymmetry and LFS-dominated CIII radiation, indicating a coupled edge precursor pattern. A representative case analysis further shows that edge density asymmetry evolution, density gradient variation, and CIII radiation asymmetry evolution appear together during the pre-disruption edge evolution. This study demonstrates that interpretable ML can extract statistically supported edge precursor patterns and guide further physics-based analysis of DLDs.</w:t>
      </w:r>
    </w:p>
    <w:p>
      <w:pPr>
        <w:spacing w:before="120" w:after="120"/>
      </w:pPr>
      <w:r>
        <w:rPr>
          <w:sz w:val="18"/>
        </w:rPr>
        <w:t>——————————————————————————————————————————————————————————————————————</w:t>
      </w:r>
    </w:p>
    <w:p>
      <w:pPr>
        <w:spacing w:before="160" w:after="40" w:line="240" w:lineRule="auto"/>
      </w:pPr>
      <w:r>
        <w:rPr>
          <w:b/>
        </w:rPr>
        <w:t xml:space="preserve">[16] </w:t>
      </w:r>
      <w:hyperlink r:id="rId369">
        <w:r>
          <w:rPr>
            <w:color w:val="1155CC"/>
            <w:u w:val="single"/>
          </w:rPr>
          <w:t>了解 DIII-D 托卡马克高功率螺旋放电期间源自螺旋天线表面的碳来源和传输*</w:t>
        </w:r>
      </w:hyperlink>
    </w:p>
    <w:p>
      <w:pPr>
        <w:spacing w:before="0" w:after="80"/>
      </w:pPr>
      <w:r>
        <w:rPr>
          <w:i/>
          <w:sz w:val="20"/>
        </w:rPr>
        <w:t>EN: Understanding carbon sourcing and transport originating from the helicon antenna surfaces during high-power helicon discharge in DIII-D Tokamak *</w:t>
      </w:r>
    </w:p>
    <w:p>
      <w:pPr>
        <w:spacing w:before="0" w:after="120"/>
      </w:pPr>
      <w:r>
        <w:rPr>
          <w:b/>
        </w:rPr>
        <w:t xml:space="preserve">Source: </w:t>
      </w:r>
      <w:r>
        <w:t>Nuclear Fusion - latest papers</w:t>
      </w:r>
      <w:r>
        <w:t xml:space="preserve">    </w:t>
      </w:r>
      <w:r>
        <w:rPr>
          <w:b/>
        </w:rPr>
        <w:t xml:space="preserve">Pub date: </w:t>
      </w:r>
      <w:r>
        <w:t>2026-08-11 23:00:00+00:00</w:t>
      </w:r>
      <w:r>
        <w:t xml:space="preserve">    </w:t>
      </w:r>
      <w:r>
        <w:rPr>
          <w:b/>
        </w:rPr>
        <w:t xml:space="preserve">DOI: </w:t>
      </w:r>
      <w:hyperlink r:id="rId370">
        <w:r>
          <w:rPr>
            <w:color w:val="1155CC"/>
            <w:u w:val="single"/>
          </w:rPr>
          <w:t>10.1088/1741-4326/ae9322</w:t>
        </w:r>
      </w:hyperlink>
    </w:p>
    <w:p>
      <w:pPr>
        <w:spacing w:before="0" w:after="120"/>
      </w:pPr>
      <w:r>
        <w:rPr>
          <w:b/>
        </w:rPr>
        <w:t xml:space="preserve">Notes: </w:t>
      </w:r>
      <w:r>
        <w:t>abstract_source=rss_description</w:t>
      </w:r>
    </w:p>
    <w:p>
      <w:pPr>
        <w:spacing w:before="0" w:after="80" w:lineRule="auto" w:line="276"/>
      </w:pPr>
      <w:r>
        <w:rPr>
          <w:b/>
        </w:rPr>
        <w:t xml:space="preserve">摘要（ZH）: </w:t>
      </w:r>
      <w:r>
        <w:t>DIII-D 托卡马克中的高功率螺旋波系统可能会带来新的等离子体-材料相互作用 (PMI) 挑战，因为天线和周围面向等离子体的组件附近会产生整流射频 (RF) 鞘电位。我们首次将 STRIPE（射频杂质产生和发射的模拟传输）框架应用于螺旋诱导 PMI，通过结合净侵蚀、局部再沉积和三维 (3D) 全局杂质传输，扩展了之前 ICRH 天线的 STRIPE 研究。集成工作流程结合了 SOLPS、COMSOL、RustBCA、GITR 和 GITRm，以模拟具有不同天线等离子体间隙、耦合射频功率和边缘等离子体条件的两个实验约束 DIII-D H 模式螺旋操作场景的碳侵蚀、再沉积和杂质传输。 COMSOL 预测天线下部附近的整流射频鞘电位为 1–5 kV，此处磁场以掠入射的方式与表面相交。碳自溅射在侵蚀源中占主导地位，而射频加速 D 离子约占总侵蚀的 1%。较小间隙的操作场景表现出明显更强的总侵蚀、增强的局部再沉积（12%）以及由于等离子体可达性增加和更广泛的射频鞘覆盖而导致的更大的受限碳库存。与现有的 DIII-D 测量结果进行比较表明，与螺旋 RF 脉冲相关的全球碳信号没有明显变化，这与表明</w:t>
      </w:r>
    </w:p>
    <w:p>
      <w:pPr>
        <w:spacing w:before="0" w:after="200" w:lineRule="auto" w:line="276"/>
      </w:pPr>
      <w:r>
        <w:rPr>
          <w:b/>
        </w:rPr>
        <w:t xml:space="preserve">Abstract (EN): </w:t>
      </w:r>
      <w:r>
        <w:t>The high-power helicon wave system in the DIII-D tokamak could potentially introduce new plasma-material interaction (PMI) challenges owing to rectified radio-frequency (RF) sheath potentials that develop near the antenna and surrounding plasma-facing components. We present the first application of the STRIPE (Simulated Transport of RF Impurity Production and Emission) framework to helicon-induced PMIs, extending previous STRIPE studies of ICRH antennas by incorporating net erosion, local re-deposition, and three-dimensional (3D) global impurity transport. The integrated workflow couples SOLPS, COMSOL, RustBCA, GITR, and GITRm to simulate carbon erosion, re-deposition, and impurity transport for two experimentally constrained DIII-D H-mode helicon operating scenarios with different antenna–plasma gaps, coupled RF powers, and edge plasma conditions. COMSOL predicts rectified RF sheath potentials of 1–5 kV localized near the lower portion of the antenna, where the magnetic field intersects the surface at grazing incidence. Carbon self-sputtering dominates the erosion source, whereas RF-accelerated D ions contribute approximately 1% of the total gross erosion. The smaller-gap operating scenario exhibits substantially stronger gross erosion, enhanced local re-deposition ( 12%), and a larger confined carbon inventory owing to increased plasma accessibility and broader RF sheath coverage. Comparison with available DIII-D measurements shows no distinct change in the global carbon signal that correlates with the helicon RF pulse, consistent with the simulations indicating that the helicon-generated carbon source remains small compared with the existing background carbon inventory under the present graphite-wall operating conditions. These results demonstrate the capability of STRIPE to integrate RF sheath modeling, plasma transport, surface interaction physics, and 3D impurity transport for the interpretation of helicon-induced PMIs. The study further identifies the principal sources of modeling uncertainty, including grazing-angle RF sheath physics, slow-wave resolution, plasma-background extrapolation, and trace-impurity transport assumptions, providing a framework for future validation and model development.</w:t>
      </w:r>
    </w:p>
    <w:p>
      <w:pPr>
        <w:spacing w:before="120" w:after="120"/>
      </w:pPr>
      <w:r>
        <w:rPr>
          <w:sz w:val="18"/>
        </w:rPr>
        <w:t>——————————————————————————————————————————————————————————————————————</w:t>
      </w:r>
    </w:p>
    <w:p>
      <w:pPr>
        <w:spacing w:before="160" w:after="40" w:line="240" w:lineRule="auto"/>
      </w:pPr>
      <w:r>
        <w:rPr>
          <w:b/>
        </w:rPr>
        <w:t xml:space="preserve">[17] </w:t>
      </w:r>
      <w:hyperlink r:id="rId371">
        <w:r>
          <w:rPr>
            <w:color w:val="1155CC"/>
            <w:u w:val="single"/>
          </w:rPr>
          <w:t>缩放 Z 箍缩内爆中预置磁瑞利泰勒不稳定性的动力学相似性的实验演示</w:t>
        </w:r>
      </w:hyperlink>
    </w:p>
    <w:p>
      <w:pPr>
        <w:spacing w:before="0" w:after="80"/>
      </w:pPr>
      <w:r>
        <w:rPr>
          <w:i/>
          <w:sz w:val="20"/>
        </w:rPr>
        <w:t>EN: Experimental Demonstration of Dynamical Similarity of the Preseeded Magneto-Rayleigh-Taylor Instability in Scaled Z-Pinch Implosions</w:t>
      </w:r>
    </w:p>
    <w:p>
      <w:pPr>
        <w:spacing w:before="0" w:after="120"/>
      </w:pPr>
      <w:r>
        <w:rPr>
          <w:b/>
        </w:rPr>
        <w:t xml:space="preserve">Source: </w:t>
      </w:r>
      <w:r>
        <w:t>Recent Articles in Phys. Rev. Lett.</w:t>
      </w:r>
      <w:r>
        <w:t xml:space="preserve">    </w:t>
      </w:r>
      <w:r>
        <w:rPr>
          <w:b/>
        </w:rPr>
        <w:t xml:space="preserve">Pub date: </w:t>
      </w:r>
      <w:r>
        <w:t>2026-08-12 10:00:00+00:00</w:t>
      </w:r>
      <w:r>
        <w:t xml:space="preserve">    </w:t>
      </w:r>
      <w:r>
        <w:rPr>
          <w:b/>
        </w:rPr>
        <w:t xml:space="preserve">DOI: </w:t>
      </w:r>
      <w:hyperlink r:id="rId372">
        <w:r>
          <w:rPr>
            <w:color w:val="1155CC"/>
            <w:u w:val="single"/>
          </w:rPr>
          <w:t>10.1103/4ydv-bc75</w:t>
        </w:r>
      </w:hyperlink>
    </w:p>
    <w:p>
      <w:pPr>
        <w:spacing w:before="0" w:after="120"/>
      </w:pPr>
      <w:r>
        <w:rPr>
          <w:b/>
        </w:rPr>
        <w:t xml:space="preserve">Notes: </w:t>
      </w:r>
      <w:r>
        <w:t>abstract_source=rss_description</w:t>
      </w:r>
    </w:p>
    <w:p>
      <w:pPr>
        <w:spacing w:before="0" w:after="80" w:lineRule="auto" w:line="276"/>
      </w:pPr>
      <w:r>
        <w:rPr>
          <w:b/>
        </w:rPr>
        <w:t xml:space="preserve">摘要（ZH）: </w:t>
      </w:r>
      <w:r>
        <w:t>作者：D. E. Ruiz 等人。 随着热核点火的实现，人们对提高惯性约束聚变 (ICF) 系统的性能产生了兴趣，以达到高聚变产量和高能量增益，以用于能源生产。实现这一目标的一种方法是磁直接驱动 (MDD) ICF，其中磁……[物理。莱特牧师。 137, 075102] 2026 年 8 月 12 日星期三发布</w:t>
      </w:r>
    </w:p>
    <w:p>
      <w:pPr>
        <w:spacing w:before="0" w:after="200" w:lineRule="auto" w:line="276"/>
      </w:pPr>
      <w:r>
        <w:rPr>
          <w:b/>
        </w:rPr>
        <w:t xml:space="preserve">Abstract (EN): </w:t>
      </w:r>
      <w:r>
        <w:t>Author(s): D. E. Ruiz et al.With the achievement of thermonuclear ignition, there is interest to increase the performance of inertial-confinement-fusion (ICF) systems to reach high fusion yields and high-energy gain for energy-production purposes. One approach to achieve this is magnetic-direct-drive (MDD) ICF, where magnetic …[Phys. Rev. Lett. 137, 075102] Published Wed Aug 12, 2026</w:t>
      </w:r>
    </w:p>
    <w:p>
      <w:pPr>
        <w:spacing w:before="120" w:after="120"/>
      </w:pPr>
      <w:r>
        <w:rPr>
          <w:sz w:val="18"/>
        </w:rPr>
        <w:t>——————————————————————————————————————————————————————————————————————</w:t>
      </w:r>
    </w:p>
    <w:p>
      <w:pPr>
        <w:spacing w:before="160" w:after="40" w:line="240" w:lineRule="auto"/>
      </w:pPr>
      <w:r>
        <w:rPr>
          <w:b/>
        </w:rPr>
        <w:t xml:space="preserve">[18] </w:t>
      </w:r>
      <w:hyperlink r:id="rId373">
        <w:r>
          <w:rPr>
            <w:color w:val="1155CC"/>
            <w:u w:val="single"/>
          </w:rPr>
          <w:t>NBI 驱动的等离子体电流对注入仿星器 TJ-II 的低温颗粒烧蚀光轮廓的影响</w:t>
        </w:r>
      </w:hyperlink>
    </w:p>
    <w:p>
      <w:pPr>
        <w:spacing w:before="0" w:after="80"/>
      </w:pPr>
      <w:r>
        <w:rPr>
          <w:i/>
          <w:sz w:val="20"/>
        </w:rPr>
        <w:t>EN: The influence of NBI-driven plasma current on ablation light profiles of cryogenic pellets injected into the stellarator TJ-II</w:t>
      </w:r>
    </w:p>
    <w:p>
      <w:pPr>
        <w:spacing w:before="0" w:after="120"/>
      </w:pPr>
      <w:r>
        <w:rPr>
          <w:b/>
        </w:rPr>
        <w:t xml:space="preserve">Source: </w:t>
      </w:r>
      <w:r>
        <w:t>Nuclear Fusion - latest papers</w:t>
      </w:r>
      <w:r>
        <w:t xml:space="preserve">    </w:t>
      </w:r>
      <w:r>
        <w:rPr>
          <w:b/>
        </w:rPr>
        <w:t xml:space="preserve">Pub date: </w:t>
      </w:r>
      <w:r>
        <w:t>2026-08-12 23:00:00+00:00</w:t>
      </w:r>
      <w:r>
        <w:t xml:space="preserve">    </w:t>
      </w:r>
      <w:r>
        <w:rPr>
          <w:b/>
        </w:rPr>
        <w:t xml:space="preserve">DOI: </w:t>
      </w:r>
      <w:hyperlink r:id="rId374">
        <w:r>
          <w:rPr>
            <w:color w:val="1155CC"/>
            <w:u w:val="single"/>
          </w:rPr>
          <w:t>10.1088/1741-4326/ae91fb</w:t>
        </w:r>
      </w:hyperlink>
    </w:p>
    <w:p>
      <w:pPr>
        <w:spacing w:before="0" w:after="120"/>
      </w:pPr>
      <w:r>
        <w:rPr>
          <w:b/>
        </w:rPr>
        <w:t xml:space="preserve">Notes: </w:t>
      </w:r>
      <w:r>
        <w:t>abstract_source=rss_description</w:t>
      </w:r>
    </w:p>
    <w:p>
      <w:pPr>
        <w:spacing w:before="0" w:after="80" w:lineRule="auto" w:line="276"/>
      </w:pPr>
      <w:r>
        <w:rPr>
          <w:b/>
        </w:rPr>
        <w:t xml:space="preserve">摘要（ZH）: </w:t>
      </w:r>
      <w:r>
        <w:t>高效的等离子体核心燃料对于磁约束聚变 (MCF) 至关重要。设想的技术是低温颗粒喷射，其中小圆柱体的燃料冰被高速喷射到受限等离子体中。事实上，喷射器目前在许多托卡马克和仿星器设备上运行。当颗粒渗透到等离子体中时，其表面会被颗粒冲击烧蚀，颗粒的烧蚀率以及渗透深度主要由等离子体电子温度决定，在较小程度上由电子密度决定。在烧蚀过程中，从颗粒周围的中性云发出的巴尔默光提供了一种量化烧蚀并确定其穿透深度的方法。重建的发射轮廓通常表现出叠加结构，例如条纹。在仿星器 TJ-II 中，记录了烧蚀光注入其各种磁性配置的情况。在审查其颗粒数据库中通过平衡/不平衡中性束注入加热的选定磁性配置的信号后，偶尔会在信号中发现无法仅用等离子体参数变化来解释的大型可重复瞬态结构。这里认为它们的出现可能与核心区域低阶有理面的径向位置有关。此外，还表明，当旋转变换轮廓被净等离子体电流修改时，结构出现在烧蚀光信号中或从烧蚀光信号中消失。针对选定的磁体，提供了具有和不具有结构的烧蚀发射剖面的示例。</w:t>
      </w:r>
    </w:p>
    <w:p>
      <w:pPr>
        <w:spacing w:before="0" w:after="200" w:lineRule="auto" w:line="276"/>
      </w:pPr>
      <w:r>
        <w:rPr>
          <w:b/>
        </w:rPr>
        <w:t xml:space="preserve">Abstract (EN): </w:t>
      </w:r>
      <w:r>
        <w:t>Efficient plasma core fuelling is critical for magnetic confinement fusion (MCF). The envisaged technology is cryogenic pellet injection where small cylinders of fuel ice are injected at high speed into the confined plasma. Indeed, injectors are operated currently on many tokamak and stellarator devices. As a pellet penetrates into plasma its surface is ablated by particle impacts, the pellet’s ablation rate and, hence penetration depth, being determined primarily by plasma electron temperature and, to a lesser extent, by electron density. During ablation, Balmer light emitted from the neutral cloud that surrounds a pellet provides a means to quantify ablation and to determine its penetration depth. Reconstructed emission profiles often exhibit overlying structures such as striations. In the stellarator TJ-II, ablation light has been recorded for injections into a broad range of its magnetic configurations. After reviewing signals in its pellet database for selected magnetic configurations heated by balanced/unbalanced neutral beam injection, large reproducible transient structures, that cannot be explained by plasma parameter variations alone, are found occasionally in signals. It is argued here that their occurrence can be associated with the radial locations of low-order rational surfaces in the core region. Moreover, it is shown that structures appear in, or disappear from, ablation light signals as the rotational transform profile is modified by the net plasma current. Examples of ablation emission profiles with and without structures are presented for selected magnetic configurations and Neutral Beam Injector heating set-ups and the radial locations of significant structures are compared with predicted locations for low-order rational surfaces. Finally, implications of these observations for pellet injection are discussed.</w:t>
      </w:r>
    </w:p>
    <w:p>
      <w:pPr>
        <w:spacing w:before="120" w:after="120"/>
      </w:pPr>
      <w:r>
        <w:rPr>
          <w:sz w:val="18"/>
        </w:rPr>
        <w:t>——————————————————————————————————————————————————————————————————————</w:t>
      </w:r>
    </w:p>
    <w:p>
      <w:pPr>
        <w:spacing w:before="160" w:after="40" w:line="240" w:lineRule="auto"/>
      </w:pPr>
      <w:r>
        <w:rPr>
          <w:b/>
        </w:rPr>
        <w:t xml:space="preserve">[19] </w:t>
      </w:r>
      <w:hyperlink r:id="rId375">
        <w:r>
          <w:rPr>
            <w:color w:val="1155CC"/>
            <w:u w:val="single"/>
          </w:rPr>
          <w:t>m/n=2/1模式RMP对J-TEXT中断时失控电流抑制的实验研究</w:t>
        </w:r>
      </w:hyperlink>
    </w:p>
    <w:p>
      <w:pPr>
        <w:spacing w:before="0" w:after="80"/>
      </w:pPr>
      <w:r>
        <w:rPr>
          <w:i/>
          <w:sz w:val="20"/>
        </w:rPr>
        <w:t>EN: Experimental study of m/n=2/1 mode RMP on the runaway current suppression during disruptions on J-TEXT</w:t>
      </w:r>
    </w:p>
    <w:p>
      <w:pPr>
        <w:spacing w:before="0" w:after="120"/>
      </w:pPr>
      <w:r>
        <w:rPr>
          <w:b/>
        </w:rPr>
        <w:t xml:space="preserve">Source: </w:t>
      </w:r>
      <w:r>
        <w:t>Nuclear Fusion - latest papers</w:t>
      </w:r>
      <w:r>
        <w:t xml:space="preserve">    </w:t>
      </w:r>
      <w:r>
        <w:rPr>
          <w:b/>
        </w:rPr>
        <w:t xml:space="preserve">Pub date: </w:t>
      </w:r>
      <w:r>
        <w:t>2026-08-12 23:00:00+00:00</w:t>
      </w:r>
      <w:r>
        <w:t xml:space="preserve">    </w:t>
      </w:r>
      <w:r>
        <w:rPr>
          <w:b/>
        </w:rPr>
        <w:t xml:space="preserve">DOI: </w:t>
      </w:r>
      <w:hyperlink r:id="rId376">
        <w:r>
          <w:rPr>
            <w:color w:val="1155CC"/>
            <w:u w:val="single"/>
          </w:rPr>
          <w:t>10.1088/1741-4326/ae9325</w:t>
        </w:r>
      </w:hyperlink>
    </w:p>
    <w:p>
      <w:pPr>
        <w:spacing w:before="0" w:after="120"/>
      </w:pPr>
      <w:r>
        <w:rPr>
          <w:b/>
        </w:rPr>
        <w:t xml:space="preserve">Notes: </w:t>
      </w:r>
      <w:r>
        <w:t>abstract_source=rss_description</w:t>
      </w:r>
    </w:p>
    <w:p>
      <w:pPr>
        <w:spacing w:before="0" w:after="80" w:lineRule="auto" w:line="276"/>
      </w:pPr>
      <w:r>
        <w:rPr>
          <w:b/>
        </w:rPr>
        <w:t xml:space="preserve">摘要（ZH）: </w:t>
      </w:r>
      <w:r>
        <w:t>在J-TEXT上开展了m/n=2/1模式谐振磁扰动(RMP)对失控电流抑制的系统实验研究。 RMP 在由大量气体注入 (MGI) 故意触发的中断之前应用。实验中，当RMP幅值较低时，其对失控电流的抑制作用较弱。然而，当 RMP 强度足够高以实现模式穿透时，2/1 模式岛的相位对失控电流的形成具有显着影响。已经找到了避免失控电子 (RE) 产生的最佳岛相，其中岛的 O 点靠近 MGI 沉积区域。此外，当穿透持续时间超过约 50 ms 时，可以实现更有效的抑制。在特定的岛相下，即使在中断前不久发生模式穿透，也可以实现 RE 抑制。结果表明，不同的抑制机制在不同的渗透持续时间内占主导地位。对于长穿透持续时间，破坏前剖面修改和破坏过程中增强的磁扰动都有助于 RE 抑制，而对于后期穿透，抑制主要与破坏期间发生的磁扰动相关。这些发现证明了等离子体响应和磁岛演化在高振幅 RMP 缓解 RE 中的重要作用。</w:t>
      </w:r>
    </w:p>
    <w:p>
      <w:pPr>
        <w:spacing w:before="0" w:after="200" w:lineRule="auto" w:line="276"/>
      </w:pPr>
      <w:r>
        <w:rPr>
          <w:b/>
        </w:rPr>
        <w:t xml:space="preserve">Abstract (EN): </w:t>
      </w:r>
      <w:r>
        <w:t>A systematic experimental study of m/n = 2/1 mode resonant magnetic perturbation (RMP) on the runaway current suppression is carried out on J-TEXT. The RMP is applied before disruptions which are deliberately triggered by massive gas injection (MGI). In the experiments, when the RMP amplitude is relatively low, its effect on the suppression of the runaway current is weak. However, when the RMP strength is high enough for mode penetration, the phase of a 2/1 mode island has a significant impact on the runaway current formation. The optimal island phase for avoiding runaway electron (RE) generation has been found, where the island’s O-point is close to the MGI deposition region. In addition, more effective suppression is achieved when the penetration duration exceeds approximately 50 ms. Under a specific island phase, RE suppression can also be achieved even when mode penetration occurs shortly before the disruption. The results suggest that different suppression mechanisms dominate at different penetration durations. For long penetration durations, both pre-disruption profile modification and enhanced magnetic perturbations during disruption contribute to RE suppression, whereas for late penetration the suppression is mainly associated with magnetic perturbations developing during the disruption. These findings demonstrate the important role of plasma response and magnetic island evolution in RE mitigation by high-amplitude RMP.</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377">
        <w:r>
          <w:rPr>
            <w:color w:val="1155CC"/>
            <w:u w:val="single"/>
          </w:rPr>
          <w:t>用于在 8.87 mA cm–2 下甘油辅助制氢的氧化铁光电阳极</w:t>
        </w:r>
      </w:hyperlink>
    </w:p>
    <w:p>
      <w:pPr>
        <w:spacing w:before="0" w:after="80"/>
      </w:pPr>
      <w:r>
        <w:rPr>
          <w:i/>
          <w:sz w:val="20"/>
        </w:rPr>
        <w:t>EN: Iron Oxide Photoanode for Glycerol-Assisted Hydrogen Production at 8.87 mA cm–2</w:t>
      </w:r>
    </w:p>
    <w:p>
      <w:pPr>
        <w:spacing w:before="0" w:after="120"/>
      </w:pPr>
      <w:r>
        <w:rPr>
          <w:b/>
        </w:rPr>
        <w:t xml:space="preserve">Source: </w:t>
      </w:r>
      <w:r>
        <w:t>Physical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氧化铁（α-Fe2O3）因其丰富、合适的带隙和在水中的稳定性而成为光电化学水分解中一种有吸引力的光阳极，但其实际应用仍然受到电荷传输差和水氧化缓慢的限制。在这里，我们表明，可以使用 Ge 和 Ti 共掺杂 Fe2O3 光阳极来解决这些限制，该光阳极将甘油氧化与模拟单太阳光照（100 mW cm-2）下的阴极析氢耦合起来。在含有 2.0 M 甘油的 1.0 M NaOH 中，与可逆氢电极相比，光阳极在 1.23 V 电压下的光电流密度为 8.87 mA cm-2，高于 8.1 mA cm-2 的实际基准。 Ge的掺入还使得甘油能够选择性氧化为丙三醇酸，丙三醇氧化的增值产物。电化学分析和密度泛函理论计算表明，Ge 和 Ti 共掺杂提高了电荷利用率，同时 Ge 还促进了丙醇二酸形成途径。</w:t>
      </w:r>
    </w:p>
    <w:p>
      <w:pPr>
        <w:spacing w:before="0" w:after="200" w:lineRule="auto" w:line="276"/>
      </w:pPr>
      <w:r>
        <w:rPr>
          <w:b/>
        </w:rPr>
        <w:t xml:space="preserve">Abstract (EN): </w:t>
      </w:r>
      <w:r>
        <w:t>Iron oxide (α-Fe2O3) is an attractive photoanode for photoelectrochemical water splitting because of its abundance, suitable band gap, and stability in water, yet its practical use remains limited by poor charge transport and sluggish water oxidation. Here we show that these limitations can be addressed using a Ge and Ti co-doped Fe2O3 photoanode that couples glycerol oxidation with cathodic hydrogen evolution under simulated one-sun illumination (100 mW cm–2). In 1.0 M NaOH containing 2.0 M glycerol, the photoanode delivers a photocurrent density of 8.87 mA cm–2 at 1.23 V versus the reversible hydrogen electrode, above the practical benchmark of 8.1 mA cm–2. Ge incorporation also enables selective oxidation of glycerol to tartronic acid, a value-added product of glycerol oxidation. Electrochemical analyses and density functional theory calculations suggest that Ge and Ti co-doping improves charge utilisation, while Ge additionally promotes the tartronic acid-forming pathway.</w:t>
      </w:r>
    </w:p>
    <w:p>
      <w:pPr>
        <w:spacing w:before="120" w:after="120"/>
      </w:pPr>
      <w:r>
        <w:rPr>
          <w:sz w:val="18"/>
        </w:rPr>
        <w:t>——————————————————————————————————————————————————————————————————————</w:t>
      </w:r>
    </w:p>
    <w:p>
      <w:pPr>
        <w:spacing w:before="160" w:after="40" w:line="240" w:lineRule="auto"/>
      </w:pPr>
      <w:r>
        <w:rPr>
          <w:b/>
        </w:rPr>
        <w:t xml:space="preserve">[2] </w:t>
      </w:r>
      <w:hyperlink r:id="rId378">
        <w:r>
          <w:rPr>
            <w:color w:val="1155CC"/>
            <w:u w:val="single"/>
          </w:rPr>
          <w:t>过去十年微生物氢技术的评估：它是面向未来的技术吗？</w:t>
        </w:r>
      </w:hyperlink>
    </w:p>
    <w:p>
      <w:pPr>
        <w:spacing w:before="0" w:after="80"/>
      </w:pPr>
      <w:r>
        <w:rPr>
          <w:i/>
          <w:sz w:val="20"/>
        </w:rPr>
        <w:t>EN: Assessment of microbial hydrogen technologies over the last decade: is it a future-ready technology?</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379">
        <w:r>
          <w:rPr>
            <w:color w:val="1155CC"/>
            <w:u w:val="single"/>
          </w:rPr>
          <w:t>10.1016/j.apenergy.2026.128510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380">
        <w:r>
          <w:rPr>
            <w:color w:val="1155CC"/>
            <w:u w:val="single"/>
          </w:rPr>
          <w:t>富勒烯-哑铃三联体中的电子离域：协同优化载流子动力学以促进光催化析氢</w:t>
        </w:r>
      </w:hyperlink>
    </w:p>
    <w:p>
      <w:pPr>
        <w:spacing w:before="0" w:after="80"/>
      </w:pPr>
      <w:r>
        <w:rPr>
          <w:i/>
          <w:sz w:val="20"/>
        </w:rPr>
        <w:t>EN: Electron delocalization in a fullerene-dumbbell triad: synergistically optimizing carrier dynamics for boosting photocatalytic hydrogen evolution</w:t>
      </w:r>
    </w:p>
    <w:p>
      <w:pPr>
        <w:spacing w:before="0" w:after="120"/>
      </w:pPr>
      <w:r>
        <w:rPr>
          <w:b/>
        </w:rPr>
        <w:t xml:space="preserve">Source: </w:t>
      </w:r>
      <w:r>
        <w:t>National Science Review Advance Access</w:t>
      </w:r>
      <w:r>
        <w:t xml:space="preserve">    </w:t>
      </w:r>
      <w:r>
        <w:rPr>
          <w:b/>
        </w:rPr>
        <w:t xml:space="preserve">Pub date: </w:t>
      </w:r>
      <w:r>
        <w:t>2026-08-07 00:00:00+00:00</w:t>
      </w:r>
      <w:r>
        <w:t xml:space="preserve">    </w:t>
      </w:r>
      <w:r>
        <w:rPr>
          <w:b/>
        </w:rPr>
        <w:t xml:space="preserve">DOI: </w:t>
      </w:r>
      <w:hyperlink r:id="rId381">
        <w:r>
          <w:rPr>
            <w:color w:val="1155CC"/>
            <w:u w:val="single"/>
          </w:rPr>
          <w:t>10.1093/nsr/nwag479</w:t>
        </w:r>
      </w:hyperlink>
    </w:p>
    <w:p>
      <w:pPr>
        <w:spacing w:before="0" w:after="120"/>
      </w:pPr>
      <w:r>
        <w:rPr>
          <w:b/>
        </w:rPr>
        <w:t xml:space="preserve">Notes: </w:t>
      </w:r>
      <w:r>
        <w:t>abstract_source=rss_oup</w:t>
      </w:r>
    </w:p>
    <w:p>
      <w:pPr>
        <w:spacing w:before="0" w:after="80" w:lineRule="auto" w:line="276"/>
      </w:pPr>
      <w:r>
        <w:rPr>
          <w:b/>
        </w:rPr>
        <w:t xml:space="preserve">摘要（ZH）: </w:t>
      </w:r>
      <w:r>
        <w:t>由于固有的低电子迁移率和高激子结合能，有机光催化剂通常会受到载流子动力学的影响，从而限制了有效的光转换。在此，我们通过使用基于富勒烯的哑铃三联体 B2（由二噻吩并吡咯并苯并噻二唑供体和两个 C60 受体组成）调节电子离域来协同优化载流子动力学。稳态和瞬态光电化学测量证实，与单富勒烯基 B1 和十二烷基改性哑铃对应物 B3 相比，B2 纳米颗粒表现出明显的电子离域性。这种效应显着降低了激子结合能，增强了电子迁移率，延长了载流子寿命并延长了其分子间扩散长度，从而协同优化了载流子的产生、传输和利用。因此，B2的光催化析氢速率显着提高（136 mmol g−1 h−1），是B1的17.4倍，在高性能单组分光催化剂中具有竞争力。这项工作提供了一种优化光生载流子动力学的新策略，并阐明了电子离域在促进光转换中的关键作用。</w:t>
      </w:r>
    </w:p>
    <w:p>
      <w:pPr>
        <w:spacing w:before="0" w:after="200" w:lineRule="auto" w:line="276"/>
      </w:pPr>
      <w:r>
        <w:rPr>
          <w:b/>
        </w:rPr>
        <w:t xml:space="preserve">Abstract (EN): </w:t>
      </w:r>
      <w:r>
        <w:t>Organic photocatalysts typically suffer from compromised carrier dynamics due to inherently low electron mobility and high exciton binding energy, limiting efficient photoconversion. Herein, we synergistically optimize carrier dynamics by modulating electron delocalization using a fullerene-based dumbbell-triad, B2, consisting of a dithienopyrrolobenzothiadiazole donor and two C60 acceptors. Steady-state and transient photoelectrochemical measurements confirm that, compared to the mono-fullerene-based B1 and the dodecyl-modified dumbbell-counterpart B3, B2 nanoparticles exhibit pronounced electron delocalization. This effect significantly reduces the exciton binding energy, enhances the electron mobility, prolongs the carrier lifetime and extends its intermolecular diffusion length, thereby synergistically optimizing charge-carrier generation, transport, and utilization. Consequently, B2 exhibits a markedly improved photocatalytic hydrogen evolution rate (136 mmol g−1 h−1), surpassing B1 by 17.4 times, positioning it competitively among high-performing single-component photocatalysts. This work provides a novel strategy for optimizing photogenerated carrier dynamics, and elucidates the critical role of electron delocalization in boosting photoconversion.</w:t>
      </w:r>
    </w:p>
    <w:p>
      <w:pPr>
        <w:spacing w:before="120" w:after="120"/>
      </w:pPr>
      <w:r>
        <w:rPr>
          <w:sz w:val="18"/>
        </w:rPr>
        <w:t>——————————————————————————————————————————————————————————————————————</w:t>
      </w:r>
    </w:p>
    <w:p>
      <w:pPr>
        <w:spacing w:before="160" w:after="40" w:line="240" w:lineRule="auto"/>
      </w:pPr>
      <w:r>
        <w:rPr>
          <w:b/>
        </w:rPr>
        <w:t xml:space="preserve">[4] </w:t>
      </w:r>
      <w:hyperlink r:id="rId382">
        <w:r>
          <w:rPr>
            <w:color w:val="1155CC"/>
            <w:u w:val="single"/>
          </w:rPr>
          <w:t>氢和电池存储电网互动混合能源系统的分层协调优化</w:t>
        </w:r>
      </w:hyperlink>
    </w:p>
    <w:p>
      <w:pPr>
        <w:spacing w:before="0" w:after="80"/>
      </w:pPr>
      <w:r>
        <w:rPr>
          <w:i/>
          <w:sz w:val="20"/>
        </w:rPr>
        <w:t>EN: Hierarchical coordination optimization for grid-interactive hybrid energy systems with hydrogen and battery storage</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383">
        <w:r>
          <w:rPr>
            <w:color w:val="1155CC"/>
            <w:u w:val="single"/>
          </w:rPr>
          <w:t>10.1016/j.apenergy.2026.128529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292">
        <w:r>
          <w:rPr>
            <w:color w:val="1155CC"/>
            <w:u w:val="single"/>
          </w:rPr>
          <w:t>在氨合成回路中使用熔盐热能存储重新配置可再生电力制氨系统的灵活性：协调的电氢热调度方法</w:t>
        </w:r>
      </w:hyperlink>
    </w:p>
    <w:p>
      <w:pPr>
        <w:spacing w:before="0" w:after="80"/>
      </w:pPr>
      <w:r>
        <w:rPr>
          <w:i/>
          <w:sz w:val="20"/>
        </w:rPr>
        <w:t>EN: Reconfiguring flexibility in renewable power-to-ammonia systems using molten-salt thermal energy storage in the ammonia synthesis loop: A coordinated electro‑hydrogen-thermal scheduling approach</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293">
        <w:r>
          <w:rPr>
            <w:color w:val="1155CC"/>
            <w:u w:val="single"/>
          </w:rPr>
          <w:t>10.1016/j.apenergy.2026.128609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384">
        <w:r>
          <w:rPr>
            <w:color w:val="1155CC"/>
            <w:u w:val="single"/>
          </w:rPr>
          <w:t>欧盟的环境税和生物燃料生产：不同生产商规模的异质效应</w:t>
        </w:r>
      </w:hyperlink>
    </w:p>
    <w:p>
      <w:pPr>
        <w:spacing w:before="0" w:after="80"/>
      </w:pPr>
      <w:r>
        <w:rPr>
          <w:i/>
          <w:sz w:val="20"/>
        </w:rPr>
        <w:t>EN: Environmental taxation and biofuel production in the EU: Heterogeneous effects across producer scales</w:t>
      </w:r>
    </w:p>
    <w:p>
      <w:pPr>
        <w:spacing w:before="0" w:after="120"/>
      </w:pPr>
      <w:r>
        <w:rPr>
          <w:b/>
        </w:rPr>
        <w:t xml:space="preserve">Source: </w:t>
      </w:r>
      <w:r>
        <w:t>ScienceDirect Publication: Energy Policy</w:t>
      </w:r>
      <w:r>
        <w:t xml:space="preserve">    </w:t>
      </w:r>
      <w:r>
        <w:rPr>
          <w:b/>
        </w:rPr>
        <w:t xml:space="preserve">Pub date: </w:t>
      </w:r>
      <w:r>
        <w:t>2026-08-07 00:00:00+00:00</w:t>
      </w:r>
      <w:r>
        <w:t xml:space="preserve">    </w:t>
      </w:r>
      <w:r>
        <w:rPr>
          <w:b/>
        </w:rPr>
        <w:t xml:space="preserve">DOI: </w:t>
      </w:r>
      <w:hyperlink r:id="rId385">
        <w:r>
          <w:rPr>
            <w:color w:val="1155CC"/>
            <w:u w:val="single"/>
          </w:rPr>
          <w:t>10.1016/j.enpol.2026.115525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386">
        <w:r>
          <w:rPr>
            <w:color w:val="1155CC"/>
            <w:u w:val="single"/>
          </w:rPr>
          <w:t>离子表面活性剂在微滴界面固氮中的重要作用</w:t>
        </w:r>
      </w:hyperlink>
    </w:p>
    <w:p>
      <w:pPr>
        <w:spacing w:before="0" w:after="80"/>
      </w:pPr>
      <w:r>
        <w:rPr>
          <w:i/>
          <w:sz w:val="20"/>
        </w:rPr>
        <w:t>EN: Essential Role of Ionic Surfactants in Nitrogen Fixation at the Interface of Microdroplets</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387">
        <w:r>
          <w:rPr>
            <w:color w:val="1155CC"/>
            <w:u w:val="single"/>
          </w:rPr>
          <w:t>10.1021/jacs.6c03518</w:t>
        </w:r>
      </w:hyperlink>
    </w:p>
    <w:p>
      <w:pPr>
        <w:spacing w:before="0" w:after="120"/>
      </w:pPr>
      <w:r>
        <w:rPr>
          <w:b/>
        </w:rPr>
        <w:t xml:space="preserve">Notes: </w:t>
      </w:r>
      <w:r>
        <w:t>abstract_source=crossref</w:t>
      </w:r>
    </w:p>
    <w:p>
      <w:pPr>
        <w:spacing w:before="0" w:after="80" w:lineRule="auto" w:line="276"/>
      </w:pPr>
      <w:r>
        <w:rPr>
          <w:b/>
        </w:rPr>
        <w:t xml:space="preserve">摘要（ZH）: </w:t>
      </w:r>
      <w:r>
        <w:t>摘要 据报道，超声波雾化产生的微滴可以在环境条件下实现无催化剂固氮。然而，其效率仍然较低，并且固定机制，特别是空化和微滴界面反应的作用尚不清楚。在这里，我们采用了带有距离可调塞子的超声波雾化系统来阐明空化和微滴反应在固氮中各自的作用。我们提供了确凿的证据表明，在纯水系统中，先前被忽视的空化过程在固氮过程中占主导地位，而微滴反应的贡献可以忽略不计。值得注意的是，在存在少量离子表面活性剂（例如十二烷基硫酸钠（SDS））的情况下，雾化的微滴变得非常活跃，将氮氧化成亚硝酸盐和硝酸盐（表示为NOx-）。机制研究进一步表明，活性氧物质（例如羟基自由基）是一种广泛认可的固氮关键活性物质，但并不能解释所观察到的增强作用；相反，在表面活性剂情况下，带电界面处产生的水合电子被提议作为二氮活化的潜在反应物种。这些发现揭示了表面活性剂在改变微滴界面反应性中的重要作用，并为微滴固氮和大气氮循环提供了新的见解。</w:t>
      </w:r>
    </w:p>
    <w:p>
      <w:pPr>
        <w:spacing w:before="0" w:after="200" w:lineRule="auto" w:line="276"/>
      </w:pPr>
      <w:r>
        <w:rPr>
          <w:b/>
        </w:rPr>
        <w:t xml:space="preserve">Abstract (EN): </w:t>
      </w:r>
      <w:r>
        <w:t>Microdroplets produced by ultrasonic atomization have been reported to enable catalyst-free nitrogen fixation under ambient conditions. However, the efficiency is still low, and the fixation mechanism, particularly the role of cavitation and microdroplet interfacial reactions, is not well understood. Here, we employed an ultrasonic atomization system with a distance-adjustable stopper to disentangle the respective roles of cavitation and microdroplet reactions in the nitrogen fixation. We provide solid evidence that in pure water systems, the previously disregarded cavitation process dominates nitrogen fixation, and the contribution of microdroplet reactions is negligible. Remarkably, in the presence of small amounts of ionic surfactants such as sodium dodecyl sulfate (SDS), the atomized microdroplets become substantially reactive for the oxidation of nitrogen to nitrite and nitrate (denoted as NOx–). Mechanism investigations further show that active oxygen species such as hydroxyl radicals, a widely recognized key reactive species for nitrogen fixation, do not account for the observed enhancement; instead, hydrated electrons generated at the charged interfaces are proposed to serve as the underlying reactive species for dinitrogen activation in the surfactant case. These findings reveal the essential role of surfactants in altering microdroplet interfacial reactivity and provide new insights into nitrogen fixation in microdroplets and the atmospheric nitrogen cycle.</w:t>
      </w:r>
    </w:p>
    <w:p>
      <w:pPr>
        <w:spacing w:before="120" w:after="120"/>
      </w:pPr>
      <w:r>
        <w:rPr>
          <w:sz w:val="18"/>
        </w:rPr>
        <w:t>——————————————————————————————————————————————————————————————————————</w:t>
      </w:r>
    </w:p>
    <w:p>
      <w:pPr>
        <w:spacing w:before="160" w:after="40" w:line="240" w:lineRule="auto"/>
      </w:pPr>
      <w:r>
        <w:rPr>
          <w:b/>
        </w:rPr>
        <w:t xml:space="preserve">[8] </w:t>
      </w:r>
      <w:hyperlink r:id="rId388">
        <w:r>
          <w:rPr>
            <w:color w:val="1155CC"/>
            <w:u w:val="single"/>
          </w:rPr>
          <w:t>欧盟的脱碳潜力和电子燃料政策的局限性</w:t>
        </w:r>
      </w:hyperlink>
    </w:p>
    <w:p>
      <w:pPr>
        <w:spacing w:before="0" w:after="80"/>
      </w:pPr>
      <w:r>
        <w:rPr>
          <w:i/>
          <w:sz w:val="20"/>
        </w:rPr>
        <w:t>EN: Decarbonization potential and limits of e-fuel policies in the EU</w:t>
      </w:r>
    </w:p>
    <w:p>
      <w:pPr>
        <w:spacing w:before="0" w:after="120"/>
      </w:pPr>
      <w:r>
        <w:rPr>
          <w:b/>
        </w:rPr>
        <w:t xml:space="preserve">Source: </w:t>
      </w:r>
      <w:r>
        <w:t>ScienceDirect Publication: Energy Policy</w:t>
      </w:r>
      <w:r>
        <w:t xml:space="preserve">    </w:t>
      </w:r>
      <w:r>
        <w:rPr>
          <w:b/>
        </w:rPr>
        <w:t xml:space="preserve">Pub date: </w:t>
      </w:r>
      <w:r>
        <w:t>2026-08-07 00:00:00+00:00</w:t>
      </w:r>
      <w:r>
        <w:t xml:space="preserve">    </w:t>
      </w:r>
      <w:r>
        <w:rPr>
          <w:b/>
        </w:rPr>
        <w:t xml:space="preserve">DOI: </w:t>
      </w:r>
      <w:hyperlink r:id="rId389">
        <w:r>
          <w:rPr>
            <w:color w:val="1155CC"/>
            <w:u w:val="single"/>
          </w:rPr>
          <w:t>10.1016/j.enpol.2026.115529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390">
        <w:r>
          <w:rPr>
            <w:color w:val="1155CC"/>
            <w:u w:val="single"/>
          </w:rPr>
          <w:t>MXene 衍生的高度取向 TiN 使 Ta3N5 光电阳极能够实现传输模式无偏压太阳能水分解</w:t>
        </w:r>
      </w:hyperlink>
    </w:p>
    <w:p>
      <w:pPr>
        <w:spacing w:before="0" w:after="80"/>
      </w:pPr>
      <w:r>
        <w:rPr>
          <w:i/>
          <w:sz w:val="20"/>
        </w:rPr>
        <w:t>EN: MXene‐Derived Highly Oriented TiN Enables Ta3N5 Photoanodes for Transmission‐Mode Bias‐Free Solar Water Splitting</w:t>
      </w:r>
    </w:p>
    <w:p>
      <w:pPr>
        <w:spacing w:before="0" w:after="120"/>
      </w:pPr>
      <w:r>
        <w:rPr>
          <w:b/>
        </w:rPr>
        <w:t xml:space="preserve">Source: </w:t>
      </w:r>
      <w:r>
        <w:t>Wiley: Advanced Energy Materials: Table of Contents</w:t>
      </w:r>
      <w:r>
        <w:t xml:space="preserve">    </w:t>
      </w:r>
      <w:r>
        <w:rPr>
          <w:b/>
        </w:rPr>
        <w:t xml:space="preserve">Pub date: </w:t>
      </w:r>
      <w:r>
        <w:t>2026-08-07 06:45:37+00:00</w:t>
      </w:r>
      <w:r>
        <w:t xml:space="preserve">    </w:t>
      </w:r>
      <w:r>
        <w:rPr>
          <w:b/>
        </w:rPr>
        <w:t xml:space="preserve">DOI: </w:t>
      </w:r>
      <w:hyperlink r:id="rId391">
        <w:r>
          <w:rPr>
            <w:color w:val="1155CC"/>
            <w:u w:val="single"/>
          </w:rPr>
          <w:t>10.1002/aenm.71412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Ta 中光学透明性与光载流子提取之间的不相容性</w:t>
      </w:r>
      <w:r>
        <w:rPr>
          <w:vertAlign w:val="subscript"/>
        </w:rPr>
        <w:t>3</w:t>
      </w:r>
      <w:r>
        <w:t>氮</w:t>
      </w:r>
      <w:r>
        <w:rPr>
          <w:vertAlign w:val="subscript"/>
        </w:rPr>
        <w:t>5</w:t>
      </w:r>
      <w:r>
        <w:t>尽管光阳极本质上是理想的能带结构，但由于严酷的氨解过程而产生的光阳极限制了它们无偏压水分解的潜力。在这里，我们报告了一种基于 2D MXene 衍生 TiN 薄膜的透明且兼容氮化的底部电极。 MXene 衍生的 TiN 的 (111) 择优取向有利于从 Ta 中有效地提取电子</w:t>
      </w:r>
      <w:r>
        <w:rPr>
          <w:vertAlign w:val="subscript"/>
        </w:rPr>
        <w:t>3</w:t>
      </w:r>
      <w:r>
        <w:t>氮</w:t>
      </w:r>
      <w:r>
        <w:rPr>
          <w:vertAlign w:val="subscript"/>
        </w:rPr>
        <w:t>5</w:t>
      </w:r>
      <w:r>
        <w:t>，同时在超薄的厚度下保持高透光率。通过集成</w:t>
      </w:r>
      <w:r>
        <w:t xml:space="preserve"> </w:t>
      </w:r>
      <w:r>
        <w:t>n</w:t>
      </w:r>
      <w:r>
        <w:t xml:space="preserve"> </w:t>
      </w:r>
      <w:r>
        <w:t>‐GaN，我们设计了一种异质结构电子收集器，进一步改善了电荷分离，证实了 Ta 中的定向电子提取</w:t>
      </w:r>
      <w:r>
        <w:rPr>
          <w:vertAlign w:val="subscript"/>
        </w:rPr>
        <w:t>3</w:t>
      </w:r>
      <w:r>
        <w:t>氮</w:t>
      </w:r>
      <w:r>
        <w:rPr>
          <w:vertAlign w:val="subscript"/>
        </w:rPr>
        <w:t>5</w:t>
      </w:r>
      <w:r>
        <w:t>/氮化钛/</w:t>
      </w:r>
      <w:r>
        <w:t>n</w:t>
      </w:r>
      <w:r>
        <w:t xml:space="preserve"> </w:t>
      </w:r>
      <w:r>
        <w:t>‐GaN 通过光电子能谱和载流子动力学研究。透明光电阳极产生 9.2 mA cm 的光电流密度</w:t>
      </w:r>
      <w:r>
        <w:t xml:space="preserve"> </w:t>
      </w:r>
      <w:r>
        <w:t>−2</w:t>
      </w:r>
      <w:r>
        <w:t xml:space="preserve"> </w:t>
      </w:r>
      <w:r>
        <w:t>在 1.23 V 下与用于水氧化的可逆氢电极相比，还可以实现传输模式无偏压太阳能水分解。具有优化带隙匹配的三串联光电化学装置实现了13.2%的太阳能-氢气转化效率，接近理论效率的83%</w:t>
      </w:r>
    </w:p>
    <w:p>
      <w:pPr>
        <w:spacing w:before="0" w:after="200" w:lineRule="auto" w:line="276"/>
      </w:pPr>
      <w:r>
        <w:rPr>
          <w:b/>
        </w:rPr>
        <w:t xml:space="preserve">Abstract (EN): </w:t>
      </w:r>
      <w:r>
        <w:t>The incompatibility between optical transparency and photocarrier extraction in Ta</w:t>
      </w:r>
      <w:r>
        <w:rPr>
          <w:vertAlign w:val="subscript"/>
        </w:rPr>
        <w:t>3</w:t>
      </w:r>
      <w:r>
        <w:t>N</w:t>
      </w:r>
      <w:r>
        <w:rPr>
          <w:vertAlign w:val="subscript"/>
        </w:rPr>
        <w:t>5</w:t>
      </w:r>
      <w:r>
        <w:t>photoanodes, arising from the harsh ammonolysis process, has constrained their potential for bias‐free water splitting, despite intrinsically ideal band structures. Here, we report a transparent and nitridation‐compatible bottom electrode based on 2D MXene‐derived TiN thin films. The (111)‐preferred orientation of MXene‐derived TiN facilitates efficient electron extraction from Ta</w:t>
      </w:r>
      <w:r>
        <w:rPr>
          <w:vertAlign w:val="subscript"/>
        </w:rPr>
        <w:t>3</w:t>
      </w:r>
      <w:r>
        <w:t>N</w:t>
      </w:r>
      <w:r>
        <w:rPr>
          <w:vertAlign w:val="subscript"/>
        </w:rPr>
        <w:t>5</w:t>
      </w:r>
      <w:r>
        <w:t>, while maintaining high optical transmittance at an ultrathin thickness. By integrating with</w:t>
      </w:r>
      <w:r>
        <w:t xml:space="preserve"> </w:t>
      </w:r>
      <w:r>
        <w:t>n</w:t>
      </w:r>
      <w:r>
        <w:t xml:space="preserve"> </w:t>
      </w:r>
      <w:r>
        <w:t>‐GaN, we design a heterostructured electron collector that further improves charge separation, corroborating the directional electron extraction in Ta</w:t>
      </w:r>
      <w:r>
        <w:rPr>
          <w:vertAlign w:val="subscript"/>
        </w:rPr>
        <w:t>3</w:t>
      </w:r>
      <w:r>
        <w:t>N</w:t>
      </w:r>
      <w:r>
        <w:rPr>
          <w:vertAlign w:val="subscript"/>
        </w:rPr>
        <w:t>5</w:t>
      </w:r>
      <w:r>
        <w:t>/TiN/</w:t>
      </w:r>
      <w:r>
        <w:t>n</w:t>
      </w:r>
      <w:r>
        <w:t xml:space="preserve"> </w:t>
      </w:r>
      <w:r>
        <w:t>‐GaN via photoelectron spectroscopy and carrier dynamics studies. The transparent photoanode generates a photocurrent density of 9.2 mA cm</w:t>
      </w:r>
      <w:r>
        <w:t xml:space="preserve"> </w:t>
      </w:r>
      <w:r>
        <w:t>−2</w:t>
      </w:r>
      <w:r>
        <w:t xml:space="preserve"> </w:t>
      </w:r>
      <w:r>
        <w:t>at 1.23 V versus a reversible hydrogen electrode for water oxidation, also enabling transmission‐mode bias‐free solar water splitting. A triple‐tandem photoelectrochemical device with optimized band gap matching achieves a solar‐to‐hydrogen conversion efficiency of 13.2%, approaching 83% of the theoretical limit of Ta</w:t>
      </w:r>
      <w:r>
        <w:rPr>
          <w:vertAlign w:val="subscript"/>
        </w:rPr>
        <w:t>3</w:t>
      </w:r>
      <w:r>
        <w:t>N</w:t>
      </w:r>
      <w:r>
        <w:rPr>
          <w:vertAlign w:val="subscript"/>
        </w:rPr>
        <w:t>5</w:t>
      </w:r>
      <w:r>
        <w:t>. This study opens up an unexplored interface engineering for carrier and light utilization in metal nitrides toward efficient solar hydrogen production.</w:t>
      </w:r>
    </w:p>
    <w:p>
      <w:pPr>
        <w:spacing w:before="120" w:after="120"/>
      </w:pPr>
      <w:r>
        <w:rPr>
          <w:sz w:val="18"/>
        </w:rPr>
        <w:t>——————————————————————————————————————————————————————————————————————</w:t>
      </w:r>
    </w:p>
    <w:p>
      <w:pPr>
        <w:spacing w:before="160" w:after="40" w:line="240" w:lineRule="auto"/>
      </w:pPr>
      <w:r>
        <w:rPr>
          <w:b/>
        </w:rPr>
        <w:t xml:space="preserve">[10] </w:t>
      </w:r>
      <w:hyperlink r:id="rId392">
        <w:r>
          <w:rPr>
            <w:color w:val="1155CC"/>
            <w:u w:val="single"/>
          </w:rPr>
          <w:t>双金属共价有机框架光子突触电催化剂</w:t>
        </w:r>
      </w:hyperlink>
    </w:p>
    <w:p>
      <w:pPr>
        <w:spacing w:before="0" w:after="80"/>
      </w:pPr>
      <w:r>
        <w:rPr>
          <w:i/>
          <w:sz w:val="20"/>
        </w:rPr>
        <w:t>EN: A Bimetallic Covalent Organic Framework Photonic Synaptic Electrocatalysts</w:t>
      </w:r>
    </w:p>
    <w:p>
      <w:pPr>
        <w:spacing w:before="0" w:after="120"/>
      </w:pPr>
      <w:r>
        <w:rPr>
          <w:b/>
        </w:rPr>
        <w:t xml:space="preserve">Source: </w:t>
      </w:r>
      <w:r>
        <w:t>Wiley: Angewandte Chemie International Edition: Table of Contents</w:t>
      </w:r>
      <w:r>
        <w:t xml:space="preserve">    </w:t>
      </w:r>
      <w:r>
        <w:rPr>
          <w:b/>
        </w:rPr>
        <w:t xml:space="preserve">Pub date: </w:t>
      </w:r>
      <w:r>
        <w:t>2026-08-07 13:02:03+00:00</w:t>
      </w:r>
      <w:r>
        <w:t xml:space="preserve">    </w:t>
      </w:r>
      <w:r>
        <w:rPr>
          <w:b/>
        </w:rPr>
        <w:t xml:space="preserve">DOI: </w:t>
      </w:r>
      <w:hyperlink r:id="rId393">
        <w:r>
          <w:rPr>
            <w:color w:val="1155CC"/>
            <w:u w:val="single"/>
          </w:rPr>
          <w:t>10.1002/anie.2636151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子突触电催化剂将催化活性编码为光刺激下可写、可保留的状态，从而实现历史依赖性的性能调节，与间歇性太阳照明和人工代谢学习系统等场景具有潜在相关性。然而，大多数光辅助电催化剂都是无状态的，在光照下仅表现出短暂的活性增强，一旦光被移除，活性增强就会消失。在这里，我们建立了一种基于双金属共价有机框架（Co-Ni─COF）的光子突触电催化剂，其中光刺激将突触信息写入催化状态，而析氧作为严格的功能读出。在电化学反应过程中，Co─Ni─COF表现出强烈的光子突触行为，具有兴奋性突触后电流反应、可调节的突触可塑性、从短期可塑性到长期可塑性的转变、学习-遗忘-再学习行为和长期记忆保留。机理研究表明，这种光写入和保留态源于Co和Ni中心之间电子耦合的加强，促进电荷离域和金属间电荷转移，以及亚稳态Co(III)活性物质与关键含氧中间体(*OOH，*OO)的积累。值得注意的是，大部分增强的催化活性在黑暗中保留了数小时，3 小时后保持比初始状态高约 127%，突显了其在内部环境下高效能量转换的潜力。</w:t>
      </w:r>
    </w:p>
    <w:p>
      <w:pPr>
        <w:spacing w:before="0" w:after="200" w:lineRule="auto" w:line="276"/>
      </w:pPr>
      <w:r>
        <w:rPr>
          <w:b/>
        </w:rPr>
        <w:t xml:space="preserve">Abstract (EN): </w:t>
      </w:r>
      <w:r>
        <w:t>Photonic synaptic electrocatalysts encode catalytic activity as a writable, retainable state under optical stimulation, enabling history‐dependent performance modulation with potential relevance to scenarios such as intermittent solar illumination and artificial metabolic learning systems. However, most photo‐assisted electrocatalysts are stateless, showing only transient activity enhancement under illumination that vanishes once the light is removed. Here, we establish a photonic synaptic electrocatalyst based on a bimetallic covalent organic framework (Co–Ni─COF), in which optical stimulation writes synaptic information into the catalytic state, and oxygen evolution serves as a stringent functional readout. During electrochemical reactions, Co─Ni─COF shows strong photonic synaptic behavior, featuring excitatory postsynaptic current responses, tunable synaptic plasticity, transitions from short‐term to long‐term plasticity, learning–forgetting–relearning behavior, and long‐term memory retention. Mechanistic investigations reveal that this light‐written and retained state originates from strengthened electronic coupling between Co and Ni centers, promoted charge delocalization and intermetallic charge transfer, and the accumulation of metastable Co(III) active species together with key oxygenated intermediates (*OOH, *OO). Notably, a substantial fraction of enhanced catalytic activity is preserved for hours in the dark, maintaining ∼127% higher than the initial state after 3 h, highlighting its potential for efficient energy conversion under intermittent solar illumination.</w:t>
      </w:r>
    </w:p>
    <w:p>
      <w:pPr>
        <w:spacing w:before="120" w:after="120"/>
      </w:pPr>
      <w:r>
        <w:rPr>
          <w:sz w:val="18"/>
        </w:rPr>
        <w:t>——————————————————————————————————————————————————————————————————————</w:t>
      </w:r>
    </w:p>
    <w:p>
      <w:pPr>
        <w:spacing w:before="160" w:after="40" w:line="240" w:lineRule="auto"/>
      </w:pPr>
      <w:r>
        <w:rPr>
          <w:b/>
        </w:rPr>
        <w:t xml:space="preserve">[11] </w:t>
      </w:r>
      <w:hyperlink r:id="rId394">
        <w:r>
          <w:rPr>
            <w:color w:val="1155CC"/>
            <w:u w:val="single"/>
          </w:rPr>
          <w:t>Pt/CeOx-TiO2 界面的调制结构电子耦合促进低温优先 CO 氧化</w:t>
        </w:r>
      </w:hyperlink>
    </w:p>
    <w:p>
      <w:pPr>
        <w:spacing w:before="0" w:after="80"/>
      </w:pPr>
      <w:r>
        <w:rPr>
          <w:i/>
          <w:sz w:val="20"/>
        </w:rPr>
        <w:t>EN: Modulated Structure‐Electronic Coupling at Pt/CeOx–TiO2 Interfaces Boosts Low‐Temperature Preferential CO Oxidation</w:t>
      </w:r>
    </w:p>
    <w:p>
      <w:pPr>
        <w:spacing w:before="0" w:after="120"/>
      </w:pPr>
      <w:r>
        <w:rPr>
          <w:b/>
        </w:rPr>
        <w:t xml:space="preserve">Source: </w:t>
      </w:r>
      <w:r>
        <w:t>Wiley: Angewandte Chemie International Edition: Table of Contents</w:t>
      </w:r>
      <w:r>
        <w:t xml:space="preserve">    </w:t>
      </w:r>
      <w:r>
        <w:rPr>
          <w:b/>
        </w:rPr>
        <w:t xml:space="preserve">Pub date: </w:t>
      </w:r>
      <w:r>
        <w:t>2026-08-07 13:15:06+00:00</w:t>
      </w:r>
      <w:r>
        <w:t xml:space="preserve">    </w:t>
      </w:r>
      <w:r>
        <w:rPr>
          <w:b/>
        </w:rPr>
        <w:t xml:space="preserve">DOI: </w:t>
      </w:r>
      <w:hyperlink r:id="rId395">
        <w:r>
          <w:rPr>
            <w:color w:val="1155CC"/>
            <w:u w:val="single"/>
          </w:rPr>
          <w:t>10.1002/anie.7158452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富氢合成气中残留 CO 的优先氧化 (PROX) 是工业氢气生产和纯化的最后阶段。然而，选择性氧化大约 1 体积。在不消耗氢气的情况下减少二氧化碳排放在技术上具有挑战性。在这里，我们使用稳定在 CeO 上的 Pt 单原子 (SA)</w:t>
      </w:r>
      <w:r>
        <w:t xml:space="preserve"> </w:t>
      </w:r>
      <w:r>
        <w:t>x</w:t>
      </w:r>
      <w:r>
        <w:t xml:space="preserve"> </w:t>
      </w:r>
      <w:r>
        <w:t>–二氧化钛</w:t>
      </w:r>
      <w:r>
        <w:rPr>
          <w:vertAlign w:val="subscript"/>
        </w:rPr>
        <w:t>2</w:t>
      </w:r>
      <w:r>
        <w:t>基于密度泛函理论计算和原位光谱分析的综合研究，我们确定了反应中心的微妙电子态。空间上分离的 Pt-O-Ti 和 Pt-O-Ce 位点的双功能性质促进了 CO 的选择性 PROX。Pt-O-Ti 位点优先吸附的氢充当活性调节剂，向 Pt 提供电子，从而还原 Pt-SA。 Pt-O-Ce 界面上的氧离子主动氧化还原 Pt-SA 上弱吸附的 CO。 Pt-CeO 独特的结构和电子系综</w:t>
      </w:r>
      <w:r>
        <w:t xml:space="preserve"> </w:t>
      </w:r>
      <w:r>
        <w:t>x</w:t>
      </w:r>
      <w:r>
        <w:t xml:space="preserve"> </w:t>
      </w:r>
      <w:r>
        <w:t>–二氧化钛</w:t>
      </w:r>
      <w:r>
        <w:rPr>
          <w:vertAlign w:val="subscript"/>
        </w:rPr>
        <w:t>2</w:t>
      </w:r>
      <w:r>
        <w:t>界面抑制氢消耗，但在富氢条件下促进 CO 的 PROX，具有高比质量活度和 100 % CO 选择性</w:t>
      </w:r>
      <w:r>
        <w:rPr>
          <w:vertAlign w:val="subscript"/>
        </w:rPr>
        <w:t>2</w:t>
      </w:r>
      <w:r>
        <w:t>在100°C以下。我们提出了在反应条件下使用 Pt-SA 电子调制的代表性案例，该案例由独特的结构实现</w:t>
      </w:r>
    </w:p>
    <w:p>
      <w:pPr>
        <w:spacing w:before="0" w:after="200" w:lineRule="auto" w:line="276"/>
      </w:pPr>
      <w:r>
        <w:rPr>
          <w:b/>
        </w:rPr>
        <w:t xml:space="preserve">Abstract (EN): </w:t>
      </w:r>
      <w:r>
        <w:t>Preferential oxidation, PROX, of residual CO in a hydrogen‐rich synthetic gas is the final stage of industrial hydrogen production and purification. However, selectively oxidizing around 1 vol. % of CO without consuming hydrogen is technically challenging. Here, we use Pt single atoms (SAs) stabilized on CeO</w:t>
      </w:r>
      <w:r>
        <w:t xml:space="preserve"> </w:t>
      </w:r>
      <w:r>
        <w:t>x</w:t>
      </w:r>
      <w:r>
        <w:t xml:space="preserve"> </w:t>
      </w:r>
      <w:r>
        <w:t>–TiO</w:t>
      </w:r>
      <w:r>
        <w:rPr>
          <w:vertAlign w:val="subscript"/>
        </w:rPr>
        <w:t>2</w:t>
      </w:r>
      <w:r>
        <w:t>supporting oxides toward PROX of CO. Based on a combined study of density functional theory calculations and in situ spectroscopic analyses, we identified the delicate electronic states of the reaction centers. The bifunctional nature of the spatially separated Pt–O–Ti and Pt–O–Ce sites promoted selective PROX of CO. The preferentially adsorbed hydrogen at the Pt–O–Ti site behaves as an activity regulator, donating electrons to Pt, thus reducing Pt–SAs. The oxygen ion at the Pt–O–Ce interface actively oxidizes the weakly adsorbed CO on reduced Pt–SAs. The unique structural and electronic ensembles at the Pt–CeO</w:t>
      </w:r>
      <w:r>
        <w:t xml:space="preserve"> </w:t>
      </w:r>
      <w:r>
        <w:t>x</w:t>
      </w:r>
      <w:r>
        <w:t xml:space="preserve"> </w:t>
      </w:r>
      <w:r>
        <w:t>–TiO</w:t>
      </w:r>
      <w:r>
        <w:rPr>
          <w:vertAlign w:val="subscript"/>
        </w:rPr>
        <w:t>2</w:t>
      </w:r>
      <w:r>
        <w:t>interfaces suppress hydrogen consumption but, instead, promote the PROX of CO under hydrogen‐rich conditions with high specific mass activity and 100 % selectivity for CO</w:t>
      </w:r>
      <w:r>
        <w:rPr>
          <w:vertAlign w:val="subscript"/>
        </w:rPr>
        <w:t>2</w:t>
      </w:r>
      <w:r>
        <w:t>at below 100°C. We present a representative case of using electronic modulation of Pt–SAs under reaction conditions, enabled by the unique structural ensemble of Pt‐oxide interfaces, to activate Pt–SAs dynamically.</w:t>
      </w:r>
    </w:p>
    <w:p>
      <w:pPr>
        <w:spacing w:before="120" w:after="120"/>
      </w:pPr>
      <w:r>
        <w:rPr>
          <w:sz w:val="18"/>
        </w:rPr>
        <w:t>——————————————————————————————————————————————————————————————————————</w:t>
      </w:r>
    </w:p>
    <w:p>
      <w:pPr>
        <w:spacing w:before="160" w:after="40" w:line="240" w:lineRule="auto"/>
      </w:pPr>
      <w:r>
        <w:rPr>
          <w:b/>
        </w:rPr>
        <w:t xml:space="preserve">[12] </w:t>
      </w:r>
      <w:hyperlink r:id="rId396">
        <w:r>
          <w:rPr>
            <w:color w:val="1155CC"/>
            <w:u w:val="single"/>
          </w:rPr>
          <w:t>表面羟基引导吸附结构，用于高效光催化耦合析氢和 5-羟甲基糠醛选择性氧化生产 2,5-呋喃二甲酸</w:t>
        </w:r>
      </w:hyperlink>
    </w:p>
    <w:p>
      <w:pPr>
        <w:spacing w:before="0" w:after="80"/>
      </w:pPr>
      <w:r>
        <w:rPr>
          <w:i/>
          <w:sz w:val="20"/>
        </w:rPr>
        <w:t>EN: Surface Hydroxyl Steered Adsorption Configuration for Efficient Photocatalysis Coupling Hydrogen Evolution and 5‐Hydroxymethylfurfural Selective Oxidation Toward 2,5‐Furandicarboxylic Acid Production</w:t>
      </w:r>
    </w:p>
    <w:p>
      <w:pPr>
        <w:spacing w:before="0" w:after="120"/>
      </w:pPr>
      <w:r>
        <w:rPr>
          <w:b/>
        </w:rPr>
        <w:t xml:space="preserve">Source: </w:t>
      </w:r>
      <w:r>
        <w:t>Wiley: Angewandte Chemie International Edition: Table of Contents</w:t>
      </w:r>
      <w:r>
        <w:t xml:space="preserve">    </w:t>
      </w:r>
      <w:r>
        <w:rPr>
          <w:b/>
        </w:rPr>
        <w:t xml:space="preserve">Pub date: </w:t>
      </w:r>
      <w:r>
        <w:t>2026-08-07 13:18:39+00:00</w:t>
      </w:r>
      <w:r>
        <w:t xml:space="preserve">    </w:t>
      </w:r>
      <w:r>
        <w:rPr>
          <w:b/>
        </w:rPr>
        <w:t xml:space="preserve">DOI: </w:t>
      </w:r>
      <w:hyperlink r:id="rId397">
        <w:r>
          <w:rPr>
            <w:color w:val="1155CC"/>
            <w:u w:val="single"/>
          </w:rPr>
          <w:t>10.1002/anie.3914874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光催化耦合水还原反应和5-羟甲基糠醛（HMF）选择性氧化2,5-呋喃二甲酸（FDCA）为联产绿色氢和增值生物基平台化学品提供了一条有前途的途径，但受到FDCA选择性和产率较低的限制。本文中，Al掺杂的SrTiO</w:t>
      </w:r>
      <w:r>
        <w:rPr>
          <w:vertAlign w:val="subscript"/>
        </w:rPr>
        <w:t>3</w:t>
      </w:r>
      <w:r>
        <w:t>(STO) 与 RhCrO 集成的光催化剂</w:t>
      </w:r>
      <w:r>
        <w:t xml:space="preserve"> </w:t>
      </w:r>
      <w:r>
        <w:t>x</w:t>
      </w:r>
      <w:r>
        <w:t xml:space="preserve"> </w:t>
      </w:r>
      <w:r>
        <w:t>和公司</w:t>
      </w:r>
      <w:r>
        <w:rPr>
          <w:vertAlign w:val="subscript"/>
        </w:rPr>
        <w:t>3</w:t>
      </w:r>
      <w:r>
        <w:t>氧</w:t>
      </w:r>
      <w:r>
        <w:rPr>
          <w:vertAlign w:val="subscript"/>
        </w:rPr>
        <w:t>4</w:t>
      </w:r>
      <w:r>
        <w:t>研究了助催化剂在中性和碱性条件下的 HMF 氧化反应 (HMFOR)。虽然碱性条件显着提高了 FDCA 产量，但加速的 HMF 自降解和竞争性 Cannizzaro 副反应损害了空穴利用效率。光谱和理论研究表明，Co 上的表面键合羟基 (─OH) 物种</w:t>
      </w:r>
      <w:r>
        <w:rPr>
          <w:vertAlign w:val="subscript"/>
        </w:rPr>
        <w:t>3</w:t>
      </w:r>
      <w:r>
        <w:t>氧</w:t>
      </w:r>
      <w:r>
        <w:rPr>
          <w:vertAlign w:val="subscript"/>
        </w:rPr>
        <w:t>4</w:t>
      </w:r>
      <w:r>
        <w:t>在碱性条件下，HMF吸附从垂直构型转向倾斜构型，这有利于5-羟甲基-2-呋喃甲酸（HMFCA）向5-甲酰基-2-呋喃甲酸（FFCA）转化的速率决定步骤。基于这种机械洞察力，Co</w:t>
      </w:r>
      <w:r>
        <w:rPr>
          <w:vertAlign w:val="subscript"/>
        </w:rPr>
        <w:t>3</w:t>
      </w:r>
      <w:r>
        <w:t>氧</w:t>
      </w:r>
      <w:r>
        <w:rPr>
          <w:vertAlign w:val="subscript"/>
        </w:rPr>
        <w:t>4</w:t>
      </w:r>
      <w:r>
        <w:t>被 ─OH 封端的 Co(OH) 取代</w:t>
      </w:r>
      <w:r>
        <w:rPr>
          <w:vertAlign w:val="subscript"/>
        </w:rPr>
        <w:t>2</w:t>
      </w:r>
      <w:r>
        <w:t>氧化助催化剂，甚至可以维持有利的平面 HMF 吸附构型</w:t>
      </w:r>
    </w:p>
    <w:p>
      <w:pPr>
        <w:spacing w:before="0" w:after="200" w:lineRule="auto" w:line="276"/>
      </w:pPr>
      <w:r>
        <w:rPr>
          <w:b/>
        </w:rPr>
        <w:t xml:space="preserve">Abstract (EN): </w:t>
      </w:r>
      <w:r>
        <w:t>Photocatalytic coupling water reduction reaction and 5‐hydroxymethylfurfural (HMF) selective oxidation toward 2,5‐furandicarboxylic acid (FDCA) offers a promising route for co‐production of green hydrogen and value‐added bio‐based platform chemicals, but limited by low FDCA selectivity and yield. Herein, an Al‐doped SrTiO</w:t>
      </w:r>
      <w:r>
        <w:rPr>
          <w:vertAlign w:val="subscript"/>
        </w:rPr>
        <w:t>3</w:t>
      </w:r>
      <w:r>
        <w:t>(STO) photocatalyst integrated with RhCrO</w:t>
      </w:r>
      <w:r>
        <w:t xml:space="preserve"> </w:t>
      </w:r>
      <w:r>
        <w:t>x</w:t>
      </w:r>
      <w:r>
        <w:t xml:space="preserve"> </w:t>
      </w:r>
      <w:r>
        <w:t>and Co</w:t>
      </w:r>
      <w:r>
        <w:rPr>
          <w:vertAlign w:val="subscript"/>
        </w:rPr>
        <w:t>3</w:t>
      </w:r>
      <w:r>
        <w:t>O</w:t>
      </w:r>
      <w:r>
        <w:rPr>
          <w:vertAlign w:val="subscript"/>
        </w:rPr>
        <w:t>4</w:t>
      </w:r>
      <w:r>
        <w:t>cocatalysts is investigated for HMF oxidation reaction (HMFOR) under neutral and alkaline conditions. While alkaline conditions markedly improve the FDCA production, the accelerated HMF self‐degradation and competing Cannizzaro side‐reaction compromise the hole utilization efficiency. Spectral and theoretical investigations reveal that surface‐bonded hydroxyl (─OH) species on Co</w:t>
      </w:r>
      <w:r>
        <w:rPr>
          <w:vertAlign w:val="subscript"/>
        </w:rPr>
        <w:t>3</w:t>
      </w:r>
      <w:r>
        <w:t>O</w:t>
      </w:r>
      <w:r>
        <w:rPr>
          <w:vertAlign w:val="subscript"/>
        </w:rPr>
        <w:t>4</w:t>
      </w:r>
      <w:r>
        <w:t>under alkaline conditions steer HMF adsorption from vertical to a tilted configuration, which facilitates the rate‐determining step of 5‐hydroxymethyl‐2‐furancarboxylic acid (HMFCA) to 5‐formyl‐2‐furancarboxylic acid (FFCA) conversion. Building upon this mechanistic insight, Co</w:t>
      </w:r>
      <w:r>
        <w:rPr>
          <w:vertAlign w:val="subscript"/>
        </w:rPr>
        <w:t>3</w:t>
      </w:r>
      <w:r>
        <w:t>O</w:t>
      </w:r>
      <w:r>
        <w:rPr>
          <w:vertAlign w:val="subscript"/>
        </w:rPr>
        <w:t>4</w:t>
      </w:r>
      <w:r>
        <w:t>is substituted with a ─OH terminated Co(OH)</w:t>
      </w:r>
      <w:r>
        <w:rPr>
          <w:vertAlign w:val="subscript"/>
        </w:rPr>
        <w:t>2</w:t>
      </w:r>
      <w:r>
        <w:t>oxidation cocatalyst, which sustains the favorable flat HMF adsorption configuration even under neutral and oxygen‐free conditions. The obtained RhCrO</w:t>
      </w:r>
      <w:r>
        <w:t xml:space="preserve"> </w:t>
      </w:r>
      <w:r>
        <w:t>x</w:t>
      </w:r>
      <w:r>
        <w:t xml:space="preserve"> </w:t>
      </w:r>
      <w:r>
        <w:t>/STO/Co(OH)</w:t>
      </w:r>
      <w:r>
        <w:rPr>
          <w:vertAlign w:val="subscript"/>
        </w:rPr>
        <w:t>2</w:t>
      </w:r>
      <w:r>
        <w:t>achieves a FDCA selectivity of 72.7% and a yield of 49.0% for HMFOR, together with hydrogen evolution rate of 626 µmol g</w:t>
      </w:r>
      <w:r>
        <w:t xml:space="preserve"> </w:t>
      </w:r>
      <w:r>
        <w:t>−1</w:t>
      </w:r>
      <w:r>
        <w:t xml:space="preserve"> </w:t>
      </w:r>
      <w:r>
        <w:t>h</w:t>
      </w:r>
      <w:r>
        <w:t xml:space="preserve"> </w:t>
      </w:r>
      <w:r>
        <w:t>−1</w:t>
      </w:r>
      <w:r>
        <w:t xml:space="preserve"> </w:t>
      </w:r>
      <w:r>
        <w:t>. This study demonstrates that steering reactant adsorption configuration via surface ─OH species offers an effective strategy for efficient solar‐driven photocatalysis coupling biomass valorization and hydrogen production.</w:t>
      </w:r>
    </w:p>
    <w:p>
      <w:pPr>
        <w:spacing w:before="120" w:after="120"/>
      </w:pPr>
      <w:r>
        <w:rPr>
          <w:sz w:val="18"/>
        </w:rPr>
        <w:t>——————————————————————————————————————————————————————————————————————</w:t>
      </w:r>
    </w:p>
    <w:p>
      <w:pPr>
        <w:spacing w:before="160" w:after="40" w:line="240" w:lineRule="auto"/>
      </w:pPr>
      <w:r>
        <w:rPr>
          <w:b/>
        </w:rPr>
        <w:t xml:space="preserve">[13] </w:t>
      </w:r>
      <w:hyperlink r:id="rId398">
        <w:r>
          <w:rPr>
            <w:color w:val="1155CC"/>
            <w:u w:val="single"/>
          </w:rPr>
          <w:t>用于电催化C-H功能化的自适应15N-亚硝酰基-Co7纳米簇的合成</w:t>
        </w:r>
      </w:hyperlink>
    </w:p>
    <w:p>
      <w:pPr>
        <w:spacing w:before="0" w:after="80"/>
      </w:pPr>
      <w:r>
        <w:rPr>
          <w:i/>
          <w:sz w:val="20"/>
        </w:rPr>
        <w:t>EN: Synthesis of adaptive 15N-nitrosyl-Co7 nanocluster for electrocatalytic C–H functionalization</w:t>
      </w:r>
    </w:p>
    <w:p>
      <w:pPr>
        <w:spacing w:before="0" w:after="120"/>
      </w:pPr>
      <w:r>
        <w:rPr>
          <w:b/>
        </w:rPr>
        <w:t xml:space="preserve">Source: </w:t>
      </w:r>
      <w:r>
        <w:t>Physical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人们发现金属纳米团簇具有很高的催化活性，但平衡其结构稳定性和催化活性仍然是一个关键挑战。在这里，我们将亚硝酰化学整合到纳米团簇中来解决这个悖论。利用NO配体的自适应配位模式，Co7纳米团簇的稳定性和活性在电催化方面得到了很好的平衡。特别是，我们开发了一种 15N 标记方法，以促进亚硝酰基-Co7 纳米团簇的结构分配及其催化机制研究。 15N-亚硝酰基-Co7对应物的合成验证了硝酸钴作为亚硝酰基配体和金属源的独特作用，并揭示了NO壳和钴核在析氢反应（HER）中的协同作用。我们在高电流密度电解下将 HER 活性转向电催化丙二烯 C-H 官能化，这是传统金属配合物催化剂无法实现的转变。</w:t>
      </w:r>
    </w:p>
    <w:p>
      <w:pPr>
        <w:spacing w:before="0" w:after="200" w:lineRule="auto" w:line="276"/>
      </w:pPr>
      <w:r>
        <w:rPr>
          <w:b/>
        </w:rPr>
        <w:t xml:space="preserve">Abstract (EN): </w:t>
      </w:r>
      <w:r>
        <w:t>Metal nanoclusters have been found to be highly active in catalysis, while balancing their structural stability and catalytic activity remains a key challenge. Herein, we integrate nitrosyl chemistry into nanoclusters to resolve this paradox. Leveraging the adaptive coordination modes of NO ligand, the stability and activity of a Co7 nanocluster are well balanced for electrocatalysis. Particularly, a 15N-labeling approach has been developed to facilitate the structural assignment of the nitrosyl-Co7 nanocluster and its catalytic mechanism investigation. The synthesis of 15N-nitrosyl-Co7 counterpart validates the unique role of cobalt nitrate as both nitrosyl ligand and metal sources, and reveals the synergy between the NO shell and the cobalt core in hydrogen evolution reaction (HER). We redirect the HER activity toward electrocatalytic allene C-H functionalization under high-current-density electrolysis, a transformation that is otherwise inaccessible to conventional metal complex catalysts.</w:t>
      </w:r>
    </w:p>
    <w:p>
      <w:pPr>
        <w:spacing w:before="120" w:after="120"/>
      </w:pPr>
      <w:r>
        <w:rPr>
          <w:sz w:val="18"/>
        </w:rPr>
        <w:t>——————————————————————————————————————————————————————————————————————</w:t>
      </w:r>
    </w:p>
    <w:p>
      <w:pPr>
        <w:spacing w:before="160" w:after="40" w:line="240" w:lineRule="auto"/>
      </w:pPr>
      <w:r>
        <w:rPr>
          <w:b/>
        </w:rPr>
        <w:t xml:space="preserve">[14] </w:t>
      </w:r>
      <w:hyperlink r:id="rId399">
        <w:r>
          <w:rPr>
            <w:color w:val="1155CC"/>
            <w:u w:val="single"/>
          </w:rPr>
          <w:t>实际使用情况下替代重型卡车技术的成本竞争力</w:t>
        </w:r>
      </w:hyperlink>
    </w:p>
    <w:p>
      <w:pPr>
        <w:spacing w:before="0" w:after="80"/>
      </w:pPr>
      <w:r>
        <w:rPr>
          <w:i/>
          <w:sz w:val="20"/>
        </w:rPr>
        <w:t>EN: Cost competitiveness of alternative heavy-duty truck technologies under real-world utilisation profiles</w:t>
      </w:r>
    </w:p>
    <w:p>
      <w:pPr>
        <w:spacing w:before="0" w:after="120"/>
      </w:pPr>
      <w:r>
        <w:rPr>
          <w:b/>
        </w:rPr>
        <w:t xml:space="preserve">Source: </w:t>
      </w:r>
      <w:r>
        <w:t>Scientific community and society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公路货运对现代经济至关重要，但其脱碳仍然具有挑战性。虽然以前的研究通常侧重于平均负载或长途应用，但物流行业高度异构，涵盖各种卡车使用模式。这项研究利用欧洲 400 万辆卡车的微观数据评估了电池电动卡车 (BET) 和燃料电池电动卡车 (FCET) 的经济可行性。根据成本和技术成熟度的基线假设，到 2030 年，BET 的总拥有成本将超过柴油卡车，占重型公路货运活动的 70-90%。如果考虑到 2030 年之前有限的充电基础设施，25% 的公里数（相当于 19% 的车辆）在经济和技术上仍然可行，大大高于 2030 年欧盟二氧化碳排放预期下卡车车队总数 5-9% 的份额。标准。到 2035 年，基础设施的推出和成本的降低将使公里数占比达到 77%。相比之下，FCET 的成本竞争力窗口很窄。</w:t>
      </w:r>
    </w:p>
    <w:p>
      <w:pPr>
        <w:spacing w:before="0" w:after="200" w:lineRule="auto" w:line="276"/>
      </w:pPr>
      <w:r>
        <w:rPr>
          <w:b/>
        </w:rPr>
        <w:t xml:space="preserve">Abstract (EN): </w:t>
      </w:r>
      <w:r>
        <w:t>Road freight transport is essential to modern economies, yet its decarbonization remains challenging. While previous studies often focused on average-duty or long-haul applications, the logistics sector is highly heterogeneous, spanning a wide range of truck usage patterns. This study assesses the economic viability of battery electric trucks (BETs) and fuel cell electric trucks (FCETs) using microdata from four million trucks across Europe. Under baseline assumptions for cost and technical maturity, BETs outperform diesel trucks in total cost of ownership for 70-90% of heavy-duty road freight activity by 2030. When accounting for limited charging infrastructure until 2030, 25% of kilometres, corresponding to 19% of vehicles, remain economically and technically feasible-substantially higher than the 5-9% share of the total truck fleet expected under the 2030 EU CO2 standards. By 2035, infrastructure roll-out and improved costs increase the share of kilometres to 77%. In contrast, the window for FCET cost-competitiveness is narrow.</w:t>
      </w:r>
    </w:p>
    <w:p>
      <w:pPr>
        <w:spacing w:before="120" w:after="120"/>
      </w:pPr>
      <w:r>
        <w:rPr>
          <w:sz w:val="18"/>
        </w:rPr>
        <w:t>——————————————————————————————————————————————————————————————————————</w:t>
      </w:r>
    </w:p>
    <w:p>
      <w:pPr>
        <w:spacing w:before="160" w:after="40" w:line="240" w:lineRule="auto"/>
      </w:pPr>
      <w:r>
        <w:rPr>
          <w:b/>
        </w:rPr>
        <w:t xml:space="preserve">[15] </w:t>
      </w:r>
      <w:hyperlink r:id="rId400">
        <w:r>
          <w:rPr>
            <w:color w:val="1155CC"/>
            <w:u w:val="single"/>
          </w:rPr>
          <w:t>MXene 上电荷重新分布驱动的双单原子催化剂用于析氢</w:t>
        </w:r>
      </w:hyperlink>
    </w:p>
    <w:p>
      <w:pPr>
        <w:spacing w:before="0" w:after="80"/>
      </w:pPr>
      <w:r>
        <w:rPr>
          <w:i/>
          <w:sz w:val="20"/>
        </w:rPr>
        <w:t>EN: Charge‐Redistribution‐Driven Dual‐Single‐Atom Catalysts on MXene for Hydrogen Evolution</w:t>
      </w:r>
    </w:p>
    <w:p>
      <w:pPr>
        <w:spacing w:before="0" w:after="120"/>
      </w:pPr>
      <w:r>
        <w:rPr>
          <w:b/>
        </w:rPr>
        <w:t xml:space="preserve">Source: </w:t>
      </w:r>
      <w:r>
        <w:t>Wiley: Advanced Energy Materials: Table of Contents</w:t>
      </w:r>
      <w:r>
        <w:t xml:space="preserve">    </w:t>
      </w:r>
      <w:r>
        <w:rPr>
          <w:b/>
        </w:rPr>
        <w:t xml:space="preserve">Pub date: </w:t>
      </w:r>
      <w:r>
        <w:t>2026-08-08 09:02:07+00:00</w:t>
      </w:r>
      <w:r>
        <w:t xml:space="preserve">    </w:t>
      </w:r>
      <w:r>
        <w:rPr>
          <w:b/>
        </w:rPr>
        <w:t xml:space="preserve">DOI: </w:t>
      </w:r>
      <w:hyperlink r:id="rId401">
        <w:r>
          <w:rPr>
            <w:color w:val="1155CC"/>
            <w:u w:val="single"/>
          </w:rPr>
          <w:t>10.1002/aenm.71403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析氢反应 (HER) 表现出 pH 值和电解质依赖性途径，这对开发在宽 pH 条件和海水电解中有效运行的催化剂提出了内在的挑战。在这里，我们报道了一种双单原子催化剂，在 MXene（Ti</w:t>
      </w:r>
      <w:r>
        <w:rPr>
          <w:vertAlign w:val="subscript"/>
        </w:rPr>
        <w:t>3</w:t>
      </w:r>
      <w:r>
        <w:t>C</w:t>
      </w:r>
      <w:r>
        <w:rPr>
          <w:vertAlign w:val="subscript"/>
        </w:rPr>
        <w:t>2</w:t>
      </w:r>
      <w:r>
        <w:t>时间</w:t>
      </w:r>
      <w:r>
        <w:t xml:space="preserve"> </w:t>
      </w:r>
      <w:r>
        <w:t>x</w:t>
      </w:r>
      <w:r>
        <w:t xml:space="preserve"> </w:t>
      </w:r>
      <w:r>
        <w:t>）平台，可实现 HER 基本步骤的协同优化。一种不含氟基化学品的一步熔盐辅助策略，允许在具有明确配位环境的 MXene 上构建高密度、分散良好的 Pt 和 Ni 单原子。原子分辨率显微镜和X射线吸收光谱证实了孤立的Pt和Ni位点的稳定性，而基于原位同步加速器的FTIR和DFT计算表明，邻近的Ni位点调节Pt的电子结构，削弱氢吸附并促进水解离。结果，Pt</w:t>
      </w:r>
      <w:r>
        <w:t xml:space="preserve"> </w:t>
      </w:r>
      <w:r>
        <w:t>SA</w:t>
      </w:r>
      <w:r>
        <w:t xml:space="preserve"> </w:t>
      </w:r>
      <w:r>
        <w:t>镍</w:t>
      </w:r>
      <w:r>
        <w:t xml:space="preserve"> </w:t>
      </w:r>
      <w:r>
        <w:t>SA</w:t>
      </w:r>
      <w:r>
        <w:t xml:space="preserve"> </w:t>
      </w:r>
      <w:r>
        <w:t>/钛</w:t>
      </w:r>
      <w:r>
        <w:rPr>
          <w:vertAlign w:val="subscript"/>
        </w:rPr>
        <w:t>3</w:t>
      </w:r>
      <w:r>
        <w:t>C</w:t>
      </w:r>
      <w:r>
        <w:rPr>
          <w:vertAlign w:val="subscript"/>
        </w:rPr>
        <w:t>2</w:t>
      </w:r>
      <w:r>
        <w:t>时间</w:t>
      </w:r>
      <w:r>
        <w:t xml:space="preserve"> </w:t>
      </w:r>
      <w:r>
        <w:t>x</w:t>
      </w:r>
      <w:r>
        <w:t xml:space="preserve"> </w:t>
      </w:r>
      <w:r>
        <w:t>在 100 mA cm 时提供 22.6 和 59.1 mV 的低过电势</w:t>
      </w:r>
      <w:r>
        <w:t xml:space="preserve"> </w:t>
      </w:r>
      <w:r>
        <w:t>−2</w:t>
      </w:r>
      <w:r>
        <w:t xml:space="preserve"> </w:t>
      </w:r>
      <w:r>
        <w:t>分别在酸性和碱性电解质中，并保持</w:t>
      </w:r>
    </w:p>
    <w:p>
      <w:pPr>
        <w:spacing w:before="0" w:after="200" w:lineRule="auto" w:line="276"/>
      </w:pPr>
      <w:r>
        <w:rPr>
          <w:b/>
        </w:rPr>
        <w:t xml:space="preserve">Abstract (EN): </w:t>
      </w:r>
      <w:r>
        <w:t>The hydrogen evolution reaction (HER) exhibits pH‐ and electrolyte‐dependent pathways, imposing intrinsic challenges on the development of catalysts that operate efficiently across wide pH conditions and in seawater electrolysis. Here, we report a dual‐single‐atom catalyst with proximate cooperative Pt and Ni sites on a MXene (Ti</w:t>
      </w:r>
      <w:r>
        <w:rPr>
          <w:vertAlign w:val="subscript"/>
        </w:rPr>
        <w:t>3</w:t>
      </w:r>
      <w:r>
        <w:t>C</w:t>
      </w:r>
      <w:r>
        <w:rPr>
          <w:vertAlign w:val="subscript"/>
        </w:rPr>
        <w:t>2</w:t>
      </w:r>
      <w:r>
        <w:t>T</w:t>
      </w:r>
      <w:r>
        <w:t xml:space="preserve"> </w:t>
      </w:r>
      <w:r>
        <w:t>x</w:t>
      </w:r>
      <w:r>
        <w:t xml:space="preserve"> </w:t>
      </w:r>
      <w:r>
        <w:t>) platform that enables synergistic optimization of HER elementary steps. A one‐step molten salt‐assisted strategy, free of F‐based chemicals, allows the construction of high‐density, well‐dispersed Pt and Ni single atoms on MXene with well‐defined coordination environments. Atomic‐resolution microscopy and x‐ray absorption spectroscopy confirm the stabilization of isolated Pt and Ni sites, while in situ synchrotron‐based FTIR and DFT calculations reveal that proximate Ni sites modulate the electronic structure of Pt, weakening hydrogen adsorption and promoting water dissociation. As a result, the Pt</w:t>
      </w:r>
      <w:r>
        <w:t xml:space="preserve"> </w:t>
      </w:r>
      <w:r>
        <w:t>SAs</w:t>
      </w:r>
      <w:r>
        <w:t xml:space="preserve"> </w:t>
      </w:r>
      <w:r>
        <w:t>Ni</w:t>
      </w:r>
      <w:r>
        <w:t xml:space="preserve"> </w:t>
      </w:r>
      <w:r>
        <w:t>SAs</w:t>
      </w:r>
      <w:r>
        <w:t xml:space="preserve"> </w:t>
      </w:r>
      <w:r>
        <w:t>/Ti</w:t>
      </w:r>
      <w:r>
        <w:rPr>
          <w:vertAlign w:val="subscript"/>
        </w:rPr>
        <w:t>3</w:t>
      </w:r>
      <w:r>
        <w:t>C</w:t>
      </w:r>
      <w:r>
        <w:rPr>
          <w:vertAlign w:val="subscript"/>
        </w:rPr>
        <w:t>2</w:t>
      </w:r>
      <w:r>
        <w:t>T</w:t>
      </w:r>
      <w:r>
        <w:t xml:space="preserve"> </w:t>
      </w:r>
      <w:r>
        <w:t>x</w:t>
      </w:r>
      <w:r>
        <w:t xml:space="preserve"> </w:t>
      </w:r>
      <w:r>
        <w:t>delivers low overpotentials of 22.6 and 59.1 mV at 100 mA cm</w:t>
      </w:r>
      <w:r>
        <w:t xml:space="preserve"> </w:t>
      </w:r>
      <w:r>
        <w:t>−2</w:t>
      </w:r>
      <w:r>
        <w:t xml:space="preserve"> </w:t>
      </w:r>
      <w:r>
        <w:t>in acidic and alkaline electrolytes, respectively, and maintains high activity in neutral electrolyte (282 mV) and alkaline seawater (73.2 mV) with stability up to 100 h, outperforming commercial 20% Pt/C. These findings demonstrate that leveraging the intrinsic surface chemistry of MXenes enables cooperative dual‐single‐atom architectures with synergistically optimized HER pathways, driven by inter‐site electronic coupling across diverse pH conditions.</w:t>
      </w:r>
    </w:p>
    <w:p>
      <w:pPr>
        <w:spacing w:before="120" w:after="120"/>
      </w:pPr>
      <w:r>
        <w:rPr>
          <w:sz w:val="18"/>
        </w:rPr>
        <w:t>——————————————————————————————————————————————————————————————————————</w:t>
      </w:r>
    </w:p>
    <w:p>
      <w:pPr>
        <w:spacing w:before="160" w:after="40" w:line="240" w:lineRule="auto"/>
      </w:pPr>
      <w:r>
        <w:rPr>
          <w:b/>
        </w:rPr>
        <w:t xml:space="preserve">[16] </w:t>
      </w:r>
      <w:hyperlink r:id="rId402">
        <w:r>
          <w:rPr>
            <w:color w:val="1155CC"/>
            <w:u w:val="single"/>
          </w:rPr>
          <w:t>通过水电解实现电催化尿素废物增值：用于可持续制氢的过渡金属磷化物</w:t>
        </w:r>
      </w:hyperlink>
    </w:p>
    <w:p>
      <w:pPr>
        <w:spacing w:before="0" w:after="80"/>
      </w:pPr>
      <w:r>
        <w:rPr>
          <w:i/>
          <w:sz w:val="20"/>
        </w:rPr>
        <w:t>EN: Electrocatalytic Urea Waste Valorization via Water Electrolysis: Transition‐Metal Phosphides for Sustainable Hydrogen Production</w:t>
      </w:r>
    </w:p>
    <w:p>
      <w:pPr>
        <w:spacing w:before="0" w:after="120"/>
      </w:pPr>
      <w:r>
        <w:rPr>
          <w:b/>
        </w:rPr>
        <w:t xml:space="preserve">Source: </w:t>
      </w:r>
      <w:r>
        <w:t>Wiley: Advanced Energy Materials: Table of Contents</w:t>
      </w:r>
      <w:r>
        <w:t xml:space="preserve">    </w:t>
      </w:r>
      <w:r>
        <w:rPr>
          <w:b/>
        </w:rPr>
        <w:t xml:space="preserve">Pub date: </w:t>
      </w:r>
      <w:r>
        <w:t>2026-08-08 09:04:09+00:00</w:t>
      </w:r>
      <w:r>
        <w:t xml:space="preserve">    </w:t>
      </w:r>
      <w:r>
        <w:rPr>
          <w:b/>
        </w:rPr>
        <w:t xml:space="preserve">DOI: </w:t>
      </w:r>
      <w:hyperlink r:id="rId403">
        <w:r>
          <w:rPr>
            <w:color w:val="1155CC"/>
            <w:u w:val="single"/>
          </w:rPr>
          <w:t>10.1002/aenm.71260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随着全球能源需求持续增长以及日益严峻的环境挑战，发展清洁、可持续和生态友好的能源技术已成为维持现代社会的当务之急。尿素辅助水电解（UAWE）提供了一种可持续的制氢途径，同时进行废水修复。然而，其商业化受到高成本、有毒中间体、催化剂化学结构复杂性和有限的长期稳定性的阻碍。近年来，过渡金属磷化物（TMP）因其高导电性、良好的催化活性、提高的能量效率和相对良好的稳定性而被认为是有前途的UAWE电催化剂。电解操作过程中的表面钝化、结构重建以及电极-电解质界面磷的浸出会显着影响长期稳定性。在这篇综述中，我们系统地探索了多种混合电解，特别关注 UAWE 作为 TMP 电催化剂的中心平台。讨论了基本电化学原理、关键合成和材料工程策略背后的耦合 HER 和 UOR 机制及其在提高催化性能中的作用。此外，从催化活性、能源效率、耐久性和成本效益方面全面回顾了用于 UAWE 的 TMP 电催化剂的最新进展。对功能优化、工业可扩展性和长期发展的未来展望</w:t>
      </w:r>
    </w:p>
    <w:p>
      <w:pPr>
        <w:spacing w:before="0" w:after="200" w:lineRule="auto" w:line="276"/>
      </w:pPr>
      <w:r>
        <w:rPr>
          <w:b/>
        </w:rPr>
        <w:t xml:space="preserve">Abstract (EN): </w:t>
      </w:r>
      <w:r>
        <w:t>As global energy demand continues to grow along with increasing environmental challenges, the development of clean, sustainable, and eco‐friendly energy technologies has become imperative to sustain modern society. Urea‐assisted water electrolysis (UAWE) offers a sustainable hydrogen production pathway with simultaneous wastewater remediation. However, its commercialization is hindered by high cost, toxic intermediates, chemical structural complexity of catalysts, and limited long‐term stability. In recent years, transition metal phosphides (TMPs) have been identified as promising electrocatalysts for UAWE, attributed to their high conductivity, favorable catalytic activity, enhanced energy efficiency, and relatively good stability. The surface passivation, structural reconstruction during electrolysis operation, and the leaching of phosphorus at the electrode–electrolyte interface can significantly affect long‐term stability. In this review, we systematically explored diverse hybrid electrolysis with a specific focus on UAWE as the central platform for TMP electrocatalysts. The coupled HER and UOR mechanisms underlying the fundamental electrochemical principles, key synthesis and materials engineering strategies are discussed in relation to their roles in improving catalytic performance. Further, recent advances in TMPs electrocatalysts for UAWE are comprehensively reviewed with respect to catalytic activity, energy efficiency, durability, and cost‐effectiveness. Future perspectives on functional optimization, industrial scalability, and long‐term sustainability of UAWE processes are outlined.</w:t>
      </w:r>
    </w:p>
    <w:p>
      <w:pPr>
        <w:spacing w:before="120" w:after="120"/>
      </w:pPr>
      <w:r>
        <w:rPr>
          <w:sz w:val="18"/>
        </w:rPr>
        <w:t>——————————————————————————————————————————————————————————————————————</w:t>
      </w:r>
    </w:p>
    <w:p>
      <w:pPr>
        <w:spacing w:before="160" w:after="40" w:line="240" w:lineRule="auto"/>
      </w:pPr>
      <w:r>
        <w:rPr>
          <w:b/>
        </w:rPr>
        <w:t xml:space="preserve">[17] </w:t>
      </w:r>
      <w:hyperlink r:id="rId404">
        <w:r>
          <w:rPr>
            <w:color w:val="1155CC"/>
            <w:u w:val="single"/>
          </w:rPr>
          <w:t>Cr浸出诱导空位工程用于高性能阴离子交换膜水电解</w:t>
        </w:r>
      </w:hyperlink>
    </w:p>
    <w:p>
      <w:pPr>
        <w:spacing w:before="0" w:after="80"/>
      </w:pPr>
      <w:r>
        <w:rPr>
          <w:i/>
          <w:sz w:val="20"/>
        </w:rPr>
        <w:t>EN: Cr‐Leaching Induced Vacancy Engineering for High‐Performance Anion Exchange Membrane Water Electrolysis</w:t>
      </w:r>
    </w:p>
    <w:p>
      <w:pPr>
        <w:spacing w:before="0" w:after="120"/>
      </w:pPr>
      <w:r>
        <w:rPr>
          <w:b/>
        </w:rPr>
        <w:t xml:space="preserve">Source: </w:t>
      </w:r>
      <w:r>
        <w:t>Wiley: Angewandte Chemie International Edition: Table of Contents</w:t>
      </w:r>
      <w:r>
        <w:t xml:space="preserve">    </w:t>
      </w:r>
      <w:r>
        <w:rPr>
          <w:b/>
        </w:rPr>
        <w:t xml:space="preserve">Pub date: </w:t>
      </w:r>
      <w:r>
        <w:t>2026-08-08 11:19:19+00:00</w:t>
      </w:r>
      <w:r>
        <w:t xml:space="preserve">    </w:t>
      </w:r>
      <w:r>
        <w:rPr>
          <w:b/>
        </w:rPr>
        <w:t xml:space="preserve">DOI: </w:t>
      </w:r>
      <w:hyperlink r:id="rId405">
        <w:r>
          <w:rPr>
            <w:color w:val="1155CC"/>
            <w:u w:val="single"/>
          </w:rPr>
          <w:t>10.1002/anie.9991550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阴离子交换膜水电解（AEMWE）为大规模绿色氢气生产提供了一条引人注目的途径。然而，开发同时结合高活性、长期耐用性和堆栈级可扩展性的催化剂仍然是一个重大挑战。在这里，我们报道了磁控溅射 NiFeCr</w:t>
      </w:r>
      <w:r>
        <w:rPr>
          <w:vertAlign w:val="subscript"/>
        </w:rPr>
        <w:t>2</w:t>
      </w:r>
      <w:r>
        <w:t>提供 3 A cm 电流的薄膜催化剂</w:t>
      </w:r>
      <w:r>
        <w:t xml:space="preserve"> </w:t>
      </w:r>
      <w:r>
        <w:t>-</w:t>
      </w:r>
      <w:r>
        <w:rPr>
          <w:vertAlign w:val="subscript"/>
        </w:rPr>
        <w:t>2</w:t>
      </w:r>
      <w:r>
        <w:t>在 1.77 V 和 8.54 A cm 下</w:t>
      </w:r>
      <w:r>
        <w:t xml:space="preserve"> </w:t>
      </w:r>
      <w:r>
        <w:t>-</w:t>
      </w:r>
      <w:r>
        <w:rPr>
          <w:vertAlign w:val="subscript"/>
        </w:rPr>
        <w:t>2</w:t>
      </w:r>
      <w:r>
        <w:t>在 60°C 的 AEMWE 膜电极组件中电压为 2.10 V，同时在 2 A cm 下保持稳定运行</w:t>
      </w:r>
      <w:r>
        <w:t xml:space="preserve"> </w:t>
      </w:r>
      <w:r>
        <w:t>-</w:t>
      </w:r>
      <w:r>
        <w:rPr>
          <w:vertAlign w:val="subscript"/>
        </w:rPr>
        <w:t>2</w:t>
      </w:r>
      <w:r>
        <w:t>1798 小时。值得注意的是，薄膜催化剂被进一步组装成 15 × 100 cm</w:t>
      </w:r>
      <w:r>
        <w:rPr>
          <w:vertAlign w:val="subscript"/>
        </w:rPr>
        <w:t>2</w:t>
      </w:r>
      <w:r>
        <w:t>电解槽堆栈，提供 12.87 kW 的峰值功率并验证其实际可扩展性。原位光谱表征和电化学机理研究表明，电化学重构会导致部分 Cr 溶解，并伴随形成活性 Ni/FeOOH 相，同时证实 NiFeCr</w:t>
      </w:r>
      <w:r>
        <w:rPr>
          <w:vertAlign w:val="subscript"/>
        </w:rPr>
        <w:t>2</w:t>
      </w:r>
      <w:r>
        <w:t>通过晶格氧介导的机制进行操作。密度泛函理论计算表明Cr空位增加了金属-氧共价，增强了含氧中间体的吸附，并降低了析氧反应的自由能垒。</w:t>
      </w:r>
    </w:p>
    <w:p>
      <w:pPr>
        <w:spacing w:before="0" w:after="200" w:lineRule="auto" w:line="276"/>
      </w:pPr>
      <w:r>
        <w:rPr>
          <w:b/>
        </w:rPr>
        <w:t xml:space="preserve">Abstract (EN): </w:t>
      </w:r>
      <w:r>
        <w:t>Anion exchange membrane water electrolysis (AEMWE) offers a compelling route to large‐scale green hydrogen production. However, developing catalysts that simultaneously combine high activity, long‐term durability, and stack‐level scalability remains a major challenge. Here, we report a magnetron‐sputtered NiFeCr</w:t>
      </w:r>
      <w:r>
        <w:rPr>
          <w:vertAlign w:val="subscript"/>
        </w:rPr>
        <w:t>2</w:t>
      </w:r>
      <w:r>
        <w:t>thin‐film catalyst that delivers 3 A cm</w:t>
      </w:r>
      <w:r>
        <w:t xml:space="preserve"> </w:t>
      </w:r>
      <w:r>
        <w:t>−</w:t>
      </w:r>
      <w:r>
        <w:rPr>
          <w:vertAlign w:val="subscript"/>
        </w:rPr>
        <w:t>2</w:t>
      </w:r>
      <w:r>
        <w:t>at 1.77 V and 8.54 A cm</w:t>
      </w:r>
      <w:r>
        <w:t xml:space="preserve"> </w:t>
      </w:r>
      <w:r>
        <w:t>−</w:t>
      </w:r>
      <w:r>
        <w:rPr>
          <w:vertAlign w:val="subscript"/>
        </w:rPr>
        <w:t>2</w:t>
      </w:r>
      <w:r>
        <w:t>at 2.10 V in an AEMWE membrane electrode assembly at 60°C, while maintaining stable operation at 2 A cm</w:t>
      </w:r>
      <w:r>
        <w:t xml:space="preserve"> </w:t>
      </w:r>
      <w:r>
        <w:t>−</w:t>
      </w:r>
      <w:r>
        <w:rPr>
          <w:vertAlign w:val="subscript"/>
        </w:rPr>
        <w:t>2</w:t>
      </w:r>
      <w:r>
        <w:t>for 1798 h. Notably, the thin‐film catalyst was further assembled into a 15 × 100 cm</w:t>
      </w:r>
      <w:r>
        <w:rPr>
          <w:vertAlign w:val="subscript"/>
        </w:rPr>
        <w:t>2</w:t>
      </w:r>
      <w:r>
        <w:t>electrolyzer stack, delivering a peak power of 12.87 kW and validating its practical scalability. In situ spectroscopic characterization and electrochemical mechanistic studies reveal that electrochemical reconstruction induces partial Cr dissolution and the concomitant formation of active Ni/FeOOH phases, while confirming that NiFeCr</w:t>
      </w:r>
      <w:r>
        <w:rPr>
          <w:vertAlign w:val="subscript"/>
        </w:rPr>
        <w:t>2</w:t>
      </w:r>
      <w:r>
        <w:t>operates via a lattice‐oxygen‐mediated mechanism. Density functional theory calculations indicate Cr vacancies increase metal–oxygen covalency, strengthen adsorption of oxygenated intermediates, and lower free energy barriers for oxygen evolution reaction.</w:t>
      </w:r>
    </w:p>
    <w:p>
      <w:pPr>
        <w:spacing w:before="120" w:after="120"/>
      </w:pPr>
      <w:r>
        <w:rPr>
          <w:sz w:val="18"/>
        </w:rPr>
        <w:t>——————————————————————————————————————————————————————————————————————</w:t>
      </w:r>
    </w:p>
    <w:p>
      <w:pPr>
        <w:spacing w:before="160" w:after="40" w:line="240" w:lineRule="auto"/>
      </w:pPr>
      <w:r>
        <w:rPr>
          <w:b/>
        </w:rPr>
        <w:t xml:space="preserve">[18] </w:t>
      </w:r>
      <w:hyperlink r:id="rId406">
        <w:r>
          <w:rPr>
            <w:color w:val="1155CC"/>
            <w:u w:val="single"/>
          </w:rPr>
          <w:t>将内在活性和传质优化解耦，以在高电流密度下实现超高析氢反应性能</w:t>
        </w:r>
      </w:hyperlink>
    </w:p>
    <w:p>
      <w:pPr>
        <w:spacing w:before="0" w:after="80"/>
      </w:pPr>
      <w:r>
        <w:rPr>
          <w:i/>
          <w:sz w:val="20"/>
        </w:rPr>
        <w:t>EN: Decouple Intrinsic Activity and Mass Transfer Optimization to Achieve Ultra-High Hydrogen Evolution Reaction Performance at High Current Density</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407">
        <w:r>
          <w:rPr>
            <w:color w:val="1155CC"/>
            <w:u w:val="single"/>
          </w:rPr>
          <w:t>10.1021/acsami.6c10823</w:t>
        </w:r>
      </w:hyperlink>
    </w:p>
    <w:p>
      <w:pPr>
        <w:spacing w:before="0" w:after="120"/>
      </w:pPr>
      <w:r>
        <w:rPr>
          <w:b/>
        </w:rPr>
        <w:t xml:space="preserve">Notes: </w:t>
      </w:r>
      <w:r>
        <w:t>abstract_source=crossref</w:t>
      </w:r>
    </w:p>
    <w:p>
      <w:pPr>
        <w:spacing w:before="0" w:after="80" w:lineRule="auto" w:line="276"/>
      </w:pPr>
      <w:r>
        <w:rPr>
          <w:b/>
        </w:rPr>
        <w:t xml:space="preserve">摘要（ZH）: </w:t>
      </w:r>
      <w:r>
        <w:t>摘要 提高Pt催化剂的析氢反应（HER）性能对于降低质子交换膜水电解槽的成本具有重要意义。了解 Pt/C 催化 HER 时过电势的起源对于设计高性能 HER 催化剂具有重要意义。在这里，我们发现传质在 Pt/C 上主导 HER 超电势，而不是内在活性。当 Pt/C 负载量大于 50 µgPt cm–2 时，HER 性能不会随着其内在活性的进一步提高而增加。传质控制 HER 性能，并且可以通过使用与 HER 活性位点解耦的纳米棒阵列基底来克服这一限制。合成了负载在具有超低 Pt 负载量的 CoP 纳米棒阵列 (Pt/CoP-NRA) 上的 Pt 纳米颗粒，并展示了超高的 HER 性能。在 120 mV 的过电势下，Pt/CoP-NRA 显示出 24.4 mA μgPt-1 的质量活性，是 Pt/C 的 5.4 倍。 Pt/CoP-NRA 在 500 mA cm–2 水平的 1000 小时计时电流测试中表现出可忽略不计的降解。机理研究表明，纳米阵列基底通过降低粘附力加速产生的气泡的脱离，从而使较小的气泡从电极表面去除，从而增强传质。</w:t>
      </w:r>
    </w:p>
    <w:p>
      <w:pPr>
        <w:spacing w:before="0" w:after="200" w:lineRule="auto" w:line="276"/>
      </w:pPr>
      <w:r>
        <w:rPr>
          <w:b/>
        </w:rPr>
        <w:t xml:space="preserve">Abstract (EN): </w:t>
      </w:r>
      <w:r>
        <w:t>Improving the hydrogen evolution reaction (HER) performances of the Pt catalysts is important for reducing the cost of proton exchange membrane water electrolyzers. Understanding the origin of the overpotential when Pt/C catalyzes the HER is significant for designing high-performance HER catalysts. Here, we identify that mass transfer dominates the HER overpotential on Pt/C rather than intrinsic activity. When the Pt/C loading is greater than 50 µgPt cm–2, the HER performance does not increase with further improvement in its intrinsic activity. Mass transfer controls the HER performance, and this limitation can be overcome by using a nanorod array substrate decoupled from HER active sites. Pt nanoparticles supported on a CoP nanorod array (Pt/CoP-NRA) with ultra-low Pt loadings are synthesized and illustrate ultra-high HER performance. At an overpotential of 120 mV, the Pt/CoP-NRA shows a mass activity of 24.4 mA μgPt–1, which is 5.4 times as high as that of Pt/C. The Pt/CoP-NRA exhibits a negligible degradation in a 1000 h chronoamperometric test at the level of 500 mA cm–2. A mechanism study demonstrates that the nanoarray substrates accelerate the detachment of the generated bubbles by reducing the adhesive force and thereby enabling smaller bubbles to be removed from the electrode surface, resulting in enhanced mass transfer.</w:t>
      </w:r>
    </w:p>
    <w:p>
      <w:pPr>
        <w:spacing w:before="120" w:after="120"/>
      </w:pPr>
      <w:r>
        <w:rPr>
          <w:sz w:val="18"/>
        </w:rPr>
        <w:t>——————————————————————————————————————————————————————————————————————</w:t>
      </w:r>
    </w:p>
    <w:p>
      <w:pPr>
        <w:spacing w:before="160" w:after="40" w:line="240" w:lineRule="auto"/>
      </w:pPr>
      <w:r>
        <w:rPr>
          <w:b/>
        </w:rPr>
        <w:t xml:space="preserve">[19] </w:t>
      </w:r>
      <w:hyperlink r:id="rId408">
        <w:r>
          <w:rPr>
            <w:color w:val="1155CC"/>
            <w:u w:val="single"/>
          </w:rPr>
          <w:t>高熵合金启发的多基元合金中的可编程空位拓扑引导以 Ru 为中心的碱性析氢</w:t>
        </w:r>
      </w:hyperlink>
    </w:p>
    <w:p>
      <w:pPr>
        <w:spacing w:before="0" w:after="80"/>
      </w:pPr>
      <w:r>
        <w:rPr>
          <w:i/>
          <w:sz w:val="20"/>
        </w:rPr>
        <w:t>EN: Programmable Vacancy Topology in High-Entropy-Alloy-Inspired Multiprincipal Alloys Directs Ru-Centered Alkaline Hydrogen Evolution</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409">
        <w:r>
          <w:rPr>
            <w:color w:val="1155CC"/>
            <w:u w:val="single"/>
          </w:rPr>
          <w:t>10.1021/jacs.6c09149</w:t>
        </w:r>
      </w:hyperlink>
    </w:p>
    <w:p>
      <w:pPr>
        <w:spacing w:before="0" w:after="120"/>
      </w:pPr>
      <w:r>
        <w:rPr>
          <w:b/>
        </w:rPr>
        <w:t xml:space="preserve">Notes: </w:t>
      </w:r>
      <w:r>
        <w:t>abstract_source=crossref</w:t>
      </w:r>
    </w:p>
    <w:p>
      <w:pPr>
        <w:spacing w:before="0" w:after="80" w:lineRule="auto" w:line="276"/>
      </w:pPr>
      <w:r>
        <w:rPr>
          <w:b/>
        </w:rPr>
        <w:t xml:space="preserve">摘要（ZH）: </w:t>
      </w:r>
      <w:r>
        <w:t>摘要 多基元合金中的空位拓扑为调整界面反应路径提供了可控的方法，但在超小型合金中编程空位的实用途径仍然很少。在这里，我们报告了一种在惰性气氛中无 H2、挥发性辅助的 MOF 到合金的合成方法，可产生具有 Ru 近空位环境的亚 4 nm MnFeRuCoNi 基多晶合金纳米粒子。一组封闭的相辅相成的测量 — PALS/EPR（缺陷生成）、EXAFS/XPS/XANES（配位/电子态）、多压 NAP-XPS（Ru→O(H2O) 界面电荷转移）、REELS/TOF-SIMS（H* 和 H3O+ 中间体）和原位拉曼（Ru–H 振动） — 建立了从编程空位拓扑到局部电子重新分布的因果序列在 Ru，加速水活化和步骤特异性碱性-HER 动力学。密度泛函理论与 Bader 分析表明，在富含空位的环境中吸附 H2O 后，Ru 上的电子密度降低，Ru→O 电荷转移增强，这与实验观察结果一致。在 1.0 M KOH 中，该催化剂在 10 mA cm-2 下提供 13 mV 的过电势、47 mV dec-1 Tafel 斜率以及在 100 mA cm-2 下约 2600 小时的稳定性，可与 Ru 基准相媲美，并在匹配方案下接近 Pt/C。挥发性辅助的 MOF 到合金的路线可以扩展到包含牺牲挥发性组分的其他多主合金族，从而为复杂合金中的空位拓扑编码提供一种有前景的策略。</w:t>
      </w:r>
    </w:p>
    <w:p>
      <w:pPr>
        <w:spacing w:before="0" w:after="200" w:lineRule="auto" w:line="276"/>
      </w:pPr>
      <w:r>
        <w:rPr>
          <w:b/>
        </w:rPr>
        <w:t xml:space="preserve">Abstract (EN): </w:t>
      </w:r>
      <w:r>
        <w:t>Vacancy topology in multiprincipal alloys provides a controllable handle to tune interfacial reaction pathways, yet practical routes to program vacancies in ultrasmall alloys remain scarce. Here, we report an H2-free, volatility-assisted MOF-to-alloy synthesis in an inert atmosphere that yields sub-4 nm MnFeRuCoNi-based multiprincipal alloy nanoparticles with a Ru-proximal vacancy environment. A closed set of mutually reinforcing measurements─PALS/EPR (defect generation), EXAFS/XPS/XANES (coordination/electronic states), multipressure NAP-XPS (Ru→O(H2O) interfacial charge transfer), REELS/TOF-SIMS (H* and H3O+ intermediates), and in situ Raman (Ru–H vibration)─establishes a causal sequence from programmed vacancy topology to local electron redistribution at Ru, accelerated water activation, and step-specific alkaline-HER kinetics. Density-functional theory with Bader analysis shows reduced electron density at Ru and enhanced Ru→O charge transfer upon H2O adsorption in vacancy-rich environments, consistent with experimental observables. In 1.0 M KOH, the catalyst delivers an overpotential of 13 mV at 10 mA cm–2, a 47 mV dec–1 Tafel slope, and ∼2600 h stability at 100 mA cm–2, rivaling Ru benchmarks and approaching Pt/C under matched protocols. The volatility-assisted MOF-to-alloy route may be extendable to other multiprincipal alloy families containing a sacrificial volatile component, thereby offering a promising strategy for encoding vacancy topology in complex alloys.</w:t>
      </w:r>
    </w:p>
    <w:p>
      <w:pPr>
        <w:spacing w:before="120" w:after="120"/>
      </w:pPr>
      <w:r>
        <w:rPr>
          <w:sz w:val="18"/>
        </w:rPr>
        <w:t>——————————————————————————————————————————————————————————————————————</w:t>
      </w:r>
    </w:p>
    <w:p>
      <w:pPr>
        <w:spacing w:before="160" w:after="40" w:line="240" w:lineRule="auto"/>
      </w:pPr>
      <w:r>
        <w:rPr>
          <w:b/>
        </w:rPr>
        <w:t xml:space="preserve">[20] </w:t>
      </w:r>
      <w:hyperlink r:id="rId410">
        <w:r>
          <w:rPr>
            <w:color w:val="1155CC"/>
            <w:u w:val="single"/>
          </w:rPr>
          <w:t>使 H2 活化与官能团极性一致：K+ 促进 Pd/TiO2 上的可切换氢化</w:t>
        </w:r>
      </w:hyperlink>
    </w:p>
    <w:p>
      <w:pPr>
        <w:spacing w:before="0" w:after="80"/>
      </w:pPr>
      <w:r>
        <w:rPr>
          <w:i/>
          <w:sz w:val="20"/>
        </w:rPr>
        <w:t>EN: Aligning H2 Activation with Functional-Group Polarity: K+-Promoted Switchable Hydrogenation on Pd/TiO2</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411">
        <w:r>
          <w:rPr>
            <w:color w:val="1155CC"/>
            <w:u w:val="single"/>
          </w:rPr>
          <w:t>10.1021/jacs.6c10350</w:t>
        </w:r>
      </w:hyperlink>
    </w:p>
    <w:p>
      <w:pPr>
        <w:spacing w:before="0" w:after="120"/>
      </w:pPr>
      <w:r>
        <w:rPr>
          <w:b/>
        </w:rPr>
        <w:t xml:space="preserve">Notes: </w:t>
      </w:r>
      <w:r>
        <w:t>abstract_source=crossref</w:t>
      </w:r>
    </w:p>
    <w:p>
      <w:pPr>
        <w:spacing w:before="0" w:after="80" w:lineRule="auto" w:line="276"/>
      </w:pPr>
      <w:r>
        <w:rPr>
          <w:b/>
        </w:rPr>
        <w:t xml:space="preserve">摘要（ZH）: </w:t>
      </w:r>
      <w:r>
        <w:t>摘要 合理调整 H2 活化模式与底物官能团的极性是化学选择性异相氢化的核心，但人们对此仍知之甚少。在这里，我们表明 Pd/TiO2 (Pd/KTiOx) 的 K+ 掺杂能够协调控制 H2 解离和 C=O 活化，从而产生可切换的氢化化学选择性。原始 Pd/TiO2 选择性地将马来酸酐的 C=C 键氢化为琥珀酸酐，选择性为 99%，而 Pd/KTiOx 将 C=C 和 C=O 键氢化为 γ-丁内酯，选择性为 99%。在这两种催化剂上，H2 在 Pd 纳米颗粒上发生均裂，生成负责 C=C 加氢的 H·物种。在 Pd-TiO2 界面引入 K+ 增强了 K-O 静电相互作用，增加了 Pd 上的电子密度，这共同降低了 Pd-O 位点上异解 H2 裂解的势垒，并生成极化的 Hδ−–Hδ+ 对。这些异解氢物质优先激活极性 C=O 键，从而改变氢化途径。这项工作将碱金属促进作为一种策略来调节均解和异解 H2 活化之间的平衡，进而控制多相催化中官能团依赖性氢化选择性。</w:t>
      </w:r>
    </w:p>
    <w:p>
      <w:pPr>
        <w:spacing w:before="0" w:after="200" w:lineRule="auto" w:line="276"/>
      </w:pPr>
      <w:r>
        <w:rPr>
          <w:b/>
        </w:rPr>
        <w:t xml:space="preserve">Abstract (EN): </w:t>
      </w:r>
      <w:r>
        <w:t>Rationally aligning H2 activation modes with the polarity of substrate functional groups is central to chemoselective heterogeneous hydrogenation but remains poorly understood. Here we show that K+ doping of Pd/TiO2 (Pd/KTiOx) enables concerted control of H2 dissociation and C═O activation, resulting in a switchable hydrogenation chemoselectivity. Pristine Pd/TiO2 selectively hydrogenates the C═C bond of maleic anhydride to succinic anhydride with 99% selectivity, whereas Pd/KTiOx hydrogenates both C═C and C═O bonds to γ-butyrolactone with 99% selectivity. On both catalysts, H2 undergoes homolytic cleavage on Pd nanoparticles to generate H· species responsible for C═C hydrogenation. Introduction of K+ at the Pd–TiO2 interface strengthens K–O electrostatic interactions and increases the electron density on Pd, which together lower the barrier for heterolytic H2 cleavage at Pd–O sites and generate polarized Hδ−–Hδ+ pairs. These heterolytic hydrogen species preferentially activate polar C═O bonds, thus redirecting the hydrogenation pathway. This work establishes alkali-metal promotion as a strategy to tune the balance between homolytic and heterolytic H2 activation and, in turn, to control functional-group-dependent hydrogenation selectivity in heterogeneous catalysis.</w:t>
      </w:r>
    </w:p>
    <w:p>
      <w:pPr>
        <w:spacing w:before="120" w:after="120"/>
      </w:pPr>
      <w:r>
        <w:rPr>
          <w:sz w:val="18"/>
        </w:rPr>
        <w:t>——————————————————————————————————————————————————————————————————————</w:t>
      </w:r>
    </w:p>
    <w:p>
      <w:pPr>
        <w:spacing w:before="160" w:after="40" w:line="240" w:lineRule="auto"/>
      </w:pPr>
      <w:r>
        <w:rPr>
          <w:b/>
        </w:rPr>
        <w:t xml:space="preserve">[21] </w:t>
      </w:r>
      <w:hyperlink r:id="rId412">
        <w:r>
          <w:rPr>
            <w:color w:val="1155CC"/>
            <w:u w:val="single"/>
          </w:rPr>
          <w:t>在工业电流密度下实现持久 AEM 水电解的双联锁电催化剂设计原理</w:t>
        </w:r>
      </w:hyperlink>
    </w:p>
    <w:p>
      <w:pPr>
        <w:spacing w:before="0" w:after="80"/>
      </w:pPr>
      <w:r>
        <w:rPr>
          <w:i/>
          <w:sz w:val="20"/>
        </w:rPr>
        <w:t>EN: A Dual-Interlocked Electrocatalyst Design Principle for Durable AEM Water Electrolysis at Industrial Current Densities</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413">
        <w:r>
          <w:rPr>
            <w:color w:val="1155CC"/>
            <w:u w:val="single"/>
          </w:rPr>
          <w:t>10.1021/jacs.6c14322</w:t>
        </w:r>
      </w:hyperlink>
    </w:p>
    <w:p>
      <w:pPr>
        <w:spacing w:before="0" w:after="120"/>
      </w:pPr>
      <w:r>
        <w:rPr>
          <w:b/>
        </w:rPr>
        <w:t xml:space="preserve">Notes: </w:t>
      </w:r>
      <w:r>
        <w:t>abstract_source=crossref</w:t>
      </w:r>
    </w:p>
    <w:p>
      <w:pPr>
        <w:spacing w:before="0" w:after="80" w:lineRule="auto" w:line="276"/>
      </w:pPr>
      <w:r>
        <w:rPr>
          <w:b/>
        </w:rPr>
        <w:t xml:space="preserve">摘要（ZH）: </w:t>
      </w:r>
      <w:r>
        <w:t>摘要 实现实用的阴离子交换膜水电解（AEMWE）需要析氢催化剂在工业相关电流密度下保持活性和耐用性，其中剧烈的气体析出会加速催化位点降解和多尺度界面失效。在这里，我们报告了一种双联锁电催化剂界面设计方法，该方法将集电器、催化剂载体和活性位点集成到机械和电子相干架构中以解决这些问题。石墨二炔介导的分级互锁促进了泡沫镍上富含空位的扭曲NiTe的互穿生长，实现了强大的收集器-支撑耦合和低界面电阻，而空间互锁通过Ru-Ni/Te配位和缺陷介导的限制将超小Ru簇局部限制在富含缺陷的NiTe域内，从而减轻了迁移、聚集和活性位点损失。该催化剂在-1.0 A cm-2下表现出60.5 ± 13.9 mV的低过电势，并在1 M KOH中分别在-1.0和-2.0 A cm-2下稳定运行超过10,000小时和3500小时。在实际的 AEMWE 装置（80 °C，4 cm2）中，电解槽在 3.0 A cm-2 下提供 1.79 V 电压，满足美国能源部 2026 年低温电解堆目标，并分别在 1.0 和 2.0 A cm-2 下连续运行 1,030 小时和 4100 小时。这项工作提供了一种广泛适用的电极架构策略，通过多尺度双联锁稳定高速气-液-固电化学界面。</w:t>
      </w:r>
    </w:p>
    <w:p>
      <w:pPr>
        <w:spacing w:before="0" w:after="200" w:lineRule="auto" w:line="276"/>
      </w:pPr>
      <w:r>
        <w:rPr>
          <w:b/>
        </w:rPr>
        <w:t xml:space="preserve">Abstract (EN): </w:t>
      </w:r>
      <w:r>
        <w:t>Achieving practical anion exchange membrane water electrolysis (AEMWE) requires hydrogen evolution catalysts that remain active and durable at industrially relevant current densities, where vigorous gas evolution accelerates catalytic-site degradation and multiscale interfacial failure. Here, we report a dual-interlocking electrocatalyst interface design method that integrates the current collector, catalyst support, and active sites into a mechanically and electronically coherent architecture to address these issues. A graphdiyne-mediated hierarchical interlock promotes the interpenetrated growth of vacancy-rich distorted NiTe on nickel foam, enabling robust collector–support coupling and low interfacial resistance, while a spatial interlock locally confines ultrasmall Ru clusters within defect-rich NiTe domains through Ru–Ni/Te coordination and defect-mediated confinement, mitigating migration, aggregation, and active-site loss. The catalyst exhibits a low overpotential of 60.5 ± 13.9 mV at −1.0 A cm–2 and operates stably for over 10,000 h and 3500 h at −1.0 and −2.0 A cm–2, respectively, in 1 M KOH. In a practical AEMWE device (80 °C, 4 cm2), the electrolyzer delivers 1.79 V at 3.0 A cm–2, meeting the U.S. DOE 2026 low-temperature electrolysis stack target, and sustains continuous operation for 1,030 h and 4100 h at 1.0 and 2.0 A cm–2, respectively. This work provides a broadly applicable electrode-architecture strategy for stabilizing high-rate gas–liquid–solid electrochemical interfaces through multiscale dual interlocking.</w:t>
      </w:r>
    </w:p>
    <w:p>
      <w:pPr>
        <w:spacing w:before="120" w:after="120"/>
      </w:pPr>
      <w:r>
        <w:rPr>
          <w:sz w:val="18"/>
        </w:rPr>
        <w:t>——————————————————————————————————————————————————————————————————————</w:t>
      </w:r>
    </w:p>
    <w:p>
      <w:pPr>
        <w:spacing w:before="160" w:after="40" w:line="240" w:lineRule="auto"/>
      </w:pPr>
      <w:r>
        <w:rPr>
          <w:b/>
        </w:rPr>
        <w:t xml:space="preserve">[22] </w:t>
      </w:r>
      <w:hyperlink r:id="rId414">
        <w:r>
          <w:rPr>
            <w:color w:val="1155CC"/>
            <w:u w:val="single"/>
          </w:rPr>
          <w:t>碳核算规则如何影响氢生产的激励措施</w:t>
        </w:r>
      </w:hyperlink>
    </w:p>
    <w:p>
      <w:pPr>
        <w:spacing w:before="0" w:after="80"/>
      </w:pPr>
      <w:r>
        <w:rPr>
          <w:i/>
          <w:sz w:val="20"/>
        </w:rPr>
        <w:t>EN: How carbon accounting rules shape incentives for hydrogen production</w:t>
      </w:r>
    </w:p>
    <w:p>
      <w:pPr>
        <w:spacing w:before="0" w:after="120"/>
      </w:pPr>
      <w:r>
        <w:rPr>
          <w:b/>
        </w:rPr>
        <w:t xml:space="preserve">Source: </w:t>
      </w:r>
      <w:r>
        <w:t>Scientific community and society : Nature Communications subject feeds</w:t>
      </w:r>
      <w:r>
        <w:t xml:space="preserve">    </w:t>
      </w:r>
      <w:r>
        <w:rPr>
          <w:b/>
        </w:rPr>
        <w:t xml:space="preserve">Pub date: </w:t>
      </w:r>
      <w:r>
        <w:t>2026-08-10 00:00:00+00:00</w:t>
      </w:r>
    </w:p>
    <w:p>
      <w:pPr>
        <w:spacing w:before="0" w:after="120"/>
      </w:pPr>
      <w:r>
        <w:rPr>
          <w:b/>
        </w:rPr>
        <w:t xml:space="preserve">Notes: </w:t>
      </w:r>
      <w:r>
        <w:t>abstract_source=nature_html</w:t>
      </w:r>
    </w:p>
    <w:p>
      <w:pPr>
        <w:spacing w:before="0" w:after="80" w:lineRule="auto" w:line="276"/>
      </w:pPr>
      <w:r>
        <w:rPr>
          <w:b/>
        </w:rPr>
        <w:t xml:space="preserve">摘要（ZH）: </w:t>
      </w:r>
      <w:r>
        <w:t>世界各国政府最近采取了氢能政策支持计划，将支持水平与所生产氢的评估碳强度挂钩。在这里，我们比较了替代碳核算规则，以确定根据电转气系统产生的财务和碳排放绩效来确定氢可用的政策支持。我们根据符合美国《通货膨胀削减法案》规定的生产税收抵免资格的工厂来校准我们的模型。与经常阐述的观点相反，更严格的会计规则通常为投资者提供足够的动力来投资电转气系统。尽管如此，更严格的规则可能导致碳强度水平接近通过碳捕获的天然气生产的氢气的碳强度水平。不太严格的规则通常会因为更高的盈利能力而带来更强有力的投资激励，但随着投资者从通用电网采购更多碳密集型电力，排放量也会显着增加。</w:t>
      </w:r>
    </w:p>
    <w:p>
      <w:pPr>
        <w:spacing w:before="0" w:after="200" w:lineRule="auto" w:line="276"/>
      </w:pPr>
      <w:r>
        <w:rPr>
          <w:b/>
        </w:rPr>
        <w:t xml:space="preserve">Abstract (EN): </w:t>
      </w:r>
      <w:r>
        <w:t>Governments around the world have recently adopted policy support programs for hydrogen, tying the level of support to the assessed carbon intensity of the hydrogen produced. Here we compare alternative carbon accounting rules for determining the policy support available for hydrogen in terms of the resulting financial and carbon emissions performance of Power-to-Gas systems. We calibrate our model to reference plants eligible for the production tax credit available under the Inflation Reduction Act in the United States. Contrary to frequently articulated views, more stringent accounting rules generally provide investors with sufficient incentives to invest in Power-to-Gas systems. Nonetheless, even more stringent rules can lead to carbon intensity levels close to those for hydrogen produced from natural gas with carbon capture. Less stringent rules generally entail stronger investment incentives due to higher profitability, but also significantly higher emissions as investors procure more carbon-intensive electricity from the general grid.</w:t>
      </w:r>
    </w:p>
    <w:p>
      <w:pPr>
        <w:spacing w:before="120" w:after="120"/>
      </w:pPr>
      <w:r>
        <w:rPr>
          <w:sz w:val="18"/>
        </w:rPr>
        <w:t>——————————————————————————————————————————————————————————————————————</w:t>
      </w:r>
    </w:p>
    <w:p>
      <w:pPr>
        <w:spacing w:before="160" w:after="40" w:line="240" w:lineRule="auto"/>
      </w:pPr>
      <w:r>
        <w:rPr>
          <w:b/>
        </w:rPr>
        <w:t xml:space="preserve">[23] </w:t>
      </w:r>
      <w:hyperlink r:id="rId415">
        <w:r>
          <w:rPr>
            <w:color w:val="1155CC"/>
            <w:u w:val="single"/>
          </w:rPr>
          <w:t>静电限制 PFSA 离聚物对催化剂油墨中催化剂颗粒的吸附</w:t>
        </w:r>
      </w:hyperlink>
    </w:p>
    <w:p>
      <w:pPr>
        <w:spacing w:before="0" w:after="80"/>
      </w:pPr>
      <w:r>
        <w:rPr>
          <w:i/>
          <w:sz w:val="20"/>
        </w:rPr>
        <w:t>EN: Electrostatically Limited PFSA Ionomer Adsorption to Catalyst Particles in Catalyst Inks</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416">
        <w:r>
          <w:rPr>
            <w:color w:val="1155CC"/>
            <w:u w:val="single"/>
          </w:rPr>
          <w:t>10.1021/acsami.6c09696</w:t>
        </w:r>
      </w:hyperlink>
    </w:p>
    <w:p>
      <w:pPr>
        <w:spacing w:before="0" w:after="120"/>
      </w:pPr>
      <w:r>
        <w:rPr>
          <w:b/>
        </w:rPr>
        <w:t xml:space="preserve">Notes: </w:t>
      </w:r>
      <w:r>
        <w:t>abstract_source=crossref</w:t>
      </w:r>
    </w:p>
    <w:p>
      <w:pPr>
        <w:spacing w:before="0" w:after="80" w:lineRule="auto" w:line="276"/>
      </w:pPr>
      <w:r>
        <w:rPr>
          <w:b/>
        </w:rPr>
        <w:t xml:space="preserve">摘要（ZH）: </w:t>
      </w:r>
      <w:r>
        <w:t>摘要 了解和控制催化剂油墨中的离聚物吸附对于优化膜电极组件中的催化剂层结构和性能至关重要。在这里，我们系统地量化了全氟磺酸 (PFSA) 离聚物在各种催化剂颗粒上的吸附，包括碳和 Pt/C、功能化碳和氧化铱 (IrOx)。我们发现这些不同颗粒的吸附程度相差近一个数量级。使用电位滴定，测量的颗粒表面电荷密度与使用动力学吸附模型的吸附行为相关。由于溶液中的阴离子离聚物与固体基质之间的排斥双电层相互作用，在动力学理论中出现了自由能势垒。我们根据适用于 PFSA 系统的 DLVO 理论计算这些相互作用。当离聚物吸附到载体颗粒表面并通过吸附的磺酸部分赋予负表面电荷时，能量势垒增加。当能垒大于约 25 kBT 时，离聚物吸附会自猝灭。我们发现理论与实验之间非常吻合，并表明，对于给定的离聚物浓度，颗粒会吸附离聚物，直到达到共同的极限表面电荷密度，而与颗粒类型无关。通过利用这一见解，我们证明可以通过调节支撑颗粒电荷的表面功能化来系统地调节吸附。研究结果表明静电相互作用是限制其程度的主要机制</w:t>
      </w:r>
    </w:p>
    <w:p>
      <w:pPr>
        <w:spacing w:before="0" w:after="200" w:lineRule="auto" w:line="276"/>
      </w:pPr>
      <w:r>
        <w:rPr>
          <w:b/>
        </w:rPr>
        <w:t xml:space="preserve">Abstract (EN): </w:t>
      </w:r>
      <w:r>
        <w:t>Understanding and controlling ionomer adsorption in catalyst inks is critical to optimizing catalyst-layer structure and performance in membrane-electrode assemblies. Here, we systematically quantify perfluorosulfonic-acid (PFSA) ionomer adsorption across a diverse set of catalyst particles, including carbon and Pt/C, functionalized carbons, and iridium oxide (IrOx). We find that the extent of adsorption varies by nearly an order of magnitude among these diverse particles. Using potentiometric titration, the measured particle surface-charge densities are related to adsorption behavior using a kinetic adsorption model. A free-energy barrier arises in the kinetic theory because of repulsive electric double-layer interactions between the anionic ionomer in solution and the solid substrate. We calculate these interactions from DLVO theory adapted to PFSA systems. The energy barrier grows as the ionomer adsorbs to support-particle surfaces and imparts a negative surface charge through the adsorbed sulfonic-acid moieties. Ionomer adsorption self-quenches when the energy barrier is larger than about 25 kBT. We find excellent agreement between theory and experiment, and show that, for a given ionomer concentration, particles adsorb ionomer until reaching a common limiting surface-charge density, independent of particle type. By leveraging this insight, we demonstrate that adsorption can be systematically tuned via surface functionalization that modulates support-particle charge. The findings establish electrostatic interactions as the dominant mechanism limiting the extent of PFSA ionomer adsorption, providing a general framework for the rational design of catalyst inks and improved ionomer distributions in catalyst layers.</w:t>
      </w:r>
    </w:p>
    <w:p>
      <w:pPr>
        <w:spacing w:before="120" w:after="120"/>
      </w:pPr>
      <w:r>
        <w:rPr>
          <w:sz w:val="18"/>
        </w:rPr>
        <w:t>——————————————————————————————————————————————————————————————————————</w:t>
      </w:r>
    </w:p>
    <w:p>
      <w:pPr>
        <w:spacing w:before="160" w:after="40" w:line="240" w:lineRule="auto"/>
      </w:pPr>
      <w:r>
        <w:rPr>
          <w:b/>
        </w:rPr>
        <w:t xml:space="preserve">[24] </w:t>
      </w:r>
      <w:hyperlink r:id="rId417">
        <w:r>
          <w:rPr>
            <w:color w:val="1155CC"/>
            <w:u w:val="single"/>
          </w:rPr>
          <w:t>使用行动者批评家强化学习在氢集成微电网中进行弹性能源管理</w:t>
        </w:r>
      </w:hyperlink>
    </w:p>
    <w:p>
      <w:pPr>
        <w:spacing w:before="0" w:after="80"/>
      </w:pPr>
      <w:r>
        <w:rPr>
          <w:i/>
          <w:sz w:val="20"/>
        </w:rPr>
        <w:t>EN: Resilient energy management in hydrogen-integrated microgrids using actor-critic reinforcement learning</w:t>
      </w:r>
    </w:p>
    <w:p>
      <w:pPr>
        <w:spacing w:before="0" w:after="120"/>
      </w:pPr>
      <w:r>
        <w:rPr>
          <w:b/>
        </w:rPr>
        <w:t xml:space="preserve">Source: </w:t>
      </w:r>
      <w:r>
        <w:t>ScienceDirect Publication: Applied Energy</w:t>
      </w:r>
      <w:r>
        <w:t xml:space="preserve">    </w:t>
      </w:r>
      <w:r>
        <w:rPr>
          <w:b/>
        </w:rPr>
        <w:t xml:space="preserve">Pub date: </w:t>
      </w:r>
      <w:r>
        <w:t>2026-08-10 00:00:00+00:00</w:t>
      </w:r>
      <w:r>
        <w:t xml:space="preserve">    </w:t>
      </w:r>
      <w:r>
        <w:rPr>
          <w:b/>
        </w:rPr>
        <w:t xml:space="preserve">DOI: </w:t>
      </w:r>
      <w:hyperlink r:id="rId418">
        <w:r>
          <w:rPr>
            <w:color w:val="1155CC"/>
            <w:u w:val="single"/>
          </w:rPr>
          <w:t>10.1016/j.apenergy.2026.128568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419">
        <w:r>
          <w:rPr>
            <w:color w:val="1155CC"/>
            <w:u w:val="single"/>
          </w:rPr>
          <w:t>金稳定铜可实现超低压 CO 电解制乙烯的阳极析氢</w:t>
        </w:r>
      </w:hyperlink>
    </w:p>
    <w:p>
      <w:pPr>
        <w:spacing w:before="0" w:after="80"/>
      </w:pPr>
      <w:r>
        <w:rPr>
          <w:i/>
          <w:sz w:val="20"/>
        </w:rPr>
        <w:t>EN: Gold‐Stabilized Copper Enables Anodic Hydrogen Evolution for Ultralow‐Voltage CO‐to‐Ethylene Electrolysis</w:t>
      </w:r>
    </w:p>
    <w:p>
      <w:pPr>
        <w:spacing w:before="0" w:after="120"/>
      </w:pPr>
      <w:r>
        <w:rPr>
          <w:b/>
        </w:rPr>
        <w:t xml:space="preserve">Source: </w:t>
      </w:r>
      <w:r>
        <w:t>Wiley: Advanced Materials: Table of Contents</w:t>
      </w:r>
      <w:r>
        <w:t xml:space="preserve">    </w:t>
      </w:r>
      <w:r>
        <w:rPr>
          <w:b/>
        </w:rPr>
        <w:t xml:space="preserve">Pub date: </w:t>
      </w:r>
      <w:r>
        <w:t>2026-08-10 03:53:48+00:00</w:t>
      </w:r>
      <w:r>
        <w:t xml:space="preserve">    </w:t>
      </w:r>
      <w:r>
        <w:rPr>
          <w:b/>
        </w:rPr>
        <w:t xml:space="preserve">DOI: </w:t>
      </w:r>
      <w:hyperlink r:id="rId420">
        <w:r>
          <w:rPr>
            <w:color w:val="1155CC"/>
            <w:u w:val="single"/>
          </w:rPr>
          <w:t>10.1002/adma.74459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 电化学升级</w:t>
      </w:r>
      <w:r>
        <w:rPr>
          <w:vertAlign w:val="subscript"/>
        </w:rPr>
        <w:t>2</w:t>
      </w:r>
      <w:r>
        <w:t>CO 转化为乙烯通常与析氧反应 (OER) 结合，其高标准还原电位导致全电池电压在 200 mA/cm 下高于 2.2 V</w:t>
      </w:r>
      <w:r>
        <w:rPr>
          <w:vertAlign w:val="subscript"/>
        </w:rPr>
        <w:t>2</w:t>
      </w:r>
      <w:r>
        <w:t>。在这里，我们探索了另一种阳极反应，其中糠醛被氧化成糠酸，这是一种具有低起始电位的反应（</w:t>
      </w:r>
      <w:r>
        <w:t xml:space="preserve"> </w:t>
      </w:r>
      <w:r>
        <w:t>乙</w:t>
      </w:r>
      <w:r>
        <w:rPr>
          <w:vertAlign w:val="subscript"/>
        </w:rPr>
        <w:t>0</w:t>
      </w:r>
      <w:r>
        <w:t>≈ 0.05 V vs. RHE)，哪个反应伴随着 H 的演化</w:t>
      </w:r>
      <w:r>
        <w:rPr>
          <w:vertAlign w:val="subscript"/>
        </w:rPr>
        <w:t>2</w:t>
      </w:r>
      <w:r>
        <w:t>：阳极析氢反应（a-HER）。在早期实验中，氧化铜作为 a-HER 催化剂表现出有限的稳定性（&lt; 10 分钟）和活性（80 mA/cm</w:t>
      </w:r>
      <w:r>
        <w:rPr>
          <w:vertAlign w:val="subscript"/>
        </w:rPr>
        <w:t>2</w:t>
      </w:r>
      <w:r>
        <w:t>0.8</w:t>
      </w:r>
      <w:r>
        <w:t xml:space="preserve"> </w:t>
      </w:r>
      <w:r>
        <w:t>V</w:t>
      </w:r>
      <w:r>
        <w:t xml:space="preserve"> </w:t>
      </w:r>
      <w:r>
        <w:t>细胞</w:t>
      </w:r>
      <w:r>
        <w:t xml:space="preserve"> </w:t>
      </w:r>
      <w:r>
        <w:t>）。我们使用原位光谱法发现，氢氧化物在铜表面形成，并使所需的 a-HER 过程失活。当我们筛选候选金属掺杂剂时，我们发现最好的是 Au，因为它可以稳定 Cu 表面，实现 a-HER：260 mA cm</w:t>
      </w:r>
      <w:r>
        <w:t xml:space="preserve"> </w:t>
      </w:r>
      <w:r>
        <w:t>−2</w:t>
      </w:r>
      <w:r>
        <w:t xml:space="preserve"> </w:t>
      </w:r>
      <w:r>
        <w:t>0.8</w:t>
      </w:r>
      <w:r>
        <w:t xml:space="preserve"> </w:t>
      </w:r>
      <w:r>
        <w:t>V</w:t>
      </w:r>
      <w:r>
        <w:t xml:space="preserve"> </w:t>
      </w:r>
      <w:r>
        <w:t>细胞</w:t>
      </w:r>
      <w:r>
        <w:t xml:space="preserve"> </w:t>
      </w:r>
      <w:r>
        <w:t>并稳定运行16小时。集成到配对的 CO 制乙烯电解槽中，可提供 0.92 V</w:t>
      </w:r>
      <w:r>
        <w:t xml:space="preserve"> </w:t>
      </w:r>
      <w:r>
        <w:t>全细胞</w:t>
      </w:r>
      <w:r>
        <w:t xml:space="preserve"> </w:t>
      </w:r>
      <w:r>
        <w:t>400 mA cm 时</w:t>
      </w:r>
      <w:r>
        <w:t xml:space="preserve"> </w:t>
      </w:r>
      <w:r>
        <w:t>−2</w:t>
      </w:r>
      <w:r>
        <w:t xml:space="preserve"> </w:t>
      </w:r>
      <w:r>
        <w:t>，每吨乙烯需要 40 GJ 电力，</w:t>
      </w:r>
    </w:p>
    <w:p>
      <w:pPr>
        <w:spacing w:before="0" w:after="200" w:lineRule="auto" w:line="276"/>
      </w:pPr>
      <w:r>
        <w:rPr>
          <w:b/>
        </w:rPr>
        <w:t xml:space="preserve">Abstract (EN): </w:t>
      </w:r>
      <w:r>
        <w:t>Electrochemical upgrading from CO</w:t>
      </w:r>
      <w:r>
        <w:rPr>
          <w:vertAlign w:val="subscript"/>
        </w:rPr>
        <w:t>2</w:t>
      </w:r>
      <w:r>
        <w:t>and CO to ethylene has typically been coupled with the oxygen evolution reaction (OER), whose high standard reduction potential leads to full‐cell voltages above 2.2 V at 200 mA/cm</w:t>
      </w:r>
      <w:r>
        <w:rPr>
          <w:vertAlign w:val="subscript"/>
        </w:rPr>
        <w:t>2</w:t>
      </w:r>
      <w:r>
        <w:t>. Here we explored an alternative anodic reaction, where furfural is oxidized to furoic acid, a reaction having a low onset potential (</w:t>
      </w:r>
      <w:r>
        <w:t xml:space="preserve"> </w:t>
      </w:r>
      <w:r>
        <w:t>E</w:t>
      </w:r>
      <w:r>
        <w:rPr>
          <w:vertAlign w:val="subscript"/>
        </w:rPr>
        <w:t>0</w:t>
      </w:r>
      <w:r>
        <w:t>≈ 0.05 V vs. RHE), and which reaction is accompanied by the evolution of H</w:t>
      </w:r>
      <w:r>
        <w:rPr>
          <w:vertAlign w:val="subscript"/>
        </w:rPr>
        <w:t>2</w:t>
      </w:r>
      <w:r>
        <w:t>: an anodic hydrogen evolution reaction (a‐HER). In early experiments, copper oxide as a‐HER catalyst exhibit limited stability (&amp;lt; 10 min) and activity (80 mA/cm</w:t>
      </w:r>
      <w:r>
        <w:rPr>
          <w:vertAlign w:val="subscript"/>
        </w:rPr>
        <w:t>2</w:t>
      </w:r>
      <w:r>
        <w:t>at 0.8</w:t>
      </w:r>
      <w:r>
        <w:t xml:space="preserve"> </w:t>
      </w:r>
      <w:r>
        <w:t>V</w:t>
      </w:r>
      <w:r>
        <w:t xml:space="preserve"> </w:t>
      </w:r>
      <w:r>
        <w:t>cell</w:t>
      </w:r>
      <w:r>
        <w:t xml:space="preserve"> </w:t>
      </w:r>
      <w:r>
        <w:t>). We found, using operando spectroscopy, that hydroxide forms on the surface of copper and deactivates the desired a‐HER process. When we screened candidate metal dopants, we found the best to be Au, for it served to stabilize the Cu surface, enablinained a‐HER: 260 mA cm</w:t>
      </w:r>
      <w:r>
        <w:t xml:space="preserve"> </w:t>
      </w:r>
      <w:r>
        <w:t>−2</w:t>
      </w:r>
      <w:r>
        <w:t xml:space="preserve"> </w:t>
      </w:r>
      <w:r>
        <w:t>at 0.8</w:t>
      </w:r>
      <w:r>
        <w:t xml:space="preserve"> </w:t>
      </w:r>
      <w:r>
        <w:t>V</w:t>
      </w:r>
      <w:r>
        <w:t xml:space="preserve"> </w:t>
      </w:r>
      <w:r>
        <w:t>cell</w:t>
      </w:r>
      <w:r>
        <w:t xml:space="preserve"> </w:t>
      </w:r>
      <w:r>
        <w:t>and stable operation for 16 h. Integrated into a paired CO‐to‐ethylene electrolyzer, this delivered 0.92 V</w:t>
      </w:r>
      <w:r>
        <w:t xml:space="preserve"> </w:t>
      </w:r>
      <w:r>
        <w:t>fullcell</w:t>
      </w:r>
      <w:r>
        <w:t xml:space="preserve"> </w:t>
      </w:r>
      <w:r>
        <w:t>at 400 mA cm</w:t>
      </w:r>
      <w:r>
        <w:t xml:space="preserve"> </w:t>
      </w:r>
      <w:r>
        <w:t>−2</w:t>
      </w:r>
      <w:r>
        <w:t xml:space="preserve"> </w:t>
      </w:r>
      <w:r>
        <w:t>, required 40 GJ electricity per ton of ethylene, and co‐produced 460 kg H</w:t>
      </w:r>
      <w:r>
        <w:rPr>
          <w:vertAlign w:val="subscript"/>
        </w:rPr>
        <w:t>2</w:t>
      </w:r>
      <w:r>
        <w:t>per ton ethylene. To enable comparison with CO</w:t>
      </w:r>
      <w:r>
        <w:rPr>
          <w:vertAlign w:val="subscript"/>
        </w:rPr>
        <w:t>2</w:t>
      </w:r>
      <w:r>
        <w:t>‐to‐ethylene reports, which require an additional CO</w:t>
      </w:r>
      <w:r>
        <w:rPr>
          <w:vertAlign w:val="subscript"/>
        </w:rPr>
        <w:t>2</w:t>
      </w:r>
      <w:r>
        <w:t>‐to‐CO step, we estimate ∼ 69 GJ/tonC</w:t>
      </w:r>
      <w:r>
        <w:rPr>
          <w:vertAlign w:val="subscript"/>
        </w:rPr>
        <w:t>2</w:t>
      </w:r>
      <w:r>
        <w:t>H</w:t>
      </w:r>
      <w:r>
        <w:rPr>
          <w:vertAlign w:val="subscript"/>
        </w:rPr>
        <w:t>4</w:t>
      </w:r>
      <w:r>
        <w:t>.</w:t>
      </w:r>
    </w:p>
    <w:p>
      <w:pPr>
        <w:spacing w:before="120" w:after="120"/>
      </w:pPr>
      <w:r>
        <w:rPr>
          <w:sz w:val="18"/>
        </w:rPr>
        <w:t>——————————————————————————————————————————————————————————————————————</w:t>
      </w:r>
    </w:p>
    <w:p>
      <w:pPr>
        <w:spacing w:before="160" w:after="40" w:line="240" w:lineRule="auto"/>
      </w:pPr>
      <w:r>
        <w:rPr>
          <w:b/>
        </w:rPr>
        <w:t xml:space="preserve">[26] </w:t>
      </w:r>
      <w:hyperlink r:id="rId421">
        <w:r>
          <w:rPr>
            <w:color w:val="1155CC"/>
            <w:u w:val="single"/>
          </w:rPr>
          <w:t>船舶氨基船舶动力系统多准则决策分析</w:t>
        </w:r>
      </w:hyperlink>
    </w:p>
    <w:p>
      <w:pPr>
        <w:spacing w:before="0" w:after="80"/>
      </w:pPr>
      <w:r>
        <w:rPr>
          <w:i/>
          <w:sz w:val="20"/>
        </w:rPr>
        <w:t>EN: Multi-criteria decision analysis of ammonia-based marine power systems for ships</w:t>
      </w:r>
    </w:p>
    <w:p>
      <w:pPr>
        <w:spacing w:before="0" w:after="120"/>
      </w:pPr>
      <w:r>
        <w:rPr>
          <w:b/>
        </w:rPr>
        <w:t xml:space="preserve">Source: </w:t>
      </w:r>
      <w:r>
        <w:t>ScienceDirect Publication: Applied Energy</w:t>
      </w:r>
      <w:r>
        <w:t xml:space="preserve">    </w:t>
      </w:r>
      <w:r>
        <w:rPr>
          <w:b/>
        </w:rPr>
        <w:t xml:space="preserve">Pub date: </w:t>
      </w:r>
      <w:r>
        <w:t>2026-08-11 00:00:00+00:00</w:t>
      </w:r>
      <w:r>
        <w:t xml:space="preserve">    </w:t>
      </w:r>
      <w:r>
        <w:rPr>
          <w:b/>
        </w:rPr>
        <w:t xml:space="preserve">DOI: </w:t>
      </w:r>
      <w:hyperlink r:id="rId422">
        <w:r>
          <w:rPr>
            <w:color w:val="1155CC"/>
            <w:u w:val="single"/>
          </w:rPr>
          <w:t>10.1016/j.apenergy.2026.128507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423">
        <w:r>
          <w:rPr>
            <w:color w:val="1155CC"/>
            <w:u w:val="single"/>
          </w:rPr>
          <w:t>燃料电池汽车的预测能源管理策略，以减轻累积和传播的车速预测误差的不利影响</w:t>
        </w:r>
      </w:hyperlink>
    </w:p>
    <w:p>
      <w:pPr>
        <w:spacing w:before="0" w:after="80"/>
      </w:pPr>
      <w:r>
        <w:rPr>
          <w:i/>
          <w:sz w:val="20"/>
        </w:rPr>
        <w:t>EN: Predictive energy management strategy for fuel cell vehicles to mitigate the adverse effects of cumulative and propagated vehicle speed prediction errors</w:t>
      </w:r>
    </w:p>
    <w:p>
      <w:pPr>
        <w:spacing w:before="0" w:after="120"/>
      </w:pPr>
      <w:r>
        <w:rPr>
          <w:b/>
        </w:rPr>
        <w:t xml:space="preserve">Source: </w:t>
      </w:r>
      <w:r>
        <w:t>ScienceDirect Publication: Applied Energy</w:t>
      </w:r>
      <w:r>
        <w:t xml:space="preserve">    </w:t>
      </w:r>
      <w:r>
        <w:rPr>
          <w:b/>
        </w:rPr>
        <w:t xml:space="preserve">Pub date: </w:t>
      </w:r>
      <w:r>
        <w:t>2026-08-11 00:00:00+00:00</w:t>
      </w:r>
      <w:r>
        <w:t xml:space="preserve">    </w:t>
      </w:r>
      <w:r>
        <w:rPr>
          <w:b/>
        </w:rPr>
        <w:t xml:space="preserve">DOI: </w:t>
      </w:r>
      <w:hyperlink r:id="rId424">
        <w:r>
          <w:rPr>
            <w:color w:val="1155CC"/>
            <w:u w:val="single"/>
          </w:rPr>
          <w:t>10.1016/j.apenergy.2026.128673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 </w:t>
      </w:r>
      <w:hyperlink r:id="rId425">
        <w:r>
          <w:rPr>
            <w:color w:val="1155CC"/>
            <w:u w:val="single"/>
          </w:rPr>
          <w:t>溴化物介导的氢和环氧化物的配对电合成</w:t>
        </w:r>
      </w:hyperlink>
    </w:p>
    <w:p>
      <w:pPr>
        <w:spacing w:before="0" w:after="80"/>
      </w:pPr>
      <w:r>
        <w:rPr>
          <w:i/>
          <w:sz w:val="20"/>
        </w:rPr>
        <w:t>EN: Bromide-mediated paired electrosynthesis of hydrogen and epoxide</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水电解难以与低成本的甲烷或煤制氢竞争。我们提出了一种溴化物介导的配对电合成系统，其中水性电解质与惰性有机共溶剂中的烯烃结合，同时产生氢气和环氧化物。在此过程中，溴化物电解首先产生气态氢和溶液限制的溴；然后，溴用于将烯烃部分氧化成高价值的环氧化物，同时再生回溴化物。通过用有价值的环氧化物代替低价值的氧气，这种方法提高了水电解的经济可行性，并且可以应用于广泛的烯烃。我们展示了使用苯乙烯的概念，在无膜系统中将水和苯乙烯转化为氢气和苯乙烯氧化物，具有高效率、高速率和高产物选择性。</w:t>
      </w:r>
    </w:p>
    <w:p>
      <w:pPr>
        <w:spacing w:before="0" w:after="200" w:lineRule="auto" w:line="276"/>
      </w:pPr>
      <w:r>
        <w:rPr>
          <w:b/>
        </w:rPr>
        <w:t xml:space="preserve">Abstract (EN): </w:t>
      </w:r>
      <w:r>
        <w:t>Water electrolysis struggles to compete with the low cost of hydrogen produced from methane or coal. We propose a bromide-mediated paired electrosynthesis system in which an aqueous electrolyte is combined with olefins in an inert organic co-solvent to simultaneously generate hydrogen and epoxides. In this process, bromide electrolysis first produces gaseous hydrogen and solution-confined bromine; the bromine is then used to partially oxidize olefins into high-value epoxides while being regenerated back to bromide. By replacing low-value oxygen with valuable epoxides, this approach increases the economic viability of water electrolysis and can be applied to a wide range of olefins. We demonstrate the concept using styrene, converting water and styrene into hydrogen and styrene oxide in a membraneless system with high efficiency, high rate, and high product selectivity.</w:t>
      </w:r>
    </w:p>
    <w:p>
      <w:pPr>
        <w:spacing w:before="120" w:after="120"/>
      </w:pPr>
      <w:r>
        <w:rPr>
          <w:sz w:val="18"/>
        </w:rPr>
        <w:t>——————————————————————————————————————————————————————————————————————</w:t>
      </w:r>
    </w:p>
    <w:p>
      <w:pPr>
        <w:spacing w:before="160" w:after="40" w:line="240" w:lineRule="auto"/>
      </w:pPr>
      <w:r>
        <w:rPr>
          <w:b/>
        </w:rPr>
        <w:t xml:space="preserve">[29] </w:t>
      </w:r>
      <w:hyperlink r:id="rId426">
        <w:r>
          <w:rPr>
            <w:color w:val="1155CC"/>
            <w:u w:val="single"/>
          </w:rPr>
          <w:t>推动可持续航空：欧盟监管下甲醇喷气式 eSAF 的技术经济视角和机票价格影响</w:t>
        </w:r>
      </w:hyperlink>
    </w:p>
    <w:p>
      <w:pPr>
        <w:spacing w:before="0" w:after="80"/>
      </w:pPr>
      <w:r>
        <w:rPr>
          <w:i/>
          <w:sz w:val="20"/>
        </w:rPr>
        <w:t>EN: Fuelling sustainable aviation: Techno-economic perspectives and airfare implications for methanol-to-jet eSAF under EU regulation</w:t>
      </w:r>
    </w:p>
    <w:p>
      <w:pPr>
        <w:spacing w:before="0" w:after="120"/>
      </w:pPr>
      <w:r>
        <w:rPr>
          <w:b/>
        </w:rPr>
        <w:t xml:space="preserve">Source: </w:t>
      </w:r>
      <w:r>
        <w:t>ScienceDirect Publication: Applied Energy</w:t>
      </w:r>
      <w:r>
        <w:t xml:space="preserve">    </w:t>
      </w:r>
      <w:r>
        <w:rPr>
          <w:b/>
        </w:rPr>
        <w:t xml:space="preserve">Pub date: </w:t>
      </w:r>
      <w:r>
        <w:t>2026-08-12 00:00:00+00:00</w:t>
      </w:r>
      <w:r>
        <w:t xml:space="preserve">    </w:t>
      </w:r>
      <w:r>
        <w:rPr>
          <w:b/>
        </w:rPr>
        <w:t xml:space="preserve">DOI: </w:t>
      </w:r>
      <w:hyperlink r:id="rId427">
        <w:r>
          <w:rPr>
            <w:color w:val="1155CC"/>
            <w:u w:val="single"/>
          </w:rPr>
          <w:t>10.1016/j.apenergy.2026.128622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428">
        <w:r>
          <w:rPr>
            <w:color w:val="1155CC"/>
            <w:u w:val="single"/>
          </w:rPr>
          <w:t>风基氢的电力采购和时间匹配：市场和天气不确定性下平准化成本的多年优化和随机分析</w:t>
        </w:r>
      </w:hyperlink>
    </w:p>
    <w:p>
      <w:pPr>
        <w:spacing w:before="0" w:after="80"/>
      </w:pPr>
      <w:r>
        <w:rPr>
          <w:i/>
          <w:sz w:val="20"/>
        </w:rPr>
        <w:t>EN: Electricity procurement and temporal matching for wind-based hydrogen: multi-year optimization and stochastic analysis of levelized cost under market and weather uncertainty</w:t>
      </w:r>
    </w:p>
    <w:p>
      <w:pPr>
        <w:spacing w:before="0" w:after="120"/>
      </w:pPr>
      <w:r>
        <w:rPr>
          <w:b/>
        </w:rPr>
        <w:t xml:space="preserve">Source: </w:t>
      </w:r>
      <w:r>
        <w:t>ScienceDirect Publication: Applied Energy</w:t>
      </w:r>
      <w:r>
        <w:t xml:space="preserve">    </w:t>
      </w:r>
      <w:r>
        <w:rPr>
          <w:b/>
        </w:rPr>
        <w:t xml:space="preserve">Pub date: </w:t>
      </w:r>
      <w:r>
        <w:t>2026-08-12 00:00:00+00:00</w:t>
      </w:r>
      <w:r>
        <w:t xml:space="preserve">    </w:t>
      </w:r>
      <w:r>
        <w:rPr>
          <w:b/>
        </w:rPr>
        <w:t xml:space="preserve">DOI: </w:t>
      </w:r>
      <w:hyperlink r:id="rId429">
        <w:r>
          <w:rPr>
            <w:color w:val="1155CC"/>
            <w:u w:val="single"/>
          </w:rPr>
          <w:t>10.1016/j.apenergy.2026.128637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430">
        <w:r>
          <w:rPr>
            <w:color w:val="1155CC"/>
            <w:u w:val="single"/>
          </w:rPr>
          <w:t>迈向低铂 PEMWE 组件：确定钛 BPP 上铂保护涂层的最小厚度</w:t>
        </w:r>
      </w:hyperlink>
    </w:p>
    <w:p>
      <w:pPr>
        <w:spacing w:before="0" w:after="80"/>
      </w:pPr>
      <w:r>
        <w:rPr>
          <w:i/>
          <w:sz w:val="20"/>
        </w:rPr>
        <w:t>EN: Toward Low-Pt PEMWE Components: Determining the Minimum Thickness of Pt Protection Coatings on Titanium BPP</w:t>
      </w:r>
    </w:p>
    <w:p>
      <w:pPr>
        <w:spacing w:before="0" w:after="120"/>
      </w:pPr>
      <w:r>
        <w:rPr>
          <w:b/>
        </w:rPr>
        <w:t xml:space="preserve">Source: </w:t>
      </w:r>
      <w:r>
        <w:t>ACS Applied Materials &amp; Interfaces: Latest Articles (ACS Publications)</w:t>
      </w:r>
      <w:r>
        <w:t xml:space="preserve">    </w:t>
      </w:r>
      <w:r>
        <w:rPr>
          <w:b/>
        </w:rPr>
        <w:t xml:space="preserve">Pub date: </w:t>
      </w:r>
      <w:r>
        <w:t>2026-08-12 00:00:00+00:00</w:t>
      </w:r>
      <w:r>
        <w:t xml:space="preserve">    </w:t>
      </w:r>
      <w:r>
        <w:rPr>
          <w:b/>
        </w:rPr>
        <w:t xml:space="preserve">DOI: </w:t>
      </w:r>
      <w:hyperlink r:id="rId431">
        <w:r>
          <w:rPr>
            <w:color w:val="1155CC"/>
            <w:u w:val="single"/>
          </w:rPr>
          <w:t>10.1021/acsami.6c08743</w:t>
        </w:r>
      </w:hyperlink>
    </w:p>
    <w:p>
      <w:pPr>
        <w:spacing w:before="0" w:after="120"/>
      </w:pPr>
      <w:r>
        <w:rPr>
          <w:b/>
        </w:rPr>
        <w:t xml:space="preserve">Notes: </w:t>
      </w:r>
      <w:r>
        <w:t>abstract_source=crossref</w:t>
      </w:r>
    </w:p>
    <w:p>
      <w:pPr>
        <w:spacing w:before="0" w:after="80" w:lineRule="auto" w:line="276"/>
      </w:pPr>
      <w:r>
        <w:rPr>
          <w:b/>
        </w:rPr>
        <w:t xml:space="preserve">摘要（ZH）: </w:t>
      </w:r>
      <w:r>
        <w:t>摘要 质子交换膜水电解槽 (PEMWE) 中的恶劣阳极环境需要对钛双极板 (BPP) 进行表面改性，以防止腐蚀引起的离子释放和不导电氧化物的形成。铂涂层是一种常用的方法，可提供导电腐蚀保护。然而，其有限的可用性和高昂的材料成本突出表明需要减少大规模应用中的铂利用率。因此，本研究系统地研究了 2 级 Ti 基底上纳米级 Pt 涂层的电化学性能和耐久性，旨在最大限度地减少薄膜厚度，同时保持功能完整性。这项工作使用一套全面的高分辨率表征技术，提供了对 Pt 膜厚度、涂层缺陷和基材退化之间相互作用的详细见解。总体而言，结果表明，厚度约为 24 nm（约 57 μg cm-2 Pt 负载量）的 Pt 涂层可以有效保护钛 BPP，突显出纳米薄涂层可以保持性能，同时显着减少 PEMWE 双极板设计中的 Pt 使用量。</w:t>
      </w:r>
    </w:p>
    <w:p>
      <w:pPr>
        <w:spacing w:before="0" w:after="200" w:lineRule="auto" w:line="276"/>
      </w:pPr>
      <w:r>
        <w:rPr>
          <w:b/>
        </w:rPr>
        <w:t xml:space="preserve">Abstract (EN): </w:t>
      </w:r>
      <w:r>
        <w:t>The harsh anodic environment in proton exchange membrane water electrolyzers (PEMWEs) necessitates surface modification of titanium bipolar plates (BPPs) to prevent corrosion-induced ion release and formation of non-conductive oxides. Platinum coatings are a commonly used approach, providing electrically conductive corrosion protection. However, their limited availability and high material cost highlight the need to reduce Pt utilization for large-scale application. Therefore, this study systematically investigates the electrochemical performance and durability of nanometer-scale Pt coatings on grade 2 Ti substrates, aiming to minimize film thickness while maintaining functional integrity. Using a comprehensive set of high-resolution characterization techniques, this work provides detailed insights into the interplay between Pt film thickness, coating defects, and substrate degradation. Overall, the results demonstrate that Pt coatings with a thickness of about 24 nm (≈57 μg cm–2 Pt loading) can effectively protect titanium BPP, highlighting that nanometer-thin coatings preserve performance while enabling a significant reduction in Pt usage for PEMWE bipolar plate design.</w:t>
      </w:r>
    </w:p>
    <w:p>
      <w:pPr>
        <w:spacing w:before="120" w:after="120"/>
      </w:pPr>
      <w:r>
        <w:rPr>
          <w:sz w:val="18"/>
        </w:rPr>
        <w:t>——————————————————————————————————————————————————————————————————————</w:t>
      </w:r>
    </w:p>
    <w:p>
      <w:pPr>
        <w:spacing w:before="160" w:after="40" w:line="240" w:lineRule="auto"/>
      </w:pPr>
      <w:r>
        <w:rPr>
          <w:b/>
        </w:rPr>
        <w:t xml:space="preserve">[32] </w:t>
      </w:r>
      <w:hyperlink r:id="rId432">
        <w:r>
          <w:rPr>
            <w:color w:val="1155CC"/>
            <w:u w:val="single"/>
          </w:rPr>
          <w:t>用于耐用质子交换膜燃料电池的吸附工程烃离聚物</w:t>
        </w:r>
      </w:hyperlink>
    </w:p>
    <w:p>
      <w:pPr>
        <w:spacing w:before="0" w:after="80"/>
      </w:pPr>
      <w:r>
        <w:rPr>
          <w:i/>
          <w:sz w:val="20"/>
        </w:rPr>
        <w:t>EN: Adsorption‐Engineered Hydrocarbon Ionomers for Durable Proton‐Exchange Membrane Fuel Cells</w:t>
      </w:r>
    </w:p>
    <w:p>
      <w:pPr>
        <w:spacing w:before="0" w:after="120"/>
      </w:pPr>
      <w:r>
        <w:rPr>
          <w:b/>
        </w:rPr>
        <w:t xml:space="preserve">Source: </w:t>
      </w:r>
      <w:r>
        <w:t>Wiley: Advanced Materials: Table of Contents</w:t>
      </w:r>
      <w:r>
        <w:t xml:space="preserve">    </w:t>
      </w:r>
      <w:r>
        <w:rPr>
          <w:b/>
        </w:rPr>
        <w:t xml:space="preserve">Pub date: </w:t>
      </w:r>
      <w:r>
        <w:t>2026-08-12 07:35:33+00:00</w:t>
      </w:r>
      <w:r>
        <w:t xml:space="preserve">    </w:t>
      </w:r>
      <w:r>
        <w:rPr>
          <w:b/>
        </w:rPr>
        <w:t xml:space="preserve">DOI: </w:t>
      </w:r>
      <w:hyperlink r:id="rId433">
        <w:r>
          <w:rPr>
            <w:color w:val="1155CC"/>
            <w:u w:val="single"/>
          </w:rPr>
          <w:t>10.1002/adma.74561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减少质子交换膜燃料电池对全氟烷基物质（PFAS）的依赖需要将高性能与长期耐用性结合起来的碳氢化合物离聚物，这是催化剂层设计中持续存在的挑战。在这里，我们将氧化驱动的离聚物-催化剂界面降解确定为烃离聚物键合阴极的主要失效途径，并引入吸附工程策略来克服这一限制。商业磺化聚（亚苯基）（Pemion）与结构工程磺化聚（芴）的比较表明，电极的耐用性取决于离聚物吸附强度和碳负载 Pt 催化剂的抗氧化降解性之间的相互作用。具有移动烷基磺酸基团的聚（芴）离聚物形成弹性界面，可提供 1.28 A cm</w:t>
      </w:r>
      <w:r>
        <w:t xml:space="preserve"> </w:t>
      </w:r>
      <w:r>
        <w:t>-</w:t>
      </w:r>
      <w:r>
        <w:rPr>
          <w:vertAlign w:val="subscript"/>
        </w:rPr>
        <w:t>2</w:t>
      </w:r>
      <w:r>
        <w:t>完全加湿 H 下 0.65 V</w:t>
      </w:r>
      <w:r>
        <w:rPr>
          <w:vertAlign w:val="subscript"/>
        </w:rPr>
        <w:t>2</w:t>
      </w:r>
      <w:r>
        <w:t>/空气条件（80°C 和 150 kPa</w:t>
      </w:r>
      <w:r>
        <w:t xml:space="preserve"> </w:t>
      </w:r>
      <w:r>
        <w:t>腹肌</w:t>
      </w:r>
      <w:r>
        <w:t xml:space="preserve"> </w:t>
      </w:r>
      <w:r>
        <w:t>），与皮米翁相当。经过 90,000 次加速电位循环后，聚（芴）键合阴极的耐用性显着提高，性能损失仅为 29%，而 Pemion 的性能损失为 58%；进一步的分子细化将损失降低至 17%，接近 Nafion 键合阴极 (14%)。这些发现建立了吸附工程离聚物设计，将界面锚定与氧化降解分离，作为实现这一目标的一般策略。</w:t>
      </w:r>
    </w:p>
    <w:p>
      <w:pPr>
        <w:spacing w:before="0" w:after="200" w:lineRule="auto" w:line="276"/>
      </w:pPr>
      <w:r>
        <w:rPr>
          <w:b/>
        </w:rPr>
        <w:t xml:space="preserve">Abstract (EN): </w:t>
      </w:r>
      <w:r>
        <w:t>Reducing reliance on perfluoroalkyl substances (PFAS) in proton‐exchange membrane fuel cells requires hydrocarbon ionomers that combine high performance with long‐term durability, a persistent challenge in catalyst‐layer design. Here, we identify oxidation‐driven ionomer‐catalyst interfacial degradation as a dominant failure pathway in hydrocarbon ionomer‐bonded cathodes and introduce an adsorption‐engineering strategy to overcome this limitation. The comparison of a commercial sulfonated poly(phenylene) (Pemion) with structurally engineered sulfonated poly(fluorene)s demonstrated that electrode durability is governed by the interplay between ionomer adsorption strength and resistance to oxidative degradation on carbon‐supported Pt catalysts. A poly(fluorene) ionomer with mobile alkyl sulfonic acid groups forms resilient interfaces, delivering 1.28 A cm</w:t>
      </w:r>
      <w:r>
        <w:t xml:space="preserve"> </w:t>
      </w:r>
      <w:r>
        <w:t>−</w:t>
      </w:r>
      <w:r>
        <w:rPr>
          <w:vertAlign w:val="subscript"/>
        </w:rPr>
        <w:t>2</w:t>
      </w:r>
      <w:r>
        <w:t>at 0.65 V under fully humidified H</w:t>
      </w:r>
      <w:r>
        <w:rPr>
          <w:vertAlign w:val="subscript"/>
        </w:rPr>
        <w:t>2</w:t>
      </w:r>
      <w:r>
        <w:t>/air conditions (80°C and 150 kPa</w:t>
      </w:r>
      <w:r>
        <w:t xml:space="preserve"> </w:t>
      </w:r>
      <w:r>
        <w:t>abs</w:t>
      </w:r>
      <w:r>
        <w:t xml:space="preserve"> </w:t>
      </w:r>
      <w:r>
        <w:t>), comparable to Pemion. After 90,000 accelerated potential cycles, the poly(fluorene)‐bonded cathode exhibits significantly improved durability, with only 29% performance loss compared to 58% for Pemion; further molecular refinement reduces the loss to 17%, approaching that of Nafion‐bonded cathodes (14%). These findings establish adsorption‐engineered ionomer design that decouples interfacial anchoring from oxidative degradation as a general strategy for achieving durable, high‐performance PFAS‐free PEM fuel cell electrodes.</w:t>
      </w:r>
    </w:p>
    <w:p>
      <w:pPr>
        <w:spacing w:before="120" w:after="120"/>
      </w:pPr>
      <w:r>
        <w:rPr>
          <w:sz w:val="18"/>
        </w:rPr>
        <w:t>——————————————————————————————————————————————————————————————————————</w:t>
      </w:r>
    </w:p>
    <w:p>
      <w:pPr>
        <w:spacing w:before="160" w:after="40" w:line="240" w:lineRule="auto"/>
      </w:pPr>
      <w:r>
        <w:rPr>
          <w:b/>
        </w:rPr>
        <w:t xml:space="preserve">[33] </w:t>
      </w:r>
      <w:hyperlink r:id="rId434">
        <w:r>
          <w:rPr>
            <w:color w:val="1155CC"/>
            <w:u w:val="single"/>
          </w:rPr>
          <w:t>交联离子对微孔聚合物实现耐用的高温质子交换膜燃料电池</w:t>
        </w:r>
      </w:hyperlink>
    </w:p>
    <w:p>
      <w:pPr>
        <w:spacing w:before="0" w:after="80"/>
      </w:pPr>
      <w:r>
        <w:rPr>
          <w:i/>
          <w:sz w:val="20"/>
        </w:rPr>
        <w:t>EN: Cross‐linked Ion‐Pair Microporous Polymers Enabling Durable High‐Temperature Proton Exchange Membrane Fuel Cells</w:t>
      </w:r>
    </w:p>
    <w:p>
      <w:pPr>
        <w:spacing w:before="0" w:after="120"/>
      </w:pPr>
      <w:r>
        <w:rPr>
          <w:b/>
        </w:rPr>
        <w:t xml:space="preserve">Source: </w:t>
      </w:r>
      <w:r>
        <w:t>Wiley: Advanced Materials: Table of Contents</w:t>
      </w:r>
      <w:r>
        <w:t xml:space="preserve">    </w:t>
      </w:r>
      <w:r>
        <w:rPr>
          <w:b/>
        </w:rPr>
        <w:t xml:space="preserve">Pub date: </w:t>
      </w:r>
      <w:r>
        <w:t>2026-08-12 07:49:15+00:00</w:t>
      </w:r>
      <w:r>
        <w:t xml:space="preserve">    </w:t>
      </w:r>
      <w:r>
        <w:rPr>
          <w:b/>
        </w:rPr>
        <w:t xml:space="preserve">DOI: </w:t>
      </w:r>
      <w:hyperlink r:id="rId435">
        <w:r>
          <w:rPr>
            <w:color w:val="1155CC"/>
            <w:u w:val="single"/>
          </w:rPr>
          <w:t>10.1002/adma.74595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磷酸 (PA) 掺杂离子对聚合物已成为用于高温燃料电池的有前景的质子交换膜 (PEM)，可在 80°C–160°C 的温度范围内运行，同时有效锚定和保留 PA。然而，传统的基于离子对的 PEM 燃料电池在温度高于 160°C 时会出现性能下降和质子传输不稳定的问题。在这项研究中，交联离子对微孔聚合物聚（螺二茚烷-三联苯哌啶）（C50-PSTP-x）同时用作PEM和催化剂层离聚物，在整个膜电极组件上实现强酸锚定效应。该聚合物集成了离子对配位的PA-环状季铵基团、具有固有微孔性的螺二茚满主链以及高度粗糙的交联结构。这些结构特征共同促进了高效的质子传输、明确的三相界面和强大的 PA 锚定，使燃料电池能够在高达 220°C 的温度下稳定运行。 C50-PSTP-x 膜和离聚物可提供 0.680–0.778 W cm 的高峰值功率密度</w:t>
      </w:r>
      <w:r>
        <w:t xml:space="preserve"> </w:t>
      </w:r>
      <w:r>
        <w:t>−2</w:t>
      </w:r>
      <w:r>
        <w:t xml:space="preserve"> </w:t>
      </w:r>
      <w:r>
        <w:t>铂负载量为 0.5 mg</w:t>
      </w:r>
      <w:r>
        <w:t xml:space="preserve"> </w:t>
      </w:r>
      <w:r>
        <w:t>铂</w:t>
      </w:r>
      <w:r>
        <w:t xml:space="preserve"> </w:t>
      </w:r>
      <w:r>
        <w:t>厘米</w:t>
      </w:r>
      <w:r>
        <w:t xml:space="preserve"> </w:t>
      </w:r>
      <w:r>
        <w:t>−2</w:t>
      </w:r>
      <w:r>
        <w:t xml:space="preserve"> </w:t>
      </w:r>
      <w:r>
        <w:t>以及出色的耐用性，表现出 57.8 µV h 的低电压衰减率</w:t>
      </w:r>
      <w:r>
        <w:t xml:space="preserve"> </w:t>
      </w:r>
      <w:r>
        <w:t>−1</w:t>
      </w:r>
      <w:r>
        <w:t xml:space="preserve"> </w:t>
      </w:r>
      <w:r>
        <w:t>在 160°C 和 33.3 µV h 下超过 800 小时</w:t>
      </w:r>
      <w:r>
        <w:t xml:space="preserve"> </w:t>
      </w:r>
      <w:r>
        <w:t>−1</w:t>
      </w:r>
      <w:r>
        <w:t xml:space="preserve"> </w:t>
      </w:r>
      <w:r>
        <w:t>180°C 下超过 500 小时。这项工作建立了一个强大的离子对聚合物平台</w:t>
      </w:r>
    </w:p>
    <w:p>
      <w:pPr>
        <w:spacing w:before="0" w:after="200" w:lineRule="auto" w:line="276"/>
      </w:pPr>
      <w:r>
        <w:rPr>
          <w:b/>
        </w:rPr>
        <w:t xml:space="preserve">Abstract (EN): </w:t>
      </w:r>
      <w:r>
        <w:t>Phosphoric acid (PA)‐doped ion‐pair polymers have emerged as promising proton exchange membranes (PEMs) for high‐temperature fuel cells, enabling operation from 80°C–160°C while effectively anchoring and retaining PA. However, conventional ion‐pair‐based PEM fuel cells suffer from performance degradation and unstable proton transport at temperatures above 160°C. In this study, a cross‐linked ion‐pair microporous polymer, poly(spirobisindane‐co‐terphenyl piperidinium) (C50‐PSTP‐x), is simultaneously used as both the PEM and catalyst‐layer ionomer, achieving a strong acid anchoring effect across the entire membrane electrode assembly. The polymer integrates ion‐pair‐coordinated PA‐cyclic quaternary ammonium groups, a spirobisindane backbone with intrinsic microporosity, and a highly roughened cross‐linked structure. These structural features collectively promote efficient proton transport, well‐defined triple‐phase interfaces, and strong PA anchoring, enabling stable fuel cell operation at temperatures up to 220°C. C50‐PSTP‐x membrane and ionomer deliver high peak power densities of 0.680–0.778 W cm</w:t>
      </w:r>
      <w:r>
        <w:t xml:space="preserve"> </w:t>
      </w:r>
      <w:r>
        <w:t>−2</w:t>
      </w:r>
      <w:r>
        <w:t xml:space="preserve"> </w:t>
      </w:r>
      <w:r>
        <w:t>with a Pt loading of 0.5 mg</w:t>
      </w:r>
      <w:r>
        <w:t xml:space="preserve"> </w:t>
      </w:r>
      <w:r>
        <w:t>Pt</w:t>
      </w:r>
      <w:r>
        <w:t xml:space="preserve"> </w:t>
      </w:r>
      <w:r>
        <w:t>cm</w:t>
      </w:r>
      <w:r>
        <w:t xml:space="preserve"> </w:t>
      </w:r>
      <w:r>
        <w:t>−2</w:t>
      </w:r>
      <w:r>
        <w:t xml:space="preserve"> </w:t>
      </w:r>
      <w:r>
        <w:t>, along with excellent durability, exhibiting low voltage decay rate of 57.8 µV h</w:t>
      </w:r>
      <w:r>
        <w:t xml:space="preserve"> </w:t>
      </w:r>
      <w:r>
        <w:t>−1</w:t>
      </w:r>
      <w:r>
        <w:t xml:space="preserve"> </w:t>
      </w:r>
      <w:r>
        <w:t>over 800 h at 160°C and 33.3 µV h</w:t>
      </w:r>
      <w:r>
        <w:t xml:space="preserve"> </w:t>
      </w:r>
      <w:r>
        <w:t>−1</w:t>
      </w:r>
      <w:r>
        <w:t xml:space="preserve"> </w:t>
      </w:r>
      <w:r>
        <w:t>over 500 h at 180°C. This work establishes a robust ion‐pair polymer platform for ultra‐high‐temperature PEM fuel cells (HT‐PEMFCs), expanding both the operational temperature window and long‐term stability of next‐generation HT‐PEMFCs.</w:t>
      </w:r>
    </w:p>
    <w:p>
      <w:pPr>
        <w:spacing w:before="120" w:after="120"/>
      </w:pPr>
      <w:r>
        <w:rPr>
          <w:sz w:val="18"/>
        </w:rPr>
        <w:t>——————————————————————————————————————————————————————————————————————</w:t>
      </w:r>
    </w:p>
    <w:p>
      <w:pPr>
        <w:spacing w:before="160" w:after="40" w:line="240" w:lineRule="auto"/>
      </w:pPr>
      <w:r>
        <w:rPr>
          <w:b/>
        </w:rPr>
        <w:t xml:space="preserve">[34] </w:t>
      </w:r>
      <w:hyperlink r:id="rId436">
        <w:r>
          <w:rPr>
            <w:color w:val="1155CC"/>
            <w:u w:val="single"/>
          </w:rPr>
          <w:t>多功能 TMDC 的晶圆级超细皱纹架构</w:t>
        </w:r>
      </w:hyperlink>
    </w:p>
    <w:p>
      <w:pPr>
        <w:spacing w:before="0" w:after="80"/>
      </w:pPr>
      <w:r>
        <w:rPr>
          <w:i/>
          <w:sz w:val="20"/>
        </w:rPr>
        <w:t>EN: Wafer‐Scale Ultrafine Wrinkle Architectures of TMDCs for Multifunctionality</w:t>
      </w:r>
    </w:p>
    <w:p>
      <w:pPr>
        <w:spacing w:before="0" w:after="120"/>
      </w:pPr>
      <w:r>
        <w:rPr>
          <w:b/>
        </w:rPr>
        <w:t xml:space="preserve">Source: </w:t>
      </w:r>
      <w:r>
        <w:t>Wiley: Advanced Materials: Table of Contents</w:t>
      </w:r>
      <w:r>
        <w:t xml:space="preserve">    </w:t>
      </w:r>
      <w:r>
        <w:rPr>
          <w:b/>
        </w:rPr>
        <w:t xml:space="preserve">Pub date: </w:t>
      </w:r>
      <w:r>
        <w:t>2026-08-12 07:53:36+00:00</w:t>
      </w:r>
      <w:r>
        <w:t xml:space="preserve">    </w:t>
      </w:r>
      <w:r>
        <w:rPr>
          <w:b/>
        </w:rPr>
        <w:t xml:space="preserve">DOI: </w:t>
      </w:r>
      <w:hyperlink r:id="rId437">
        <w:r>
          <w:rPr>
            <w:color w:val="1155CC"/>
            <w:u w:val="single"/>
          </w:rPr>
          <w:t>10.1002/adma.74593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来自皱纹结构的强烈施加的应变减轻了二维材料的固有局限性，同时通过空间调制的电子和催化特性增强了它们的能力。在这里，本研究引入了一种确定性晶圆级制造策略，该策略能够在原子薄的二硫化钼（MoS2）中实现密集分布的超细皱纹结构</w:t>
      </w:r>
      <w:r>
        <w:rPr>
          <w:vertAlign w:val="subscript"/>
        </w:rPr>
        <w:t>2</w:t>
      </w:r>
      <w:r>
        <w:t>）晶体，在 50% 的扫描区域上实现高达 3.29% 的拉伸应变。皱纹结构是通过调节湿转移方法的参数获得的，包括转移液体介质、热能和聚苯乙烯（PS）溶液浓度。总的来说，这些结果证明了超细皱纹结构的晶圆级制造的实用途径。皱巴巴的MoS</w:t>
      </w:r>
      <w:r>
        <w:rPr>
          <w:vertAlign w:val="subscript"/>
        </w:rPr>
        <w:t>2</w:t>
      </w:r>
      <w:r>
        <w:t>（w-MoS2</w:t>
      </w:r>
      <w:r>
        <w:rPr>
          <w:vertAlign w:val="subscript"/>
        </w:rPr>
        <w:t>2</w:t>
      </w:r>
      <w:r>
        <w:t>）在电子领域和作为析氢催化剂方面表现出最佳的多功能器件性能。在析氢反应 (HER) 中，最低塔菲尔斜率 (52.3 mV dec</w:t>
      </w:r>
      <w:r>
        <w:t xml:space="preserve"> </w:t>
      </w:r>
      <w:r>
        <w:t>−1</w:t>
      </w:r>
      <w:r>
        <w:t xml:space="preserve"> </w:t>
      </w:r>
      <w:r>
        <w:t>）观察到，与金属 TMDC 催化剂相当。此外，我们的w-MoS</w:t>
      </w:r>
      <w:r>
        <w:rPr>
          <w:vertAlign w:val="subscript"/>
        </w:rPr>
        <w:t>2</w:t>
      </w:r>
      <w:r>
        <w:t>存储设备显示开/关比率为 5 × 10</w:t>
      </w:r>
      <w:r>
        <w:rPr>
          <w:vertAlign w:val="subscript"/>
        </w:rPr>
        <w:t>7</w:t>
      </w:r>
      <w:r>
        <w:t>具有相当于总栅极电压 65% 的大存储窗口（</w:t>
      </w:r>
      <w:r>
        <w:t xml:space="preserve"> </w:t>
      </w:r>
      <w:r>
        <w:t>V</w:t>
      </w:r>
      <w:r>
        <w:t xml:space="preserve"> </w:t>
      </w:r>
      <w:r>
        <w:t>GS</w:t>
      </w:r>
      <w:r>
        <w:t xml:space="preserve"> </w:t>
      </w:r>
      <w:r>
        <w:t>）扫描范围。这个简单而创新的形态</w:t>
      </w:r>
    </w:p>
    <w:p>
      <w:pPr>
        <w:spacing w:before="0" w:after="200" w:lineRule="auto" w:line="276"/>
      </w:pPr>
      <w:r>
        <w:rPr>
          <w:b/>
        </w:rPr>
        <w:t xml:space="preserve">Abstract (EN): </w:t>
      </w:r>
      <w:r>
        <w:t>Intensely applied strain from wrinkled architecture mitigates intrinsic limitations of 2D materials while enhancing their capabilities through spatially modulated electronic and catalytic properties. Here, this study introduces a deterministic wafer‐scale fabrication strategy that enables densely distributed ultrafine wrinkled architectures in atomically thin molybdenum disulfide (MoS</w:t>
      </w:r>
      <w:r>
        <w:rPr>
          <w:vertAlign w:val="subscript"/>
        </w:rPr>
        <w:t>2</w:t>
      </w:r>
      <w:r>
        <w:t>) crystals, achieving tensile strains up to 3.29% over 50% of the scan area. The wrinkle structures are obtained by modulating the parameters of a wet transfer method, including transfer liquid media, thermal energy, and polystyrene (PS) solution concentrations. Collectively, these results demonstrate a practical route to wafer‐scale fabrication of ultrafine wrinkle structures. The wrinkled MoS</w:t>
      </w:r>
      <w:r>
        <w:rPr>
          <w:vertAlign w:val="subscript"/>
        </w:rPr>
        <w:t>2</w:t>
      </w:r>
      <w:r>
        <w:t>(w‐MoS</w:t>
      </w:r>
      <w:r>
        <w:rPr>
          <w:vertAlign w:val="subscript"/>
        </w:rPr>
        <w:t>2</w:t>
      </w:r>
      <w:r>
        <w:t>) exhibits optimal multifunctional device performance in electronics and as a hydrogen evolution catalyst. In a hydrogen evolution reaction (HER), the lowest Tafel slope (52.3 mV dec</w:t>
      </w:r>
      <w:r>
        <w:t xml:space="preserve"> </w:t>
      </w:r>
      <w:r>
        <w:t>−1</w:t>
      </w:r>
      <w:r>
        <w:t xml:space="preserve"> </w:t>
      </w:r>
      <w:r>
        <w:t>) is observed, comparable to that of metallic TMDC catalysts. Furthermore, our w‐MoS</w:t>
      </w:r>
      <w:r>
        <w:rPr>
          <w:vertAlign w:val="subscript"/>
        </w:rPr>
        <w:t>2</w:t>
      </w:r>
      <w:r>
        <w:t>memory device displays an on/off ratio of 5 × 10</w:t>
      </w:r>
      <w:r>
        <w:rPr>
          <w:vertAlign w:val="subscript"/>
        </w:rPr>
        <w:t>7</w:t>
      </w:r>
      <w:r>
        <w:t>with a large memory window corresponding to 65% of the total gate voltage (</w:t>
      </w:r>
      <w:r>
        <w:t xml:space="preserve"> </w:t>
      </w:r>
      <w:r>
        <w:t>V</w:t>
      </w:r>
      <w:r>
        <w:t xml:space="preserve"> </w:t>
      </w:r>
      <w:r>
        <w:t>GS</w:t>
      </w:r>
      <w:r>
        <w:t xml:space="preserve"> </w:t>
      </w:r>
      <w:r>
        <w:t>) sweep range. This simple and innovative morphology engineering offers a viable and reproducible pathway toward high‐performance electronic and catalytic functionalities in highly strained 2D materials.</w:t>
      </w:r>
    </w:p>
    <w:p>
      <w:pPr>
        <w:spacing w:before="120" w:after="120"/>
      </w:pPr>
      <w:r>
        <w:rPr>
          <w:sz w:val="18"/>
        </w:rPr>
        <w:t>——————————————————————————————————————————————————————————————————————</w:t>
      </w:r>
    </w:p>
    <w:p>
      <w:pPr>
        <w:spacing w:before="160" w:after="40" w:line="240" w:lineRule="auto"/>
      </w:pPr>
      <w:r>
        <w:rPr>
          <w:b/>
        </w:rPr>
        <w:t xml:space="preserve">[35] </w:t>
      </w:r>
      <w:hyperlink r:id="rId438">
        <w:r>
          <w:rPr>
            <w:color w:val="1155CC"/>
            <w:u w:val="single"/>
          </w:rPr>
          <w:t>工业规模水电解电催化剂的设计原理</w:t>
        </w:r>
      </w:hyperlink>
    </w:p>
    <w:p>
      <w:pPr>
        <w:spacing w:before="0" w:after="80"/>
      </w:pPr>
      <w:r>
        <w:rPr>
          <w:i/>
          <w:sz w:val="20"/>
        </w:rPr>
        <w:t>EN: Design Principles of Electrocatalysts for Industrial‐Scale Water Electrolysis</w:t>
      </w:r>
    </w:p>
    <w:p>
      <w:pPr>
        <w:spacing w:before="0" w:after="120"/>
      </w:pPr>
      <w:r>
        <w:rPr>
          <w:b/>
        </w:rPr>
        <w:t xml:space="preserve">Source: </w:t>
      </w:r>
      <w:r>
        <w:t>Wiley: Advanced Energy Materials: Table of Contents</w:t>
      </w:r>
      <w:r>
        <w:t xml:space="preserve">    </w:t>
      </w:r>
      <w:r>
        <w:rPr>
          <w:b/>
        </w:rPr>
        <w:t xml:space="preserve">Pub date: </w:t>
      </w:r>
      <w:r>
        <w:t>2026-08-12 09:27:02+00:00</w:t>
      </w:r>
      <w:r>
        <w:t xml:space="preserve">    </w:t>
      </w:r>
      <w:r>
        <w:rPr>
          <w:b/>
        </w:rPr>
        <w:t xml:space="preserve">DOI: </w:t>
      </w:r>
      <w:hyperlink r:id="rId439">
        <w:r>
          <w:rPr>
            <w:color w:val="1155CC"/>
            <w:u w:val="single"/>
          </w:rPr>
          <w:t>10.1002/aenm.71379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水分解是新兴氢经济的核心，但由于缺乏能够以高效率、耐用性和可接受的成本维持安培级电流密度的催化系统，其从实验室发现到工业部署的转化仍然受到限制。本综述提出了一个用于工业规模水电解的电催化剂合理设计的原则驱动框架，从氢气生产的基本原理、实验室与行业之间持续存在的差距以及与大电流操作相关的技术障碍开始。首先研究了氢和氧析出的描述符引导设计概念，以阐明电子结构如何控制催化活性，然后系统地概述了过渡金属基电催化剂以及用于调节其性能的主要策略，包括缺陷、掺杂、高熵、相、应变和异质结构工程、重建、支撑、内置电场和表面微环境调制。这些进步进一步提炼为安培级催化的四个总体设计原则：固有活性位点和电子结构工程、传质优化、稳健的催化剂-载体集成以及极端操作条件下的耐久性。然后，与集成电解槽平台一起评估最先进的阴极、阳极、双功能和海水兼容系统。最后，操作表征方法和工业翻译挑战，</w:t>
      </w:r>
    </w:p>
    <w:p>
      <w:pPr>
        <w:spacing w:before="0" w:after="200" w:lineRule="auto" w:line="276"/>
      </w:pPr>
      <w:r>
        <w:rPr>
          <w:b/>
        </w:rPr>
        <w:t xml:space="preserve">Abstract (EN): </w:t>
      </w:r>
      <w:r>
        <w:t>Electrocatalytic water splitting is central to the emerging hydrogen economy, yet its translation from laboratory discovery to industrial deployment remains constrained by the absence of catalytic systems that can sustain ampere‐level current densities with high efficiency, durability and acceptable cost. This Review presents a principle‐driven framework for the rational design of electrocatalysts for industrial‐scale water electrolysis, beginning with the fundamentals of hydrogen production, the persistent lab‐to‐industry gap and the technical barriers associated with high‐current operation. Descriptor‐guided design concepts for hydrogen and oxygen evolution are first examined to clarify how electronic structure governs catalytic activity, followed by a systematic overview of transition‐metal‐based electrocatalysts and the major strategies used to regulate their performance, including defect, doping, high‐entropy, phase, strain and heterostructure engineering, reconstruction, support, built‐in electric fields and surface micro‐environment modulation. These advances are further distilled into four overarching design principles for ampere‐scale catalysis: intrinsic active‐site and electronic‐structure engineering, mass‐transport optimization, robust catalyst–support integration and durability under extreme operating conditions. State‐of‐the‐art cathodic, anodic, bifunctional and seawater‐compatible systems are then assessed alongside integrated electrolyser platforms. Finally, operando characterization methods and industrial translation challenges, including scalability, device integration, long‐term stability and policy alignment, are discussed to outline a roadmap toward truly industrial electrocatalysts.</w:t>
      </w:r>
    </w:p>
    <w:p>
      <w:pPr>
        <w:spacing w:before="120" w:after="120"/>
      </w:pPr>
      <w:r>
        <w:rPr>
          <w:sz w:val="18"/>
        </w:rPr>
        <w:t>——————————————————————————————————————————————————————————————————————</w:t>
      </w:r>
    </w:p>
    <w:p>
      <w:pPr>
        <w:spacing w:before="160" w:after="40" w:line="240" w:lineRule="auto"/>
      </w:pPr>
      <w:r>
        <w:rPr>
          <w:b/>
        </w:rPr>
        <w:t xml:space="preserve">[36] </w:t>
      </w:r>
      <w:hyperlink r:id="rId440">
        <w:r>
          <w:rPr>
            <w:color w:val="1155CC"/>
            <w:u w:val="single"/>
          </w:rPr>
          <w:t>海水电解可持续制氢：从材料设计到系统工程</w:t>
        </w:r>
      </w:hyperlink>
    </w:p>
    <w:p>
      <w:pPr>
        <w:spacing w:before="0" w:after="80"/>
      </w:pPr>
      <w:r>
        <w:rPr>
          <w:i/>
          <w:sz w:val="20"/>
        </w:rPr>
        <w:t>EN: Seawater Electrolysis for Sustainable Hydrogen Production: From Material Design to System Engineering</w:t>
      </w:r>
    </w:p>
    <w:p>
      <w:pPr>
        <w:spacing w:before="0" w:after="120"/>
      </w:pPr>
      <w:r>
        <w:rPr>
          <w:b/>
        </w:rPr>
        <w:t xml:space="preserve">Source: </w:t>
      </w:r>
      <w:r>
        <w:t>Wiley: Advanced Energy Materials: Table of Contents</w:t>
      </w:r>
      <w:r>
        <w:t xml:space="preserve">    </w:t>
      </w:r>
      <w:r>
        <w:rPr>
          <w:b/>
        </w:rPr>
        <w:t xml:space="preserve">Pub date: </w:t>
      </w:r>
      <w:r>
        <w:t>2026-08-12 09:29:53+00:00</w:t>
      </w:r>
      <w:r>
        <w:t xml:space="preserve">    </w:t>
      </w:r>
      <w:r>
        <w:rPr>
          <w:b/>
        </w:rPr>
        <w:t xml:space="preserve">DOI: </w:t>
      </w:r>
      <w:hyperlink r:id="rId441">
        <w:r>
          <w:rPr>
            <w:color w:val="1155CC"/>
            <w:u w:val="single"/>
          </w:rPr>
          <w:t>10.1002/aenm.71426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海水电解是可持续绿色氢生产的一种有吸引力的途径，为全球能源转型和避免淡水短缺提供了解决方案。然而，海水复杂的离子组成从根本上改变了电化学环境，导致氯析出、腐蚀、结垢和膜降解，这与纯水电解有很大区别。在这篇综述中，我们提出了海水电解的多尺度视角，将材料化学、设备架构和系统级策略联系起来。我们总结了核心电化学基础知识、催化剂结构-活性-稳定性关系，并评估纯水催化剂对海水的适用性。然后，我们严格评估理想电解质催化剂在海水中的适用性、海水电解槽的独特设计要求以及对实际操作的影响。随后，对间接和直接海水电解的最新进展进行了比较，重点介绍了它们的优点、局限性和技术经济考虑。最后，我们强调了剩余的科学和工程瓶颈，并概述了持久、选择性和可扩展的海水电解的未来方向。</w:t>
      </w:r>
    </w:p>
    <w:p>
      <w:pPr>
        <w:spacing w:before="0" w:after="200" w:lineRule="auto" w:line="276"/>
      </w:pPr>
      <w:r>
        <w:rPr>
          <w:b/>
        </w:rPr>
        <w:t xml:space="preserve">Abstract (EN): </w:t>
      </w:r>
      <w:r>
        <w:t>Seawater electrolysis is an attractive pathway for sustainable green hydrogen production, offering a solution to the global energy transition and avoiding freshwater scarcity. However, the complex ionic composition of seawater fundamentally alters the electrochemical environment, giving rise to chlorine evolution, corrosion, scaling, and membrane degradation, which sharply distinguish it from pure‐water electrolysis. In this review, we present a multiscale perspective on seawater electrolysis that bridges material chemistry, device architecture, and system‐level strategies. We summarize core electrochemical fundamentals, catalyst structure–activity–stability relationships, and assess pure‐water catalyst applicability to seawater. We then critically assess the applicability of idealized‐electrolyte catalysts in seawater, the distinct design requirements of seawater electrolyzers, and the implications for practical operation. Subsequently, recent advances in both indirect and direct seawater electrolysis are compared, with emphasis on their advantages, limitations, and techno‐economic considerations. Finally, we highlight remaining scientific and engineering bottlenecks and outline future directions for durable, selective, and scalable seawater electrolysis.</w:t>
      </w:r>
    </w:p>
    <w:p>
      <w:pPr>
        <w:spacing w:before="120" w:after="120"/>
      </w:pPr>
      <w:r>
        <w:rPr>
          <w:sz w:val="18"/>
        </w:rPr>
        <w:t>——————————————————————————————————————————————————————————————————————</w:t>
      </w:r>
    </w:p>
    <w:p>
      <w:pPr>
        <w:spacing w:before="160" w:after="40" w:line="240" w:lineRule="auto"/>
      </w:pPr>
      <w:r>
        <w:rPr>
          <w:b/>
        </w:rPr>
        <w:t xml:space="preserve">[37] </w:t>
      </w:r>
      <w:hyperlink r:id="rId442">
        <w:r>
          <w:rPr>
            <w:color w:val="1155CC"/>
            <w:u w:val="single"/>
          </w:rPr>
          <w:t>定向羟基溢出增强了镍钨锌异质结构对整体水分解的电催化性能</w:t>
        </w:r>
      </w:hyperlink>
    </w:p>
    <w:p>
      <w:pPr>
        <w:spacing w:before="0" w:after="80"/>
      </w:pPr>
      <w:r>
        <w:rPr>
          <w:i/>
          <w:sz w:val="20"/>
        </w:rPr>
        <w:t>EN: Directional Hydroxyl Spillover Enhances the Electrocatalytic Performance of Nickel Tungsten Zinc Heterostructure Toward Overall Water Splitting</w:t>
      </w:r>
    </w:p>
    <w:p>
      <w:pPr>
        <w:spacing w:before="0" w:after="120"/>
      </w:pPr>
      <w:r>
        <w:rPr>
          <w:b/>
        </w:rPr>
        <w:t xml:space="preserve">Source: </w:t>
      </w:r>
      <w:r>
        <w:t>Wiley: Advanced Energy Materials: Table of Contents</w:t>
      </w:r>
      <w:r>
        <w:t xml:space="preserve">    </w:t>
      </w:r>
      <w:r>
        <w:rPr>
          <w:b/>
        </w:rPr>
        <w:t xml:space="preserve">Pub date: </w:t>
      </w:r>
      <w:r>
        <w:t>2026-08-12 09:41:40+00:00</w:t>
      </w:r>
      <w:r>
        <w:t xml:space="preserve">    </w:t>
      </w:r>
      <w:r>
        <w:rPr>
          <w:b/>
        </w:rPr>
        <w:t xml:space="preserve">DOI: </w:t>
      </w:r>
      <w:hyperlink r:id="rId443">
        <w:r>
          <w:rPr>
            <w:color w:val="1155CC"/>
            <w:u w:val="single"/>
          </w:rPr>
          <w:t>10.1002/aenm.71444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在碱性整体水分解中，过量的羟基吸附很容易覆盖析氢反应（HER）和析氧反应（OER）的活性位点，成为性能提升的主要瓶颈。本文中，多孔双功能NiZn/Ni-Ni</w:t>
      </w:r>
      <w:r>
        <w:t xml:space="preserve"> </w:t>
      </w:r>
      <w:r>
        <w:t>17 号</w:t>
      </w:r>
      <w:r>
        <w:t xml:space="preserve"> </w:t>
      </w:r>
      <w:r>
        <w:t>瓦</w:t>
      </w:r>
      <w:r>
        <w:rPr>
          <w:vertAlign w:val="subscript"/>
        </w:rPr>
        <w:t>3</w:t>
      </w:r>
      <w:r>
        <w:t>通过电沉积和电化学脱合金在不锈钢网上构建异质结构。受益于脱合金后的多孔形态、电子重新分布和异质界面处的定向羟基溢出，NiZn 和 Ni-Ni</w:t>
      </w:r>
      <w:r>
        <w:t xml:space="preserve"> </w:t>
      </w:r>
      <w:r>
        <w:t>17 号</w:t>
      </w:r>
      <w:r>
        <w:t xml:space="preserve"> </w:t>
      </w:r>
      <w:r>
        <w:t>瓦</w:t>
      </w:r>
      <w:r>
        <w:rPr>
          <w:vertAlign w:val="subscript"/>
        </w:rPr>
        <w:t>3</w:t>
      </w:r>
      <w:r>
        <w:t>分别作为 HER 和 OER 的主要活性中心，协同优化两个过程的反应能垒。该电极表现出 45 mV 的 HER 过电势（塔菲尔斜率为 82.3 mV dec</w:t>
      </w:r>
      <w:r>
        <w:t xml:space="preserve"> </w:t>
      </w:r>
      <w:r>
        <w:t>−1</w:t>
      </w:r>
      <w:r>
        <w:t xml:space="preserve"> </w:t>
      </w:r>
      <w:r>
        <w:t>）在 10 mA cm</w:t>
      </w:r>
      <w:r>
        <w:t xml:space="preserve"> </w:t>
      </w:r>
      <w:r>
        <w:t>−2</w:t>
      </w:r>
      <w:r>
        <w:t xml:space="preserve"> </w:t>
      </w:r>
      <w:r>
        <w:t>OER 过电势为 309 mV（塔菲尔斜率为 48.9 mV dec</w:t>
      </w:r>
      <w:r>
        <w:t xml:space="preserve"> </w:t>
      </w:r>
      <w:r>
        <w:t>−1</w:t>
      </w:r>
      <w:r>
        <w:t xml:space="preserve"> </w:t>
      </w:r>
      <w:r>
        <w:t>）在 100 mA cm</w:t>
      </w:r>
      <w:r>
        <w:t xml:space="preserve"> </w:t>
      </w:r>
      <w:r>
        <w:t>−2</w:t>
      </w:r>
      <w:r>
        <w:t xml:space="preserve"> </w:t>
      </w:r>
      <w:r>
        <w:t>。可在 1.87 V@500 mA cm 下稳定工作</w:t>
      </w:r>
      <w:r>
        <w:t xml:space="preserve"> </w:t>
      </w:r>
      <w:r>
        <w:t>−2</w:t>
      </w:r>
      <w:r>
        <w:t xml:space="preserve"> </w:t>
      </w:r>
      <w:r>
        <w:t>在阴离子交换膜电解槽中反应186 h，为设计高性能镍基双功能电催化剂提供了有效方法。</w:t>
      </w:r>
    </w:p>
    <w:p>
      <w:pPr>
        <w:spacing w:before="0" w:after="200" w:lineRule="auto" w:line="276"/>
      </w:pPr>
      <w:r>
        <w:rPr>
          <w:b/>
        </w:rPr>
        <w:t xml:space="preserve">Abstract (EN): </w:t>
      </w:r>
      <w:r>
        <w:t>In alkaline overall water splitting, excessive hydroxyl adsorption can easily cover active sites for the hydrogen evolution reaction (HER) and oxygen evolution reaction (OER), becoming a major bottleneck to performance improvement. Herein, a porous bifunctional NiZn/Ni‐Ni</w:t>
      </w:r>
      <w:r>
        <w:rPr>
          <w:vertAlign w:val="subscript"/>
        </w:rPr>
        <w:t>17</w:t>
      </w:r>
      <w:r>
        <w:t>W</w:t>
      </w:r>
      <w:r>
        <w:rPr>
          <w:vertAlign w:val="subscript"/>
        </w:rPr>
        <w:t>3</w:t>
      </w:r>
      <w:r>
        <w:t>heterostructure is constructed on stainless steel mesh via electrodeposition followed by electrochemical dealloying. Benefiting from the porous morphology after dealloying, electronic redistribution, and directional hydroxyl spillover at the heterointerfaces, NiZn and Ni‐Ni</w:t>
      </w:r>
      <w:r>
        <w:rPr>
          <w:vertAlign w:val="subscript"/>
        </w:rPr>
        <w:t>17</w:t>
      </w:r>
      <w:r>
        <w:t>W</w:t>
      </w:r>
      <w:r>
        <w:rPr>
          <w:vertAlign w:val="subscript"/>
        </w:rPr>
        <w:t>3</w:t>
      </w:r>
      <w:r>
        <w:t>serve as the dominant active centers for HER and OER, respectively, synergistically optimizing the reaction energy barriers of both processes. The electrode exhibits a HER overpotential of 45 mV (Tafel slope of 82.3 mV dec</w:t>
      </w:r>
      <w:r>
        <w:t xml:space="preserve"> </w:t>
      </w:r>
      <w:r>
        <w:t>−1</w:t>
      </w:r>
      <w:r>
        <w:t xml:space="preserve"> </w:t>
      </w:r>
      <w:r>
        <w:t>) at 10 mA cm</w:t>
      </w:r>
      <w:r>
        <w:t xml:space="preserve"> </w:t>
      </w:r>
      <w:r>
        <w:t>−2</w:t>
      </w:r>
      <w:r>
        <w:t xml:space="preserve"> </w:t>
      </w:r>
      <w:r>
        <w:t>and an OER overpotential of 309 mV (Tafel slope of 48.9 mV dec</w:t>
      </w:r>
      <w:r>
        <w:t xml:space="preserve"> </w:t>
      </w:r>
      <w:r>
        <w:t>−1</w:t>
      </w:r>
      <w:r>
        <w:t xml:space="preserve"> </w:t>
      </w:r>
      <w:r>
        <w:t>) at 100 mA cm</w:t>
      </w:r>
      <w:r>
        <w:t xml:space="preserve"> </w:t>
      </w:r>
      <w:r>
        <w:t>−2</w:t>
      </w:r>
      <w:r>
        <w:t xml:space="preserve"> </w:t>
      </w:r>
      <w:r>
        <w:t>. It can stably operate at 1.87 V@500 mA cm</w:t>
      </w:r>
      <w:r>
        <w:t xml:space="preserve"> </w:t>
      </w:r>
      <w:r>
        <w:t>−2</w:t>
      </w:r>
      <w:r>
        <w:t xml:space="preserve"> </w:t>
      </w:r>
      <w:r>
        <w:t>for 186 h in an anion exchange membrane electrolyzer, providing an effective method for designing high‐performance Ni‐based bifunctional electrocatalysts.</w:t>
      </w:r>
    </w:p>
    <w:p>
      <w:pPr>
        <w:spacing w:before="120" w:after="120"/>
      </w:pPr>
      <w:r>
        <w:rPr>
          <w:sz w:val="18"/>
        </w:rPr>
        <w:t>——————————————————————————————————————————————————————————————————————</w:t>
      </w:r>
    </w:p>
    <w:p>
      <w:pPr>
        <w:spacing w:before="160" w:after="40" w:line="240" w:lineRule="auto"/>
      </w:pPr>
      <w:r>
        <w:rPr>
          <w:b/>
        </w:rPr>
        <w:t xml:space="preserve">[38] </w:t>
      </w:r>
      <w:hyperlink r:id="rId444">
        <w:r>
          <w:rPr>
            <w:color w:val="1155CC"/>
            <w:u w:val="single"/>
          </w:rPr>
          <w:t>可解释的机器学习框架解读高熵金属间化合物局部环境在碱性析氢反应中的作用</w:t>
        </w:r>
      </w:hyperlink>
    </w:p>
    <w:p>
      <w:pPr>
        <w:spacing w:before="0" w:after="80"/>
      </w:pPr>
      <w:r>
        <w:rPr>
          <w:i/>
          <w:sz w:val="20"/>
        </w:rPr>
        <w:t>EN: Interpretable Machine Learning Framework Deciphers the Role of Local Environment of High‐Entropy Intermetallic Compounds for Alkaline Hydrogen Evolution Reaction</w:t>
      </w:r>
    </w:p>
    <w:p>
      <w:pPr>
        <w:spacing w:before="0" w:after="120"/>
      </w:pPr>
      <w:r>
        <w:rPr>
          <w:b/>
        </w:rPr>
        <w:t xml:space="preserve">Source: </w:t>
      </w:r>
      <w:r>
        <w:t>Wiley: Advanced Energy Materials: Table of Contents</w:t>
      </w:r>
      <w:r>
        <w:t xml:space="preserve">    </w:t>
      </w:r>
      <w:r>
        <w:rPr>
          <w:b/>
        </w:rPr>
        <w:t xml:space="preserve">Pub date: </w:t>
      </w:r>
      <w:r>
        <w:t>2026-08-12 13:16:21+00:00</w:t>
      </w:r>
      <w:r>
        <w:t xml:space="preserve">    </w:t>
      </w:r>
      <w:r>
        <w:rPr>
          <w:b/>
        </w:rPr>
        <w:t xml:space="preserve">DOI: </w:t>
      </w:r>
      <w:hyperlink r:id="rId445">
        <w:r>
          <w:rPr>
            <w:color w:val="1155CC"/>
            <w:u w:val="single"/>
          </w:rPr>
          <w:t>10.1002/aenm.71361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高熵金属间化合物（HEI）在催化领域的应用引起了广泛关注，但其巨大的物质空间严重阻碍了实验探索。在此，我们首次报道了从巨大的 HEI 材料空间（10</w:t>
      </w:r>
      <w:r>
        <w:rPr>
          <w:vertAlign w:val="subscript"/>
        </w:rPr>
        <w:t>6</w:t>
      </w:r>
      <w:r>
        <w:t>）基于我们新建立的机器学习（ML）驱动的“解码-描述-设计”（3D）框架，由实验制造的A</w:t>
      </w:r>
      <w:r>
        <w:rPr>
          <w:vertAlign w:val="subscript"/>
        </w:rPr>
        <w:t>3</w:t>
      </w:r>
      <w:r>
        <w:t>B型（铁钴镍）</w:t>
      </w:r>
      <w:r>
        <w:rPr>
          <w:vertAlign w:val="subscript"/>
        </w:rPr>
        <w:t>3</w:t>
      </w:r>
      <w:r>
        <w:t>（铝钛）系统。超过700种催化剂表现出比现有实验结果更好的性能，表明实验只触及了材料空间的很小一部分。此外，我们开发了各种强大的描述符（例如Λ</w:t>
      </w:r>
      <w:r>
        <w:t xml:space="preserve"> </w:t>
      </w:r>
      <w:r>
        <w:t>羟基</w:t>
      </w:r>
      <w:r>
        <w:t xml:space="preserve"> </w:t>
      </w:r>
      <w:r>
        <w:t>, Λ</w:t>
      </w:r>
      <w:r>
        <w:t xml:space="preserve"> </w:t>
      </w:r>
      <w:r>
        <w:t>H</w:t>
      </w:r>
      <w:r>
        <w:t xml:space="preserve"> </w:t>
      </w:r>
      <w:r>
        <w:t>）和分析工具（如RDERA、RPDAD、CPMCC、CPMCS）将元素复杂的相互作用解耦为原子和区域特异性效应，为构效关系的建立奠定基础，指导催化剂的合理设计。可解释的机器学习驱动的 3D 框架、强大的描述符和新颖的分析工具可以实现高效的设计和筛选、催化机制阐明以及构效关系建立。预计它们将刺激进一步的计算和实验研究</w:t>
      </w:r>
    </w:p>
    <w:p>
      <w:pPr>
        <w:spacing w:before="0" w:after="200" w:lineRule="auto" w:line="276"/>
      </w:pPr>
      <w:r>
        <w:rPr>
          <w:b/>
        </w:rPr>
        <w:t xml:space="preserve">Abstract (EN): </w:t>
      </w:r>
      <w:r>
        <w:t>The application of high‐entropy intermetallic (HEI) compounds in the field of catalysis has attracted widespread attention, but their huge material space seriously hinders experimental exploration. Herein, we for the first time reported the efficient design, screening, and prediction of a great deal of high‐performance HER catalysts from a huge HEI material space (10</w:t>
      </w:r>
      <w:r>
        <w:rPr>
          <w:vertAlign w:val="subscript"/>
        </w:rPr>
        <w:t>6</w:t>
      </w:r>
      <w:r>
        <w:t>) based on our newly established machine learning (ML) driven “decode—describe—design” (3D) framework by experimentally fabricated A</w:t>
      </w:r>
      <w:r>
        <w:rPr>
          <w:vertAlign w:val="subscript"/>
        </w:rPr>
        <w:t>3</w:t>
      </w:r>
      <w:r>
        <w:t>B‐type (FeCoNi)</w:t>
      </w:r>
      <w:r>
        <w:rPr>
          <w:vertAlign w:val="subscript"/>
        </w:rPr>
        <w:t>3</w:t>
      </w:r>
      <w:r>
        <w:t>(AlTi) system. Over 700 catalysts exhibited better performance than existing experimental results, indicating that the experiment only touched a very small part of the material space. Moreover, we developed various powerful descriptors (such as Λ</w:t>
      </w:r>
      <w:r>
        <w:t xml:space="preserve"> </w:t>
      </w:r>
      <w:r>
        <w:t>OH</w:t>
      </w:r>
      <w:r>
        <w:t xml:space="preserve"> </w:t>
      </w:r>
      <w:r>
        <w:t>, Λ</w:t>
      </w:r>
      <w:r>
        <w:t xml:space="preserve"> </w:t>
      </w:r>
      <w:r>
        <w:t>H</w:t>
      </w:r>
      <w:r>
        <w:t xml:space="preserve"> </w:t>
      </w:r>
      <w:r>
        <w:t>) and analysis tools (such as, RDERA, RPDAD, CPMCC, CPMCS) to decouple the complex interplay of elements into atomic‐ and region‐specific effects, laying the foundation for the establishment of structure‐activity relationships and guiding the rational design of catalysts. The interpretable ML‐driven 3D framework, powerful descriptors, and novel analysis tools enable efficient design and screening, catalytic mechanism elucidation, and structure‐activity relationship establishment. They are expected to stimulate further computational and experimental investigations in related catalyst systems.</w:t>
      </w:r>
    </w:p>
    <w:p>
      <w:pPr>
        <w:spacing w:before="120" w:after="120"/>
      </w:pPr>
      <w:r>
        <w:rPr>
          <w:sz w:val="18"/>
        </w:rPr>
        <w:t>——————————————————————————————————————————————————————————————————————</w:t>
      </w:r>
    </w:p>
    <w:p>
      <w:pPr>
        <w:spacing w:before="160" w:after="40" w:line="240" w:lineRule="auto"/>
      </w:pPr>
      <w:r>
        <w:rPr>
          <w:b/>
        </w:rPr>
        <w:t xml:space="preserve">[39] </w:t>
      </w:r>
      <w:hyperlink r:id="rId446">
        <w:r>
          <w:rPr>
            <w:color w:val="1155CC"/>
            <w:u w:val="single"/>
          </w:rPr>
          <w:t>亲水性 RuGd 合金重定向界面水吸附结构，用于长期和安培级的析氢</w:t>
        </w:r>
      </w:hyperlink>
    </w:p>
    <w:p>
      <w:pPr>
        <w:spacing w:before="0" w:after="80"/>
      </w:pPr>
      <w:r>
        <w:rPr>
          <w:i/>
          <w:sz w:val="20"/>
        </w:rPr>
        <w:t>EN: Hydrophilic RuGd Alloy Redirecting Interfacial Water Adsorption Configuration for Long‐Term and Ampere‐Level Hydrogen Evolution</w:t>
      </w:r>
    </w:p>
    <w:p>
      <w:pPr>
        <w:spacing w:before="0" w:after="120"/>
      </w:pPr>
      <w:r>
        <w:rPr>
          <w:b/>
        </w:rPr>
        <w:t xml:space="preserve">Source: </w:t>
      </w:r>
      <w:r>
        <w:t>Wiley: Angewandte Chemie International Edition: Table of Contents</w:t>
      </w:r>
      <w:r>
        <w:t xml:space="preserve">    </w:t>
      </w:r>
      <w:r>
        <w:rPr>
          <w:b/>
        </w:rPr>
        <w:t xml:space="preserve">Pub date: </w:t>
      </w:r>
      <w:r>
        <w:t>2026-08-12 16:24:17+00:00</w:t>
      </w:r>
      <w:r>
        <w:t xml:space="preserve">    </w:t>
      </w:r>
      <w:r>
        <w:rPr>
          <w:b/>
        </w:rPr>
        <w:t xml:space="preserve">DOI: </w:t>
      </w:r>
      <w:hyperlink r:id="rId447">
        <w:r>
          <w:rPr>
            <w:color w:val="1155CC"/>
            <w:u w:val="single"/>
          </w:rPr>
          <w:t>10.1002/anie.6236000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快速界面水解离对于阴离子交换膜水电解（AEMWE）中高效析氢反应（HER）至关重要，但其有效调节仍然是一个巨大的挑战。在此，我们开发了一种以羧化木质素衍生碳为载体的亲水性 RuGd 合金 (RuGd/CLC)，能够快速界面水解离，从而实现长期和安培级的氢气生产。 RuGd/CLC作为AEMWE电池的阴极催化剂可以达到1.0 A cm</w:t>
      </w:r>
      <w:r>
        <w:t xml:space="preserve"> </w:t>
      </w:r>
      <w:r>
        <w:t>−2</w:t>
      </w:r>
      <w:r>
        <w:t xml:space="preserve"> </w:t>
      </w:r>
      <w:r>
        <w:t>电压仅为 1.685 V，可连续运行超过 1200 小时，降级率仅为 10 µV h</w:t>
      </w:r>
      <w:r>
        <w:t xml:space="preserve"> </w:t>
      </w:r>
      <w:r>
        <w:t>−1</w:t>
      </w:r>
      <w:r>
        <w:t xml:space="preserve"> </w:t>
      </w:r>
      <w:r>
        <w:t>。研究发现，亲水性 Gd 会诱导局部电荷重新分布和界面亲氧位点，从而增强 H 的 O 端相互作用</w:t>
      </w:r>
      <w:r>
        <w:rPr>
          <w:vertAlign w:val="subscript"/>
        </w:rPr>
        <w:t>2</w:t>
      </w:r>
      <w:r>
        <w:t>合金界面处的 O 会改变吸附的 H 的方向</w:t>
      </w:r>
      <w:r>
        <w:rPr>
          <w:vertAlign w:val="subscript"/>
        </w:rPr>
        <w:t>2</w:t>
      </w:r>
      <w:r>
        <w:t>O从Ru上的平行构型转变为更加极化的不对称H-down构型。这种重新取向伴随着不等的O─H键伸长和氢键网络从束缚态向自由水的重建，这减少了水解离能垒，从而持续在HER中提供足够的质子。这项工作为加速界面水解离和高性能氢气生产提供了一种有效的稀土诱导重定向策略。</w:t>
      </w:r>
    </w:p>
    <w:p>
      <w:pPr>
        <w:spacing w:before="0" w:after="200" w:lineRule="auto" w:line="276"/>
      </w:pPr>
      <w:r>
        <w:rPr>
          <w:b/>
        </w:rPr>
        <w:t xml:space="preserve">Abstract (EN): </w:t>
      </w:r>
      <w:r>
        <w:t>Rapid interfacial water dissociation is pivotal to efficient hydrogen evolution reaction (HER) in anion‐exchange‐membrane water electrolysis (AEMWE), whereas its effective modulation remains a great challenge. Herein, we develop a hydrophilic RuGd alloy supported on carboxylated lignin‐derived carbon (RuGd/CLC) enabling rapid interfacial water dissociation for long‐term and ampere‐level hydrogen production. The RuGd/CLC as a cathode catalyst of AEMWE cell can achieve 1.0 A cm</w:t>
      </w:r>
      <w:r>
        <w:t xml:space="preserve"> </w:t>
      </w:r>
      <w:r>
        <w:t>−2</w:t>
      </w:r>
      <w:r>
        <w:t xml:space="preserve"> </w:t>
      </w:r>
      <w:r>
        <w:t>at only 1.685 V and sustains continuous operation for over 1200 h with a degradation rate of only 10 µV h</w:t>
      </w:r>
      <w:r>
        <w:t xml:space="preserve"> </w:t>
      </w:r>
      <w:r>
        <w:t>−1</w:t>
      </w:r>
      <w:r>
        <w:t xml:space="preserve"> </w:t>
      </w:r>
      <w:r>
        <w:t>. It is discovered that the hydrophilic Gd induces local charge redistribution and interfacial oxyphilic site that strengthens O‐end interaction of H</w:t>
      </w:r>
      <w:r>
        <w:rPr>
          <w:vertAlign w:val="subscript"/>
        </w:rPr>
        <w:t>2</w:t>
      </w:r>
      <w:r>
        <w:t>O at the alloy interface, which redirects adsorbed H</w:t>
      </w:r>
      <w:r>
        <w:rPr>
          <w:vertAlign w:val="subscript"/>
        </w:rPr>
        <w:t>2</w:t>
      </w:r>
      <w:r>
        <w:t>O from a parallel configuration on Ru to a more polarized asymmetric H‐down configuration. This reorientation is accompanied by unequal O─H bond elongation and hydrogen‐bond‐network reconstruction from a bound state toward free water, which reduces water dissociation energy barriers to continuously supply sufficient protons in HER. This work provides an effective rare earth induced redirection strategy for accelerating interfacial water dissociation and high‐performance hydrogen production.</w:t>
      </w:r>
    </w:p>
    <w:p>
      <w:pPr>
        <w:spacing w:before="120" w:after="120"/>
      </w:pPr>
      <w:r>
        <w:rPr>
          <w:sz w:val="18"/>
        </w:rPr>
        <w:t>——————————————————————————————————————————————————————————————————————</w:t>
      </w:r>
    </w:p>
    <w:p>
      <w:pPr>
        <w:spacing w:before="160" w:after="40" w:line="240" w:lineRule="auto"/>
      </w:pPr>
      <w:r>
        <w:rPr>
          <w:b/>
        </w:rPr>
        <w:t xml:space="preserve">[40] </w:t>
      </w:r>
      <w:hyperlink r:id="rId448">
        <w:r>
          <w:rPr>
            <w:color w:val="1155CC"/>
            <w:u w:val="single"/>
          </w:rPr>
          <w:t>氯化诱导铜单原子位点对称性破缺促进电催化硝酸盐还原为氨</w:t>
        </w:r>
      </w:hyperlink>
    </w:p>
    <w:p>
      <w:pPr>
        <w:spacing w:before="0" w:after="80"/>
      </w:pPr>
      <w:r>
        <w:rPr>
          <w:i/>
          <w:sz w:val="20"/>
        </w:rPr>
        <w:t>EN: Chlorination‐Induced Symmetry Breaking in Cu Single‐Atom Sites for Boosting Electrocatalytic Nitrate Reduction to Ammonia</w:t>
      </w:r>
    </w:p>
    <w:p>
      <w:pPr>
        <w:spacing w:before="0" w:after="120"/>
      </w:pPr>
      <w:r>
        <w:rPr>
          <w:b/>
        </w:rPr>
        <w:t xml:space="preserve">Source: </w:t>
      </w:r>
      <w:r>
        <w:t>Wiley: Angewandte Chemie International Edition: Table of Contents</w:t>
      </w:r>
      <w:r>
        <w:t xml:space="preserve">    </w:t>
      </w:r>
      <w:r>
        <w:rPr>
          <w:b/>
        </w:rPr>
        <w:t xml:space="preserve">Pub date: </w:t>
      </w:r>
      <w:r>
        <w:t>2026-08-12 16:39:42+00:00</w:t>
      </w:r>
      <w:r>
        <w:t xml:space="preserve">    </w:t>
      </w:r>
      <w:r>
        <w:rPr>
          <w:b/>
        </w:rPr>
        <w:t xml:space="preserve">DOI: </w:t>
      </w:r>
      <w:hyperlink r:id="rId449">
        <w:r>
          <w:rPr>
            <w:color w:val="1155CC"/>
            <w:u w:val="single"/>
          </w:rPr>
          <w:t>10.1002/anie.9873433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电化学硝酸盐还原成氨对于绿色肥料合成和污染修复具有吸引力，但其性能通常因活性氢（*H）的产生和消耗不匹配而受到阻碍。在这里，我们设计了平面氯化物配位，以打破缺氧WO上Cu单原子的局域对称性</w:t>
      </w:r>
      <w:r>
        <w:t xml:space="preserve"> </w:t>
      </w:r>
      <w:r>
        <w:t>3-x</w:t>
      </w:r>
      <w:r>
        <w:t xml:space="preserve"> </w:t>
      </w:r>
      <w:r>
        <w:t>，形成铜</w:t>
      </w:r>
      <w:r>
        <w:rPr>
          <w:vertAlign w:val="subscript"/>
        </w:rPr>
        <w:t>1</w:t>
      </w:r>
      <w:r>
        <w:t>氯-钨</w:t>
      </w:r>
      <w:r>
        <w:t xml:space="preserve"> </w:t>
      </w:r>
      <w:r>
        <w:t>3-</w:t>
      </w:r>
      <w:r>
        <w:t xml:space="preserve"> </w:t>
      </w:r>
      <w:r>
        <w:t>x</w:t>
      </w:r>
      <w:r>
        <w:t xml:space="preserve"> </w:t>
      </w:r>
      <w:r>
        <w:t>具有 Cu-O/Cl 和 Cu-Cl-W 基序，可实现 *H 和 *NO 的双界面传递</w:t>
      </w:r>
      <w:r>
        <w:rPr>
          <w:vertAlign w:val="subscript"/>
        </w:rPr>
        <w:t>2</w:t>
      </w:r>
      <w:r>
        <w:t>衍生的中间体。铜</w:t>
      </w:r>
      <w:r>
        <w:rPr>
          <w:vertAlign w:val="subscript"/>
        </w:rPr>
        <w:t>1</w:t>
      </w:r>
      <w:r>
        <w:t>氯-钨</w:t>
      </w:r>
      <w:r>
        <w:t xml:space="preserve"> </w:t>
      </w:r>
      <w:r>
        <w:t>3-</w:t>
      </w:r>
      <w:r>
        <w:t xml:space="preserve"> </w:t>
      </w:r>
      <w:r>
        <w:t>x</w:t>
      </w:r>
      <w:r>
        <w:t xml:space="preserve"> </w:t>
      </w:r>
      <w:r>
        <w:t>催化剂实现NH</w:t>
      </w:r>
      <w:r>
        <w:rPr>
          <w:vertAlign w:val="subscript"/>
        </w:rPr>
        <w:t>3</w:t>
      </w:r>
      <w:r>
        <w:t>与可逆氢电极相比，在 -0.8 V 时法拉第效率为 99.7%，并提供 NH</w:t>
      </w:r>
      <w:r>
        <w:rPr>
          <w:vertAlign w:val="subscript"/>
        </w:rPr>
        <w:t>3</w:t>
      </w:r>
      <w:r>
        <w:t>产率高达 63.6 mg h</w:t>
      </w:r>
      <w:r>
        <w:t xml:space="preserve"> </w:t>
      </w:r>
      <w:r>
        <w:t>−1</w:t>
      </w:r>
      <w:r>
        <w:t xml:space="preserve"> </w:t>
      </w:r>
      <w:r>
        <w:t>厘米</w:t>
      </w:r>
      <w:r>
        <w:t xml:space="preserve"> </w:t>
      </w:r>
      <w:r>
        <w:t>−2</w:t>
      </w:r>
      <w:r>
        <w:t xml:space="preserve"> </w:t>
      </w:r>
      <w:r>
        <w:t>在−0.9 V 下稳定运行。原位电化学表征和理论计算表明，不对称的 Cu-Cl-W 界面促进水解离和 *H 中继，同时促进热力学上有利的 *NO</w:t>
      </w:r>
      <w:r>
        <w:rPr>
          <w:vertAlign w:val="subscript"/>
        </w:rPr>
        <w:t>2</w:t>
      </w:r>
      <w:r>
        <w:t>重新定位和随后的氢化，从而改变势能-d</w:t>
      </w:r>
    </w:p>
    <w:p>
      <w:pPr>
        <w:spacing w:before="0" w:after="200" w:lineRule="auto" w:line="276"/>
      </w:pPr>
      <w:r>
        <w:rPr>
          <w:b/>
        </w:rPr>
        <w:t xml:space="preserve">Abstract (EN): </w:t>
      </w:r>
      <w:r>
        <w:t>Electrochemical nitrate reduction to ammonia is attractive for green fertilizer synthesis and pollution remediation, yet its performance is normally hindered by the mismatched generation and consumption of active hydrogen (*H). Here, we engineer the planar chloride coordination to break the local symmetry of Cu single atoms over oxygen‐deficient WO</w:t>
      </w:r>
      <w:r>
        <w:t xml:space="preserve"> </w:t>
      </w:r>
      <w:r>
        <w:t>3‐x</w:t>
      </w:r>
      <w:r>
        <w:t xml:space="preserve"> </w:t>
      </w:r>
      <w:r>
        <w:t>, forming Cu</w:t>
      </w:r>
      <w:r>
        <w:rPr>
          <w:vertAlign w:val="subscript"/>
        </w:rPr>
        <w:t>1</w:t>
      </w:r>
      <w:r>
        <w:t>Cl–WO</w:t>
      </w:r>
      <w:r>
        <w:t xml:space="preserve"> </w:t>
      </w:r>
      <w:r>
        <w:t>3‐</w:t>
      </w:r>
      <w:r>
        <w:t xml:space="preserve"> </w:t>
      </w:r>
      <w:r>
        <w:t>x</w:t>
      </w:r>
      <w:r>
        <w:t xml:space="preserve"> </w:t>
      </w:r>
      <w:r>
        <w:t>with Cu–O/Cl and Cu–Cl–W motifs to enable dual interfacial relay of *H and *NO</w:t>
      </w:r>
      <w:r>
        <w:rPr>
          <w:vertAlign w:val="subscript"/>
        </w:rPr>
        <w:t>2</w:t>
      </w:r>
      <w:r>
        <w:t>derived intermediates. The Cu</w:t>
      </w:r>
      <w:r>
        <w:rPr>
          <w:vertAlign w:val="subscript"/>
        </w:rPr>
        <w:t>1</w:t>
      </w:r>
      <w:r>
        <w:t>Cl–WO</w:t>
      </w:r>
      <w:r>
        <w:t xml:space="preserve"> </w:t>
      </w:r>
      <w:r>
        <w:t>3‐</w:t>
      </w:r>
      <w:r>
        <w:t xml:space="preserve"> </w:t>
      </w:r>
      <w:r>
        <w:t>x</w:t>
      </w:r>
      <w:r>
        <w:t xml:space="preserve"> </w:t>
      </w:r>
      <w:r>
        <w:t>catalyst achieves an NH</w:t>
      </w:r>
      <w:r>
        <w:rPr>
          <w:vertAlign w:val="subscript"/>
        </w:rPr>
        <w:t>3</w:t>
      </w:r>
      <w:r>
        <w:t>Faradaic efficiency of 99.7% at −0.8 V versus the reversible hydrogen electrode and delivers an NH</w:t>
      </w:r>
      <w:r>
        <w:rPr>
          <w:vertAlign w:val="subscript"/>
        </w:rPr>
        <w:t>3</w:t>
      </w:r>
      <w:r>
        <w:t>yield rate up to 63.6 mg h</w:t>
      </w:r>
      <w:r>
        <w:t xml:space="preserve"> </w:t>
      </w:r>
      <w:r>
        <w:t>−1</w:t>
      </w:r>
      <w:r>
        <w:t xml:space="preserve"> </w:t>
      </w:r>
      <w:r>
        <w:t>cm</w:t>
      </w:r>
      <w:r>
        <w:t xml:space="preserve"> </w:t>
      </w:r>
      <w:r>
        <w:t>−2</w:t>
      </w:r>
      <w:r>
        <w:t xml:space="preserve"> </w:t>
      </w:r>
      <w:r>
        <w:t>at −0.9 V with stable operation. In situ electrochemical characterization and theoretical calculations reveal that the asymmetric Cu–Cl–W interface promotes water dissociation and *H relay, while facilitating thermodynamically favorable *NO</w:t>
      </w:r>
      <w:r>
        <w:rPr>
          <w:vertAlign w:val="subscript"/>
        </w:rPr>
        <w:t>2</w:t>
      </w:r>
      <w:r>
        <w:t>relocation and subsequent hydrogenation, thereby shifting the potential‐determining step and lowering the overall energy barrier. This dual‐relay strategy might offer a generic route toward efficient NO</w:t>
      </w:r>
      <w:r>
        <w:rPr>
          <w:vertAlign w:val="subscript"/>
        </w:rPr>
        <w:t>3</w:t>
      </w:r>
      <w:r>
        <w:t>−</w:t>
      </w:r>
      <w:r>
        <w:t>‐to‐NH</w:t>
      </w:r>
      <w:r>
        <w:rPr>
          <w:vertAlign w:val="subscript"/>
        </w:rPr>
        <w:t>3</w:t>
      </w:r>
      <w:r>
        <w:t>electrosynthesis.</w:t>
      </w:r>
    </w:p>
    <w:p>
      <w:pPr>
        <w:spacing w:before="120" w:after="120"/>
      </w:pPr>
      <w:r>
        <w:rPr>
          <w:sz w:val="18"/>
        </w:rPr>
        <w:t>——————————————————————————————————————————————————————————————————————</w:t>
      </w:r>
    </w:p>
    <w:p>
      <w:pPr>
        <w:spacing w:before="160" w:after="40" w:line="240" w:lineRule="auto"/>
      </w:pPr>
      <w:r>
        <w:rPr>
          <w:b/>
        </w:rPr>
        <w:t xml:space="preserve">[41] </w:t>
      </w:r>
      <w:hyperlink r:id="rId450">
        <w:r>
          <w:rPr>
            <w:color w:val="1155CC"/>
            <w:u w:val="single"/>
          </w:rPr>
          <w:t>亲氧性镓单原子调节微孔限制的 Os 原子团簇可实现高效的碱性氢电催化</w:t>
        </w:r>
      </w:hyperlink>
    </w:p>
    <w:p>
      <w:pPr>
        <w:spacing w:before="0" w:after="80"/>
      </w:pPr>
      <w:r>
        <w:rPr>
          <w:i/>
          <w:sz w:val="20"/>
        </w:rPr>
        <w:t>EN: Oxophilic Gallium Single‐Atom Regulating Micropore‐Confined Os Atomic Clusters Enables Efficient Alkaline Hydrogen Electrocatalysis</w:t>
      </w:r>
    </w:p>
    <w:p>
      <w:pPr>
        <w:spacing w:before="0" w:after="120"/>
      </w:pPr>
      <w:r>
        <w:rPr>
          <w:b/>
        </w:rPr>
        <w:t xml:space="preserve">Source: </w:t>
      </w:r>
      <w:r>
        <w:t>Wiley: Angewandte Chemie International Edition: Table of Contents</w:t>
      </w:r>
      <w:r>
        <w:t xml:space="preserve">    </w:t>
      </w:r>
      <w:r>
        <w:rPr>
          <w:b/>
        </w:rPr>
        <w:t xml:space="preserve">Pub date: </w:t>
      </w:r>
      <w:r>
        <w:t>2026-08-12 17:00:23+00:00</w:t>
      </w:r>
      <w:r>
        <w:t xml:space="preserve">    </w:t>
      </w:r>
      <w:r>
        <w:rPr>
          <w:b/>
        </w:rPr>
        <w:t xml:space="preserve">DOI: </w:t>
      </w:r>
      <w:hyperlink r:id="rId451">
        <w:r>
          <w:rPr>
            <w:color w:val="1155CC"/>
            <w:u w:val="single"/>
          </w:rPr>
          <w:t>10.1002/anie.2044894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AC的固有聚集、含氢和含氧中间体的吸附能量难以解耦以及急性CO中毒，合理设计具有高质量活性和稳健耐用性的经济有效的原子簇（AC）催化剂仍然是碱性氢能转化的艰巨挑战。在此，我们报告了利用碳微孔限制与相邻的孤立的亲氧性 Ga 位点来合成一类电催化剂，以稳定 Os AC 并消除这些相互冲突的界面吸附需求。我们证明，碳气凝胶微孔在动力学上锁定超小的 Os 簇，防止迁移和聚结，而 Ga 位点通过支撑介导的电荷重新分布，使空间上邻近的 Os 簇极化，从而降低 Os 簇的移动。</w:t>
      </w:r>
      <w:r>
        <w:t xml:space="preserve"> </w:t>
      </w:r>
      <w:r>
        <w:t>d</w:t>
      </w:r>
      <w:r>
        <w:t xml:space="preserve"> </w:t>
      </w:r>
      <w:r>
        <w:t>‐带中心并减弱 H* 和 CO* 结合。同时，路易斯酸性亲氧 Ga 中心捕获并激活 H</w:t>
      </w:r>
      <w:r>
        <w:rPr>
          <w:vertAlign w:val="subscript"/>
        </w:rPr>
        <w:t>2</w:t>
      </w:r>
      <w:r>
        <w:t>O/OH* 物质，建立含氧中间继电器，降低缓慢的 Volmer 步骤的障碍。交流/镓</w:t>
      </w:r>
      <w:r>
        <w:rPr>
          <w:vertAlign w:val="subscript"/>
        </w:rPr>
        <w:t>1</w:t>
      </w:r>
      <w:r>
        <w:t>@pCA 为析氢提供卓越的质量活性 (2185.5 A g</w:t>
      </w:r>
      <w:r>
        <w:t xml:space="preserve"> </w:t>
      </w:r>
      <w:r>
        <w:t>操作系统</w:t>
      </w:r>
      <w:r>
        <w:t xml:space="preserve"> </w:t>
      </w:r>
      <w:r>
        <w:t>−1</w:t>
      </w:r>
      <w:r>
        <w:t xml:space="preserve"> </w:t>
      </w:r>
      <w:r>
        <w:t>100 mV）和氢氧化（7.29 A mg</w:t>
      </w:r>
      <w:r>
        <w:t xml:space="preserve"> </w:t>
      </w:r>
      <w:r>
        <w:t>操作系统</w:t>
      </w:r>
      <w:r>
        <w:t xml:space="preserve"> </w:t>
      </w:r>
      <w:r>
        <w:t>−1</w:t>
      </w:r>
      <w:r>
        <w:t xml:space="preserve"> </w:t>
      </w:r>
      <w:r>
        <w:t>50 mV），以及出色的 CO 耐受性。在阴离子交换膜水电解槽中，它实现了 PGM-</w:t>
      </w:r>
    </w:p>
    <w:p>
      <w:pPr>
        <w:spacing w:before="0" w:after="200" w:lineRule="auto" w:line="276"/>
      </w:pPr>
      <w:r>
        <w:rPr>
          <w:b/>
        </w:rPr>
        <w:t xml:space="preserve">Abstract (EN): </w:t>
      </w:r>
      <w:r>
        <w:t>Rational design of cost‐effective atomic cluster (AC) catalysts with high mass activity and robust durability remains a formidable challenge for alkaline hydrogen‐energy conversion, owing to intrinsic aggregation of ACs, difficulty in decoupling the adsorption energetics of hydrogen‐ and oxygen‐containing intermediates, and acute CO poisoning. Herein, we report the synthesis of a class of electrocatalysts using carbon‐micropore confinement with adjacent isolated oxophilic Ga sites to stabilize Os ACs and decouple these conflicting interfacial adsorption demands. We demonstrate that carbon aerogel micropores kinetically lock ultrasmall Os clusters against migration and coalescence, while Ga sites polarize spatially proximate Os clusters through support‐mediated charge redistribution, downshifting the Os</w:t>
      </w:r>
      <w:r>
        <w:t xml:space="preserve"> </w:t>
      </w:r>
      <w:r>
        <w:t>d</w:t>
      </w:r>
      <w:r>
        <w:t xml:space="preserve"> </w:t>
      </w:r>
      <w:r>
        <w:t>‐band center and weakening H* and CO* binding. Meanwhile, Lewis‐acidic oxophilic Ga centers capture and activate H</w:t>
      </w:r>
      <w:r>
        <w:rPr>
          <w:vertAlign w:val="subscript"/>
        </w:rPr>
        <w:t>2</w:t>
      </w:r>
      <w:r>
        <w:t>O/OH* species, establishing an oxygenated‐intermediate relay that lowers the barrier for the sluggish Volmer step. Os AC/Ga</w:t>
      </w:r>
      <w:r>
        <w:rPr>
          <w:vertAlign w:val="subscript"/>
        </w:rPr>
        <w:t>1</w:t>
      </w:r>
      <w:r>
        <w:t>@pCA delivers exceptional mass activities for hydrogen evolution (2185.5 A g</w:t>
      </w:r>
      <w:r>
        <w:t xml:space="preserve"> </w:t>
      </w:r>
      <w:r>
        <w:t>Os</w:t>
      </w:r>
      <w:r>
        <w:t xml:space="preserve"> </w:t>
      </w:r>
      <w:r>
        <w:t>−1</w:t>
      </w:r>
      <w:r>
        <w:t xml:space="preserve"> </w:t>
      </w:r>
      <w:r>
        <w:t>at 100 mV) and hydrogen oxidation (7.29 A mg</w:t>
      </w:r>
      <w:r>
        <w:t xml:space="preserve"> </w:t>
      </w:r>
      <w:r>
        <w:t>Os</w:t>
      </w:r>
      <w:r>
        <w:t xml:space="preserve"> </w:t>
      </w:r>
      <w:r>
        <w:t>−1</w:t>
      </w:r>
      <w:r>
        <w:t xml:space="preserve"> </w:t>
      </w:r>
      <w:r>
        <w:t>at 50 mV), together with outstanding CO tolerance. In an anion‐exchange‐membrane water‐electrolyzer, it achieves a PGM‐price‐normalized activity of 370.7 A dollar</w:t>
      </w:r>
      <w:r>
        <w:t xml:space="preserve"> </w:t>
      </w:r>
      <w:r>
        <w:t>−1</w:t>
      </w:r>
      <w:r>
        <w:t xml:space="preserve"> </w:t>
      </w:r>
      <w:r>
        <w:t>at 1.8 V and operates stably at 500 mA cm</w:t>
      </w:r>
      <w:r>
        <w:t xml:space="preserve"> </w:t>
      </w:r>
      <w:r>
        <w:t>−2</w:t>
      </w:r>
      <w:r>
        <w:t xml:space="preserve"> </w:t>
      </w:r>
      <w:r>
        <w:t>for over 300 h with a degradation rate of mere ∼48.6 µV h</w:t>
      </w:r>
      <w:r>
        <w:t xml:space="preserve"> </w:t>
      </w:r>
      <w:r>
        <w:t>−1</w:t>
      </w:r>
      <w:r>
        <w:t xml:space="preserve"> </w:t>
      </w:r>
      <w:r>
        <w:t>.</w:t>
      </w:r>
    </w:p>
    <w:p>
      <w:pPr>
        <w:spacing w:before="120" w:after="120"/>
      </w:pPr>
      <w:r>
        <w:rPr>
          <w:sz w:val="18"/>
        </w:rPr>
        <w:t>——————————————————————————————————————————————————————————————————————</w:t>
      </w:r>
    </w:p>
    <w:p>
      <w:pPr>
        <w:spacing w:before="160" w:after="40" w:line="240" w:lineRule="auto"/>
      </w:pPr>
      <w:r>
        <w:rPr>
          <w:b/>
        </w:rPr>
        <w:t xml:space="preserve">[42] </w:t>
      </w:r>
      <w:hyperlink r:id="rId452">
        <w:r>
          <w:rPr>
            <w:color w:val="1155CC"/>
            <w:u w:val="single"/>
          </w:rPr>
          <w:t>水凝胶赋能的铜表面活性氢可实现选择性硝酸盐至氨的电催化</w:t>
        </w:r>
      </w:hyperlink>
    </w:p>
    <w:p>
      <w:pPr>
        <w:spacing w:before="0" w:after="80"/>
      </w:pPr>
      <w:r>
        <w:rPr>
          <w:i/>
          <w:sz w:val="20"/>
        </w:rPr>
        <w:t>EN: Hydrogel-Empowered Interfacial Reactive Hydrogen on Copper Enables Selective Nitrate-To-Ammonia Electrocatalysis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453">
        <w:r>
          <w:rPr>
            <w:color w:val="1155CC"/>
            <w:u w:val="single"/>
          </w:rPr>
          <w:t>10.1021/jacs.6c09690</w:t>
        </w:r>
      </w:hyperlink>
    </w:p>
    <w:p>
      <w:pPr>
        <w:spacing w:before="0" w:after="120"/>
      </w:pPr>
      <w:r>
        <w:rPr>
          <w:b/>
        </w:rPr>
        <w:t xml:space="preserve">Notes: </w:t>
      </w:r>
      <w:r>
        <w:t>abstract_source=crossref</w:t>
      </w:r>
    </w:p>
    <w:p>
      <w:pPr>
        <w:spacing w:before="0" w:after="80" w:lineRule="auto" w:line="276"/>
      </w:pPr>
      <w:r>
        <w:rPr>
          <w:b/>
        </w:rPr>
        <w:t xml:space="preserve">摘要（ZH）: </w:t>
      </w:r>
      <w:r>
        <w:t>摘要 界面活性氢的精确控制对于提高电催化中质子耦合电子转移反应的选择性至关重要。在硝酸盐电还原成氨的反应中，铜（Cu）基催化剂存在一个基本的权衡，即低电位下缓慢的水解离会导致活性氢稀缺，而在高电位下，升高的活性氢通量会转化为析氢。为了克服这种不匹配，我们在泡沫铜支撑的铜纳米阵列上涂覆聚丙烯酸钠水凝胶，使铜催化剂表面具有亲水性氢键网络。所得的 Cu@PANa/CF 催化剂在较宽的电势窗口内实现了超过 90% 的 NH3 法拉第效率，并在 -0.3 V vs RHE 时达到 98% 的峰值，同时与裸 Cu/CF 相比，在低过电势下提供了 2 倍高的 NH3 收率。原位表征和机理分析证实PANa水凝胶在界面上富集水，促进活性氢的产生和稳定，从而维持有效的氢供应。同时，PANa 水凝胶网络和含氮中间体之间的氢键相互作用稳定了关键反应物种（*NO2H、*NH2O 和 *NH2OH），并降低了速率决定步骤的自由能差（*NO2 到 *NO2H）。这些效应共同抑制了竞争反应，并将活性氢引导至连续氢化，从而实现 NO3 高效转化为 NH3。这项工作表明，设计</w:t>
      </w:r>
    </w:p>
    <w:p>
      <w:pPr>
        <w:spacing w:before="0" w:after="200" w:lineRule="auto" w:line="276"/>
      </w:pPr>
      <w:r>
        <w:rPr>
          <w:b/>
        </w:rPr>
        <w:t xml:space="preserve">Abstract (EN): </w:t>
      </w:r>
      <w:r>
        <w:t>Precise control of interfacial reactive hydrogen is crucial for improving the selectivity of proton-coupled electron transfer reactions in electrocatalysis. In the nitrate electroreduction to ammonia reaction, a fundamental trade-off is identified for copper (Cu)-based catalysts, where slow water dissociation at low potentials causes reactive hydrogen scarcity, whereas at high potentials, elevated reactive hydrogen flux is diverted into hydrogen evolution. To overcome this mismatch, we coated a poly(sodium acrylate) hydrogel on a Cu foam-supported Cu nanoarray, empowering the Cu catalyst surface with a hydrophilic, hydrogen-bonded network. The resulting Cu@PANa/CF catalyst achieved a Faradaic efficiency for NH3 exceeding 90% over a wide potential window and reached a peak of 98% at −0.3 V vs RHE, while delivering a 2-fold higher NH3 yield rate at low overpotentials compared to bare Cu/CF. In situ characterizations and mechanistic analyses corroborated that the PANa hydrogel enriched water on the interface and facilitated the generation and stabilization of reactive hydrogen, thereby sustaining an effective hydrogen supply. In parallel, hydrogen-bonding interactions between the PANa hydrogel network and the nitrogenous intermediates stabilized key reaction species (*NO2H, *NH2O, and *NH2OH) and lowered the free energy difference of the rate-determining step (*NO2 to *NO2H). Together, these effects suppressed competing reactions and directed reactive hydrogen toward sequential hydrogenation, enabling efficient NO3–-to-NH3 conversion. This work demonstrates that designing microenvironments of Cu catalyst surface through a hydrogen-bonded network can effectively complement electronic tuning and provides a broadly applicable framework for selectivity control in electrocatalysis.</w:t>
      </w:r>
    </w:p>
    <w:p>
      <w:pPr>
        <w:spacing w:before="120" w:after="120"/>
      </w:pPr>
      <w:r>
        <w:rPr>
          <w:sz w:val="18"/>
        </w:rPr>
        <w:t>——————————————————————————————————————————————————————————————————————</w:t>
      </w:r>
    </w:p>
    <w:p>
      <w:pPr>
        <w:spacing w:before="160" w:after="40" w:line="240" w:lineRule="auto"/>
      </w:pPr>
      <w:r>
        <w:rPr>
          <w:b/>
        </w:rPr>
        <w:t xml:space="preserve">[43] </w:t>
      </w:r>
      <w:hyperlink r:id="rId454">
        <w:r>
          <w:rPr>
            <w:color w:val="1155CC"/>
            <w:u w:val="single"/>
          </w:rPr>
          <w:t>电催化中金属纳米粒子的原位编程配体解吸/吸附动力学</w:t>
        </w:r>
      </w:hyperlink>
    </w:p>
    <w:p>
      <w:pPr>
        <w:spacing w:before="0" w:after="80"/>
      </w:pPr>
      <w:r>
        <w:rPr>
          <w:i/>
          <w:sz w:val="20"/>
        </w:rPr>
        <w:t>EN: Toward In Situ Programming Ligand Desorption/Adsorption Dynamics of Metal Nanoparticles in Electrocatalysis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455">
        <w:r>
          <w:rPr>
            <w:color w:val="1155CC"/>
            <w:u w:val="single"/>
          </w:rPr>
          <w:t>10.1021/jacs.6c12699</w:t>
        </w:r>
      </w:hyperlink>
    </w:p>
    <w:p>
      <w:pPr>
        <w:spacing w:before="0" w:after="120"/>
      </w:pPr>
      <w:r>
        <w:rPr>
          <w:b/>
        </w:rPr>
        <w:t xml:space="preserve">Notes: </w:t>
      </w:r>
      <w:r>
        <w:t>abstract_source=crossref</w:t>
      </w:r>
    </w:p>
    <w:p>
      <w:pPr>
        <w:spacing w:before="0" w:after="80" w:lineRule="auto" w:line="276"/>
      </w:pPr>
      <w:r>
        <w:rPr>
          <w:b/>
        </w:rPr>
        <w:t xml:space="preserve">摘要（ZH）: </w:t>
      </w:r>
      <w:r>
        <w:t>摘要 配体效应代表了金属纳米催化中长期存在的困境，因为有机配体配位不可避免地会阻碍活性金属位点，同时保持纳米颗粒的结构稳定性。为了应对这一挑战，我们在此展示了一种超分子相互作用辅助配体可逆解吸/吸附策略，可同时实现金属纳米颗粒的催化活性和稳定性。使用原子级精确的 [Au13(dppe)5Cl2]3+ 纳米团簇（NC；dppe = 1,2-双（二苯基膦）乙烷）作为范例粒子，我们证明了 dppe 配体之间广泛的 π-π 堆积在催化过程中保留了团簇表面附近解吸的配体，从而能够在反应后重新吸附到原始位点。利用扫描隧道显微镜断裂连接技术，我们成功捕获并实时跟踪单个簇表面上的这种可逆配体解吸/吸附动力学。这本质上是通过单簇的电导对其表面结构的依赖性而实现的，通过编程外部偏置电压来显示可切换的配体开/关状态。通过这种方式，[Au13(dppe)5Cl2]3+ NCs 比没有表面 π-π 相互作用的NCs 具有更优异的催化活性和稳定性，在析氢反应中在 -40.6 mA cm-2 的一致电流密度下记录了超过 400 分钟的稳定电催化性能。基于可逆配体解吸/吸附动力学，我们进一步构建了稳定的单簇开关器件，表现出~0.5个mag数量级的显着开/关比</w:t>
      </w:r>
    </w:p>
    <w:p>
      <w:pPr>
        <w:spacing w:before="0" w:after="200" w:lineRule="auto" w:line="276"/>
      </w:pPr>
      <w:r>
        <w:rPr>
          <w:b/>
        </w:rPr>
        <w:t xml:space="preserve">Abstract (EN): </w:t>
      </w:r>
      <w:r>
        <w:t>Ligand effects represent a long-last dilemma in metal nanocatalysis, as organic ligand coordination inevitably blocks active metal sites while maintaining structure stability of nanoparticles. To tackle this challenge, we demonstrate herein a supramolecular interaction-assisted ligand reversible desorption/adsorption strategy for simultaneously achieving catalytic activity and stability of metal nanoparticles. Using atomically precise [Au13(dppe)5Cl2]3+ nanoclusters (NCs; dppe = 1,2-bis(diphenylphosphino)ethane) as paradigm particles, we demonstrate that extensive π–π stacking among dppe ligands retains desorbed ligands near the cluster surface during catalysis, enabling readsorption to original sites after the reactions. Leveraging scanning tunneling microscope break junction techniques, we successfully capture and real-time track such reversible ligand desorption/adsorption dynamics on individual cluster surfaces. This is inherently made possible by the conductance dependence of single cluster on its surface structure, manifesting switchable ligand on/off states by programming external bias voltages. By this way, [Au13(dppe)5Cl2]3+ NCs deliver superior catalytic activity and stability than those without surface π–π interactions, where a stable electrocatalytic performance is recorded at a consistent current density of −40.6 mA cm–2 for over 400 min in the hydrogen evolution reaction. Based on the reversible ligand desorption/adsorption dynamics, we further constructed a stable single-cluster switching device, exhibiting a marked on/off ratio of ∼0.5 orders of magnitude. This work not only provides a precise and accurate strategy to monitor the ligand dynamics at the single cluster/particle level but also underscores the decisive role of ligand dynamics on the catalytic activity and stability of metal and other inorganic nanoparticles.</w:t>
      </w:r>
    </w:p>
    <w:p>
      <w:pPr>
        <w:spacing w:before="120" w:after="120"/>
      </w:pPr>
      <w:r>
        <w:rPr>
          <w:sz w:val="18"/>
        </w:rPr>
        <w:t>——————————————————————————————————————————————————————————————————————</w:t>
      </w:r>
    </w:p>
    <w:p>
      <w:pPr>
        <w:spacing w:before="160" w:after="40" w:line="240" w:lineRule="auto"/>
      </w:pPr>
      <w:r>
        <w:rPr>
          <w:b/>
        </w:rPr>
        <w:t xml:space="preserve">[44] </w:t>
      </w:r>
      <w:hyperlink r:id="rId456">
        <w:r>
          <w:rPr>
            <w:color w:val="1155CC"/>
            <w:u w:val="single"/>
          </w:rPr>
          <w:t>重型燃料电池汽车在货运脱碳中的未来作用</w:t>
        </w:r>
      </w:hyperlink>
    </w:p>
    <w:p>
      <w:pPr>
        <w:spacing w:before="0" w:after="80"/>
      </w:pPr>
      <w:r>
        <w:rPr>
          <w:i/>
          <w:sz w:val="20"/>
        </w:rPr>
        <w:t>EN: Future role of heavy-duty fuel cell vehicles in the decarbonization of the freight transport</w:t>
      </w:r>
    </w:p>
    <w:p>
      <w:pPr>
        <w:spacing w:before="0" w:after="120"/>
      </w:pPr>
      <w:r>
        <w:rPr>
          <w:b/>
        </w:rPr>
        <w:t xml:space="preserve">Source: </w:t>
      </w:r>
      <w:r>
        <w:t>ScienceDirect Publication: Applied Energy</w:t>
      </w:r>
      <w:r>
        <w:t xml:space="preserve">    </w:t>
      </w:r>
      <w:r>
        <w:rPr>
          <w:b/>
        </w:rPr>
        <w:t xml:space="preserve">Pub date: </w:t>
      </w:r>
      <w:r>
        <w:t>2026-08-13 00:00:00+00:00</w:t>
      </w:r>
      <w:r>
        <w:t xml:space="preserve">    </w:t>
      </w:r>
      <w:r>
        <w:rPr>
          <w:b/>
        </w:rPr>
        <w:t xml:space="preserve">DOI: </w:t>
      </w:r>
      <w:hyperlink r:id="rId457">
        <w:r>
          <w:rPr>
            <w:color w:val="1155CC"/>
            <w:u w:val="single"/>
          </w:rPr>
          <w:t>10.1016/j.apenergy.2026.128632</w:t>
        </w:r>
      </w:hyperlink>
    </w:p>
    <w:p>
      <w:pPr>
        <w:spacing w:before="0" w:after="120"/>
      </w:pPr>
      <w:r>
        <w:rPr>
          <w:b/>
        </w:rPr>
        <w:t xml:space="preserve">Notes: </w:t>
      </w:r>
      <w:r>
        <w:t>abstract_source=openalex</w:t>
      </w:r>
    </w:p>
    <w:p>
      <w:pPr>
        <w:spacing w:before="0" w:after="80" w:lineRule="auto" w:line="276"/>
      </w:pPr>
      <w:r>
        <w:rPr>
          <w:b/>
        </w:rPr>
        <w:t xml:space="preserve">摘要（ZH）: </w:t>
      </w:r>
      <w:r>
        <w:t>随着世界转向更清洁、更可持续的交通解决方案，了解氢燃料电池技术在重型车辆中的要求和影响对于为行业发展和政策决策提供信息至关重要。本文的目的是研究各种车辆领域和动力系统设计中重型燃料电池汽车 (HDFCV) 的氢消耗和动力系统效率。为了实现这一目标，采用了综合方法，包括将参考 HDFCV 模型集成到 VECTO 平台中，使用 MATLAB Simulink 模拟不同动力总成架构，以及估计重型车队当前和未来的氢气需求。这项研究的主要结果表明，所提出的设计空间可以作为行业利益相关者选择最佳电池尺寸、燃料电池系统功率和氢罐尺寸的基准，从而加速车辆开发。此外，政策制定者可以利用氢消耗和动力系统效率的数据来定义关键性能指标，估计未来的氢需求，并将 HDFCV 与其他推进系统的环境影响进行比较。就 HDFCV 车队的 H 2 需求而言，解决本工作中提出的所有不确定性，每年 H 2 量可能在 1.6 至 2.8 吨之间变化，这意味着高达当前 H 2 产量的 3%。因此，H 2 生产基础设施能够适应HDV领域更雄心勃勃的H 2 相关场景。最后，每个车型的 H 2 消耗范围</w:t>
      </w:r>
    </w:p>
    <w:p>
      <w:pPr>
        <w:spacing w:before="0" w:after="200" w:lineRule="auto" w:line="276"/>
      </w:pPr>
      <w:r>
        <w:rPr>
          <w:b/>
        </w:rPr>
        <w:t xml:space="preserve">Abstract (EN): </w:t>
      </w:r>
      <w:r>
        <w:t>As the world shifts towards cleaner and more sustainable transportation solutions, understanding the requirements and implications of hydrogen fuel cell technology in heavy-duty vehicles is crucial for informing industry developments and policy decisions. The objective of this paper is to investigate the hydrogen consumption and powertrain efficiency of heavy-duty fuel cell vehicles (HDFCVs) in various vehicle segments and powertrain designs. To achieve this, a comprehensive methodology was employed, involving the integration of reference HDFCV models into the VECTO platform, simulation of different powertrain architectures using MATLAB Simulink, and estimation of current and future hydrogen demand for the heavy-duty vehicle fleet. The key results of this study indicate that the design spaces presented can serve as a baseline for industry stakeholders to select optimal battery sizes, fuel cell system powers, and hydrogen tank sizes, thereby accelerating vehicle development. Furthermore, policymakers can utilize the data on hydrogen consumption and powertrain efficiency to define key performance indicators, estimate future hydrogen demands, and compare the environmental impact of HDFCVs with other propulsion systems. In terms of HDFCV fleet H 2 demand, addressing all the uncertainties raised in this work, it may vary from 1.6 to 2.8 Mt of H 2 yearly, implying up to 3% of the current H 2 production. Therefore, the H 2 production infrastructure is able to accommodate more ambitious H 2 -related scenarios for the HDV sector. Finally, the H 2 consumption ranges per vehicle class and powertrain design, together with the H 2 tank capacity values sized on the basis of official VECTO cycles, constitute an original reference dataset—grounded in a mathematically guaranteed minimum consumption via an optimal energy management strategy—that can be directly used by vehicle manufacturers as a baseline for preliminary powertrain and hydrogen storage system design.</w:t>
      </w:r>
    </w:p>
    <w:p>
      <w:pPr>
        <w:spacing w:before="120" w:after="120"/>
      </w:pPr>
      <w:r>
        <w:rPr>
          <w:sz w:val="18"/>
        </w:rPr>
        <w:t>——————————————————————————————————————————————————————————————————————</w:t>
      </w:r>
    </w:p>
    <w:p>
      <w:pPr>
        <w:spacing w:before="160" w:after="40" w:line="240" w:lineRule="auto"/>
      </w:pPr>
      <w:r>
        <w:rPr>
          <w:b/>
        </w:rPr>
        <w:t xml:space="preserve">[45] </w:t>
      </w:r>
      <w:hyperlink r:id="rId458">
        <w:r>
          <w:rPr>
            <w:color w:val="1155CC"/>
            <w:u w:val="single"/>
          </w:rPr>
          <w:t>极端事件下氢能一体化多能源系统双层弹性规划框架</w:t>
        </w:r>
      </w:hyperlink>
    </w:p>
    <w:p>
      <w:pPr>
        <w:spacing w:before="0" w:after="80"/>
      </w:pPr>
      <w:r>
        <w:rPr>
          <w:i/>
          <w:sz w:val="20"/>
        </w:rPr>
        <w:t>EN: A bi-level resilience-oriented planning framework for hydrogen-integrated multi-energy systems under extreme events</w:t>
      </w:r>
    </w:p>
    <w:p>
      <w:pPr>
        <w:spacing w:before="0" w:after="120"/>
      </w:pPr>
      <w:r>
        <w:rPr>
          <w:b/>
        </w:rPr>
        <w:t xml:space="preserve">Source: </w:t>
      </w:r>
      <w:r>
        <w:t>ScienceDirect Publication: Applied Energy</w:t>
      </w:r>
      <w:r>
        <w:t xml:space="preserve">    </w:t>
      </w:r>
      <w:r>
        <w:rPr>
          <w:b/>
        </w:rPr>
        <w:t xml:space="preserve">Pub date: </w:t>
      </w:r>
      <w:r>
        <w:t>2026-08-13 00:00:00+00:00</w:t>
      </w:r>
      <w:r>
        <w:t xml:space="preserve">    </w:t>
      </w:r>
      <w:r>
        <w:rPr>
          <w:b/>
        </w:rPr>
        <w:t xml:space="preserve">DOI: </w:t>
      </w:r>
      <w:hyperlink r:id="rId459">
        <w:r>
          <w:rPr>
            <w:color w:val="1155CC"/>
            <w:u w:val="single"/>
          </w:rPr>
          <w:t>10.1016/j.apenergy.2026.128671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460">
        <w:r>
          <w:rPr>
            <w:color w:val="1155CC"/>
            <w:u w:val="single"/>
          </w:rPr>
          <w:t>考虑多周期动力学和物理化学降解的价格波动下可逆固体氧化物电池系统的技术经济优化</w:t>
        </w:r>
      </w:hyperlink>
    </w:p>
    <w:p>
      <w:pPr>
        <w:spacing w:before="0" w:after="80"/>
      </w:pPr>
      <w:r>
        <w:rPr>
          <w:i/>
          <w:sz w:val="20"/>
        </w:rPr>
        <w:t>EN: Techno-economic optimization of reversible solid oxide cell systems under price fluctuations considering multi-period dynamics and physical and chemical degradation</w:t>
      </w:r>
    </w:p>
    <w:p>
      <w:pPr>
        <w:spacing w:before="0" w:after="120"/>
      </w:pPr>
      <w:r>
        <w:rPr>
          <w:b/>
        </w:rPr>
        <w:t xml:space="preserve">Source: </w:t>
      </w:r>
      <w:r>
        <w:t>ScienceDirect Publication: Applied Energy</w:t>
      </w:r>
      <w:r>
        <w:t xml:space="preserve">    </w:t>
      </w:r>
      <w:r>
        <w:rPr>
          <w:b/>
        </w:rPr>
        <w:t xml:space="preserve">Pub date: </w:t>
      </w:r>
      <w:r>
        <w:t>2026-08-13 00:00:00+00:00</w:t>
      </w:r>
      <w:r>
        <w:t xml:space="preserve">    </w:t>
      </w:r>
      <w:r>
        <w:rPr>
          <w:b/>
        </w:rPr>
        <w:t xml:space="preserve">DOI: </w:t>
      </w:r>
      <w:hyperlink r:id="rId461">
        <w:r>
          <w:rPr>
            <w:color w:val="1155CC"/>
            <w:u w:val="single"/>
          </w:rPr>
          <w:t>10.1016/j.apenergy.2026.128624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462">
        <w:r>
          <w:rPr>
            <w:color w:val="1155CC"/>
            <w:u w:val="single"/>
          </w:rPr>
          <w:t>重整-电解耦合蓝绿氢生产与液化一体化的生命周期评估和优化</w:t>
        </w:r>
      </w:hyperlink>
    </w:p>
    <w:p>
      <w:pPr>
        <w:spacing w:before="0" w:after="80"/>
      </w:pPr>
      <w:r>
        <w:rPr>
          <w:i/>
          <w:sz w:val="20"/>
        </w:rPr>
        <w:t>EN: Lifecycle assessment and optimization of integrated blue-green hydrogen production and liquefaction with reforming-electrolysis coupling</w:t>
      </w:r>
    </w:p>
    <w:p>
      <w:pPr>
        <w:spacing w:before="0" w:after="120"/>
      </w:pPr>
      <w:r>
        <w:rPr>
          <w:b/>
        </w:rPr>
        <w:t xml:space="preserve">Source: </w:t>
      </w:r>
      <w:r>
        <w:t>ScienceDirect Publication: Applied Energy</w:t>
      </w:r>
      <w:r>
        <w:t xml:space="preserve">    </w:t>
      </w:r>
      <w:r>
        <w:rPr>
          <w:b/>
        </w:rPr>
        <w:t xml:space="preserve">Pub date: </w:t>
      </w:r>
      <w:r>
        <w:t>2026-08-13 00:00:00+00:00</w:t>
      </w:r>
      <w:r>
        <w:t xml:space="preserve">    </w:t>
      </w:r>
      <w:r>
        <w:rPr>
          <w:b/>
        </w:rPr>
        <w:t xml:space="preserve">DOI: </w:t>
      </w:r>
      <w:hyperlink r:id="rId463">
        <w:r>
          <w:rPr>
            <w:color w:val="1155CC"/>
            <w:u w:val="single"/>
          </w:rPr>
          <w:t>10.1016/j.apenergy.2026.128669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464">
        <w:r>
          <w:rPr>
            <w:color w:val="1155CC"/>
            <w:u w:val="single"/>
          </w:rPr>
          <w:t>固体电解质反应器中阳离子穿梭生物质基质的电化学氢化</w:t>
        </w:r>
      </w:hyperlink>
    </w:p>
    <w:p>
      <w:pPr>
        <w:spacing w:before="0" w:after="80"/>
      </w:pPr>
      <w:r>
        <w:rPr>
          <w:i/>
          <w:sz w:val="20"/>
        </w:rPr>
        <w:t>EN: Electrochemical hydrogenation of biomass substrates with cation shuttling in a solid electrolyte reactor</w:t>
      </w:r>
    </w:p>
    <w:p>
      <w:pPr>
        <w:spacing w:before="0" w:after="120"/>
      </w:pPr>
      <w:r>
        <w:rPr>
          <w:b/>
        </w:rPr>
        <w:t xml:space="preserve">Source: </w:t>
      </w:r>
      <w:r>
        <w:t>Physical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生物质衍生底物的电化学氢化提供了获取有价值化学品的可持续途径，但传统系统往往难以同时实现高效率和高产品纯度。在这里，我们报告了一种基于多孔固体电解质反应器的电化学过程，该反应器将高效氢化与生物质衍生基质的内在纯化相结合，从而消除了对支持电解质的需求。该系统通过阳离子屏蔽效应促进马来酸溶液（一种不饱和生物质底物模型）氢化成琥珀酸（一种饱和生物质底物模型），同时抑制析氢等竞争反应。通过将产生的琥珀酸钠不断地从阴极回收到中间层，反应器进一步将其转化为纯琥珀酸，建立闭环碱金属阳离子梭，提高选择性并最大限度地减少副反应。该系统提供约 85% 的琥珀酸法拉第效率、长期运行稳定性（超过 500 小时）以及纯度 &gt; 98% 的最终溶液，无需下游电解液回收。这些结果凸显了一条通向更清洁、更高效的生物质电化学升级的可扩展途径。</w:t>
      </w:r>
    </w:p>
    <w:p>
      <w:pPr>
        <w:spacing w:before="0" w:after="200" w:lineRule="auto" w:line="276"/>
      </w:pPr>
      <w:r>
        <w:rPr>
          <w:b/>
        </w:rPr>
        <w:t xml:space="preserve">Abstract (EN): </w:t>
      </w:r>
      <w:r>
        <w:t>Electrochemical hydrogenation of biomass-derived substrates offers a sustainable route to valuable chemicals, yet conventional systems often struggle to simultaneously achieve high efficiency and high product purity. Here we report an electrochemical process based on a porous solid-electrolyte reactor that integrates efficient hydrogenation with intrinsic purification for biomass-derived substrates, thereby eliminating the need for supporting electrolytes. The system promotes the hydrogenation of maleic acid solution (a model unsaturated biomass substrate) into succinic acid (a model saturated biomass substrate), via a cation shielding effect while suppressing competing reactions such as hydrogen evolution. By continuously recycling the generated sodium succinate from the cathode to the middle layer, the reactor further converts it into pure succinic acid, establishing a closed-loop alkali-metal-cation shuttle that enhances selectivity and minimizes side reactions. This system delivers succinic acid Faradaic efficiencies ~ 85%, long-term operational stability (over 500 hours), and a final solution of &gt; 98% purity, without downstream electrolyte recovery. These results highlight a scalable pathway toward cleaner, more efficient electrochemical upgrading of biomass.</w:t>
      </w:r>
    </w:p>
    <w:p>
      <w:pPr>
        <w:spacing w:before="120" w:after="120"/>
      </w:pPr>
      <w:r>
        <w:rPr>
          <w:sz w:val="18"/>
        </w:rPr>
        <w:t>——————————————————————————————————————————————————————————————————————</w:t>
      </w:r>
    </w:p>
    <w:p>
      <w:pPr>
        <w:spacing w:before="160" w:after="40" w:line="240" w:lineRule="auto"/>
      </w:pPr>
      <w:r>
        <w:rPr>
          <w:b/>
        </w:rPr>
        <w:t xml:space="preserve">[49] </w:t>
      </w:r>
      <w:hyperlink r:id="rId465">
        <w:r>
          <w:rPr>
            <w:color w:val="1155CC"/>
            <w:u w:val="single"/>
          </w:rPr>
          <w:t>铁诱导的木质素脱甲氧基是环境中甲醇及其氧化产物的重要来源</w:t>
        </w:r>
      </w:hyperlink>
    </w:p>
    <w:p>
      <w:pPr>
        <w:spacing w:before="0" w:after="80"/>
      </w:pPr>
      <w:r>
        <w:rPr>
          <w:i/>
          <w:sz w:val="20"/>
        </w:rPr>
        <w:t>EN: Iron-induced demethoxylation of lignin as an important source for methanol and its oxidation products in the environment</w:t>
      </w:r>
    </w:p>
    <w:p>
      <w:pPr>
        <w:spacing w:before="0" w:after="120"/>
      </w:pPr>
      <w:r>
        <w:rPr>
          <w:b/>
        </w:rPr>
        <w:t xml:space="preserve">Source: </w:t>
      </w:r>
      <w:r>
        <w:t>Earth and environmental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木质素是植物和土壤中最大的芳香碳库，经过真菌和细菌的充分表征的生物去甲基化，并在恶劣的条件下进行工业加工，产生生物基芳烃。然而，木质素衍生的甲氧基在环境相关条件下的非生物命运仍未解决。在这里，我们报告了一种铁介导的脱甲氧基化机制，涉及环境条件下芳香族 C-O 键的直接裂解。使用 FeII/FeIII 物质和 H2O2，我们证明了木质素单体和甲氧基酚中整个甲氧基的有效释放，形成甲醇，随后形成甲醛。同位素标记明确表明完整的 –OCH3 基团已完整释放。密度泛函理论计算支持具有低活化能（43 kJ/mol）和有利的热力学的放能脱甲氧基化途径。土壤实验室用木质素和富含铁和甲氧基化有机物的多种天然土壤进行的孵化实验证实，这种非生物途径在环境相关的干湿条件下运行。这些发现将铁诱导的脱甲氧基化确定为一种非生物过程，将木质素周转与微生物 C1 代谢和土壤碳循环联系起来，并对大气微量气体通量产生影响。</w:t>
      </w:r>
    </w:p>
    <w:p>
      <w:pPr>
        <w:spacing w:before="0" w:after="200" w:lineRule="auto" w:line="276"/>
      </w:pPr>
      <w:r>
        <w:rPr>
          <w:b/>
        </w:rPr>
        <w:t xml:space="preserve">Abstract (EN): </w:t>
      </w:r>
      <w:r>
        <w:t>Lignin, the largest reservoir of aromatic carbon in plants and soils, undergoes well-characterized biological demethylation by fungi and bacteria, and is industrially processed under harsh conditions to generate bio-based aromatics. However, the abiotic fate of lignin-derived methoxy groups under environmentally relevant conditions remains unresolved. Here, we report an iron-mediated demethoxylation mechanism involving direct aromatic C–O bond cleavage under ambient conditions. Using FeII/FeIII species and H2O2, we demonstrate the efficient release of entire methoxy groups from lignin monomers and methoxyphenols, forming methanol and subsequently formaldehyde. Isotopic labeling unequivocally shows that the complete –OCH3 group is liberated intact. Density functional theory calculations support an exergonic demethoxylation pathway with low activation energy (43 kJ/mol) and favorable thermodynamics. Soil laboratory incubation experiments with lignin and diverse natural soils rich in iron and methoxylated organic matter confirm that this abiotic pathway operates under environmentally relevant wet–dry conditions. These findings establish iron-induced demethoxylation as a abiotic process, linking lignin turnover to microbial C1 metabolism and soil carbon cycling, with implications for atmospheric trace gas fluxes.</w:t>
      </w:r>
    </w:p>
    <w:p>
      <w:pPr>
        <w:spacing w:before="120" w:after="120"/>
      </w:pPr>
      <w:r>
        <w:rPr>
          <w:sz w:val="18"/>
        </w:rPr>
        <w:t>——————————————————————————————————————————————————————————————————————</w:t>
      </w:r>
    </w:p>
    <w:p>
      <w:pPr>
        <w:spacing w:before="160" w:after="40" w:line="240" w:lineRule="auto"/>
      </w:pPr>
      <w:r>
        <w:rPr>
          <w:b/>
        </w:rPr>
        <w:t xml:space="preserve">[50] </w:t>
      </w:r>
      <w:hyperlink r:id="rId466">
        <w:r>
          <w:rPr>
            <w:color w:val="1155CC"/>
            <w:u w:val="single"/>
          </w:rPr>
          <w:t>驱动碱性析氢的镍电催化剂的活性相</w:t>
        </w:r>
      </w:hyperlink>
    </w:p>
    <w:p>
      <w:pPr>
        <w:spacing w:before="0" w:after="80"/>
      </w:pPr>
      <w:r>
        <w:rPr>
          <w:i/>
          <w:sz w:val="20"/>
        </w:rPr>
        <w:t>EN: Active Phase of Nickel Electrocatalysts Driving Alkaline Hydrogen Evolution</w:t>
      </w:r>
    </w:p>
    <w:p>
      <w:pPr>
        <w:spacing w:before="0" w:after="120"/>
      </w:pPr>
      <w:r>
        <w:rPr>
          <w:b/>
        </w:rPr>
        <w:t xml:space="preserve">Source: </w:t>
      </w:r>
      <w:r>
        <w:t>Wiley: Advanced Materials: Table of Contents</w:t>
      </w:r>
      <w:r>
        <w:t xml:space="preserve">    </w:t>
      </w:r>
      <w:r>
        <w:rPr>
          <w:b/>
        </w:rPr>
        <w:t xml:space="preserve">Pub date: </w:t>
      </w:r>
      <w:r>
        <w:t>2026-08-13 05:34:34+00:00</w:t>
      </w:r>
      <w:r>
        <w:t xml:space="preserve">    </w:t>
      </w:r>
      <w:r>
        <w:rPr>
          <w:b/>
        </w:rPr>
        <w:t xml:space="preserve">DOI: </w:t>
      </w:r>
      <w:hyperlink r:id="rId467">
        <w:r>
          <w:rPr>
            <w:color w:val="1155CC"/>
            <w:u w:val="single"/>
          </w:rPr>
          <w:t>10.1002/adma.74591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镍基阴极广泛用于碱性水电解，但操作条件下活性表面的性质和稳定性仍不清楚。特别是，金属/氧-羟基界面结构在控制析氢活性中的作用尚不清楚。在这里，我们采用多模式、深度敏感的方法结合</w:t>
      </w:r>
      <w:r>
        <w:t xml:space="preserve"> </w:t>
      </w:r>
      <w:r>
        <w:t>操作</w:t>
      </w:r>
      <w:r>
        <w:t xml:space="preserve"> </w:t>
      </w:r>
      <w:r>
        <w:t>Ni L边X射线吸收光谱、总电子产额和俄歇电子产额模式的深度敏感X射线吸收测量、X射线光电子能谱、同位素标记的纳米二次离子质谱以及直接跟踪Ni/NiO演化的在线电化学质谱</w:t>
      </w:r>
      <w:r>
        <w:t xml:space="preserve"> </w:t>
      </w:r>
      <w:r>
        <w:t>x</w:t>
      </w:r>
      <w:r>
        <w:t xml:space="preserve"> </w:t>
      </w:r>
      <w:r>
        <w:t>H</w:t>
      </w:r>
      <w:r>
        <w:t xml:space="preserve"> </w:t>
      </w:r>
      <w:r>
        <w:t>y</w:t>
      </w:r>
      <w:r>
        <w:t xml:space="preserve"> </w:t>
      </w:r>
      <w:r>
        <w:t>析氢反应过程中的界面。使用明确的溅射镍薄膜作为模型系统，我们发现近表面氧化物/氢氧化物物质的逐渐减少伴随着析氢活性的逐渐丧失。深度分辨测量揭示了阴极偏压下主要为金属的最外表面，而 NiO</w:t>
      </w:r>
      <w:r>
        <w:t xml:space="preserve"> </w:t>
      </w:r>
      <w:r>
        <w:t>x</w:t>
      </w:r>
      <w:r>
        <w:t xml:space="preserve"> </w:t>
      </w:r>
      <w:r>
        <w:t>H</w:t>
      </w:r>
      <w:r>
        <w:t xml:space="preserve"> </w:t>
      </w:r>
      <w:r>
        <w:t>y</w:t>
      </w:r>
      <w:r>
        <w:t xml:space="preserve"> </w:t>
      </w:r>
      <w:r>
        <w:t>在松弛到开路条件时在表面上形成。重要的是，温和的阳极预处理可再生表面下的 NiO</w:t>
      </w:r>
      <w:r>
        <w:t xml:space="preserve"> </w:t>
      </w:r>
      <w:r>
        <w:t>x</w:t>
      </w:r>
      <w:r>
        <w:t xml:space="preserve"> </w:t>
      </w:r>
      <w:r>
        <w:t>H</w:t>
      </w:r>
      <w:r>
        <w:t xml:space="preserve"> </w:t>
      </w:r>
      <w:r>
        <w:t>y</w:t>
      </w:r>
      <w:r>
        <w:t xml:space="preserve"> </w:t>
      </w:r>
      <w:r>
        <w:t>物种，导致氢析出持续增加</w:t>
      </w:r>
    </w:p>
    <w:p>
      <w:pPr>
        <w:spacing w:before="0" w:after="200" w:lineRule="auto" w:line="276"/>
      </w:pPr>
      <w:r>
        <w:rPr>
          <w:b/>
        </w:rPr>
        <w:t xml:space="preserve">Abstract (EN): </w:t>
      </w:r>
      <w:r>
        <w:t>Nickel‐based cathodes are widely used in alkaline water electrolysis, yet the nature and stability of the active surface under operating conditions remains unclear. In particular, the role of metal/oxo–hydroxo interfacial structures in governing hydrogen evolution activity is not well understood. Here, we employ a multimodal, depth‐sensitive approach combining</w:t>
      </w:r>
      <w:r>
        <w:t xml:space="preserve"> </w:t>
      </w:r>
      <w:r>
        <w:t>operando</w:t>
      </w:r>
      <w:r>
        <w:t xml:space="preserve"> </w:t>
      </w:r>
      <w:r>
        <w:t>Ni L‐edge X‐ray absorption spectroscopy, depth‐sensitive X‐ray absorption measurements in total electron yield and Auger electron yield modes, X‐ray photoelectron spectroscopy, isotopically labeled nano secondary ion mass spectrometry, and online electrochemical mass spectrometry to directly track the evolution of Ni/NiO</w:t>
      </w:r>
      <w:r>
        <w:t xml:space="preserve"> </w:t>
      </w:r>
      <w:r>
        <w:t>x</w:t>
      </w:r>
      <w:r>
        <w:t xml:space="preserve"> </w:t>
      </w:r>
      <w:r>
        <w:t>H</w:t>
      </w:r>
      <w:r>
        <w:t xml:space="preserve"> </w:t>
      </w:r>
      <w:r>
        <w:t>y</w:t>
      </w:r>
      <w:r>
        <w:t xml:space="preserve"> </w:t>
      </w:r>
      <w:r>
        <w:t>interfaces during the hydrogen evolution reaction. Using well‐defined sputtered Ni thin films as a model system, we show that progressive reduction of near‐surface oxide/hydroxide species is accompanied by a gradual loss of hydrogen evolution activity. Depth‐resolved measurements reveal a predominantly metallic outermost surface under cathodic bias, while NiO</w:t>
      </w:r>
      <w:r>
        <w:t xml:space="preserve"> </w:t>
      </w:r>
      <w:r>
        <w:t>x</w:t>
      </w:r>
      <w:r>
        <w:t xml:space="preserve"> </w:t>
      </w:r>
      <w:r>
        <w:t>H</w:t>
      </w:r>
      <w:r>
        <w:t xml:space="preserve"> </w:t>
      </w:r>
      <w:r>
        <w:t>y</w:t>
      </w:r>
      <w:r>
        <w:t xml:space="preserve"> </w:t>
      </w:r>
      <w:r>
        <w:t>forms on the surface upon relaxation to open‐circuit conditions. Importantly, mild anodic pre‐conditioning regenerates subsurface NiO</w:t>
      </w:r>
      <w:r>
        <w:t xml:space="preserve"> </w:t>
      </w:r>
      <w:r>
        <w:t>x</w:t>
      </w:r>
      <w:r>
        <w:t xml:space="preserve"> </w:t>
      </w:r>
      <w:r>
        <w:t>H</w:t>
      </w:r>
      <w:r>
        <w:t xml:space="preserve"> </w:t>
      </w:r>
      <w:r>
        <w:t>y</w:t>
      </w:r>
      <w:r>
        <w:t xml:space="preserve"> </w:t>
      </w:r>
      <w:r>
        <w:t>species, resulting in a sustained increase in hydrogen evolution activity upon subsequent cathodic polarization. These results establish the crucial role of metal/oxo–hydroxo interfaces as active phases for hydrogen evolution and provide a framework for engineering robust, Earth‐abundant HER cathodes capable of operating under dynamic, real‐world electrolysis conditions.</w:t>
      </w:r>
    </w:p>
    <w:p>
      <w:pPr>
        <w:spacing w:before="120" w:after="120"/>
      </w:pPr>
      <w:r>
        <w:rPr>
          <w:sz w:val="18"/>
        </w:rPr>
        <w:t>——————————————————————————————————————————————————————————————————————</w:t>
      </w:r>
    </w:p>
    <w:p>
      <w:pPr>
        <w:spacing w:before="160" w:after="40" w:line="240" w:lineRule="auto"/>
      </w:pPr>
      <w:r>
        <w:rPr>
          <w:b/>
        </w:rPr>
        <w:t xml:space="preserve">[51] </w:t>
      </w:r>
      <w:hyperlink r:id="rId468">
        <w:r>
          <w:rPr>
            <w:color w:val="1155CC"/>
            <w:u w:val="single"/>
          </w:rPr>
          <w:t>用于经济高效的无铂燃料电池的空间调节非接触钌异质结构</w:t>
        </w:r>
      </w:hyperlink>
    </w:p>
    <w:p>
      <w:pPr>
        <w:spacing w:before="0" w:after="80"/>
      </w:pPr>
      <w:r>
        <w:rPr>
          <w:i/>
          <w:sz w:val="20"/>
        </w:rPr>
        <w:t>EN: Spatial Regulated Noncontact Ru Heterostructure for Cost‐Effective Platinum‐Free Fuel Cells</w:t>
      </w:r>
    </w:p>
    <w:p>
      <w:pPr>
        <w:spacing w:before="0" w:after="120"/>
      </w:pPr>
      <w:r>
        <w:rPr>
          <w:b/>
        </w:rPr>
        <w:t xml:space="preserve">Source: </w:t>
      </w:r>
      <w:r>
        <w:t>Wiley: Advanced Materials: Table of Contents</w:t>
      </w:r>
      <w:r>
        <w:t xml:space="preserve">    </w:t>
      </w:r>
      <w:r>
        <w:rPr>
          <w:b/>
        </w:rPr>
        <w:t xml:space="preserve">Pub date: </w:t>
      </w:r>
      <w:r>
        <w:t>2026-08-13 05:40:44+00:00</w:t>
      </w:r>
      <w:r>
        <w:t xml:space="preserve">    </w:t>
      </w:r>
      <w:r>
        <w:rPr>
          <w:b/>
        </w:rPr>
        <w:t xml:space="preserve">DOI: </w:t>
      </w:r>
      <w:hyperlink r:id="rId469">
        <w:r>
          <w:rPr>
            <w:color w:val="1155CC"/>
            <w:u w:val="single"/>
          </w:rPr>
          <w:t>10.1002/adma.74515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具有成本效益的 Ru 在解决缓慢的氢氧化反应 (HOR) 动力学方面具有巨大的前景。异质结构组件的合理空间分布设计对于涉及多种中间体的电化学反应至关重要，特别是在燃料电池中。在这项研究中，我们展示了一种非接触异质结构催化剂，其特征是空间分离但功能协同的钌（Ru）纳米颗粒（NP）和碳化钼（MoC）簇（CL）通过导电碳载体（Ru-MoC/C）互连，用于碱性HOR。实验结果和密度泛函理论（DFT）计算表明，这种配置通过其巧妙的空间布置实现了功能上的精细分工和无缝协作。因此，Ru-MoC/C基阴离子交换膜燃料电池（AEMFC）具有0.05 mg的超低Ru负载量</w:t>
      </w:r>
      <w:r>
        <w:t xml:space="preserve"> </w:t>
      </w:r>
      <w:r>
        <w:t>汝</w:t>
      </w:r>
      <w:r>
        <w:t xml:space="preserve"> </w:t>
      </w:r>
      <w:r>
        <w:t>厘米</w:t>
      </w:r>
      <w:r>
        <w:t xml:space="preserve"> </w:t>
      </w:r>
      <w:r>
        <w:t>−2</w:t>
      </w:r>
      <w:r>
        <w:t xml:space="preserve"> </w:t>
      </w:r>
      <w:r>
        <w:t>和一个公司</w:t>
      </w:r>
      <w:r>
        <w:rPr>
          <w:vertAlign w:val="subscript"/>
        </w:rPr>
        <w:t>2</w:t>
      </w:r>
      <w:r>
        <w:t>二氧化锰</w:t>
      </w:r>
      <w:r>
        <w:rPr>
          <w:vertAlign w:val="subscript"/>
        </w:rPr>
        <w:t>4</w:t>
      </w:r>
      <w:r>
        <w:t>/C 阴极实现了 17.4 W mg 的惊人总比峰值功率</w:t>
      </w:r>
      <w:r>
        <w:t xml:space="preserve"> </w:t>
      </w:r>
      <w:r>
        <w:t>铂族金属</w:t>
      </w:r>
      <w:r>
        <w:t xml:space="preserve"> </w:t>
      </w:r>
      <w:r>
        <w:t>−1</w:t>
      </w:r>
      <w:r>
        <w:t xml:space="preserve"> </w:t>
      </w:r>
      <w:r>
        <w:t>在H</w:t>
      </w:r>
      <w:r>
        <w:rPr>
          <w:vertAlign w:val="subscript"/>
        </w:rPr>
        <w:t>2</w:t>
      </w:r>
      <w:r>
        <w:t>‐空气，超越了最先进的催化剂。此外，这种无铂 AEMFC 的铂族金属 (PGM) 总利用率为 13.4 W mg</w:t>
      </w:r>
      <w:r>
        <w:t xml:space="preserve"> </w:t>
      </w:r>
      <w:r>
        <w:t>−1</w:t>
      </w:r>
      <w:r>
        <w:t xml:space="preserve"> </w:t>
      </w:r>
      <w:r>
        <w:t>电压为 0.65 V，超过了美国能源部 (DOE) 2025 年的目标。</w:t>
      </w:r>
    </w:p>
    <w:p>
      <w:pPr>
        <w:spacing w:before="0" w:after="200" w:lineRule="auto" w:line="276"/>
      </w:pPr>
      <w:r>
        <w:rPr>
          <w:b/>
        </w:rPr>
        <w:t xml:space="preserve">Abstract (EN): </w:t>
      </w:r>
      <w:r>
        <w:t>Cost‐effective Ru holds tremendous promise to tackle the sluggish hydrogen oxidation reaction (HOR) kinetics. Rational spatial distribution design of heterostructure components is crucial for electrochemical reactions involving multiple intermediates, particularly in fuel cells. In this study, we demonstrate a noncontact heterostructure catalyst featuring spatially separated but functionally synergistic ruthenium (Ru) nanoparticles (NPs) and molybdenum carbide (MoC) clusters (CLs) interconnected by a conductive carbon support (Ru‐MoC/C) for the alkaline HOR. The experimental results and density functional theory (DFT) calculations demonstrate that this configuration achieves a refined division of labor and seamless collaboration in functionality through its ingenious spatial arrangement. Consequently, the Ru‐MoC/C‐based anion exchange membrane fuel cell (AEMFC) with an ultralow Ru loading of 0.05 mg</w:t>
      </w:r>
      <w:r>
        <w:t xml:space="preserve"> </w:t>
      </w:r>
      <w:r>
        <w:t>Ru</w:t>
      </w:r>
      <w:r>
        <w:t xml:space="preserve"> </w:t>
      </w:r>
      <w:r>
        <w:t>cm</w:t>
      </w:r>
      <w:r>
        <w:t xml:space="preserve"> </w:t>
      </w:r>
      <w:r>
        <w:t>−2</w:t>
      </w:r>
      <w:r>
        <w:t xml:space="preserve"> </w:t>
      </w:r>
      <w:r>
        <w:t>and a Co</w:t>
      </w:r>
      <w:r>
        <w:rPr>
          <w:vertAlign w:val="subscript"/>
        </w:rPr>
        <w:t>2</w:t>
      </w:r>
      <w:r>
        <w:t>MnO</w:t>
      </w:r>
      <w:r>
        <w:rPr>
          <w:vertAlign w:val="subscript"/>
        </w:rPr>
        <w:t>4</w:t>
      </w:r>
      <w:r>
        <w:t>/C cathode achieves a remarkable total specific peak power of 17.4 W mg</w:t>
      </w:r>
      <w:r>
        <w:t xml:space="preserve"> </w:t>
      </w:r>
      <w:r>
        <w:t>PGM</w:t>
      </w:r>
      <w:r>
        <w:t xml:space="preserve"> </w:t>
      </w:r>
      <w:r>
        <w:t>−1</w:t>
      </w:r>
      <w:r>
        <w:t xml:space="preserve"> </w:t>
      </w:r>
      <w:r>
        <w:t>in H</w:t>
      </w:r>
      <w:r>
        <w:rPr>
          <w:vertAlign w:val="subscript"/>
        </w:rPr>
        <w:t>2</w:t>
      </w:r>
      <w:r>
        <w:t>‐air, surpassing the state‐of‐the‐art catalysts. Moreover, this Pt‐free AEMFC achieves a total platinum‐group‐metal (PGM) utilization of 13.4 W mg</w:t>
      </w:r>
      <w:r>
        <w:t xml:space="preserve"> </w:t>
      </w:r>
      <w:r>
        <w:t>−1</w:t>
      </w:r>
      <w:r>
        <w:t xml:space="preserve"> </w:t>
      </w:r>
      <w:r>
        <w:t>at 0.65 V, which surpassing the U.S. Department of Energy (DOE) 2025 target. Additionally, the Ru‐MoC/C‐based fuel cell can maintain stable cell operation at 0.5 A cm</w:t>
      </w:r>
      <w:r>
        <w:t xml:space="preserve"> </w:t>
      </w:r>
      <w:r>
        <w:t>−2</w:t>
      </w:r>
      <w:r>
        <w:t xml:space="preserve"> </w:t>
      </w:r>
      <w:r>
        <w:t>for over 110 h. This work highlights the promise of noncontact heterostructure design in developing efficient and durable electrocatalysts and beyond.</w:t>
      </w:r>
    </w:p>
    <w:p>
      <w:pPr>
        <w:spacing w:before="120" w:after="120"/>
      </w:pPr>
      <w:r>
        <w:rPr>
          <w:sz w:val="18"/>
        </w:rPr>
        <w:t>——————————————————————————————————————————————————————————————————————</w:t>
      </w:r>
    </w:p>
    <w:p>
      <w:pPr>
        <w:spacing w:before="160" w:after="40" w:line="240" w:lineRule="auto"/>
      </w:pPr>
      <w:r>
        <w:rPr>
          <w:b/>
        </w:rPr>
        <w:t xml:space="preserve">[52] </w:t>
      </w:r>
      <w:hyperlink r:id="rId470">
        <w:r>
          <w:rPr>
            <w:color w:val="1155CC"/>
            <w:u w:val="single"/>
          </w:rPr>
          <w:t>氟诱导的 d-p-d 轨道杂化促进氢溢出，实现高效析氢</w:t>
        </w:r>
      </w:hyperlink>
    </w:p>
    <w:p>
      <w:pPr>
        <w:spacing w:before="0" w:after="80"/>
      </w:pPr>
      <w:r>
        <w:rPr>
          <w:i/>
          <w:sz w:val="20"/>
        </w:rPr>
        <w:t>EN: Fluorine‐Induced d‐p‐d Orbital Hybridization Promotes Hydrogen Spillover for Efficient Hydrogen Evolution</w:t>
      </w:r>
    </w:p>
    <w:p>
      <w:pPr>
        <w:spacing w:before="0" w:after="120"/>
      </w:pPr>
      <w:r>
        <w:rPr>
          <w:b/>
        </w:rPr>
        <w:t xml:space="preserve">Source: </w:t>
      </w:r>
      <w:r>
        <w:t>Wiley: Advanced Energy Materials: Table of Contents</w:t>
      </w:r>
      <w:r>
        <w:t xml:space="preserve">    </w:t>
      </w:r>
      <w:r>
        <w:rPr>
          <w:b/>
        </w:rPr>
        <w:t xml:space="preserve">Pub date: </w:t>
      </w:r>
      <w:r>
        <w:t>2026-08-13 07:19:55+00:00</w:t>
      </w:r>
      <w:r>
        <w:t xml:space="preserve">    </w:t>
      </w:r>
      <w:r>
        <w:rPr>
          <w:b/>
        </w:rPr>
        <w:t xml:space="preserve">DOI: </w:t>
      </w:r>
      <w:hyperlink r:id="rId471">
        <w:r>
          <w:rPr>
            <w:color w:val="1155CC"/>
            <w:u w:val="single"/>
          </w:rPr>
          <w:t>10.1002/aenm.71437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作为催化剂载体的传统金属-金属氧化物结构通常被认为会激发氢气溢出。然而，精确控制氢气溢出是很困难的。本文中，金属-金属氧化物掺杂的碳结构，Ru@ZrO</w:t>
      </w:r>
      <w:r>
        <w:rPr>
          <w:vertAlign w:val="subscript"/>
        </w:rPr>
        <w:t>2</w:t>
      </w:r>
      <w:r>
        <w:t>/FC，具有 ZrO</w:t>
      </w:r>
      <w:r>
        <w:rPr>
          <w:vertAlign w:val="subscript"/>
        </w:rPr>
        <w:t>2</w:t>
      </w:r>
      <w:r>
        <w:t>‐锚定在掺氟碳上的钌簇更容易引发氢溢出。 F掺杂碳载体增强了Ru-O-Zr的d-p-d杂化效应，并由于F诱导的电子不对称性而促进界面电子转移，从而以较低的水解离、H*迁移和吸附能垒加速氢溢出。因此，该催化剂表现出优异的析氢反应活性：17 mV@10 mA cm 的超低过电势</w:t>
      </w:r>
      <w:r>
        <w:t xml:space="preserve"> </w:t>
      </w:r>
      <w:r>
        <w:t>−2</w:t>
      </w:r>
      <w:r>
        <w:t xml:space="preserve"> </w:t>
      </w:r>
      <w:r>
        <w:t>在碱性介质中，质量活性是基准 Pt/C 的 23.6 倍。此外，Ru@ZrO也表现出了高性能</w:t>
      </w:r>
      <w:r>
        <w:rPr>
          <w:vertAlign w:val="subscript"/>
        </w:rPr>
        <w:t>2</w:t>
      </w:r>
      <w:r>
        <w:t>/FC阴离子交换膜水电解槽（AEMWE）测试：仅需1.73 V的低电池工作电压即可实现1.0 A cm的电流密度</w:t>
      </w:r>
      <w:r>
        <w:t xml:space="preserve"> </w:t>
      </w:r>
      <w:r>
        <w:t>−2</w:t>
      </w:r>
      <w:r>
        <w:t xml:space="preserve"> </w:t>
      </w:r>
      <w:r>
        <w:t>。原位光谱和理论计算都表明H*中间体从ZrO上的Zr位点转移</w:t>
      </w:r>
      <w:r>
        <w:rPr>
          <w:vertAlign w:val="subscript"/>
        </w:rPr>
        <w:t>2</w:t>
      </w:r>
      <w:r>
        <w:t>通过增强的氢溢出过程将 /FC 转化为 Ru 簇。这个作品嗨</w:t>
      </w:r>
    </w:p>
    <w:p>
      <w:pPr>
        <w:spacing w:before="0" w:after="200" w:lineRule="auto" w:line="276"/>
      </w:pPr>
      <w:r>
        <w:rPr>
          <w:b/>
        </w:rPr>
        <w:t xml:space="preserve">Abstract (EN): </w:t>
      </w:r>
      <w:r>
        <w:t>The conventional metal‐metal oxide configuration as a catalyst support is often considered to excite hydrogen spillover. However, it is difficult to precisely regulate hydrogen spillover. Herein, a metal‐metal oxide‐doped carbon configuration, Ru@ZrO</w:t>
      </w:r>
      <w:r>
        <w:rPr>
          <w:vertAlign w:val="subscript"/>
        </w:rPr>
        <w:t>2</w:t>
      </w:r>
      <w:r>
        <w:t>/FC, featuring a ZrO</w:t>
      </w:r>
      <w:r>
        <w:rPr>
          <w:vertAlign w:val="subscript"/>
        </w:rPr>
        <w:t>2</w:t>
      </w:r>
      <w:r>
        <w:t>‐anchored Ru cluster over F‐doped carbon, is proposed to more easily trigger hydrogen spillover. The F‐doped carbon support strengthens the d‐p‐d hybridization effect of Ru‐O‐Zr and facilitates interfacial electron transfer due to F‐induced electronic asymmetry, thereby accelerating hydrogen spillover with lower energy barriers of water dissociation, H* migration, and adsorption. Consequently, the catalyst exhibits excellent hydrogen evolution reaction activity: an ultralow overpotential of 17 mV@10 mA cm</w:t>
      </w:r>
      <w:r>
        <w:t xml:space="preserve"> </w:t>
      </w:r>
      <w:r>
        <w:t>−2</w:t>
      </w:r>
      <w:r>
        <w:t xml:space="preserve"> </w:t>
      </w:r>
      <w:r>
        <w:t>in alkaline media, and 23.6 fold mass activity compared to that of benchmark Pt/C. Besides, the high performance is also demonstrated in the Ru@ZrO</w:t>
      </w:r>
      <w:r>
        <w:rPr>
          <w:vertAlign w:val="subscript"/>
        </w:rPr>
        <w:t>2</w:t>
      </w:r>
      <w:r>
        <w:t>/FC‐based anion exchange membrane water electrolyzer (AEMWE) test: only a low cell operating voltage of 1.73 V is required to achieve a current density of 1.0 A cm</w:t>
      </w:r>
      <w:r>
        <w:t xml:space="preserve"> </w:t>
      </w:r>
      <w:r>
        <w:t>−2</w:t>
      </w:r>
      <w:r>
        <w:t xml:space="preserve"> </w:t>
      </w:r>
      <w:r>
        <w:t>. Both in situ spectroscopy and theoretical calculations reveal that H* intermediates transfer from the Zr sites on the ZrO</w:t>
      </w:r>
      <w:r>
        <w:rPr>
          <w:vertAlign w:val="subscript"/>
        </w:rPr>
        <w:t>2</w:t>
      </w:r>
      <w:r>
        <w:t>/FC to Ru clusters through an enhanced hydrogen spillover process. This work highlights interfacial d‐p‐d hybridization as essential for hydrogen spillover, offering insights for rational electrocatalyst design.</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9">
        <w:r>
          <w:rPr>
            <w:color w:val="1155CC"/>
            <w:u w:val="single"/>
          </w:rPr>
          <w:t>评估技术升级作为传统账单援助计划的补充</w:t>
        </w:r>
      </w:hyperlink>
    </w:p>
    <w:p>
      <w:pPr>
        <w:spacing w:before="0" w:after="80"/>
      </w:pPr>
      <w:r>
        <w:rPr>
          <w:i/>
          <w:sz w:val="20"/>
        </w:rPr>
        <w:t>EN: Evaluating technology upgrades as a complement to traditional bill assistance programs</w:t>
      </w:r>
    </w:p>
    <w:p>
      <w:pPr>
        <w:spacing w:before="0" w:after="120"/>
      </w:pPr>
      <w:r>
        <w:rPr>
          <w:b/>
        </w:rPr>
        <w:t xml:space="preserve">Source: </w:t>
      </w:r>
      <w:r>
        <w:t>Scientific community and society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国家提高能源负担能力和减少能源负担（能源支出占收入比例）的计划可以减轻对电价上涨的担忧。许多州向符合收入资格的家庭提供防风雨和屋顶太阳能的账单援助和回扣。在这里，我们分析这些方法如何相互补充以提高能源负担能力。结果说明了项目成本和能源负担减轻之间以及项目的前期成本和持续成本之间的权衡。一般来说，这三种策略相辅相成，以比单独的账单援助更低的净当前成本提高能源负担能力，但不同地区的效果各不相同。防风雨可以减少所需的太阳能安装容量，两者结合起来可以减少或消除对账单援助的持续依赖。在具有成本效益的家庭全面采用的情况下，按 0.48 美元/瓦的全额回扣的防风雨和太阳能回扣，与账单援助相结合，产生与单独的账单援助相同的模型净现成成本，同时将高能源负担的低收入自住家庭的比例从 66% 减少到 19%，而单独的账单援助为 34%。如果没有税收抵免，耐候性仍然可以减轻能源负担和账单援助计划成本，而太阳能可能不具有成本竞争力。</w:t>
      </w:r>
    </w:p>
    <w:p>
      <w:pPr>
        <w:spacing w:before="0" w:after="200" w:lineRule="auto" w:line="276"/>
      </w:pPr>
      <w:r>
        <w:rPr>
          <w:b/>
        </w:rPr>
        <w:t xml:space="preserve">Abstract (EN): </w:t>
      </w:r>
      <w:r>
        <w:t>State programs to improve energy affordability and reduce energy burden (the share of income spent on energy) could mitigate concerns about rising electricity prices. Many states offer bill assistance and rebates for weatherization and rooftop solar to income-qualifying households. Here, we analyse how these approaches may complement one another to improve energy affordability. Results illustrate trade offs between program costs and energy burden reduction, as well as between a program’s upfront and ongoing costs. Generally, the three strategies complement one another to improve energy affordability at lower net present cost than bill assistance alone, with varying effects across regions. Weatherization can reduce the solar installation capacity needed, and both together can reduce or eliminate ongoing reliance on bill assistance. Under full uptake among cost-effective households, fully rebated weatherization and solar rebated at $0.48/Watt, combined with bill assistance, yield the same modelled net present cost as bill assistance alone while reducing the share of low-income owner-occupied households with high energy burdens from 66% to 19%, compared with 34% under bill assistance alone. Absent tax credits, weatherization still reduces energy burden and bill assistance program costs, whereas solar may not be cost-competitive.</w:t>
      </w:r>
    </w:p>
    <w:p>
      <w:pPr>
        <w:spacing w:before="120" w:after="120"/>
      </w:pPr>
      <w:r>
        <w:rPr>
          <w:sz w:val="18"/>
        </w:rPr>
        <w:t>——————————————————————————————————————————————————————————————————————</w:t>
      </w:r>
    </w:p>
    <w:p>
      <w:pPr>
        <w:spacing w:before="160" w:after="40" w:line="240" w:lineRule="auto"/>
      </w:pPr>
      <w:r>
        <w:rPr>
          <w:b/>
        </w:rPr>
        <w:t xml:space="preserve">[2] </w:t>
      </w:r>
      <w:hyperlink r:id="rId472">
        <w:r>
          <w:rPr>
            <w:color w:val="1155CC"/>
            <w:u w:val="single"/>
          </w:rPr>
          <w:t>极端天气条件下基于EVAR的港口综合多能源系统风险感知调度策略</w:t>
        </w:r>
      </w:hyperlink>
    </w:p>
    <w:p>
      <w:pPr>
        <w:spacing w:before="0" w:after="80"/>
      </w:pPr>
      <w:r>
        <w:rPr>
          <w:i/>
          <w:sz w:val="20"/>
        </w:rPr>
        <w:t>EN: EVaR-based risk-aware scheduling strategy for port integrated multi-energy systems under extreme weather conditions</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473">
        <w:r>
          <w:rPr>
            <w:color w:val="1155CC"/>
            <w:u w:val="single"/>
          </w:rPr>
          <w:t>10.1016/j.apenergy.2026.128591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474">
        <w:r>
          <w:rPr>
            <w:color w:val="1155CC"/>
            <w:u w:val="single"/>
          </w:rPr>
          <w:t>配电网络约束下耦合电动汽车充电和边缘服务运行的风险感知日前基线调度和实时滚动校正</w:t>
        </w:r>
      </w:hyperlink>
    </w:p>
    <w:p>
      <w:pPr>
        <w:spacing w:before="0" w:after="80"/>
      </w:pPr>
      <w:r>
        <w:rPr>
          <w:i/>
          <w:sz w:val="20"/>
        </w:rPr>
        <w:t>EN: Risk-aware day-ahead baseline scheduling and real-time rolling correction for coupled EV charging and edge-service operation under distribution-network constraints</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475">
        <w:r>
          <w:rPr>
            <w:color w:val="1155CC"/>
            <w:u w:val="single"/>
          </w:rPr>
          <w:t>10.1016/j.apenergy.2026.128600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476">
        <w:r>
          <w:rPr>
            <w:color w:val="1155CC"/>
            <w:u w:val="single"/>
          </w:rPr>
          <w:t>与生物能源相比，农业光伏可以提高全球土地利用效率</w:t>
        </w:r>
      </w:hyperlink>
    </w:p>
    <w:p>
      <w:pPr>
        <w:spacing w:before="0" w:after="80"/>
      </w:pPr>
      <w:r>
        <w:rPr>
          <w:i/>
          <w:sz w:val="20"/>
        </w:rPr>
        <w:t>EN: Agrivoltaics could increase global land use efficiency compared to bioenergy</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477">
        <w:r>
          <w:rPr>
            <w:color w:val="1155CC"/>
            <w:u w:val="single"/>
          </w:rPr>
          <w:t>10.1016/j.apenergy.2026.128628</w:t>
        </w:r>
      </w:hyperlink>
    </w:p>
    <w:p>
      <w:pPr>
        <w:spacing w:before="0" w:after="120"/>
      </w:pPr>
      <w:r>
        <w:rPr>
          <w:b/>
        </w:rPr>
        <w:t xml:space="preserve">Notes: </w:t>
      </w:r>
      <w:r>
        <w:t>abstract_source=openalex</w:t>
      </w:r>
    </w:p>
    <w:p>
      <w:pPr>
        <w:spacing w:before="0" w:after="80" w:lineRule="auto" w:line="276"/>
      </w:pPr>
      <w:r>
        <w:rPr>
          <w:b/>
        </w:rPr>
        <w:t xml:space="preserve">摘要（ZH）: </w:t>
      </w:r>
      <w:r>
        <w:t>气候变化减缓方案通常包括大量生物能源组成部分，引发人们对大规模能源作物生产对土地利用影响的担忧。然而，通过将光伏电池板集成到农业用地中，农业光伏系统有潜力以比生物能源更高的土地利用效率发电。在这里，我们对全球土地系统进行建模，以探索在 1.5 °C 气候变化减缓情景下能源作物、农业光伏和光伏发电对土地利用的影响。从 2020 年到 2060 年，生物能源情景中的生物能源需求将增加近六倍。到 2060 年，用农业光伏取代所有生物能源所需的土地减少 30 倍，从而使自然土地覆盖增加 106 Mha，减少氮肥施用量 52 Mt，每年减少灌溉用水 305 km 3。标准光伏系统也可实现类似但较小的土地使用减少。我们的研究结果表明，通过优先考虑农业光伏和光伏系统而不是生物能源，可以避免未来农田净扩张。鼓励采用农业光伏的政策可以提高全球土地利用效率，减少能源供应、粮食生产和自然保护之间的权衡。</w:t>
      </w:r>
    </w:p>
    <w:p>
      <w:pPr>
        <w:spacing w:before="0" w:after="200" w:lineRule="auto" w:line="276"/>
      </w:pPr>
      <w:r>
        <w:rPr>
          <w:b/>
        </w:rPr>
        <w:t xml:space="preserve">Abstract (EN): </w:t>
      </w:r>
      <w:r>
        <w:t>Climate change mitigation scenarios often include a substantial bioenergy component, raising concerns about the land use impacts of large-scale energy crop production. However, agrivoltaic systems have the potential to generate electricity with a higher land use efficiency than bioenergy by integrating photovoltaic panels into agricultural land. Here, we model the global land system to explore the land use impacts of energy crops, agrivoltaics, and photovoltaics under a 1.5 °C climate change mitigation scenario. Bioenergy demand in the bioenergy scenario increases almost six-fold from 2020 to 2060. Replacing all bioenergy with agrivoltaics requires 30 times less land, leading to 106 Mha more natural land cover, 52 Mt. less nitrogen fertiliser applied, and 305 km 3 less irrigation water withdrawn per year by 2060. Similar but smaller reductions in land use are achieved with standard photovoltaic systems. Our findings suggest that future net cropland expansion can be avoided by prioritising agrivoltaic and photovoltaic systems over bioenergy. Policies that incentivise the adoption of agrivoltaics could increase global land use efficiency, reducing the trade-offs between energy supply, food production, and nature protection.</w:t>
      </w:r>
    </w:p>
    <w:p>
      <w:pPr>
        <w:spacing w:before="120" w:after="120"/>
      </w:pPr>
      <w:r>
        <w:rPr>
          <w:sz w:val="18"/>
        </w:rPr>
        <w:t>——————————————————————————————————————————————————————————————————————</w:t>
      </w:r>
    </w:p>
    <w:p>
      <w:pPr>
        <w:spacing w:before="160" w:after="40" w:line="240" w:lineRule="auto"/>
      </w:pPr>
      <w:r>
        <w:rPr>
          <w:b/>
        </w:rPr>
        <w:t xml:space="preserve">[5] </w:t>
      </w:r>
      <w:hyperlink r:id="rId478">
        <w:r>
          <w:rPr>
            <w:color w:val="1155CC"/>
            <w:u w:val="single"/>
          </w:rPr>
          <w:t>在城市中部署垂直安装双面光伏，以减少供需失配并增加收入</w:t>
        </w:r>
      </w:hyperlink>
    </w:p>
    <w:p>
      <w:pPr>
        <w:spacing w:before="0" w:after="80"/>
      </w:pPr>
      <w:r>
        <w:rPr>
          <w:i/>
          <w:sz w:val="20"/>
        </w:rPr>
        <w:t>EN: Vertical mounted bifacial PV deployment in cities to reduce supply-demand mismatch with increased revenue</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479">
        <w:r>
          <w:rPr>
            <w:color w:val="1155CC"/>
            <w:u w:val="single"/>
          </w:rPr>
          <w:t>10.1016/j.apenergy.2026.128601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480">
        <w:r>
          <w:rPr>
            <w:color w:val="1155CC"/>
            <w:u w:val="single"/>
          </w:rPr>
          <w:t>将数据中心重新定义为战略生产者：能源数据关系</w:t>
        </w:r>
      </w:hyperlink>
    </w:p>
    <w:p>
      <w:pPr>
        <w:spacing w:before="0" w:after="80"/>
      </w:pPr>
      <w:r>
        <w:rPr>
          <w:i/>
          <w:sz w:val="20"/>
        </w:rPr>
        <w:t>EN: Reframing Data Centers as Strategic Producers: Energy-Data Nexus</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481">
        <w:r>
          <w:rPr>
            <w:color w:val="1155CC"/>
            <w:u w:val="single"/>
          </w:rPr>
          <w:t>10.1016/j.apenergy.2026.128618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482">
        <w:r>
          <w:rPr>
            <w:color w:val="1155CC"/>
            <w:u w:val="single"/>
          </w:rPr>
          <w:t>欧洲绿色新政中能源多元化和环境可持续性的关键挑战：来自欧洲国家的经验证据</w:t>
        </w:r>
      </w:hyperlink>
    </w:p>
    <w:p>
      <w:pPr>
        <w:spacing w:before="0" w:after="80"/>
      </w:pPr>
      <w:r>
        <w:rPr>
          <w:i/>
          <w:sz w:val="20"/>
        </w:rPr>
        <w:t>EN: The critical challenges of energy diversification and environmental sustainability in the European Green Deal: Empirical evidence from European countries</w:t>
      </w:r>
    </w:p>
    <w:p>
      <w:pPr>
        <w:spacing w:before="0" w:after="120"/>
      </w:pPr>
      <w:r>
        <w:rPr>
          <w:b/>
        </w:rPr>
        <w:t xml:space="preserve">Source: </w:t>
      </w:r>
      <w:r>
        <w:t>ScienceDirect Publication: Energy Policy</w:t>
      </w:r>
      <w:r>
        <w:t xml:space="preserve">    </w:t>
      </w:r>
      <w:r>
        <w:rPr>
          <w:b/>
        </w:rPr>
        <w:t xml:space="preserve">Pub date: </w:t>
      </w:r>
      <w:r>
        <w:t>2026-08-07 00:00:00+00:00</w:t>
      </w:r>
      <w:r>
        <w:t xml:space="preserve">    </w:t>
      </w:r>
      <w:r>
        <w:rPr>
          <w:b/>
        </w:rPr>
        <w:t xml:space="preserve">DOI: </w:t>
      </w:r>
      <w:hyperlink r:id="rId483">
        <w:r>
          <w:rPr>
            <w:color w:val="1155CC"/>
            <w:u w:val="single"/>
          </w:rPr>
          <w:t>10.1016/j.enpol.2026.115517</w:t>
        </w:r>
      </w:hyperlink>
    </w:p>
    <w:p>
      <w:pPr>
        <w:spacing w:before="0" w:after="120"/>
      </w:pPr>
      <w:r>
        <w:rPr>
          <w:b/>
        </w:rPr>
        <w:t xml:space="preserve">Notes: </w:t>
      </w:r>
      <w:r>
        <w:t>abstract_source=openalex</w:t>
      </w:r>
    </w:p>
    <w:p>
      <w:pPr>
        <w:spacing w:before="0" w:after="80" w:lineRule="auto" w:line="276"/>
      </w:pPr>
      <w:r>
        <w:rPr>
          <w:b/>
        </w:rPr>
        <w:t xml:space="preserve">摘要（ZH）: </w:t>
      </w:r>
      <w:r>
        <w:t>《欧洲绿色协议》将能源多样化和环境可持续性确定为实现安全、有弹性和气候中性的能源系统的两个核心支柱。尽管之前的研究分别考察了环境可持续性和能源转型的决定因素，但关于能源多样化、全球化、金融发展、自然资本和结构变革如何在欧洲绿色新政框架内共同塑造环境可持续性的证据有限。本研究通过调查 1995 年至 2023 年期间 26 个欧洲国家环境可持续性的宏观经济决定因素来弥补这一差距。该分析采用动态系统 GMM 作为主要估计方法，并辅以 CS-ARDL 来检查长期关系，并采用具有 SHAP 可解释性的机器学习模型来评估解释变量的相对重要性。结果表明，随着时间的推移，环境可持续性具有很强的持久性。结构变化是唯一重要的短期决定因素，而能源多样化和政治全球化则表现出显着的负面长期影响，而金融发展和自然资本对环境可持续性没有表现出强大的长期影响。这些发现表明，除非有可再生能源部署、技术创新和有效的环境治理的支持，否则单靠能源多样化并不能保证环境的可持续性。通过将动态计量经济学技术与可解释的机器学习相结合</w:t>
      </w:r>
    </w:p>
    <w:p>
      <w:pPr>
        <w:spacing w:before="0" w:after="200" w:lineRule="auto" w:line="276"/>
      </w:pPr>
      <w:r>
        <w:rPr>
          <w:b/>
        </w:rPr>
        <w:t xml:space="preserve">Abstract (EN): </w:t>
      </w:r>
      <w:r>
        <w:t>The European Green Deal identifies energy diversification and environmental sustainability as two central pillars for achieving a secure, resilient, and climate-neutral energy system. Although previous studies have examined the determinants of environmental sustainability and the energy transition separately, limited evidence exists on how energy diversification, globalization, financial development, natural capital, and structural change jointly shape environmental sustainability within the European Green Deal framework. This study addresses this gap by investigating the macroeconomic determinants of environmental sustainability across 26 European countries during 1995-2023. The analysis employs dynamic System GMM as the primary estimation method, complemented by CS-ARDL to examine long-run relationships and machine-learning models with SHAP explainability to assess the relative importance of the explanatory variables. The results reveal strong persistence in environmental sustainability over time. Structural change is the only significant short-run determinant, while energy diversification and political globalization exhibit significant negative long-run effects, whereas financial development and natural capital show no robust long-run influence on environmental sustainability. These findings suggest that energy diversification alone does not guarantee environmental sustainability unless supported by renewable energy deployment, technological innovation, and effective environmental governance. By integrating dynamic econometric techniques with explainable machine learning, this study provides new evidence on the macroeconomic drivers of environmental sustainability and offers policy insights for implementing the European Green Deal more effectively.</w:t>
      </w:r>
    </w:p>
    <w:p>
      <w:pPr>
        <w:spacing w:before="120" w:after="120"/>
      </w:pPr>
      <w:r>
        <w:rPr>
          <w:sz w:val="18"/>
        </w:rPr>
        <w:t>——————————————————————————————————————————————————————————————————————</w:t>
      </w:r>
    </w:p>
    <w:p>
      <w:pPr>
        <w:spacing w:before="160" w:after="40" w:line="240" w:lineRule="auto"/>
      </w:pPr>
      <w:r>
        <w:rPr>
          <w:b/>
        </w:rPr>
        <w:t xml:space="preserve">[8] </w:t>
      </w:r>
      <w:hyperlink r:id="rId484">
        <w:r>
          <w:rPr>
            <w:color w:val="1155CC"/>
            <w:u w:val="single"/>
          </w:rPr>
          <w:t>规划重型电动汽车的高速公路充电网络：从网络设计到站级充电配置文件</w:t>
        </w:r>
      </w:hyperlink>
    </w:p>
    <w:p>
      <w:pPr>
        <w:spacing w:before="0" w:after="80"/>
      </w:pPr>
      <w:r>
        <w:rPr>
          <w:i/>
          <w:sz w:val="20"/>
        </w:rPr>
        <w:t>EN: Planning highway charging networks for heavy-duty electric vehicles: From network design to station-level charging profiles</w:t>
      </w:r>
    </w:p>
    <w:p>
      <w:pPr>
        <w:spacing w:before="0" w:after="120"/>
      </w:pPr>
      <w:r>
        <w:rPr>
          <w:b/>
        </w:rPr>
        <w:t xml:space="preserve">Source: </w:t>
      </w:r>
      <w:r>
        <w:t>ScienceDirect Publication: Applied Energy</w:t>
      </w:r>
      <w:r>
        <w:t xml:space="preserve">    </w:t>
      </w:r>
      <w:r>
        <w:rPr>
          <w:b/>
        </w:rPr>
        <w:t xml:space="preserve">Pub date: </w:t>
      </w:r>
      <w:r>
        <w:t>2026-08-07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485">
        <w:r>
          <w:rPr>
            <w:color w:val="1155CC"/>
            <w:u w:val="single"/>
          </w:rPr>
          <w:t>具有数据中心的多微电网中功率计算碳协调的双时间尺度分布鲁棒优化</w:t>
        </w:r>
      </w:hyperlink>
    </w:p>
    <w:p>
      <w:pPr>
        <w:spacing w:before="0" w:after="80"/>
      </w:pPr>
      <w:r>
        <w:rPr>
          <w:i/>
          <w:sz w:val="20"/>
        </w:rPr>
        <w:t>EN: Bi-timescale distributionally robust optimization for power-computing-carbon coordination in multi-microgrids with data centers</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486">
        <w:r>
          <w:rPr>
            <w:color w:val="1155CC"/>
            <w:u w:val="single"/>
          </w:rPr>
          <w:t>10.1016/j.apenergy.2026.128602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487">
        <w:r>
          <w:rPr>
            <w:color w:val="1155CC"/>
            <w:u w:val="single"/>
          </w:rPr>
          <w:t>混合动力船舶的可持续能源管理：多能源架构、生命周期退化、MVDC 稳定性和部署路径</w:t>
        </w:r>
      </w:hyperlink>
    </w:p>
    <w:p>
      <w:pPr>
        <w:spacing w:before="0" w:after="80"/>
      </w:pPr>
      <w:r>
        <w:rPr>
          <w:i/>
          <w:sz w:val="20"/>
        </w:rPr>
        <w:t>EN: Sustainable energy management for hybrid electric ships: Multi-energy architectures, lifecycle degradation, MVDC stability, and deployment pathways</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488">
        <w:r>
          <w:rPr>
            <w:color w:val="1155CC"/>
            <w:u w:val="single"/>
          </w:rPr>
          <w:t>10.1016/j.apenergy.2026.128503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489">
        <w:r>
          <w:rPr>
            <w:color w:val="1155CC"/>
            <w:u w:val="single"/>
          </w:rPr>
          <w:t>通过长尾感知成本敏感的集成学习对纯电动汽车进行出行前能耗预测</w:t>
        </w:r>
      </w:hyperlink>
    </w:p>
    <w:p>
      <w:pPr>
        <w:spacing w:before="0" w:after="80"/>
      </w:pPr>
      <w:r>
        <w:rPr>
          <w:i/>
          <w:sz w:val="20"/>
        </w:rPr>
        <w:t>EN: Pre-trip energy consumption prediction for battery electric vehicles via long-tail-aware cost-sensitive ensemble learning</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490">
        <w:r>
          <w:rPr>
            <w:color w:val="1155CC"/>
            <w:u w:val="single"/>
          </w:rPr>
          <w:t>10.1016/j.apenergy.2026.128616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491">
        <w:r>
          <w:rPr>
            <w:color w:val="1155CC"/>
            <w:u w:val="single"/>
          </w:rPr>
          <w:t>通过配电扩展规划中的最优负荷优先级减少微电网孤岛运行模式下未供应的能量</w:t>
        </w:r>
      </w:hyperlink>
    </w:p>
    <w:p>
      <w:pPr>
        <w:spacing w:before="0" w:after="80"/>
      </w:pPr>
      <w:r>
        <w:rPr>
          <w:i/>
          <w:sz w:val="20"/>
        </w:rPr>
        <w:t>EN: Reducing energy not supplied in islanded operation mode of microgrids via optimal load prioritization in distribution expansion planning</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492">
        <w:r>
          <w:rPr>
            <w:color w:val="1155CC"/>
            <w:u w:val="single"/>
          </w:rPr>
          <w:t>10.1016/j.apenergy.2026.128549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493">
        <w:r>
          <w:rPr>
            <w:color w:val="1155CC"/>
            <w:u w:val="single"/>
          </w:rPr>
          <w:t>城市建筑太阳能分布式低碳能源系统：设计和多目标优化以获得良好的3E性能</w:t>
        </w:r>
      </w:hyperlink>
    </w:p>
    <w:p>
      <w:pPr>
        <w:spacing w:before="0" w:after="80"/>
      </w:pPr>
      <w:r>
        <w:rPr>
          <w:i/>
          <w:sz w:val="20"/>
        </w:rPr>
        <w:t>EN: A solar distributed low-carbon energy system for urban buildings: design and multi-objective optimization for favorable 3E performance</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494">
        <w:r>
          <w:rPr>
            <w:color w:val="1155CC"/>
            <w:u w:val="single"/>
          </w:rPr>
          <w:t>10.1016/j.apenergy.2026.128563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388">
        <w:r>
          <w:rPr>
            <w:color w:val="1155CC"/>
            <w:u w:val="single"/>
          </w:rPr>
          <w:t>欧盟的脱碳潜力和电子燃料政策的局限性</w:t>
        </w:r>
      </w:hyperlink>
    </w:p>
    <w:p>
      <w:pPr>
        <w:spacing w:before="0" w:after="80"/>
      </w:pPr>
      <w:r>
        <w:rPr>
          <w:i/>
          <w:sz w:val="20"/>
        </w:rPr>
        <w:t>EN: Decarbonization potential and limits of e-fuel policies in the EU</w:t>
      </w:r>
    </w:p>
    <w:p>
      <w:pPr>
        <w:spacing w:before="0" w:after="120"/>
      </w:pPr>
      <w:r>
        <w:rPr>
          <w:b/>
        </w:rPr>
        <w:t xml:space="preserve">Source: </w:t>
      </w:r>
      <w:r>
        <w:t>ScienceDirect Publication: Energy Policy</w:t>
      </w:r>
      <w:r>
        <w:t xml:space="preserve">    </w:t>
      </w:r>
      <w:r>
        <w:rPr>
          <w:b/>
        </w:rPr>
        <w:t xml:space="preserve">Pub date: </w:t>
      </w:r>
      <w:r>
        <w:t>2026-08-07 00:00:00+00:00</w:t>
      </w:r>
      <w:r>
        <w:t xml:space="preserve">    </w:t>
      </w:r>
      <w:r>
        <w:rPr>
          <w:b/>
        </w:rPr>
        <w:t xml:space="preserve">DOI: </w:t>
      </w:r>
      <w:hyperlink r:id="rId389">
        <w:r>
          <w:rPr>
            <w:color w:val="1155CC"/>
            <w:u w:val="single"/>
          </w:rPr>
          <w:t>10.1016/j.enpol.2026.115529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495">
        <w:r>
          <w:rPr>
            <w:color w:val="1155CC"/>
            <w:u w:val="single"/>
          </w:rPr>
          <w:t>受限固态聚碘化物沉积可实现耐用的电致变色智能窗户</w:t>
        </w:r>
      </w:hyperlink>
    </w:p>
    <w:p>
      <w:pPr>
        <w:spacing w:before="0" w:after="80"/>
      </w:pPr>
      <w:r>
        <w:rPr>
          <w:i/>
          <w:sz w:val="20"/>
        </w:rPr>
        <w:t>EN: Confined Solid‐State Polyiodide Deposition Enables Durable Electrochromic Smart Windows</w:t>
      </w:r>
    </w:p>
    <w:p>
      <w:pPr>
        <w:spacing w:before="0" w:after="120"/>
      </w:pPr>
      <w:r>
        <w:rPr>
          <w:b/>
        </w:rPr>
        <w:t xml:space="preserve">Source: </w:t>
      </w:r>
      <w:r>
        <w:t>Wiley: Advanced Materials: Table of Contents</w:t>
      </w:r>
      <w:r>
        <w:t xml:space="preserve">    </w:t>
      </w:r>
      <w:r>
        <w:rPr>
          <w:b/>
        </w:rPr>
        <w:t xml:space="preserve">Pub date: </w:t>
      </w:r>
      <w:r>
        <w:t>2026-08-07 04:43:44+00:00</w:t>
      </w:r>
      <w:r>
        <w:t xml:space="preserve">    </w:t>
      </w:r>
      <w:r>
        <w:rPr>
          <w:b/>
        </w:rPr>
        <w:t xml:space="preserve">DOI: </w:t>
      </w:r>
      <w:hyperlink r:id="rId496">
        <w:r>
          <w:rPr>
            <w:color w:val="1155CC"/>
            <w:u w:val="single"/>
          </w:rPr>
          <w:t>10.1002/adma.74530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致变色智能窗在动态建筑能源管理方面很有前景。然而，传统的离子嵌入系统会遭受结构退化的困扰，而可逆金属电沉积系统则受到枝晶生长和耐久性差的限制。在这里，我们报告了一种锌耦合电化学装置，通过配位控制的可逆聚碘化物沉积实现。通过引入高度对称的四甲基铵阳离子（[N</w:t>
      </w:r>
      <w:r>
        <w:rPr>
          <w:vertAlign w:val="subscript"/>
        </w:rPr>
        <w:t>1111</w:t>
      </w:r>
      <w:r>
        <w:t>]</w:t>
      </w:r>
      <w:r>
        <w:t xml:space="preserve"> </w:t>
      </w:r>
      <w:r>
        <w:t>+</w:t>
      </w:r>
      <w:r>
        <w:t xml:space="preserve"> </w:t>
      </w:r>
      <w:r>
        <w:t>），与线性I进行精确的空间匹配</w:t>
      </w:r>
      <w:r>
        <w:rPr>
          <w:vertAlign w:val="subscript"/>
        </w:rPr>
        <w:t>5</w:t>
      </w:r>
      <w:r>
        <w:t>-</w:t>
      </w:r>
      <w:r>
        <w:t>实现了，诱导形成高度稳定的固态[N</w:t>
      </w:r>
      <w:r>
        <w:rPr>
          <w:vertAlign w:val="subscript"/>
        </w:rPr>
        <w:t>1111</w:t>
      </w:r>
      <w:r>
        <w:t>]</w:t>
      </w:r>
      <w:r>
        <w:t xml:space="preserve"> </w:t>
      </w:r>
      <w:r>
        <w:t>+</w:t>
      </w:r>
      <w:r>
        <w:t xml:space="preserve"> </w:t>
      </w:r>
      <w:r>
        <w:t>我</w:t>
      </w:r>
      <w:r>
        <w:rPr>
          <w:vertAlign w:val="subscript"/>
        </w:rPr>
        <w:t>5</w:t>
      </w:r>
      <w:r>
        <w:t>-</w:t>
      </w:r>
      <w:r>
        <w:t>复杂。这有效地抑制了聚碘化物的穿梭效应，并实现了高度可逆的 I</w:t>
      </w:r>
      <w:r>
        <w:t xml:space="preserve"> </w:t>
      </w:r>
      <w:r>
        <w:t>-</w:t>
      </w:r>
      <w:r>
        <w:t>/我</w:t>
      </w:r>
      <w:r>
        <w:rPr>
          <w:vertAlign w:val="subscript"/>
        </w:rPr>
        <w:t>5</w:t>
      </w:r>
      <w:r>
        <w:t>-</w:t>
      </w:r>
      <w:r>
        <w:t>转换。与此同时，[N</w:t>
      </w:r>
      <w:r>
        <w:rPr>
          <w:vertAlign w:val="subscript"/>
        </w:rPr>
        <w:t>1111</w:t>
      </w:r>
      <w:r>
        <w:t>]</w:t>
      </w:r>
      <w:r>
        <w:t xml:space="preserve"> </w:t>
      </w:r>
      <w:r>
        <w:t>+</w:t>
      </w:r>
      <w:r>
        <w:t xml:space="preserve"> </w:t>
      </w:r>
      <w:r>
        <w:t>通过界面吸附进一步调节锌电极的溶剂化结构，构建缺水的内亥姆霍兹层，促进均匀的锌</w:t>
      </w:r>
      <w:r>
        <w:t xml:space="preserve"> </w:t>
      </w:r>
      <w:r>
        <w:t>2+</w:t>
      </w:r>
      <w:r>
        <w:t xml:space="preserve"> </w:t>
      </w:r>
      <w:r>
        <w:t>沉积。受益于固态聚碘化物沉积/溶解和可逆镀锌/剥离的协同稳定作用</w:t>
      </w:r>
    </w:p>
    <w:p>
      <w:pPr>
        <w:spacing w:before="0" w:after="200" w:lineRule="auto" w:line="276"/>
      </w:pPr>
      <w:r>
        <w:rPr>
          <w:b/>
        </w:rPr>
        <w:t xml:space="preserve">Abstract (EN): </w:t>
      </w:r>
      <w:r>
        <w:t>Electrochromic smart windows are promising for dynamic building energy management. Yet, conventional ion‐intercalation systems suffer from structural degradation, while reversible metal electrodeposition systems are limited by dendrite growth and poor durability. Here, we report a Zn‐coupled electrochemical device, enabled by coordination‐governed reversible polyiodide deposition. By introducing a highly symmetric tetramethylammonium cation ([N</w:t>
      </w:r>
      <w:r>
        <w:rPr>
          <w:vertAlign w:val="subscript"/>
        </w:rPr>
        <w:t>1111</w:t>
      </w:r>
      <w:r>
        <w:t>]</w:t>
      </w:r>
      <w:r>
        <w:t xml:space="preserve"> </w:t>
      </w:r>
      <w:r>
        <w:t>+</w:t>
      </w:r>
      <w:r>
        <w:t xml:space="preserve"> </w:t>
      </w:r>
      <w:r>
        <w:t>), precise spatial matching with linear I</w:t>
      </w:r>
      <w:r>
        <w:rPr>
          <w:vertAlign w:val="subscript"/>
        </w:rPr>
        <w:t>5</w:t>
      </w:r>
      <w:r>
        <w:t>−</w:t>
      </w:r>
      <w:r>
        <w:t>is achieved, inducing the formation of a highly stable solid‐state [N</w:t>
      </w:r>
      <w:r>
        <w:rPr>
          <w:vertAlign w:val="subscript"/>
        </w:rPr>
        <w:t>1111</w:t>
      </w:r>
      <w:r>
        <w:t>]</w:t>
      </w:r>
      <w:r>
        <w:t xml:space="preserve"> </w:t>
      </w:r>
      <w:r>
        <w:t>+</w:t>
      </w:r>
      <w:r>
        <w:t xml:space="preserve"> </w:t>
      </w:r>
      <w:r>
        <w:t>I</w:t>
      </w:r>
      <w:r>
        <w:rPr>
          <w:vertAlign w:val="subscript"/>
        </w:rPr>
        <w:t>5</w:t>
      </w:r>
      <w:r>
        <w:t>−</w:t>
      </w:r>
      <w:r>
        <w:t>complex. This effectively suppresses the shuttle effect of polyiodides and enables highly reversible I</w:t>
      </w:r>
      <w:r>
        <w:t xml:space="preserve"> </w:t>
      </w:r>
      <w:r>
        <w:t>−</w:t>
      </w:r>
      <w:r>
        <w:t>/I</w:t>
      </w:r>
      <w:r>
        <w:rPr>
          <w:vertAlign w:val="subscript"/>
        </w:rPr>
        <w:t>5</w:t>
      </w:r>
      <w:r>
        <w:t>−</w:t>
      </w:r>
      <w:r>
        <w:t>conversion. Meanwhile, [N</w:t>
      </w:r>
      <w:r>
        <w:rPr>
          <w:vertAlign w:val="subscript"/>
        </w:rPr>
        <w:t>1111</w:t>
      </w:r>
      <w:r>
        <w:t>]</w:t>
      </w:r>
      <w:r>
        <w:t xml:space="preserve"> </w:t>
      </w:r>
      <w:r>
        <w:t>+</w:t>
      </w:r>
      <w:r>
        <w:t xml:space="preserve"> </w:t>
      </w:r>
      <w:r>
        <w:t>further regulates the solvation structure at the Zn electrode via interfacial adsorption, constructing a water‐deficient inner Helmholtz layer that promotes uniform Zn</w:t>
      </w:r>
      <w:r>
        <w:t xml:space="preserve"> </w:t>
      </w:r>
      <w:r>
        <w:t>2+</w:t>
      </w:r>
      <w:r>
        <w:t xml:space="preserve"> </w:t>
      </w:r>
      <w:r>
        <w:t>deposition. Benefiting from the synergistic stabilization of the solid‐state polyiodide deposition/dissolution and reversible Zn plating/stripping process, the assembled device delivers a high optical contrast of 75.5% at 650 nm, fast switching speeds (3.9/6.5 s), and 84.9% retention after 20 000 cycles. The device blocks 93.6% of solar irradiation in the colored state, enabling a 4°C–10°C cooling effect and 16.4% annual energy savings. This work establishes a new design paradigm for Zn‐coupled electrochromic devices based on confined solid‐state polyiodide chemistry, providing a promising strategy for constructing durable and scalable smart windows.</w:t>
      </w:r>
    </w:p>
    <w:p>
      <w:pPr>
        <w:spacing w:before="120" w:after="120"/>
      </w:pPr>
      <w:r>
        <w:rPr>
          <w:sz w:val="18"/>
        </w:rPr>
        <w:t>——————————————————————————————————————————————————————————————————————</w:t>
      </w:r>
    </w:p>
    <w:p>
      <w:pPr>
        <w:spacing w:before="160" w:after="40" w:line="240" w:lineRule="auto"/>
      </w:pPr>
      <w:r>
        <w:rPr>
          <w:b/>
        </w:rPr>
        <w:t xml:space="preserve">[16] </w:t>
      </w:r>
      <w:hyperlink r:id="rId294">
        <w:r>
          <w:rPr>
            <w:color w:val="1155CC"/>
            <w:u w:val="single"/>
          </w:rPr>
          <w:t>受象皮启发的多孔水泥质砖，具有用于被动冷却的可编程裂缝网络（Adv. Mater. 44/2026）</w:t>
        </w:r>
      </w:hyperlink>
    </w:p>
    <w:p>
      <w:pPr>
        <w:spacing w:before="0" w:after="80"/>
      </w:pPr>
      <w:r>
        <w:rPr>
          <w:i/>
          <w:sz w:val="20"/>
        </w:rPr>
        <w:t>EN: Elephant‐Skin‐Inspired Porous Cementitious Tiles with Programmable Crack Networks for Passive Cooling (Adv. Mater. 44/2026)</w:t>
      </w:r>
    </w:p>
    <w:p>
      <w:pPr>
        <w:spacing w:before="0" w:after="120"/>
      </w:pPr>
      <w:r>
        <w:rPr>
          <w:b/>
        </w:rPr>
        <w:t xml:space="preserve">Source: </w:t>
      </w:r>
      <w:r>
        <w:t>Wiley: Advanced Materials: Table of Contents</w:t>
      </w:r>
      <w:r>
        <w:t xml:space="preserve">    </w:t>
      </w:r>
      <w:r>
        <w:rPr>
          <w:b/>
        </w:rPr>
        <w:t xml:space="preserve">Pub date: </w:t>
      </w:r>
      <w:r>
        <w:t>2026-08-07 10:09:44+00:00</w:t>
      </w:r>
      <w:r>
        <w:t xml:space="preserve">    </w:t>
      </w:r>
      <w:r>
        <w:rPr>
          <w:b/>
        </w:rPr>
        <w:t xml:space="preserve">DOI: </w:t>
      </w:r>
      <w:hyperlink r:id="rId295">
        <w:r>
          <w:rPr>
            <w:color w:val="1155CC"/>
            <w:u w:val="single"/>
          </w:rPr>
          <w:t>10.1002/adma.74427</w:t>
        </w:r>
      </w:hyperlink>
    </w:p>
    <w:p>
      <w:pPr>
        <w:spacing w:before="0" w:after="120"/>
      </w:pPr>
      <w:r>
        <w:rPr>
          <w:b/>
        </w:rPr>
        <w:t xml:space="preserve">Notes: </w:t>
      </w:r>
      <w:r>
        <w:t>abstract_source=openalex</w:t>
      </w:r>
    </w:p>
    <w:p>
      <w:pPr>
        <w:spacing w:before="0" w:after="80" w:lineRule="auto" w:line="276"/>
      </w:pPr>
      <w:r>
        <w:rPr>
          <w:b/>
        </w:rPr>
        <w:t xml:space="preserve">摘要（ZH）: </w:t>
      </w:r>
      <w:r>
        <w:t>受象皮启发的多孔水泥质瓷砖建筑物占美国一次能源消耗的 40%，其中近一半用于暖通空调和照明。建筑围护结构可以作为温度调节的第一道防线——调节室内外之间的热量和空气交换。蒸发冷却，以最少的外部能量利用水的潜热。然而，现实世界的部署受到水效率低下、矿物质污染、液滴捕获不良以及从毛细管持续蒸发到扩散限制蒸发的不受控制的转变的限制。大象皮肤呈现出致密的引导裂纹网络，可以储存和重新分配水，抑制水滴反弹，并将蒸发热损失提高一个数量级。受这一机制的启发，Kun-Hao Yu、Shu Yang 及其同事在硅藻土 (DE) 配制的低成本、灰泥相容性水泥基复合材料中开发了一种基材引导破裂策略。 DE 的微米和纳米孔隙度可实现超快吸水和回弹抑制，而水泥基体则提供机械坚固性以及与现有围护结构的兼容性。这种结构增强了保水性并延长了蒸发冷却时间，提供了一种可扩展的策略来制造多孔水泥砖，以提高建筑围护结构的冷却性能。更多详细信息请参阅研究文章 (DOI: 10.1002/adma.202523133)。</w:t>
      </w:r>
    </w:p>
    <w:p>
      <w:pPr>
        <w:spacing w:before="0" w:after="200" w:lineRule="auto" w:line="276"/>
      </w:pPr>
      <w:r>
        <w:rPr>
          <w:b/>
        </w:rPr>
        <w:t xml:space="preserve">Abstract (EN): </w:t>
      </w:r>
      <w:r>
        <w:t>Elephant-Skin-Inspired Porous Cementitious Tiles Buildings account for ∼40% of U.S. primary energy use, with nearly half consumed by HVAC and lighting. Building envelopescan act as the first line of thermoregulation–moderating the exchange of heat and air between indoor and outdoor. Evaporative cooling, which harnesses the latent heat of water with minimal external energy. Yet real-world deployment is constrained by water inefficiencies, mineral fouling, poor droplet capture, and uncontrolled transitions from capillary-sustained to diffusion-limited evaporation. Elephant skin exhibits dense, guided crack networks that store and redistribute water, suppress droplet rebound, and enhance evaporative heat loss by up to an order of magnitude. Inspired by this mechanism, Kun-Hao Yu, Shu Yang, and co-workers have developed a substrate-guided cracking strategy in a low-cost, stucco-compatible cementitious composite formulated with diatomaceous earth (DE). DE's micro- and nanoporosity enables ultrafast water imbibition and rebound suppression, while the cement matrix provides mechanical robustness and compatibility with existing envelopes. This architecture enhances water retention and prolongs evaporative cooling, offering a scalable strategy to fabricate porous cementitious tiles for improved building-envelope cooling performance. More details can be found in the Research Article (DOI: 10.1002/adma.202523133).</w:t>
      </w:r>
    </w:p>
    <w:p>
      <w:pPr>
        <w:spacing w:before="120" w:after="120"/>
      </w:pPr>
      <w:r>
        <w:rPr>
          <w:sz w:val="18"/>
        </w:rPr>
        <w:t>——————————————————————————————————————————————————————————————————————</w:t>
      </w:r>
    </w:p>
    <w:p>
      <w:pPr>
        <w:spacing w:before="160" w:after="40" w:line="240" w:lineRule="auto"/>
      </w:pPr>
      <w:r>
        <w:rPr>
          <w:b/>
        </w:rPr>
        <w:t xml:space="preserve">[17] </w:t>
      </w:r>
      <w:hyperlink r:id="rId396">
        <w:r>
          <w:rPr>
            <w:color w:val="1155CC"/>
            <w:u w:val="single"/>
          </w:rPr>
          <w:t>表面羟基引导吸附结构，用于高效光催化耦合析氢和 5-羟甲基糠醛选择性氧化生产 2,5-呋喃二甲酸</w:t>
        </w:r>
      </w:hyperlink>
    </w:p>
    <w:p>
      <w:pPr>
        <w:spacing w:before="0" w:after="80"/>
      </w:pPr>
      <w:r>
        <w:rPr>
          <w:i/>
          <w:sz w:val="20"/>
        </w:rPr>
        <w:t>EN: Surface Hydroxyl Steered Adsorption Configuration for Efficient Photocatalysis Coupling Hydrogen Evolution and 5‐Hydroxymethylfurfural Selective Oxidation Toward 2,5‐Furandicarboxylic Acid Production</w:t>
      </w:r>
    </w:p>
    <w:p>
      <w:pPr>
        <w:spacing w:before="0" w:after="120"/>
      </w:pPr>
      <w:r>
        <w:rPr>
          <w:b/>
        </w:rPr>
        <w:t xml:space="preserve">Source: </w:t>
      </w:r>
      <w:r>
        <w:t>Wiley: Angewandte Chemie International Edition: Table of Contents</w:t>
      </w:r>
      <w:r>
        <w:t xml:space="preserve">    </w:t>
      </w:r>
      <w:r>
        <w:rPr>
          <w:b/>
        </w:rPr>
        <w:t xml:space="preserve">Pub date: </w:t>
      </w:r>
      <w:r>
        <w:t>2026-08-07 13:18:39+00:00</w:t>
      </w:r>
      <w:r>
        <w:t xml:space="preserve">    </w:t>
      </w:r>
      <w:r>
        <w:rPr>
          <w:b/>
        </w:rPr>
        <w:t xml:space="preserve">DOI: </w:t>
      </w:r>
      <w:hyperlink r:id="rId397">
        <w:r>
          <w:rPr>
            <w:color w:val="1155CC"/>
            <w:u w:val="single"/>
          </w:rPr>
          <w:t>10.1002/anie.3914874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光催化耦合水还原反应和5-羟甲基糠醛（HMF）选择性氧化2,5-呋喃二甲酸（FDCA）为联产绿色氢和增值生物基平台化学品提供了一条有前途的途径，但受到FDCA选择性和产率较低的限制。本文中，Al掺杂的SrTiO</w:t>
      </w:r>
      <w:r>
        <w:rPr>
          <w:vertAlign w:val="subscript"/>
        </w:rPr>
        <w:t>3</w:t>
      </w:r>
      <w:r>
        <w:t>(STO) 与 RhCrO 集成的光催化剂</w:t>
      </w:r>
      <w:r>
        <w:t xml:space="preserve"> </w:t>
      </w:r>
      <w:r>
        <w:t>x</w:t>
      </w:r>
      <w:r>
        <w:t xml:space="preserve"> </w:t>
      </w:r>
      <w:r>
        <w:t>和公司</w:t>
      </w:r>
      <w:r>
        <w:rPr>
          <w:vertAlign w:val="subscript"/>
        </w:rPr>
        <w:t>3</w:t>
      </w:r>
      <w:r>
        <w:t>氧</w:t>
      </w:r>
      <w:r>
        <w:rPr>
          <w:vertAlign w:val="subscript"/>
        </w:rPr>
        <w:t>4</w:t>
      </w:r>
      <w:r>
        <w:t>研究了助催化剂在中性和碱性条件下的 HMF 氧化反应 (HMFOR)。虽然碱性条件显着提高了 FDCA 产量，但加速的 HMF 自降解和竞争性 Cannizzaro 副反应损害了空穴利用效率。光谱和理论研究表明，Co 上的表面键合羟基 (─OH) 物种</w:t>
      </w:r>
      <w:r>
        <w:rPr>
          <w:vertAlign w:val="subscript"/>
        </w:rPr>
        <w:t>3</w:t>
      </w:r>
      <w:r>
        <w:t>氧</w:t>
      </w:r>
      <w:r>
        <w:rPr>
          <w:vertAlign w:val="subscript"/>
        </w:rPr>
        <w:t>4</w:t>
      </w:r>
      <w:r>
        <w:t>在碱性条件下，HMF吸附从垂直构型转向倾斜构型，这有利于5-羟甲基-2-呋喃甲酸（HMFCA）向5-甲酰基-2-呋喃甲酸（FFCA）转化的速率决定步骤。基于这种机械洞察力，Co</w:t>
      </w:r>
      <w:r>
        <w:rPr>
          <w:vertAlign w:val="subscript"/>
        </w:rPr>
        <w:t>3</w:t>
      </w:r>
      <w:r>
        <w:t>氧</w:t>
      </w:r>
      <w:r>
        <w:rPr>
          <w:vertAlign w:val="subscript"/>
        </w:rPr>
        <w:t>4</w:t>
      </w:r>
      <w:r>
        <w:t>被 ─OH 封端的 Co(OH) 取代</w:t>
      </w:r>
      <w:r>
        <w:rPr>
          <w:vertAlign w:val="subscript"/>
        </w:rPr>
        <w:t>2</w:t>
      </w:r>
      <w:r>
        <w:t>氧化助催化剂，甚至可以维持有利的平面 HMF 吸附构型</w:t>
      </w:r>
    </w:p>
    <w:p>
      <w:pPr>
        <w:spacing w:before="0" w:after="200" w:lineRule="auto" w:line="276"/>
      </w:pPr>
      <w:r>
        <w:rPr>
          <w:b/>
        </w:rPr>
        <w:t xml:space="preserve">Abstract (EN): </w:t>
      </w:r>
      <w:r>
        <w:t>Photocatalytic coupling water reduction reaction and 5‐hydroxymethylfurfural (HMF) selective oxidation toward 2,5‐furandicarboxylic acid (FDCA) offers a promising route for co‐production of green hydrogen and value‐added bio‐based platform chemicals, but limited by low FDCA selectivity and yield. Herein, an Al‐doped SrTiO</w:t>
      </w:r>
      <w:r>
        <w:rPr>
          <w:vertAlign w:val="subscript"/>
        </w:rPr>
        <w:t>3</w:t>
      </w:r>
      <w:r>
        <w:t>(STO) photocatalyst integrated with RhCrO</w:t>
      </w:r>
      <w:r>
        <w:t xml:space="preserve"> </w:t>
      </w:r>
      <w:r>
        <w:t>x</w:t>
      </w:r>
      <w:r>
        <w:t xml:space="preserve"> </w:t>
      </w:r>
      <w:r>
        <w:t>and Co</w:t>
      </w:r>
      <w:r>
        <w:rPr>
          <w:vertAlign w:val="subscript"/>
        </w:rPr>
        <w:t>3</w:t>
      </w:r>
      <w:r>
        <w:t>O</w:t>
      </w:r>
      <w:r>
        <w:rPr>
          <w:vertAlign w:val="subscript"/>
        </w:rPr>
        <w:t>4</w:t>
      </w:r>
      <w:r>
        <w:t>cocatalysts is investigated for HMF oxidation reaction (HMFOR) under neutral and alkaline conditions. While alkaline conditions markedly improve the FDCA production, the accelerated HMF self‐degradation and competing Cannizzaro side‐reaction compromise the hole utilization efficiency. Spectral and theoretical investigations reveal that surface‐bonded hydroxyl (─OH) species on Co</w:t>
      </w:r>
      <w:r>
        <w:rPr>
          <w:vertAlign w:val="subscript"/>
        </w:rPr>
        <w:t>3</w:t>
      </w:r>
      <w:r>
        <w:t>O</w:t>
      </w:r>
      <w:r>
        <w:rPr>
          <w:vertAlign w:val="subscript"/>
        </w:rPr>
        <w:t>4</w:t>
      </w:r>
      <w:r>
        <w:t>under alkaline conditions steer HMF adsorption from vertical to a tilted configuration, which facilitates the rate‐determining step of 5‐hydroxymethyl‐2‐furancarboxylic acid (HMFCA) to 5‐formyl‐2‐furancarboxylic acid (FFCA) conversion. Building upon this mechanistic insight, Co</w:t>
      </w:r>
      <w:r>
        <w:rPr>
          <w:vertAlign w:val="subscript"/>
        </w:rPr>
        <w:t>3</w:t>
      </w:r>
      <w:r>
        <w:t>O</w:t>
      </w:r>
      <w:r>
        <w:rPr>
          <w:vertAlign w:val="subscript"/>
        </w:rPr>
        <w:t>4</w:t>
      </w:r>
      <w:r>
        <w:t>is substituted with a ─OH terminated Co(OH)</w:t>
      </w:r>
      <w:r>
        <w:rPr>
          <w:vertAlign w:val="subscript"/>
        </w:rPr>
        <w:t>2</w:t>
      </w:r>
      <w:r>
        <w:t>oxidation cocatalyst, which sustains the favorable flat HMF adsorption configuration even under neutral and oxygen‐free conditions. The obtained RhCrO</w:t>
      </w:r>
      <w:r>
        <w:t xml:space="preserve"> </w:t>
      </w:r>
      <w:r>
        <w:t>x</w:t>
      </w:r>
      <w:r>
        <w:t xml:space="preserve"> </w:t>
      </w:r>
      <w:r>
        <w:t>/STO/Co(OH)</w:t>
      </w:r>
      <w:r>
        <w:rPr>
          <w:vertAlign w:val="subscript"/>
        </w:rPr>
        <w:t>2</w:t>
      </w:r>
      <w:r>
        <w:t>achieves a FDCA selectivity of 72.7% and a yield of 49.0% for HMFOR, together with hydrogen evolution rate of 626 µmol g</w:t>
      </w:r>
      <w:r>
        <w:t xml:space="preserve"> </w:t>
      </w:r>
      <w:r>
        <w:t>−1</w:t>
      </w:r>
      <w:r>
        <w:t xml:space="preserve"> </w:t>
      </w:r>
      <w:r>
        <w:t>h</w:t>
      </w:r>
      <w:r>
        <w:t xml:space="preserve"> </w:t>
      </w:r>
      <w:r>
        <w:t>−1</w:t>
      </w:r>
      <w:r>
        <w:t xml:space="preserve"> </w:t>
      </w:r>
      <w:r>
        <w:t>. This study demonstrates that steering reactant adsorption configuration via surface ─OH species offers an effective strategy for efficient solar‐driven photocatalysis coupling biomass valorization and hydrogen production.</w:t>
      </w:r>
    </w:p>
    <w:p>
      <w:pPr>
        <w:spacing w:before="120" w:after="120"/>
      </w:pPr>
      <w:r>
        <w:rPr>
          <w:sz w:val="18"/>
        </w:rPr>
        <w:t>——————————————————————————————————————————————————————————————————————</w:t>
      </w:r>
    </w:p>
    <w:p>
      <w:pPr>
        <w:spacing w:before="160" w:after="40" w:line="240" w:lineRule="auto"/>
      </w:pPr>
      <w:r>
        <w:rPr>
          <w:b/>
        </w:rPr>
        <w:t xml:space="preserve">[18] </w:t>
      </w:r>
      <w:hyperlink r:id="rId300">
        <w:r>
          <w:rPr>
            <w:color w:val="1155CC"/>
            <w:u w:val="single"/>
          </w:rPr>
          <w:t>跨越转型：北京农村天然气采用的经济和环境影响评估</w:t>
        </w:r>
      </w:hyperlink>
    </w:p>
    <w:p>
      <w:pPr>
        <w:spacing w:before="0" w:after="80"/>
      </w:pPr>
      <w:r>
        <w:rPr>
          <w:i/>
          <w:sz w:val="20"/>
        </w:rPr>
        <w:t>EN: Bridging the transition: Economic and environmental impact assessment of rural natural gas adoption in Beijing</w:t>
      </w:r>
    </w:p>
    <w:p>
      <w:pPr>
        <w:spacing w:before="0" w:after="120"/>
      </w:pPr>
      <w:r>
        <w:rPr>
          <w:b/>
        </w:rPr>
        <w:t xml:space="preserve">Source: </w:t>
      </w:r>
      <w:r>
        <w:t>ScienceDirect Publication: Energy Policy</w:t>
      </w:r>
      <w:r>
        <w:t xml:space="preserve">    </w:t>
      </w:r>
      <w:r>
        <w:rPr>
          <w:b/>
        </w:rPr>
        <w:t xml:space="preserve">Pub date: </w:t>
      </w:r>
      <w:r>
        <w:t>2026-08-08 00:00:00+00:00</w:t>
      </w:r>
      <w:r>
        <w:t xml:space="preserve">    </w:t>
      </w:r>
      <w:r>
        <w:rPr>
          <w:b/>
        </w:rPr>
        <w:t xml:space="preserve">DOI: </w:t>
      </w:r>
      <w:hyperlink r:id="rId301">
        <w:r>
          <w:rPr>
            <w:color w:val="1155CC"/>
            <w:u w:val="single"/>
          </w:rPr>
          <w:t>10.1016/j.enpol.2026.115545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497">
        <w:r>
          <w:rPr>
            <w:color w:val="1155CC"/>
            <w:u w:val="single"/>
          </w:rPr>
          <w:t>道路建设综合选址中可再生能源产消融合的 GIS-MCDA 方法：开发、示范和评估</w:t>
        </w:r>
      </w:hyperlink>
    </w:p>
    <w:p>
      <w:pPr>
        <w:spacing w:before="0" w:after="80"/>
      </w:pPr>
      <w:r>
        <w:rPr>
          <w:i/>
          <w:sz w:val="20"/>
        </w:rPr>
        <w:t>EN: A GIS-MCDA method for renewable energy prosumer integration in road construction compound siting: development, demonstration, and evaluation</w:t>
      </w:r>
    </w:p>
    <w:p>
      <w:pPr>
        <w:spacing w:before="0" w:after="120"/>
      </w:pPr>
      <w:r>
        <w:rPr>
          <w:b/>
        </w:rPr>
        <w:t xml:space="preserve">Source: </w:t>
      </w:r>
      <w:r>
        <w:t>ScienceDirect Publication: Applied Energy</w:t>
      </w:r>
      <w:r>
        <w:t xml:space="preserve">    </w:t>
      </w:r>
      <w:r>
        <w:rPr>
          <w:b/>
        </w:rPr>
        <w:t xml:space="preserve">Pub date: </w:t>
      </w:r>
      <w:r>
        <w:t>2026-08-08 00:00:00+00:00</w:t>
      </w:r>
      <w:r>
        <w:t xml:space="preserve">    </w:t>
      </w:r>
      <w:r>
        <w:rPr>
          <w:b/>
        </w:rPr>
        <w:t xml:space="preserve">DOI: </w:t>
      </w:r>
      <w:hyperlink r:id="rId498">
        <w:r>
          <w:rPr>
            <w:color w:val="1155CC"/>
            <w:u w:val="single"/>
          </w:rPr>
          <w:t>10.1016/j.apenergy.2026.128620</w:t>
        </w:r>
      </w:hyperlink>
    </w:p>
    <w:p>
      <w:pPr>
        <w:spacing w:before="0" w:after="120"/>
      </w:pPr>
      <w:r>
        <w:rPr>
          <w:b/>
        </w:rPr>
        <w:t xml:space="preserve">Notes: </w:t>
      </w:r>
      <w:r>
        <w:t>abstract_source=openalex</w:t>
      </w:r>
    </w:p>
    <w:p>
      <w:pPr>
        <w:spacing w:before="0" w:after="80" w:lineRule="auto" w:line="276"/>
      </w:pPr>
      <w:r>
        <w:rPr>
          <w:b/>
        </w:rPr>
        <w:t xml:space="preserve">摘要（ZH）: </w:t>
      </w:r>
      <w:r>
        <w:t>全球向可再生能源（RE）过渡对于可持续发展和减缓气候变化至关重要。然而，将可再生能源融入道路建设在研究和实践中仍然很大程度上被忽视。建筑群——道路项目的运营中心，是能源密集型的；然而，他们的选址通常基于物流、成本和监管考虑，而很少关注现场可再生能源潜力。本研究以乌干达的布塞加-姆皮吉高速公路作为案例研究，开发、演示和评估了地理信息系统-多标准决策分析 (GIS-MCDA) 方法，以确定支持可再生能源发电的最佳施工场地位置。该方法使用加权线性组合 (WLC) 将约束映射与太阳能和风能适宜性建模相结合。风条件（0.1–3.8 m/s；&lt;4 m/s 阈值）不可行，而日照分析确定了四个优先施工场地位置（PCC1–PCC4），其中 PCC3 表现最佳，反映了 75% 低适宜性等级、21% 中等适宜性和 4% 高适宜性等级的分布。敏感性分析证实了替代权重方案中稳健的空间排名。与现有化合物相比，可回收能源缺口为 8.3%，年产量增加约 120 MWh，节省 42,000-48,000 美元，每年可减少约 84 吨二氧化碳排放。使用技术接受模型（TAM）进行的利益相关者评估显示出强烈的采用意愿（4.50/5.0）和对施工阶段产消主义的支持（4.45/5.0）。障碍包括技能缺陷、机构</w:t>
      </w:r>
    </w:p>
    <w:p>
      <w:pPr>
        <w:spacing w:before="0" w:after="200" w:lineRule="auto" w:line="276"/>
      </w:pPr>
      <w:r>
        <w:rPr>
          <w:b/>
        </w:rPr>
        <w:t xml:space="preserve">Abstract (EN): </w:t>
      </w:r>
      <w:r>
        <w:t>The global transition to renewable energy (RE) is essential for sustainable development and climate change mitigation. However, integrating RE into road construction remains largely overlooked in both research and practice. Construction compounds—operational hubs for road projects, are energy-intensive; yet their siting is typically based on logistics, cost, and regulatory considerations, with minimal attention to onsite RE potential. This study develops, demonstrates, and evaluates a Geographic Information Systems-Multi-Criteria Decision Analysis (GIS-MCDA) method to identify optimal construction compound locations supporting RE prosumption, using Uganda's Busega–Mpigi Expressway as a case study. The method integrates constraint mapping with solar and wind suitability modelling using Weighted Linear Combination (WLC). Wind conditions (0.1–3.8 m/s; &lt;4 m/s threshold) were infeasible, while solar analysis identified four priority construction compound locations (PCC1–PCC4), with PCC3 performing best, reflecting a distribution of 75% low, 21% moderate, and 4% high suitability classes. Sensitivity analysis confirmed robust spatial rankings across alternative weighting scenarios. Comparison with the existing compound revealed a recoverable energy gap of 8.3%, increasing annual output by ∼120 MWh, yielding USD 42,000–48,000 savings and ∼ 84 tCO₂/year avoided emissions. Stakeholder evaluation using the Technology Acceptance Model (TAM) showed strong intention to adopt (4.50/5.0) and support for construction-phase prosumerism (4.45/5.0). Barriers including skills deficits, institutional fragmentation, and high capital costs, are transitional and addressable through training, coordination, and procurement reform. Overall, the study contributes a transferable spatial method for RE-informed compound siting, extends prosumer theory to temporary project-based infrastructure, and supports low-carbon construction in Sub-Saharan Africa and comparable contexts.</w:t>
      </w:r>
    </w:p>
    <w:p>
      <w:pPr>
        <w:spacing w:before="120" w:after="120"/>
      </w:pPr>
      <w:r>
        <w:rPr>
          <w:sz w:val="18"/>
        </w:rPr>
        <w:t>——————————————————————————————————————————————————————————————————————</w:t>
      </w:r>
    </w:p>
    <w:p>
      <w:pPr>
        <w:spacing w:before="160" w:after="40" w:line="240" w:lineRule="auto"/>
      </w:pPr>
      <w:r>
        <w:rPr>
          <w:b/>
        </w:rPr>
        <w:t xml:space="preserve">[20] </w:t>
      </w:r>
      <w:hyperlink r:id="rId399">
        <w:r>
          <w:rPr>
            <w:color w:val="1155CC"/>
            <w:u w:val="single"/>
          </w:rPr>
          <w:t>实际使用情况下替代重型卡车技术的成本竞争力</w:t>
        </w:r>
      </w:hyperlink>
    </w:p>
    <w:p>
      <w:pPr>
        <w:spacing w:before="0" w:after="80"/>
      </w:pPr>
      <w:r>
        <w:rPr>
          <w:i/>
          <w:sz w:val="20"/>
        </w:rPr>
        <w:t>EN: Cost competitiveness of alternative heavy-duty truck technologies under real-world utilisation profiles</w:t>
      </w:r>
    </w:p>
    <w:p>
      <w:pPr>
        <w:spacing w:before="0" w:after="120"/>
      </w:pPr>
      <w:r>
        <w:rPr>
          <w:b/>
        </w:rPr>
        <w:t xml:space="preserve">Source: </w:t>
      </w:r>
      <w:r>
        <w:t>Scientific community and society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公路货运对现代经济至关重要，但其脱碳仍然具有挑战性。虽然以前的研究通常侧重于平均负载或长途应用，但物流行业高度异构，涵盖各种卡车使用模式。这项研究利用欧洲 400 万辆卡车的微观数据评估了电池电动卡车 (BET) 和燃料电池电动卡车 (FCET) 的经济可行性。根据成本和技术成熟度的基线假设，到 2030 年，BET 的总拥有成本将超过柴油卡车，占重型公路货运活动的 70-90%。如果考虑到 2030 年之前有限的充电基础设施，25% 的公里数（相当于 19% 的车辆）在经济和技术上仍然可行，大大高于 2030 年欧盟二氧化碳排放预期下卡车车队总数 5-9% 的份额。标准。到 2035 年，基础设施的推出和成本的降低将使公里数占比达到 77%。相比之下，FCET 的成本竞争力窗口很窄。</w:t>
      </w:r>
    </w:p>
    <w:p>
      <w:pPr>
        <w:spacing w:before="0" w:after="200" w:lineRule="auto" w:line="276"/>
      </w:pPr>
      <w:r>
        <w:rPr>
          <w:b/>
        </w:rPr>
        <w:t xml:space="preserve">Abstract (EN): </w:t>
      </w:r>
      <w:r>
        <w:t>Road freight transport is essential to modern economies, yet its decarbonization remains challenging. While previous studies often focused on average-duty or long-haul applications, the logistics sector is highly heterogeneous, spanning a wide range of truck usage patterns. This study assesses the economic viability of battery electric trucks (BETs) and fuel cell electric trucks (FCETs) using microdata from four million trucks across Europe. Under baseline assumptions for cost and technical maturity, BETs outperform diesel trucks in total cost of ownership for 70-90% of heavy-duty road freight activity by 2030. When accounting for limited charging infrastructure until 2030, 25% of kilometres, corresponding to 19% of vehicles, remain economically and technically feasible-substantially higher than the 5-9% share of the total truck fleet expected under the 2030 EU CO2 standards. By 2035, infrastructure roll-out and improved costs increase the share of kilometres to 77%. In contrast, the window for FCET cost-competitiveness is narrow.</w:t>
      </w:r>
    </w:p>
    <w:p>
      <w:pPr>
        <w:spacing w:before="120" w:after="120"/>
      </w:pPr>
      <w:r>
        <w:rPr>
          <w:sz w:val="18"/>
        </w:rPr>
        <w:t>——————————————————————————————————————————————————————————————————————</w:t>
      </w:r>
    </w:p>
    <w:p>
      <w:pPr>
        <w:spacing w:before="160" w:after="40" w:line="240" w:lineRule="auto"/>
      </w:pPr>
      <w:r>
        <w:rPr>
          <w:b/>
        </w:rPr>
        <w:t xml:space="preserve">[21] </w:t>
      </w:r>
      <w:hyperlink r:id="rId499">
        <w:r>
          <w:rPr>
            <w:color w:val="1155CC"/>
            <w:u w:val="single"/>
          </w:rPr>
          <w:t>通过特征样本协同增强打破暖通空调故障诊断中的数据稀缺障碍</w:t>
        </w:r>
      </w:hyperlink>
    </w:p>
    <w:p>
      <w:pPr>
        <w:spacing w:before="0" w:after="80"/>
      </w:pPr>
      <w:r>
        <w:rPr>
          <w:i/>
          <w:sz w:val="20"/>
        </w:rPr>
        <w:t>EN: Breaking the data scarcity barrier in HVAC fault diagnosis via feature-sample collaborative augmentation</w:t>
      </w:r>
    </w:p>
    <w:p>
      <w:pPr>
        <w:spacing w:before="0" w:after="120"/>
      </w:pPr>
      <w:r>
        <w:rPr>
          <w:b/>
        </w:rPr>
        <w:t xml:space="preserve">Source: </w:t>
      </w:r>
      <w:r>
        <w:t>ScienceDirect Publication: Applied Energy</w:t>
      </w:r>
      <w:r>
        <w:t xml:space="preserve">    </w:t>
      </w:r>
      <w:r>
        <w:rPr>
          <w:b/>
        </w:rPr>
        <w:t xml:space="preserve">Pub date: </w:t>
      </w:r>
      <w:r>
        <w:t>2026-08-08 00:00:00+00:00</w:t>
      </w:r>
      <w:r>
        <w:t xml:space="preserve">    </w:t>
      </w:r>
      <w:r>
        <w:rPr>
          <w:b/>
        </w:rPr>
        <w:t xml:space="preserve">DOI: </w:t>
      </w:r>
      <w:hyperlink r:id="rId500">
        <w:r>
          <w:rPr>
            <w:color w:val="1155CC"/>
            <w:u w:val="single"/>
          </w:rPr>
          <w:t>10.1016/j.apenergy.2026.128607</w:t>
        </w:r>
      </w:hyperlink>
    </w:p>
    <w:p>
      <w:pPr>
        <w:spacing w:before="0" w:after="120"/>
      </w:pPr>
      <w:r>
        <w:rPr>
          <w:b/>
        </w:rPr>
        <w:t xml:space="preserve">Notes: </w:t>
      </w:r>
      <w:r>
        <w:t>abstract_source=openalex</w:t>
      </w:r>
    </w:p>
    <w:p>
      <w:pPr>
        <w:spacing w:before="0" w:after="80" w:lineRule="auto" w:line="276"/>
      </w:pPr>
      <w:r>
        <w:rPr>
          <w:b/>
        </w:rPr>
        <w:t xml:space="preserve">摘要（ZH）: </w:t>
      </w:r>
      <w:r>
        <w:t>数据驱动的供暖、通风和空调 (HVAC) 故障检测和诊断 (FDD) 在提高建筑能源效率方面发挥着至关重要的作用；然而，现实世界故障样本的极度稀缺阻碍了模型训练，并且仍然是实际实施的主要瓶颈。当前的研究很大程度上依赖于样本级过采样或生成增强，这在有限样本条件下难以产生稳定且信息丰富的数据。与此同时，特征级增强仍然没有得到充分探索，这限制了故障机制的更深层次的表示。为了克服这些限制，本研究提出了一种特征样本协同增强（FSCA）框架，该框架以统一的方式将特征增强与样本增强相结合，从而扩大有效的学习空间并从有限的数据集中提取最大值。在特征方面，提出了一种基于空间相关特征映射的增强方法，以实现从相关建模到空间可视化的连续映射，产生更具辨别力的特征表示。在样本方面，提出了一种基于改进的去噪扩散概率模型的稳定增强策略，结合条件生成和挤压激励注意力来增强生成样本的稳定性、可控性和保真度。实验结果表明，FSCA 在样本严重匮乏的情况下显着提高了 FDD 精度，在两个建筑 HVAC 系统上实现了高达 8.63% 和 15.18% 的性能提升，并且</w:t>
      </w:r>
    </w:p>
    <w:p>
      <w:pPr>
        <w:spacing w:before="0" w:after="200" w:lineRule="auto" w:line="276"/>
      </w:pPr>
      <w:r>
        <w:rPr>
          <w:b/>
        </w:rPr>
        <w:t xml:space="preserve">Abstract (EN): </w:t>
      </w:r>
      <w:r>
        <w:t>Data-driven heating, ventilation, and air conditioning (HVAC) fault detection and diagnosis (FDD) plays a vital role in enhancing building energy efficiency; however, the extreme scarcity of real-world fault samples hinders model training and remains the primary bottleneck to practical implementation. Current research largely relies on sample-level oversampling or generative augmentation, which struggles to produce stable and informative data under limited-sample conditions. Meanwhile, feature-level enhancement remains underexplored, which limits the deeper representation of fault mechanisms. To overcome these limitations, this study proposes a feature–sample collaborative augmentation (FSCA) framework that integrates feature enhancement with sample augmentation in a unified manner, thereby enlarging the effective learning space and extracting the maximum value from limited datasets. On the feature side, a spatially correlated feature mapping-based enhancement method is proposed to achieve continuous mapping from correlation modeling to spatial visualization, yielding more discriminative feature representations. On the sample side, a stable augmentation strategy based on an improved denoising diffusion probabilistic model is proposed, incorporating conditional generation and squeeze–excitation attention to enhance the stability, controllability, and fidelity of generated samples. Experimental results demonstrate that FSCA significantly improves FDD accuracy under severe sample scarcity, achieving performance gains of up to 8.63% and 15.18% on two building HVAC systems, and clearly surpassing state-of-the-art methods. These findings highlight the effectiveness and application prospects of FSCA for HVAC FDD, providing a promising solution for data-driven FDD deployment in real-world small-sample environments.</w:t>
      </w:r>
    </w:p>
    <w:p>
      <w:pPr>
        <w:spacing w:before="120" w:after="120"/>
      </w:pPr>
      <w:r>
        <w:rPr>
          <w:sz w:val="18"/>
        </w:rPr>
        <w:t>——————————————————————————————————————————————————————————————————————</w:t>
      </w:r>
    </w:p>
    <w:p>
      <w:pPr>
        <w:spacing w:before="160" w:after="40" w:line="240" w:lineRule="auto"/>
      </w:pPr>
      <w:r>
        <w:rPr>
          <w:b/>
        </w:rPr>
        <w:t xml:space="preserve">[22] </w:t>
      </w:r>
      <w:hyperlink r:id="rId501">
        <w:r>
          <w:rPr>
            <w:color w:val="1155CC"/>
            <w:u w:val="single"/>
          </w:rPr>
          <w:t>通过微生物诱导矿物沉淀提高界面强度的亚麻复合材料</w:t>
        </w:r>
      </w:hyperlink>
    </w:p>
    <w:p>
      <w:pPr>
        <w:spacing w:before="0" w:after="80"/>
      </w:pPr>
      <w:r>
        <w:rPr>
          <w:i/>
          <w:sz w:val="20"/>
        </w:rPr>
        <w:t>EN: Flax Composites With Improved Interfacial Strength Through Microbially Induced Mineral Precipitation</w:t>
      </w:r>
    </w:p>
    <w:p>
      <w:pPr>
        <w:spacing w:before="0" w:after="120"/>
      </w:pPr>
      <w:r>
        <w:rPr>
          <w:b/>
        </w:rPr>
        <w:t xml:space="preserve">Source: </w:t>
      </w:r>
      <w:r>
        <w:t>Wiley: Advanced Materials: Table of Contents</w:t>
      </w:r>
      <w:r>
        <w:t xml:space="preserve">    </w:t>
      </w:r>
      <w:r>
        <w:rPr>
          <w:b/>
        </w:rPr>
        <w:t xml:space="preserve">Pub date: </w:t>
      </w:r>
      <w:r>
        <w:t>2026-08-08 09:05:44+00:00</w:t>
      </w:r>
      <w:r>
        <w:t xml:space="preserve">    </w:t>
      </w:r>
      <w:r>
        <w:rPr>
          <w:b/>
        </w:rPr>
        <w:t xml:space="preserve">DOI: </w:t>
      </w:r>
      <w:hyperlink r:id="rId502">
        <w:r>
          <w:rPr>
            <w:color w:val="1155CC"/>
            <w:u w:val="single"/>
          </w:rPr>
          <w:t>10.1002/adma.74543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现代交通和清洁能源转型需求的推动下，对可持续轻质材料的需求不断增加。含有天然纤维（例如亚麻纤维）的复合材料由于其碳捕获潜力和良好的特定机械性能而受到关注。然而，当嵌入疏水性聚合物基质中时，亚麻纤维表现出较差的机械性能，这主要是由于其亲水性成分和不连续的纤维结构。珍珠质等生物材料已经通过矿化开发出有用的策略来分散局部应力并开发外在韧性，这可以激发增强天然纤维复合材料应力传递的解决方案。在这里，我们报告了一种生物矿化策略，为亚麻复合材料引入了额外的层次结构。通过调节过程中的盐浓度，我们实现了微生物介导的矿物颗粒在亚麻纱上的受控沉积。通过控制生物矿化，我们发现矿物质可以将抗压韧性提高 178%，抗压强度提高 30%。研究结果强调了一种通过可持续加工定制复合材料性能的新颖仿生途径，提供了一种可扩展且环保的方法来增强结构应用的天然纤维复合材料。</w:t>
      </w:r>
    </w:p>
    <w:p>
      <w:pPr>
        <w:spacing w:before="0" w:after="200" w:lineRule="auto" w:line="276"/>
      </w:pPr>
      <w:r>
        <w:rPr>
          <w:b/>
        </w:rPr>
        <w:t xml:space="preserve">Abstract (EN): </w:t>
      </w:r>
      <w:r>
        <w:t>Driven by the needs of modern transportation and the clean energy transition, the demand for sustainable and lightweight materials is increasing. Composite materials incorporating natural fibers such as flax fibers have gained attention due to their carbon‐capturing potential and good specific mechanical properties. However, when embedded in hydrophobic polymer matrices, flax fibers exhibit inferior mechanical performance primarily due to their hydrophilic composition and discontinuous fiber architecture. Biological materials such as nacre have developed useful strategies through mineralization to distribute localized stresses and develop extrinsic toughness that could inspire a solution to enhance stress transfer in natural fiber composites. Here, we report a biomineralization strategy to introduce an additional hierarchy to flax composites. By tuning salt concentrations in the process, we achieve controlled deposition of microbe‐mediated mineral particles on flax yarns. With controlled biomineralization, we show that the minerals can enhance the compressive toughness by 178% and compressive strength by 30%. The findings highlight a novel bio‐inspired pathway for tailoring composite performance through sustainable processing, offering a scalable and environmentally friendly approach to enhance natural fiber composites for structural applications.</w:t>
      </w:r>
    </w:p>
    <w:p>
      <w:pPr>
        <w:spacing w:before="120" w:after="120"/>
      </w:pPr>
      <w:r>
        <w:rPr>
          <w:sz w:val="18"/>
        </w:rPr>
        <w:t>——————————————————————————————————————————————————————————————————————</w:t>
      </w:r>
    </w:p>
    <w:p>
      <w:pPr>
        <w:spacing w:before="160" w:after="40" w:line="240" w:lineRule="auto"/>
      </w:pPr>
      <w:r>
        <w:rPr>
          <w:b/>
        </w:rPr>
        <w:t xml:space="preserve">[23] </w:t>
      </w:r>
      <w:hyperlink r:id="rId503">
        <w:r>
          <w:rPr>
            <w:color w:val="1155CC"/>
            <w:u w:val="single"/>
          </w:rPr>
          <w:t>混合工业废水处理和绿色化学合成中选择性生成 1O2 的通用芬顿策略</w:t>
        </w:r>
      </w:hyperlink>
    </w:p>
    <w:p>
      <w:pPr>
        <w:spacing w:before="0" w:after="80"/>
      </w:pPr>
      <w:r>
        <w:rPr>
          <w:i/>
          <w:sz w:val="20"/>
        </w:rPr>
        <w:t>EN: A Universal Fenton‐Like Strategy for Selective Generation of 1O2 in Mixed Industrial Wastewater Treatment and Green Chemical Synthesis</w:t>
      </w:r>
    </w:p>
    <w:p>
      <w:pPr>
        <w:spacing w:before="0" w:after="120"/>
      </w:pPr>
      <w:r>
        <w:rPr>
          <w:b/>
        </w:rPr>
        <w:t xml:space="preserve">Source: </w:t>
      </w:r>
      <w:r>
        <w:t>Wiley: Angewandte Chemie International Edition: Table of Contents</w:t>
      </w:r>
      <w:r>
        <w:t xml:space="preserve">    </w:t>
      </w:r>
      <w:r>
        <w:rPr>
          <w:b/>
        </w:rPr>
        <w:t xml:space="preserve">Pub date: </w:t>
      </w:r>
      <w:r>
        <w:t>2026-08-08 10:52:50+00:00</w:t>
      </w:r>
      <w:r>
        <w:t xml:space="preserve">    </w:t>
      </w:r>
      <w:r>
        <w:rPr>
          <w:b/>
        </w:rPr>
        <w:t xml:space="preserve">DOI: </w:t>
      </w:r>
      <w:hyperlink r:id="rId504">
        <w:r>
          <w:rPr>
            <w:color w:val="1155CC"/>
            <w:u w:val="single"/>
          </w:rPr>
          <w:t>10.1002/anie.4329489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持续且选择性地产生单线态氧（</w:t>
      </w:r>
      <w:r>
        <w:rPr>
          <w:vertAlign w:val="subscript"/>
        </w:rPr>
        <w:t>1</w:t>
      </w:r>
      <w:r>
        <w:t>氧</w:t>
      </w:r>
      <w:r>
        <w:rPr>
          <w:vertAlign w:val="subscript"/>
        </w:rPr>
        <w:t>2</w:t>
      </w:r>
      <w:r>
        <w:t>）在类芬顿催化系统中对于从淡水资源管理到绿色化学合成的各种应用来说是非常理想的。尽管高级氧化工艺取得了进步，但仍然缺乏可靠调节的通用方法</w:t>
      </w:r>
      <w:r>
        <w:rPr>
          <w:vertAlign w:val="subscript"/>
        </w:rPr>
        <w:t>1</w:t>
      </w:r>
      <w:r>
        <w:t>氧</w:t>
      </w:r>
      <w:r>
        <w:rPr>
          <w:vertAlign w:val="subscript"/>
        </w:rPr>
        <w:t>2</w:t>
      </w:r>
      <w:r>
        <w:t>选择性。在这里，我们提出了一种描述符辅助协调调制策略，其中机器学习分析将 d 带中心识别为与</w:t>
      </w:r>
      <w:r>
        <w:rPr>
          <w:vertAlign w:val="subscript"/>
        </w:rPr>
        <w:t>1</w:t>
      </w:r>
      <w:r>
        <w:t>氧</w:t>
      </w:r>
      <w:r>
        <w:rPr>
          <w:vertAlign w:val="subscript"/>
        </w:rPr>
        <w:t>2</w:t>
      </w:r>
      <w:r>
        <w:t>选择性。通过N-协调调制，CoN</w:t>
      </w:r>
      <w:r>
        <w:rPr>
          <w:vertAlign w:val="subscript"/>
        </w:rPr>
        <w:t>5</w:t>
      </w:r>
      <w:r>
        <w:t>催化剂表现出接近完整的状态</w:t>
      </w:r>
      <w:r>
        <w:rPr>
          <w:vertAlign w:val="subscript"/>
        </w:rPr>
        <w:t>1</w:t>
      </w:r>
      <w:r>
        <w:t>氧</w:t>
      </w:r>
      <w:r>
        <w:rPr>
          <w:vertAlign w:val="subscript"/>
        </w:rPr>
        <w:t>2</w:t>
      </w:r>
      <w:r>
        <w:t>定量活性氧 (ROS) 的选择性，稳态浓度为 394 µM，优于最近的报告。 CoN作为内循环预氧化模块</w:t>
      </w:r>
      <w:r>
        <w:rPr>
          <w:vertAlign w:val="subscript"/>
        </w:rPr>
        <w:t>5</w:t>
      </w:r>
      <w:r>
        <w:t>/过一硫酸盐 (CoN</w:t>
      </w:r>
      <w:r>
        <w:rPr>
          <w:vertAlign w:val="subscript"/>
        </w:rPr>
        <w:t>5</w:t>
      </w:r>
      <w:r>
        <w:t>/PMS）系统在 192 小时内不断将废水生化需氧量/化学需氧量 (BOD/COD) 提高到 0.5 以上，增加生物可利用的溶解有机物 (DOM)，并表现出高微生物组相容性，这通过减少</w:t>
      </w:r>
    </w:p>
    <w:p>
      <w:pPr>
        <w:spacing w:before="0" w:after="200" w:lineRule="auto" w:line="276"/>
      </w:pPr>
      <w:r>
        <w:rPr>
          <w:b/>
        </w:rPr>
        <w:t xml:space="preserve">Abstract (EN): </w:t>
      </w:r>
      <w:r>
        <w:t>Sustained and selective generation of singlet oxygen (</w:t>
      </w:r>
      <w:r>
        <w:rPr>
          <w:vertAlign w:val="subscript"/>
        </w:rPr>
        <w:t>1</w:t>
      </w:r>
      <w:r>
        <w:t>O</w:t>
      </w:r>
      <w:r>
        <w:rPr>
          <w:vertAlign w:val="subscript"/>
        </w:rPr>
        <w:t>2</w:t>
      </w:r>
      <w:r>
        <w:t>) in Fenton‐like catalytic systems is highly desirable for diverse applications, from freshwater resource management to green chemical synthesis. Despite advances in advanced oxidation processes, there remains a lack of generalizable methods that reliably modulate</w:t>
      </w:r>
      <w:r>
        <w:rPr>
          <w:vertAlign w:val="subscript"/>
        </w:rPr>
        <w:t>1</w:t>
      </w:r>
      <w:r>
        <w:t>O</w:t>
      </w:r>
      <w:r>
        <w:rPr>
          <w:vertAlign w:val="subscript"/>
        </w:rPr>
        <w:t>2</w:t>
      </w:r>
      <w:r>
        <w:t>selectivity. Here, we propose a descriptor‐assisted coordination modulation strategy, in which machine‐learning analysis identifies the d‐band center as an important electronic descriptor associated with</w:t>
      </w:r>
      <w:r>
        <w:rPr>
          <w:vertAlign w:val="subscript"/>
        </w:rPr>
        <w:t>1</w:t>
      </w:r>
      <w:r>
        <w:t>O</w:t>
      </w:r>
      <w:r>
        <w:rPr>
          <w:vertAlign w:val="subscript"/>
        </w:rPr>
        <w:t>2</w:t>
      </w:r>
      <w:r>
        <w:t>selectivity. Through N‐coordination modulation, the CoN</w:t>
      </w:r>
      <w:r>
        <w:rPr>
          <w:vertAlign w:val="subscript"/>
        </w:rPr>
        <w:t>5</w:t>
      </w:r>
      <w:r>
        <w:t>catalyst exhibited near‐complete</w:t>
      </w:r>
      <w:r>
        <w:rPr>
          <w:vertAlign w:val="subscript"/>
        </w:rPr>
        <w:t>1</w:t>
      </w:r>
      <w:r>
        <w:t>O</w:t>
      </w:r>
      <w:r>
        <w:rPr>
          <w:vertAlign w:val="subscript"/>
        </w:rPr>
        <w:t>2</w:t>
      </w:r>
      <w:r>
        <w:t>selectivity among the quantified reactive oxygen species (ROS) with a steady‐state concentration of 394 µM, outperforming recent reports. As an internal‐circulation pre‐oxidation module, the CoN</w:t>
      </w:r>
      <w:r>
        <w:rPr>
          <w:vertAlign w:val="subscript"/>
        </w:rPr>
        <w:t>5</w:t>
      </w:r>
      <w:r>
        <w:t>/peroxymonosulfate (CoN</w:t>
      </w:r>
      <w:r>
        <w:rPr>
          <w:vertAlign w:val="subscript"/>
        </w:rPr>
        <w:t>5</w:t>
      </w:r>
      <w:r>
        <w:t>/PMS) system continuously raised wastewater biochemical oxygen demand/chemical oxygen demand (BOD/COD) to above 0.5 over 192 h, increased bioavailable dissolved organic matter (DOM), and showed high microbiome compatibility, evidenced by reduced</w:t>
      </w:r>
      <w:r>
        <w:t xml:space="preserve"> </w:t>
      </w:r>
      <w:r>
        <w:t>Vibrio fischeri</w:t>
      </w:r>
      <w:r>
        <w:t xml:space="preserve"> </w:t>
      </w:r>
      <w:r>
        <w:t>inhibition and microbial diversity ordination clustering near the background with greater shared‐taxa overlap. This system also enabled selective thioanisole oxidation, achieving 90.6% conversion and 99.5% selectivity, with green synthesis potential demonstrated in a three‐chamber continuous single‐pass reactor. These results establish a generalizable coordination principle for steering ROS pathways and provide a deployable, low‐ecological‐risk route for both mixed wastewater treatment and green chemical synthesis.</w:t>
      </w:r>
    </w:p>
    <w:p>
      <w:pPr>
        <w:spacing w:before="120" w:after="120"/>
      </w:pPr>
      <w:r>
        <w:rPr>
          <w:sz w:val="18"/>
        </w:rPr>
        <w:t>——————————————————————————————————————————————————————————————————————</w:t>
      </w:r>
    </w:p>
    <w:p>
      <w:pPr>
        <w:spacing w:before="160" w:after="40" w:line="240" w:lineRule="auto"/>
      </w:pPr>
      <w:r>
        <w:rPr>
          <w:b/>
        </w:rPr>
        <w:t xml:space="preserve">[24] </w:t>
      </w:r>
      <w:hyperlink r:id="rId505">
        <w:r>
          <w:rPr>
            <w:color w:val="1155CC"/>
            <w:u w:val="single"/>
          </w:rPr>
          <w:t>公交系统脱碳公共资金考虑技术不确定性和车辆段基础设施升级</w:t>
        </w:r>
      </w:hyperlink>
    </w:p>
    <w:p>
      <w:pPr>
        <w:spacing w:before="0" w:after="80"/>
      </w:pPr>
      <w:r>
        <w:rPr>
          <w:i/>
          <w:sz w:val="20"/>
        </w:rPr>
        <w:t>EN: Public funding for bus system decarbonization accounting for technological uncertainty and depot infrastructure upgrades</w:t>
      </w:r>
    </w:p>
    <w:p>
      <w:pPr>
        <w:spacing w:before="0" w:after="120"/>
      </w:pPr>
      <w:r>
        <w:rPr>
          <w:b/>
        </w:rPr>
        <w:t xml:space="preserve">Source: </w:t>
      </w:r>
      <w:r>
        <w:t>ScienceDirect Publication: Energy Policy</w:t>
      </w:r>
      <w:r>
        <w:t xml:space="preserve">    </w:t>
      </w:r>
      <w:r>
        <w:rPr>
          <w:b/>
        </w:rPr>
        <w:t xml:space="preserve">Pub date: </w:t>
      </w:r>
      <w:r>
        <w:t>2026-08-09 00:00:00+00:00</w:t>
      </w:r>
      <w:r>
        <w:t xml:space="preserve">    </w:t>
      </w:r>
      <w:r>
        <w:rPr>
          <w:b/>
        </w:rPr>
        <w:t xml:space="preserve">DOI: </w:t>
      </w:r>
      <w:hyperlink r:id="rId506">
        <w:r>
          <w:rPr>
            <w:color w:val="1155CC"/>
            <w:u w:val="single"/>
          </w:rPr>
          <w:t>10.1016/j.enpol.2026.115541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414">
        <w:r>
          <w:rPr>
            <w:color w:val="1155CC"/>
            <w:u w:val="single"/>
          </w:rPr>
          <w:t>碳核算规则如何影响氢生产的激励措施</w:t>
        </w:r>
      </w:hyperlink>
    </w:p>
    <w:p>
      <w:pPr>
        <w:spacing w:before="0" w:after="80"/>
      </w:pPr>
      <w:r>
        <w:rPr>
          <w:i/>
          <w:sz w:val="20"/>
        </w:rPr>
        <w:t>EN: How carbon accounting rules shape incentives for hydrogen production</w:t>
      </w:r>
    </w:p>
    <w:p>
      <w:pPr>
        <w:spacing w:before="0" w:after="120"/>
      </w:pPr>
      <w:r>
        <w:rPr>
          <w:b/>
        </w:rPr>
        <w:t xml:space="preserve">Source: </w:t>
      </w:r>
      <w:r>
        <w:t>Scientific community and society : Nature Communications subject feeds</w:t>
      </w:r>
      <w:r>
        <w:t xml:space="preserve">    </w:t>
      </w:r>
      <w:r>
        <w:rPr>
          <w:b/>
        </w:rPr>
        <w:t xml:space="preserve">Pub date: </w:t>
      </w:r>
      <w:r>
        <w:t>2026-08-10 00:00:00+00:00</w:t>
      </w:r>
    </w:p>
    <w:p>
      <w:pPr>
        <w:spacing w:before="0" w:after="120"/>
      </w:pPr>
      <w:r>
        <w:rPr>
          <w:b/>
        </w:rPr>
        <w:t xml:space="preserve">Notes: </w:t>
      </w:r>
      <w:r>
        <w:t>abstract_source=nature_html</w:t>
      </w:r>
    </w:p>
    <w:p>
      <w:pPr>
        <w:spacing w:before="0" w:after="80" w:lineRule="auto" w:line="276"/>
      </w:pPr>
      <w:r>
        <w:rPr>
          <w:b/>
        </w:rPr>
        <w:t xml:space="preserve">摘要（ZH）: </w:t>
      </w:r>
      <w:r>
        <w:t>世界各国政府最近采取了氢能政策支持计划，将支持水平与所生产氢的评估碳强度挂钩。在这里，我们比较了替代碳核算规则，以确定根据电转气系统产生的财务和碳排放绩效来确定氢可用的政策支持。我们根据符合美国《通货膨胀削减法案》规定的生产税收抵免资格的工厂来校准我们的模型。与经常阐述的观点相反，更严格的会计规则通常为投资者提供足够的动力来投资电转气系统。尽管如此，更严格的规则可能导致碳强度水平接近通过碳捕获的天然气生产的氢气的碳强度水平。不太严格的规则通常会因为更高的盈利能力而带来更强有力的投资激励，但随着投资者从通用电网采购更多碳密集型电力，排放量也会显着增加。</w:t>
      </w:r>
    </w:p>
    <w:p>
      <w:pPr>
        <w:spacing w:before="0" w:after="200" w:lineRule="auto" w:line="276"/>
      </w:pPr>
      <w:r>
        <w:rPr>
          <w:b/>
        </w:rPr>
        <w:t xml:space="preserve">Abstract (EN): </w:t>
      </w:r>
      <w:r>
        <w:t>Governments around the world have recently adopted policy support programs for hydrogen, tying the level of support to the assessed carbon intensity of the hydrogen produced. Here we compare alternative carbon accounting rules for determining the policy support available for hydrogen in terms of the resulting financial and carbon emissions performance of Power-to-Gas systems. We calibrate our model to reference plants eligible for the production tax credit available under the Inflation Reduction Act in the United States. Contrary to frequently articulated views, more stringent accounting rules generally provide investors with sufficient incentives to invest in Power-to-Gas systems. Nonetheless, even more stringent rules can lead to carbon intensity levels close to those for hydrogen produced from natural gas with carbon capture. Less stringent rules generally entail stronger investment incentives due to higher profitability, but also significantly higher emissions as investors procure more carbon-intensive electricity from the general grid.</w:t>
      </w:r>
    </w:p>
    <w:p>
      <w:pPr>
        <w:spacing w:before="120" w:after="120"/>
      </w:pPr>
      <w:r>
        <w:rPr>
          <w:sz w:val="18"/>
        </w:rPr>
        <w:t>——————————————————————————————————————————————————————————————————————</w:t>
      </w:r>
    </w:p>
    <w:p>
      <w:pPr>
        <w:spacing w:before="160" w:after="40" w:line="240" w:lineRule="auto"/>
      </w:pPr>
      <w:r>
        <w:rPr>
          <w:b/>
        </w:rPr>
        <w:t xml:space="preserve">[26] </w:t>
      </w:r>
      <w:hyperlink r:id="rId507">
        <w:r>
          <w:rPr>
            <w:color w:val="1155CC"/>
            <w:u w:val="single"/>
          </w:rPr>
          <w:t>主权控制、脱碳和能源​​成本如何影响公众对数据中心的支持</w:t>
        </w:r>
      </w:hyperlink>
    </w:p>
    <w:p>
      <w:pPr>
        <w:spacing w:before="0" w:after="80"/>
      </w:pPr>
      <w:r>
        <w:rPr>
          <w:i/>
          <w:sz w:val="20"/>
        </w:rPr>
        <w:t>EN: How sovereign control, decarbonization and energy costs shape public support for data centers</w:t>
      </w:r>
    </w:p>
    <w:p>
      <w:pPr>
        <w:spacing w:before="0" w:after="120"/>
      </w:pPr>
      <w:r>
        <w:rPr>
          <w:b/>
        </w:rPr>
        <w:t xml:space="preserve">Source: </w:t>
      </w:r>
      <w:r>
        <w:t>Scientific community and society : Nature Communications subject feeds</w:t>
      </w:r>
      <w:r>
        <w:t xml:space="preserve">    </w:t>
      </w:r>
      <w:r>
        <w:rPr>
          <w:b/>
        </w:rPr>
        <w:t xml:space="preserve">Pub date: </w:t>
      </w:r>
      <w:r>
        <w:t>2026-08-10 00:00:00+00:00</w:t>
      </w:r>
    </w:p>
    <w:p>
      <w:pPr>
        <w:spacing w:before="0" w:after="120"/>
      </w:pPr>
      <w:r>
        <w:rPr>
          <w:b/>
        </w:rPr>
        <w:t xml:space="preserve">Notes: </w:t>
      </w:r>
      <w:r>
        <w:t>abstract_source=nature_html</w:t>
      </w:r>
    </w:p>
    <w:p>
      <w:pPr>
        <w:spacing w:before="0" w:after="80" w:lineRule="auto" w:line="276"/>
      </w:pPr>
      <w:r>
        <w:rPr>
          <w:b/>
        </w:rPr>
        <w:t xml:space="preserve">摘要（ZH）: </w:t>
      </w:r>
      <w:r>
        <w:t>数据中心的快速扩张带来了新的政治挑战。各国政府希望建立更多的数据中心，以从人工智能 (AI) 经济中获益并实现其数字主权议程。然而，数据中心需要大量的电力和水，威胁减排目标，并且经常提高当地电价。结果，当地社区越来越多地动员起来反对数据中心建设。我们在德国使用小插曲和联合调查实验来评估公众如何看待数据中心所带来的环境、经济和（地缘）政治权衡。我们发现，直接激发人们对数字主权的担忧只会略微增加对建设更多数据中心的支持。然而，根据人们确实持有强烈观点的特征，支持程度存在很大差异：脱碳、地缘政治以及当地环境和经济影响。地缘政治担忧尤其突出：人们强烈青睐德国或欧洲公司运营的数据中心，而不是美国或中国运营商。即使与电价上涨和能源变化的影响相比，这些国籍影响也很大。我们的研究结果表明，公众对数据中心的反对取决于先前存在的政治分歧，而且主权问题日益凸显。</w:t>
      </w:r>
    </w:p>
    <w:p>
      <w:pPr>
        <w:spacing w:before="0" w:after="200" w:lineRule="auto" w:line="276"/>
      </w:pPr>
      <w:r>
        <w:rPr>
          <w:b/>
        </w:rPr>
        <w:t xml:space="preserve">Abstract (EN): </w:t>
      </w:r>
      <w:r>
        <w:t>The rapid expansion of data centers has created new political challenges. Governments want to build more data centers to reap the benefits from the artificial intelligence (AI) economy and achieve their digital sovereignty agendas. However, data centers require enormous amounts of electricity and water, threaten emission-reduction targets, and often raise local electricity prices. As a result, local communities increasingly mobilize against data center construction. We use a vignette and conjoint survey experiment in Germany to evaluate how publics think about the environmental, economic, and (geo)political tradeoffs that data centers entail. We find that directly priming people with digital sovereignty concerns only marginally increases support for building more data centers. Yet, support varies substantially based on characteristics that people do have strong views about: decarbonization, geopolitics, and local environmental and economic impact. Geopolitical concerns are particularly salient: people strongly favor data centers operated by German or European firms over US or Chinese operators. These nationality effects are large even when compared to the effects of electricity price increases and variation in energy sources. Our findings suggest that public opposition to data centers depends on pre-existing political cleavages and that sovereignty concerns loom large.</w:t>
      </w:r>
    </w:p>
    <w:p>
      <w:pPr>
        <w:spacing w:before="120" w:after="120"/>
      </w:pPr>
      <w:r>
        <w:rPr>
          <w:sz w:val="18"/>
        </w:rPr>
        <w:t>——————————————————————————————————————————————————————————————————————</w:t>
      </w:r>
    </w:p>
    <w:p>
      <w:pPr>
        <w:spacing w:before="160" w:after="40" w:line="240" w:lineRule="auto"/>
      </w:pPr>
      <w:r>
        <w:rPr>
          <w:b/>
        </w:rPr>
        <w:t xml:space="preserve">[27] </w:t>
      </w:r>
      <w:hyperlink r:id="rId308">
        <w:r>
          <w:rPr>
            <w:color w:val="1155CC"/>
            <w:u w:val="single"/>
          </w:rPr>
          <w:t>全国范围内运河对城市温度影响的评估</w:t>
        </w:r>
      </w:hyperlink>
    </w:p>
    <w:p>
      <w:pPr>
        <w:spacing w:before="0" w:after="80"/>
      </w:pPr>
      <w:r>
        <w:rPr>
          <w:i/>
          <w:sz w:val="20"/>
        </w:rPr>
        <w:t>EN: A national-scale assessment of the impact of canals on urban temperatures</w:t>
      </w:r>
    </w:p>
    <w:p>
      <w:pPr>
        <w:spacing w:before="0" w:after="120"/>
      </w:pPr>
      <w:r>
        <w:rPr>
          <w:b/>
        </w:rPr>
        <w:t xml:space="preserve">Source: </w:t>
      </w:r>
      <w:r>
        <w:t>Scientific community and society : Nature Communications subject feeds</w:t>
      </w:r>
      <w:r>
        <w:t xml:space="preserve">    </w:t>
      </w:r>
      <w:r>
        <w:rPr>
          <w:b/>
        </w:rPr>
        <w:t xml:space="preserve">Pub date: </w:t>
      </w:r>
      <w:r>
        <w:t>2026-08-10 00:00:00+00:00</w:t>
      </w:r>
    </w:p>
    <w:p>
      <w:pPr>
        <w:spacing w:before="0" w:after="120"/>
      </w:pPr>
      <w:r>
        <w:rPr>
          <w:b/>
        </w:rPr>
        <w:t xml:space="preserve">Notes: </w:t>
      </w:r>
      <w:r>
        <w:t>abstract_source=nature_html</w:t>
      </w:r>
    </w:p>
    <w:p>
      <w:pPr>
        <w:spacing w:before="0" w:after="80" w:lineRule="auto" w:line="276"/>
      </w:pPr>
      <w:r>
        <w:rPr>
          <w:b/>
        </w:rPr>
        <w:t xml:space="preserve">摘要（ZH）: </w:t>
      </w:r>
      <w:r>
        <w:t>城市人口特别容易遭受与高温相关的死亡和发病。气候响应型城市设计，包括绿色和蓝色空间的开发，有可能抵消气候变化相关的影响。与绿色空间相比，蓝色空间对城市温度的​​影响相对较少受到关注，城市降温的程度也存在不确定性。在这项研究中，我们开发了一个能量平衡模型来估计运河的热效应，并将其应用于英国和爱尔兰的运河网络。在这里，我们表明，模拟运河在运河网络附近提供年平均白天冷却效果约 0.8 °C (0.7 – 1 °C)，在春季和初夏 (~1.2 – 1.4 °C) 和热浪期间 (~1.5 – 2.3 °C) 冷却效果更为明显。虽然热效应并不完全是积极的，但我们的研究结果表明，运河可以提高热舒适度并降低热风险，从而对人口健康和福祉带来相关好处。</w:t>
      </w:r>
    </w:p>
    <w:p>
      <w:pPr>
        <w:spacing w:before="0" w:after="200" w:lineRule="auto" w:line="276"/>
      </w:pPr>
      <w:r>
        <w:rPr>
          <w:b/>
        </w:rPr>
        <w:t xml:space="preserve">Abstract (EN): </w:t>
      </w:r>
      <w:r>
        <w:t>Urban populations are particularly vulnerable to heat-related mortality and morbidity. Climate-responsive urban design, which can include development of green and bluespaces, has the potential to offset climate change-related impacts. Compared to greenspaces, the effects of bluespaces on urban temperatures have received comparatively little attention, with uncertainty regarding the magnitude of urban cooling. In this study, we develop an energy balance model to estimate the thermal effects of canals and apply this to the canal network of Great Britain and Ireland. Here we show that the modelled canals provide an average annual daytime cooling effect of ~0.8 °C (0.7 – 1 °C) within the immediate vicinity of the canal network, with more pronounced cooling during spring and early summer (~1.2 – 1.4 °C) and during heatwaves (~1.5 – 2.3 °C). While thermal effects are not exclusively positive, our results indicate that canals can improve thermal comfort and reduce heat risk, with related benefits for population health and wellbeing.</w:t>
      </w:r>
    </w:p>
    <w:p>
      <w:pPr>
        <w:spacing w:before="120" w:after="120"/>
      </w:pPr>
      <w:r>
        <w:rPr>
          <w:sz w:val="18"/>
        </w:rPr>
        <w:t>——————————————————————————————————————————————————————————————————————</w:t>
      </w:r>
    </w:p>
    <w:p>
      <w:pPr>
        <w:spacing w:before="160" w:after="40" w:line="240" w:lineRule="auto"/>
      </w:pPr>
      <w:r>
        <w:rPr>
          <w:b/>
        </w:rPr>
        <w:t xml:space="preserve">[28] </w:t>
      </w:r>
      <w:hyperlink r:id="rId508">
        <w:r>
          <w:rPr>
            <w:color w:val="1155CC"/>
            <w:u w:val="single"/>
          </w:rPr>
          <w:t>通过填充床反应器中的原位电化学再生克服催化剂失活，实现长寿命的废水净化</w:t>
        </w:r>
      </w:hyperlink>
    </w:p>
    <w:p>
      <w:pPr>
        <w:spacing w:before="0" w:after="80"/>
      </w:pPr>
      <w:r>
        <w:rPr>
          <w:i/>
          <w:sz w:val="20"/>
        </w:rPr>
        <w:t>EN: Overcoming catalyst deactivation with in-situ electrochemical regeneration in packed-bed reactors enabling long-lived wastewater purification</w:t>
      </w:r>
    </w:p>
    <w:p>
      <w:pPr>
        <w:spacing w:before="0" w:after="120"/>
      </w:pPr>
      <w:r>
        <w:rPr>
          <w:b/>
        </w:rPr>
        <w:t xml:space="preserve">Source: </w:t>
      </w:r>
      <w:r>
        <w:t>Earth and environmental sciences : Nature Communications subject feeds</w:t>
      </w:r>
      <w:r>
        <w:t xml:space="preserve">    </w:t>
      </w:r>
      <w:r>
        <w:rPr>
          <w:b/>
        </w:rPr>
        <w:t xml:space="preserve">Pub date: </w:t>
      </w:r>
      <w:r>
        <w:t>2026-08-10 00:00:00+00:00</w:t>
      </w:r>
    </w:p>
    <w:p>
      <w:pPr>
        <w:spacing w:before="0" w:after="120"/>
      </w:pPr>
      <w:r>
        <w:rPr>
          <w:b/>
        </w:rPr>
        <w:t xml:space="preserve">Notes: </w:t>
      </w:r>
      <w:r>
        <w:t>abstract_source=nature_html</w:t>
      </w:r>
    </w:p>
    <w:p>
      <w:pPr>
        <w:spacing w:before="0" w:after="80" w:lineRule="auto" w:line="276"/>
      </w:pPr>
      <w:r>
        <w:rPr>
          <w:b/>
        </w:rPr>
        <w:t xml:space="preserve">摘要（ZH）: </w:t>
      </w:r>
      <w:r>
        <w:t>非均相高级氧化工艺（HG-AOP）可以有效去除持久性污染物，但受到聚合物沉积物催化剂失活以及能源和化学密集型再生的限制。我们报告了一种导电填充床反应器，它将连续处理与原位电化学再生结合起来，保持对不同污染物和复杂基质的高污染物去除率。当催化剂因失活而失去活性时，使用温和的电流和低成本的 H2O2 即可恢复性能，而无需反应器停机。机理分析表明，电化学调制降低了表面疏脂性，削弱了聚合物产品与催化剂之间的相互作用，从而使其解吸。同时，电生成的·OH促进残留酚类聚合物偶联成不溶性聚集体并矿化醌型化合物，恢复界面质量和电子传递。工业焦化废水可以使用串并联反应器系统进行连续处理，该系统在氧化阶段和再生阶段之间交替。这种方法在超过 300 小时的运行中保持了 80% 以上的总有机碳去除效率。与传统的高级氧化工艺相比，该策略可降低约 68% 的运营成本，最大限度地减少外部化学品输入，并避免高温再生。反应器架构和再生逻辑具有可扩展性，与分布式部署兼容，并且易于改造现有装置，从而提供了延长催化剂寿命的可持续途径</w:t>
      </w:r>
    </w:p>
    <w:p>
      <w:pPr>
        <w:spacing w:before="0" w:after="200" w:lineRule="auto" w:line="276"/>
      </w:pPr>
      <w:r>
        <w:rPr>
          <w:b/>
        </w:rPr>
        <w:t xml:space="preserve">Abstract (EN): </w:t>
      </w:r>
      <w:r>
        <w:t>Heterogeneous advanced oxidation processes (HG-AOPs) can efficiently remove persistent pollutants but are constrained by catalyst deactivation from polymeric deposits and by energy- and chemical-intensive regeneration. We report a conductive packed-bed reactor that couples continuous treatment with in-situ electrochemical regeneration, maintaining high pollutant removal across diverse contaminants and complex matrices. Upon loss of activity due to catalyst deactivation, applying a mild current with low-cost H2O2 restores performance without reactor downtime. Mechanistic analyses show that electrochemical modulation lowers surface lipophobicity and weakens the interaction between polymeric products and the catalyst, enabling their desorption. Meanwhile, electrogenerated •OH promotes the coupling of residual phenolic polymers into insoluble aggregates and mineralizes quinoid compounds, recovering interfacial mass and electron transfer. Industrial coking wastewater can be continuously treated using a series-parallel reactor system, which alternates between oxidation and regeneration phases. This approach maintains over 80% total organic carbon removal efficiency for more than 300 hours of operation. Compared with conventional advanced oxidation processes, this strategy reduces operating costs by ~68%, minimizes external chemical inputs, and avoids high-temperature regeneration. The reactor architecture and regeneration logic are scalable, compatible with distributed deployments, and readily retrofittable to existing units, providing a sustainable pathway to extend catalyst lifetimes, lower resource intensity, and advance next-generation oxidation technologies.</w:t>
      </w:r>
    </w:p>
    <w:p>
      <w:pPr>
        <w:spacing w:before="120" w:after="120"/>
      </w:pPr>
      <w:r>
        <w:rPr>
          <w:sz w:val="18"/>
        </w:rPr>
        <w:t>——————————————————————————————————————————————————————————————————————</w:t>
      </w:r>
    </w:p>
    <w:p>
      <w:pPr>
        <w:spacing w:before="160" w:after="40" w:line="240" w:lineRule="auto"/>
      </w:pPr>
      <w:r>
        <w:rPr>
          <w:b/>
        </w:rPr>
        <w:t xml:space="preserve">[29] </w:t>
      </w:r>
      <w:hyperlink r:id="rId509">
        <w:r>
          <w:rPr>
            <w:color w:val="1155CC"/>
            <w:u w:val="single"/>
          </w:rPr>
          <w:t>具有低骨架缺陷和抑制铝分区的 ZSM-5 纳米片的一锅顺序碱-酸路线</w:t>
        </w:r>
      </w:hyperlink>
    </w:p>
    <w:p>
      <w:pPr>
        <w:spacing w:before="0" w:after="80"/>
      </w:pPr>
      <w:r>
        <w:rPr>
          <w:i/>
          <w:sz w:val="20"/>
        </w:rPr>
        <w:t>EN: One-Pot Sequential Alkaline-Acid Route to ZSM-5 Nanosheets with Low Framework Defects and Suppressed Aluminum Zoning</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510">
        <w:r>
          <w:rPr>
            <w:color w:val="1155CC"/>
            <w:u w:val="single"/>
          </w:rPr>
          <w:t>10.1021/jacs.6c12379</w:t>
        </w:r>
      </w:hyperlink>
    </w:p>
    <w:p>
      <w:pPr>
        <w:spacing w:before="0" w:after="120"/>
      </w:pPr>
      <w:r>
        <w:rPr>
          <w:b/>
        </w:rPr>
        <w:t xml:space="preserve">Notes: </w:t>
      </w:r>
      <w:r>
        <w:t>abstract_source=crossref</w:t>
      </w:r>
    </w:p>
    <w:p>
      <w:pPr>
        <w:spacing w:before="0" w:after="80" w:lineRule="auto" w:line="276"/>
      </w:pPr>
      <w:r>
        <w:rPr>
          <w:b/>
        </w:rPr>
        <w:t xml:space="preserve">摘要（ZH）: </w:t>
      </w:r>
      <w:r>
        <w:t>摘要 沸石的强碱性合成是有效的，但通常会在外部酸度升高的情况下诱发硅烷醇缺陷和铝分区，而酸性或近中性路线通常依赖于氟化物矿化或预制晶种来维持结晶。在这里，我们报告了一种无氟化物、无种子、一锅连续碱-酸策略，该策略在接近中性酸性条件下提供高产率的 ZSM-5 纳米片。在该路线中，初始的碱性阶段促进了丰富的前体核的形成，而随后的近中性阶段使结晶接近完全，从而克服了非碱性介质中缓慢的自发成核。所获得的纳米片具有减少的硅烷醇相关缺陷、增强的骨架Al掺入和减弱的外部区域Al富集，同时具有较低的外部/近表面布朗斯台德酸度和较低比例的邻近Al位点。酸化pH值和时间的系统变化表明，较低的合成碱度促进片状形态，减少与硅烷醇相关的缺陷，并降低外部/近表面布朗斯台德酸度，而生长拐点后的延迟酸化导致更强的Al排出和更明显的外部区域Al富集。结晶跟踪与 NaOH 蚀刻一起揭示了在近中性酸性条件下优先的 c 轴伸长和减弱的 Al 排出过程，从而解释了最终纳米片中外部区域 Al 富集的减少和 Al 对分数的降低。使用 1,3,5-三异丙基苯裂解进行催化探测</w:t>
      </w:r>
    </w:p>
    <w:p>
      <w:pPr>
        <w:spacing w:before="0" w:after="200" w:lineRule="auto" w:line="276"/>
      </w:pPr>
      <w:r>
        <w:rPr>
          <w:b/>
        </w:rPr>
        <w:t xml:space="preserve">Abstract (EN): </w:t>
      </w:r>
      <w:r>
        <w:t>Strongly alkaline synthesis of zeolites is efficient, yet often induces silanol defects and Al zoning with elevated external acidity, while acid- or near-neutral routes commonly depend on fluoride mineralization or preformed seeds to sustain crystallization. Here, we report a fluoride-free, seed-free, one-pot sequential alkaline-acid strategy that affords high-yield ZSM-5 nanosheets under near-neutral acidic conditions. In this route, the initial alkaline stage promotes the formation of abundant precursor nuclei, while the subsequent near-neutral stage enables near-complete crystallization, thereby overcoming sluggish spontaneous nucleation in nonalkaline media. The obtained nanosheets possess reduced silanol-related defects, enhanced framework Al incorporation, and weakened outer-region Al enrichment, accompanied by lower external/near-surface Brønsted acidity and a low fraction of proximate Al sites. Systematic variation of acidification pH and timing shows that lower synthesis alkalinity promotes sheet-like morphology, reduces silanol-related defects, and decreases external/near-surface Brønsted acidity, whereas delayed acidification after the growth inflection point leads to stronger Al expulsion and more pronounced outer-region Al enrichment. Crystallization tracking, together with NaOH etching, reveals preferential c-axis elongation and a weakened Al expulsion process under near-neutral acidic conditions, accounting for reduced outer-region Al enrichment and lower Al-pair fraction in the final nanosheets. Catalytic probing using 1,3,5-triisopropylbenzene cracking confirms reduced external/near-surface acidity, while lactic acid-to-lactide conversion tests show improved shape-selective performance with reduced coke formation. This work provides a practical strategy for simultaneously regulating silanol-related defects, framework Al distribution, and acid-site accessibility in ZSM-5 nanosheets.</w:t>
      </w:r>
    </w:p>
    <w:p>
      <w:pPr>
        <w:spacing w:before="120" w:after="120"/>
      </w:pPr>
      <w:r>
        <w:rPr>
          <w:sz w:val="18"/>
        </w:rPr>
        <w:t>——————————————————————————————————————————————————————————————————————</w:t>
      </w:r>
    </w:p>
    <w:p>
      <w:pPr>
        <w:spacing w:before="160" w:after="40" w:line="240" w:lineRule="auto"/>
      </w:pPr>
      <w:r>
        <w:rPr>
          <w:b/>
        </w:rPr>
        <w:t xml:space="preserve">[30] </w:t>
      </w:r>
      <w:hyperlink r:id="rId511">
        <w:r>
          <w:rPr>
            <w:color w:val="1155CC"/>
            <w:u w:val="single"/>
          </w:rPr>
          <w:t>聚合物吸附剂作为低温蒸馏轻质烃纯化的节能替代品</w:t>
        </w:r>
      </w:hyperlink>
    </w:p>
    <w:p>
      <w:pPr>
        <w:spacing w:before="0" w:after="80"/>
      </w:pPr>
      <w:r>
        <w:rPr>
          <w:i/>
          <w:sz w:val="20"/>
        </w:rPr>
        <w:t>EN: Polymeric Sorbents as Energy‐Efficient Alternative to Cryogenic Distillation for Light Hydrocarbon Purification</w:t>
      </w:r>
    </w:p>
    <w:p>
      <w:pPr>
        <w:spacing w:before="0" w:after="120"/>
      </w:pPr>
      <w:r>
        <w:rPr>
          <w:b/>
        </w:rPr>
        <w:t xml:space="preserve">Source: </w:t>
      </w:r>
      <w:r>
        <w:t>Wiley: Advanced Materials: Table of Contents</w:t>
      </w:r>
      <w:r>
        <w:t xml:space="preserve">    </w:t>
      </w:r>
      <w:r>
        <w:rPr>
          <w:b/>
        </w:rPr>
        <w:t xml:space="preserve">Pub date: </w:t>
      </w:r>
      <w:r>
        <w:t>2026-08-10 08:11:11+00:00</w:t>
      </w:r>
      <w:r>
        <w:t xml:space="preserve">    </w:t>
      </w:r>
      <w:r>
        <w:rPr>
          <w:b/>
        </w:rPr>
        <w:t xml:space="preserve">DOI: </w:t>
      </w:r>
      <w:hyperlink r:id="rId512">
        <w:r>
          <w:rPr>
            <w:color w:val="1155CC"/>
            <w:u w:val="single"/>
          </w:rPr>
          <w:t>10.1002/adma.74471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轻质烃是燃料、聚合物制造、化肥生产等必需的气态化合物。尽管这些气体具有重要的工业和家庭意义，但其有效回收和净化仍然具有挑战性。它们在环境温度和压力下以气态存在，通常从含有多种接近沸点烃的天然气流中回收。目前，低温蒸馏是其分离纯化的常用方法。它是根据它们的沸点差异来运行的，这相当于大量的能源消耗。为了解决这一限制，基于吸附的技术被认为是轻质烃纯化的节能替代方案。为此，多孔聚合物网络（PPN）等聚合物吸附剂因其坚固性、稳定性和可扩展性而成为潜在的替代品。本综述对低温蒸馏、轻质烃的应用以及使用聚合物吸附剂纯化轻质烃的进展进行了广泛的讨论。此外，还广泛研究了聚合物吸附剂的孔结构、稳定性和技术经济可行性，涵盖当前进展、客体分子分离机制、表征技术和仍然遇到的障碍。总体而言，由于它们在轻质烃分离中的应用仍然是一个不断发展的领域，因此本次审查将通过提供必要的专业知识和路线图来促进稳健的设计</w:t>
      </w:r>
    </w:p>
    <w:p>
      <w:pPr>
        <w:spacing w:before="0" w:after="200" w:lineRule="auto" w:line="276"/>
      </w:pPr>
      <w:r>
        <w:rPr>
          <w:b/>
        </w:rPr>
        <w:t xml:space="preserve">Abstract (EN): </w:t>
      </w:r>
      <w:r>
        <w:t>Light hydrocarbons are essential gaseous compounds for fuel, polymer manufacturing, fertilizer production, and so forth. The efficient recovery and purification of these gases are still challenging despite their significant industrial and domestic relevance. They exist in the gaseous state under ambient temperature and pressure and are typically recovered from natural gas streams containing multiple close‐boiling‐point hydrocarbons. So far, cryogenic distillation is the commonly used method for their separation and purification. It operates based on their boiling‐point differences, which amounts to significant energy consumption. To address this limitation, adsorption‐based technology is considered an energy‐efficient alternative for the purification of light hydrocarbons. To this effect, polymeric sorbents such as porous polymer networks (PPNs) are a potential alternative due to their robustness, stability, and scalability. This review provides an extensive discussion on cryogenic distillation, applications of light hydrocarbons, and progress in light hydrocarbon purification using polymeric sorbents. Additionally, the pore structure, stability, and techno–economic feasibility of the polymeric sorbents were extensively examined, covering current progress, mechanism of guest molecule separation, characterization techniques, and hurdles still encountered. Overall, since their application in light hydrocarbon separation is still an evolving field, this review will facilitate robust designs by providing the necessary know‐how and roadmaps needed for advancement.</w:t>
      </w:r>
    </w:p>
    <w:p>
      <w:pPr>
        <w:spacing w:before="120" w:after="120"/>
      </w:pPr>
      <w:r>
        <w:rPr>
          <w:sz w:val="18"/>
        </w:rPr>
        <w:t>——————————————————————————————————————————————————————————————————————</w:t>
      </w:r>
    </w:p>
    <w:p>
      <w:pPr>
        <w:spacing w:before="160" w:after="40" w:line="240" w:lineRule="auto"/>
      </w:pPr>
      <w:r>
        <w:rPr>
          <w:b/>
        </w:rPr>
        <w:t xml:space="preserve">[31] </w:t>
      </w:r>
      <w:hyperlink r:id="rId513">
        <w:r>
          <w:rPr>
            <w:color w:val="1155CC"/>
            <w:u w:val="single"/>
          </w:rPr>
          <w:t>河流运输对气候的影响惊人</w:t>
        </w:r>
      </w:hyperlink>
    </w:p>
    <w:p>
      <w:pPr>
        <w:spacing w:before="0" w:after="80"/>
      </w:pPr>
      <w:r>
        <w:rPr>
          <w:i/>
          <w:sz w:val="20"/>
        </w:rPr>
        <w:t>EN: Shipping on rivers packs a surprisingly large climate punch</w:t>
      </w:r>
    </w:p>
    <w:p>
      <w:pPr>
        <w:spacing w:before="0" w:after="120"/>
      </w:pPr>
      <w:r>
        <w:rPr>
          <w:b/>
        </w:rPr>
        <w:t xml:space="preserve">Source: </w:t>
      </w:r>
      <w:r>
        <w:t>Nature</w:t>
      </w:r>
      <w:r>
        <w:t xml:space="preserve">    </w:t>
      </w:r>
      <w:r>
        <w:rPr>
          <w:b/>
        </w:rPr>
        <w:t xml:space="preserve">Pub date: </w:t>
      </w:r>
      <w:r>
        <w:t>2026-08-11 00:00:00+00:00</w:t>
      </w:r>
      <w:r>
        <w:t xml:space="preserve">    </w:t>
      </w:r>
      <w:r>
        <w:rPr>
          <w:b/>
        </w:rPr>
        <w:t xml:space="preserve">DOI: </w:t>
      </w:r>
      <w:hyperlink r:id="rId514">
        <w:r>
          <w:rPr>
            <w:color w:val="1155CC"/>
            <w:u w:val="single"/>
          </w:rPr>
          <w:t>10.1038/d41586-026-02431-6</w:t>
        </w:r>
      </w:hyperlink>
    </w:p>
    <w:p>
      <w:pPr>
        <w:spacing w:before="0" w:after="120"/>
      </w:pPr>
      <w:r>
        <w:rPr>
          <w:b/>
        </w:rPr>
        <w:t xml:space="preserve">Notes: </w:t>
      </w:r>
      <w:r>
        <w:t>abstract_source=rss_nature</w:t>
      </w:r>
    </w:p>
    <w:p>
      <w:pPr>
        <w:spacing w:before="0" w:after="80" w:lineRule="auto" w:line="276"/>
      </w:pPr>
      <w:r>
        <w:rPr>
          <w:b/>
        </w:rPr>
        <w:t xml:space="preserve">摘要（ZH）: </w:t>
      </w:r>
      <w:r>
        <w:t>内陆水道不断增长的交通量可以提供减少排放的机会。</w:t>
      </w:r>
    </w:p>
    <w:p>
      <w:pPr>
        <w:spacing w:before="0" w:after="200" w:lineRule="auto" w:line="276"/>
      </w:pPr>
      <w:r>
        <w:rPr>
          <w:b/>
        </w:rPr>
        <w:t xml:space="preserve">Abstract (EN): </w:t>
      </w:r>
      <w:r>
        <w:t>Growing traffic on inland waterways could offer an opportunity for cutting emissions.</w:t>
      </w:r>
    </w:p>
    <w:p>
      <w:pPr>
        <w:spacing w:before="120" w:after="120"/>
      </w:pPr>
      <w:r>
        <w:rPr>
          <w:sz w:val="18"/>
        </w:rPr>
        <w:t>——————————————————————————————————————————————————————————————————————</w:t>
      </w:r>
    </w:p>
    <w:p>
      <w:pPr>
        <w:spacing w:before="160" w:after="40" w:line="240" w:lineRule="auto"/>
      </w:pPr>
      <w:r>
        <w:rPr>
          <w:b/>
        </w:rPr>
        <w:t xml:space="preserve">[32] </w:t>
      </w:r>
      <w:hyperlink r:id="rId515">
        <w:r>
          <w:rPr>
            <w:color w:val="1155CC"/>
            <w:u w:val="single"/>
          </w:rPr>
          <w:t>一种新颖的 V2X 协同优化方法，用于混合动力矿用卡车的能量管理和运动控制</w:t>
        </w:r>
      </w:hyperlink>
    </w:p>
    <w:p>
      <w:pPr>
        <w:spacing w:before="0" w:after="80"/>
      </w:pPr>
      <w:r>
        <w:rPr>
          <w:i/>
          <w:sz w:val="20"/>
        </w:rPr>
        <w:t>EN: A novel V2X-enabled co-optimization method for energy management and motion control of hybrid mining trucks</w:t>
      </w:r>
    </w:p>
    <w:p>
      <w:pPr>
        <w:spacing w:before="0" w:after="120"/>
      </w:pPr>
      <w:r>
        <w:rPr>
          <w:b/>
        </w:rPr>
        <w:t xml:space="preserve">Source: </w:t>
      </w:r>
      <w:r>
        <w:t>ScienceDirect Publication: Applied Energy</w:t>
      </w:r>
      <w:r>
        <w:t xml:space="preserve">    </w:t>
      </w:r>
      <w:r>
        <w:rPr>
          <w:b/>
        </w:rPr>
        <w:t xml:space="preserve">Pub date: </w:t>
      </w:r>
      <w:r>
        <w:t>2026-08-11 00:00:00+00:00</w:t>
      </w:r>
      <w:r>
        <w:t xml:space="preserve">    </w:t>
      </w:r>
      <w:r>
        <w:rPr>
          <w:b/>
        </w:rPr>
        <w:t xml:space="preserve">DOI: </w:t>
      </w:r>
      <w:hyperlink r:id="rId516">
        <w:r>
          <w:rPr>
            <w:color w:val="1155CC"/>
            <w:u w:val="single"/>
          </w:rPr>
          <w:t>10.1016/j.apenergy.2026.128648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517">
        <w:r>
          <w:rPr>
            <w:color w:val="1155CC"/>
            <w:u w:val="single"/>
          </w:rPr>
          <w:t>零碳产业园区时空脱钩协调规划</w:t>
        </w:r>
      </w:hyperlink>
    </w:p>
    <w:p>
      <w:pPr>
        <w:spacing w:before="0" w:after="80"/>
      </w:pPr>
      <w:r>
        <w:rPr>
          <w:i/>
          <w:sz w:val="20"/>
        </w:rPr>
        <w:t>EN: Spatiotemporal decoupled coordinated planning for zero-carbon industrial parks</w:t>
      </w:r>
    </w:p>
    <w:p>
      <w:pPr>
        <w:spacing w:before="0" w:after="120"/>
      </w:pPr>
      <w:r>
        <w:rPr>
          <w:b/>
        </w:rPr>
        <w:t xml:space="preserve">Source: </w:t>
      </w:r>
      <w:r>
        <w:t>ScienceDirect Publication: Applied Energy</w:t>
      </w:r>
      <w:r>
        <w:t xml:space="preserve">    </w:t>
      </w:r>
      <w:r>
        <w:rPr>
          <w:b/>
        </w:rPr>
        <w:t xml:space="preserve">Pub date: </w:t>
      </w:r>
      <w:r>
        <w:t>2026-08-11 00:00:00+00:00</w:t>
      </w:r>
      <w:r>
        <w:t xml:space="preserve">    </w:t>
      </w:r>
      <w:r>
        <w:rPr>
          <w:b/>
        </w:rPr>
        <w:t xml:space="preserve">DOI: </w:t>
      </w:r>
      <w:hyperlink r:id="rId518">
        <w:r>
          <w:rPr>
            <w:color w:val="1155CC"/>
            <w:u w:val="single"/>
          </w:rPr>
          <w:t>10.1016/j.apenergy.2026.128635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519">
        <w:r>
          <w:rPr>
            <w:color w:val="1155CC"/>
            <w:u w:val="single"/>
          </w:rPr>
          <w:t>交通运输部门能源转型的财政和社会经济影响：巴斯克地区的案例</w:t>
        </w:r>
      </w:hyperlink>
    </w:p>
    <w:p>
      <w:pPr>
        <w:spacing w:before="0" w:after="80"/>
      </w:pPr>
      <w:r>
        <w:rPr>
          <w:i/>
          <w:sz w:val="20"/>
        </w:rPr>
        <w:t>EN: The fiscal and socioeconomic impact of the energy transition in the transport sector: The case of the Basque Country</w:t>
      </w:r>
    </w:p>
    <w:p>
      <w:pPr>
        <w:spacing w:before="0" w:after="120"/>
      </w:pPr>
      <w:r>
        <w:rPr>
          <w:b/>
        </w:rPr>
        <w:t xml:space="preserve">Source: </w:t>
      </w:r>
      <w:r>
        <w:t>ScienceDirect Publication: Energy Policy</w:t>
      </w:r>
      <w:r>
        <w:t xml:space="preserve">    </w:t>
      </w:r>
      <w:r>
        <w:rPr>
          <w:b/>
        </w:rPr>
        <w:t xml:space="preserve">Pub date: </w:t>
      </w:r>
      <w:r>
        <w:t>2026-08-11 00:00:00+00:00</w:t>
      </w:r>
      <w:r>
        <w:t xml:space="preserve">    </w:t>
      </w:r>
      <w:r>
        <w:rPr>
          <w:b/>
        </w:rPr>
        <w:t xml:space="preserve">DOI: </w:t>
      </w:r>
      <w:hyperlink r:id="rId520">
        <w:r>
          <w:rPr>
            <w:color w:val="1155CC"/>
            <w:u w:val="single"/>
          </w:rPr>
          <w:t>10.1016/j.enpol.2026.115534</w:t>
        </w:r>
      </w:hyperlink>
    </w:p>
    <w:p>
      <w:pPr>
        <w:spacing w:before="0" w:after="120"/>
      </w:pPr>
      <w:r>
        <w:rPr>
          <w:b/>
        </w:rPr>
        <w:t xml:space="preserve">Notes: </w:t>
      </w:r>
      <w:r>
        <w:t>abstract_source=openalex</w:t>
      </w:r>
    </w:p>
    <w:p>
      <w:pPr>
        <w:spacing w:before="0" w:after="80" w:lineRule="auto" w:line="276"/>
      </w:pPr>
      <w:r>
        <w:rPr>
          <w:b/>
        </w:rPr>
        <w:t xml:space="preserve">摘要（ZH）: </w:t>
      </w:r>
      <w:r>
        <w:t>本文根据欧洲绿色协议的目标，分析了 2050 年气候中和经济转型所面临的财政挑战。它侧重于区域层面，并研究了巴斯克地区（欧盟财政实力最强的次国家实体之一），旨在量化交通部门脱碳对公共财政的影响。为此，它应用了DERIO，一种动态计量经济学新凯恩斯主义投入产出模型，旨在评估区域层面的情景和政策的经济影响，特别是与能源和气候变化相关的情景和政策。我们的分析表明，交通电气化增加了生产税、收入税、财富税、企业利润以及社会保障缴款的收入。然而，它减少了产品税收收入，导致公共收入总体净下降。研究结果凸显了转型期间发挥作用的复杂的跨部门传导机制，并为面对重大结构性变化时设计收入稳定的财政框架提供了可行的见解。</w:t>
      </w:r>
    </w:p>
    <w:p>
      <w:pPr>
        <w:spacing w:before="0" w:after="200" w:lineRule="auto" w:line="276"/>
      </w:pPr>
      <w:r>
        <w:rPr>
          <w:b/>
        </w:rPr>
        <w:t xml:space="preserve">Abstract (EN): </w:t>
      </w:r>
      <w:r>
        <w:t>This paper analyses the fiscal challenges of the climate-neutral economy transition by 2050 in line with the European Green Deal's goals. It focuses on the regional level and examines the Basque Country, one of the sub-state entities with the greatest fiscal power in the European Union, and aims to quantify the implications of decarbonising the transport sector for public finances. To this end, it applies DERIO, a dynamic econometric New Keynesian Input-Output model, designed to evaluate the economic effects of scenarios and policies at regional level, particularly those related to energy and climate change. Our analysis indicates that transport electrification increases revenues from taxes on production, income, wealth, and corporate profits, as well as social-security contributions. However, it reduces receipts from taxes on products and yields an overall net decline in public revenues. The results highlight the complex, cross-sectoral transmission mechanisms at play during the transition and offer actionable insights for designing revenue-stable fiscal frameworks in the face of large structural changes.</w:t>
      </w:r>
    </w:p>
    <w:p>
      <w:pPr>
        <w:spacing w:before="120" w:after="120"/>
      </w:pPr>
      <w:r>
        <w:rPr>
          <w:sz w:val="18"/>
        </w:rPr>
        <w:t>——————————————————————————————————————————————————————————————————————</w:t>
      </w:r>
    </w:p>
    <w:p>
      <w:pPr>
        <w:spacing w:before="160" w:after="40" w:line="240" w:lineRule="auto"/>
      </w:pPr>
      <w:r>
        <w:rPr>
          <w:b/>
        </w:rPr>
        <w:t xml:space="preserve">[35] </w:t>
      </w:r>
      <w:hyperlink r:id="rId521">
        <w:r>
          <w:rPr>
            <w:color w:val="1155CC"/>
            <w:u w:val="single"/>
          </w:rPr>
          <w:t>克服甲烷等离子催化转化为乙烯的转化-选择性权衡</w:t>
        </w:r>
      </w:hyperlink>
    </w:p>
    <w:p>
      <w:pPr>
        <w:spacing w:before="0" w:after="80"/>
      </w:pPr>
      <w:r>
        <w:rPr>
          <w:i/>
          <w:sz w:val="20"/>
        </w:rPr>
        <w:t>EN: Overcoming the conversion-selectivity trade-off in plasma catalytic conversion of methane to ethylene</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非热等离子体（NTP）是一种在室温下活化甲烷的有前途的方法，使其能够在温和条件下直接转化为乙烯。然而，高能耗以及甲烷转化率和乙烯选择性之间的权衡限制了其工业应用。在此，我们报道了一种纯二氧化硅自柱五元硅（SPP）沸石催化剂，该催化剂能够在室温下非热等离子体活化下将甲烷有效转化为乙烯。该等离子体催化系统在大气压下可实现 58.8% 的优异乙烯选择性和 52 mmol/MJ 的能量产率。机理研究表明，自柱五元硅催化剂上的孤立羟基可以稳定气态甲基自由基，促进碳-碳偶联和甲烷解离。催化剂颗粒之间的受限等离子体选择性地抑制关键C2H5中间体的进一步氢化和甲基化，从而实现高乙烯选择性。通过系统地调整边界条件，乙烯收率达到 40%，超过了等离子体和热催化工艺的基准。</w:t>
      </w:r>
    </w:p>
    <w:p>
      <w:pPr>
        <w:spacing w:before="0" w:after="200" w:lineRule="auto" w:line="276"/>
      </w:pPr>
      <w:r>
        <w:rPr>
          <w:b/>
        </w:rPr>
        <w:t xml:space="preserve">Abstract (EN): </w:t>
      </w:r>
      <w:r>
        <w:t>Non-thermal plasma (NTP) is a promising approach for activating methane at room temperature, enabling its direct conversion to ethylene under mild conditions. However, the high energy consumption and the trade-off between methane conversion and ethylene selectivity limit its industrial application. Herein, we report a pure-silica self-pillared pentasil (SPP) zeolite catalyst that enables efficient methane conversion to ethylene under non-thermal plasma activation at room temperature. This plasma-catalytic system achieves an exceptional ethylene selectivity of 58.8% with an energy yield of 52 mmol/MJ at atmospheric pressure. Mechanistic studies reveal that isolated hydroxyl groups on the self-pillared pentasil catalyst stabilize gaseous methyl radicals, promoting carbon–carbon coupling and methane dissociation. The confined plasma between catalyst granules selectively suppresses further hydrogenation and methylation of the key C2H5 intermediate, thereby achieving high ethylene selectivity. By systematically adjusting boundary conditions, an ethylene yield of 40% is achieved, surpassing the benchmarks of both plasma and thermal catalytic processes.</w:t>
      </w:r>
    </w:p>
    <w:p>
      <w:pPr>
        <w:spacing w:before="120" w:after="120"/>
      </w:pPr>
      <w:r>
        <w:rPr>
          <w:sz w:val="18"/>
        </w:rPr>
        <w:t>——————————————————————————————————————————————————————————————————————</w:t>
      </w:r>
    </w:p>
    <w:p>
      <w:pPr>
        <w:spacing w:before="160" w:after="40" w:line="240" w:lineRule="auto"/>
      </w:pPr>
      <w:r>
        <w:rPr>
          <w:b/>
        </w:rPr>
        <w:t xml:space="preserve">[36] </w:t>
      </w:r>
      <w:hyperlink r:id="rId522">
        <w:r>
          <w:rPr>
            <w:color w:val="1155CC"/>
            <w:u w:val="single"/>
          </w:rPr>
          <w:t>双功能能量再生悬架支持 AIoT，用于能量收集和自我感知，以提高燃油动力和电池电动汽车的性能</w:t>
        </w:r>
      </w:hyperlink>
    </w:p>
    <w:p>
      <w:pPr>
        <w:spacing w:before="0" w:after="80"/>
      </w:pPr>
      <w:r>
        <w:rPr>
          <w:i/>
          <w:sz w:val="20"/>
        </w:rPr>
        <w:t>EN: A dual-function energy regenerative suspension supported AIoT for energy harvesting and self-sensing to enhance the performance of fuel-powered and battery electric vehicles</w:t>
      </w:r>
    </w:p>
    <w:p>
      <w:pPr>
        <w:spacing w:before="0" w:after="120"/>
      </w:pPr>
      <w:r>
        <w:rPr>
          <w:b/>
        </w:rPr>
        <w:t xml:space="preserve">Source: </w:t>
      </w:r>
      <w:r>
        <w:t>ScienceDirect Publication: Applied Energy</w:t>
      </w:r>
      <w:r>
        <w:t xml:space="preserve">    </w:t>
      </w:r>
      <w:r>
        <w:rPr>
          <w:b/>
        </w:rPr>
        <w:t xml:space="preserve">Pub date: </w:t>
      </w:r>
      <w:r>
        <w:t>2026-08-12 00:00:00+00:00</w:t>
      </w:r>
      <w:r>
        <w:t xml:space="preserve">    </w:t>
      </w:r>
      <w:r>
        <w:rPr>
          <w:b/>
        </w:rPr>
        <w:t xml:space="preserve">DOI: </w:t>
      </w:r>
      <w:hyperlink r:id="rId523">
        <w:r>
          <w:rPr>
            <w:color w:val="1155CC"/>
            <w:u w:val="single"/>
          </w:rPr>
          <w:t>10.1016/j.apenergy.2026.128630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 </w:t>
      </w:r>
      <w:hyperlink r:id="rId524">
        <w:r>
          <w:rPr>
            <w:color w:val="1155CC"/>
            <w:u w:val="single"/>
          </w:rPr>
          <w:t>Ti 掺杂诱导应变工程提高了 Ce8MnOx 的低温 NH3-SCR 脱硝性能和抗 H2O/SO2 性能</w:t>
        </w:r>
      </w:hyperlink>
    </w:p>
    <w:p>
      <w:pPr>
        <w:spacing w:before="0" w:after="80"/>
      </w:pPr>
      <w:r>
        <w:rPr>
          <w:i/>
          <w:sz w:val="20"/>
        </w:rPr>
        <w:t>EN: Ti doping-induced strain engineering boosts low-temperature NH3-SCR deNOx performance and H2O/SO2 resistance of Ce8MnOx</w:t>
      </w:r>
    </w:p>
    <w:p>
      <w:pPr>
        <w:spacing w:before="0" w:after="120"/>
      </w:pPr>
      <w:r>
        <w:rPr>
          <w:b/>
        </w:rPr>
        <w:t xml:space="preserve">Source: </w:t>
      </w:r>
      <w:r>
        <w:t>Earth and environmental sciences : Nature Communications subject feeds</w:t>
      </w:r>
      <w:r>
        <w:t xml:space="preserve">    </w:t>
      </w:r>
      <w:r>
        <w:rPr>
          <w:b/>
        </w:rPr>
        <w:t xml:space="preserve">Pub date: </w:t>
      </w:r>
      <w:r>
        <w:t>2026-08-12 00:00:00+00:00</w:t>
      </w:r>
    </w:p>
    <w:p>
      <w:pPr>
        <w:spacing w:before="0" w:after="120"/>
      </w:pPr>
      <w:r>
        <w:rPr>
          <w:b/>
        </w:rPr>
        <w:t xml:space="preserve">Notes: </w:t>
      </w:r>
      <w:r>
        <w:t>abstract_source=nature_html</w:t>
      </w:r>
    </w:p>
    <w:p>
      <w:pPr>
        <w:spacing w:before="0" w:after="80" w:lineRule="auto" w:line="276"/>
      </w:pPr>
      <w:r>
        <w:rPr>
          <w:b/>
        </w:rPr>
        <w:t xml:space="preserve">摘要（ZH）: </w:t>
      </w:r>
      <w:r>
        <w:t>铈锰氧化物催化剂的 H2O 和 SO2 中毒仍然是 NH3 低温选择性催化还原氮氧化物的关键挑战。在这里，我们发现 CeO2 中的 Ti 掺杂会引起晶格收缩和结构畸变，促进氧空位、活性氧物种和稳定的 Ce-O-Ti 界面的产生。这些应变工程结构修饰增强了表面路易斯酸度并引发 d 带中心下移，共同提高了低温催化活性和对 H2O/SO2 中毒的抵抗力。经过优化的 Ce8MnTi2.5Ox 催化剂可在 150–335 °C 的温度范围内实现超过 90% 的氮氧化物去除率。在 5 vol.% 的水和 100 ppm SO2 的条件下，它在 210 °C 下 12 小时内保持超过 98% 的效率。此外，在使用 5 vol.% H2O 和 200 ppm SO2 从 150 °C 逐步加热至 240 °C 的过程中，低于 180 °C 的初始活性抑制在 210 °C 或以上完全逆转，证明了温度驱动的再生。这项研究介绍了一种应变工程策略，用于设计用于低温氮氧化物去除的稳健催化剂。</w:t>
      </w:r>
    </w:p>
    <w:p>
      <w:pPr>
        <w:spacing w:before="0" w:after="200" w:lineRule="auto" w:line="276"/>
      </w:pPr>
      <w:r>
        <w:rPr>
          <w:b/>
        </w:rPr>
        <w:t xml:space="preserve">Abstract (EN): </w:t>
      </w:r>
      <w:r>
        <w:t>H2O and SO2 poisoning of cerium-manganese oxide catalysts remains a critical challenge for low-temperature selective catalytic reduction of nitrogen oxides by NH3. Here we show that Ti doping of CeO2 induces lattice contraction and structural distortion, promoting the generation of oxygen vacancies, active oxygen species, and stable Ce-O-Ti interfaces. These strain-engineered structural modifications enhances surface Lewis acidity and triggers a downshift of the d-band center, collectively improving low-temperature catalytic activity and resistance to H2O/SO2 poisoning. The optimized Ce8MnTi2.5Ox catalyst achieves over 90% nitrogen oxides removal across a 150–335 °C temperature range. Under 5 vol.% water and 100 ppm SO2, it maintains over 98% efficiency for 12 h at 210 °C. Furthermore, during stepwise heating from 150 °C to 240 °C with 5 vol.% H2O and 200 ppm SO2, initial activity suppression below 180 °C is fully reversed at or above 210 °C, demonstrating temperature-driven regeneration. This study introduces a strain-engineering strategy for designing robust catalysts for low-temperature nitrogen oxides removal.</w:t>
      </w:r>
    </w:p>
    <w:p>
      <w:pPr>
        <w:spacing w:before="120" w:after="120"/>
      </w:pPr>
      <w:r>
        <w:rPr>
          <w:sz w:val="18"/>
        </w:rPr>
        <w:t>——————————————————————————————————————————————————————————————————————</w:t>
      </w:r>
    </w:p>
    <w:p>
      <w:pPr>
        <w:spacing w:before="160" w:after="40" w:line="240" w:lineRule="auto"/>
      </w:pPr>
      <w:r>
        <w:rPr>
          <w:b/>
        </w:rPr>
        <w:t xml:space="preserve">[38] </w:t>
      </w:r>
      <w:hyperlink r:id="rId525">
        <w:r>
          <w:rPr>
            <w:color w:val="1155CC"/>
            <w:u w:val="single"/>
          </w:rPr>
          <w:t>通过多特征融合聚类建立不同工况下高炉煤气生成的混合预测模型</w:t>
        </w:r>
      </w:hyperlink>
    </w:p>
    <w:p>
      <w:pPr>
        <w:spacing w:before="0" w:after="80"/>
      </w:pPr>
      <w:r>
        <w:rPr>
          <w:i/>
          <w:sz w:val="20"/>
        </w:rPr>
        <w:t>EN: A hybrid prediction model for blast furnace gas generation under diverse operating conditions via multi-feature fusion clustering</w:t>
      </w:r>
    </w:p>
    <w:p>
      <w:pPr>
        <w:spacing w:before="0" w:after="120"/>
      </w:pPr>
      <w:r>
        <w:rPr>
          <w:b/>
        </w:rPr>
        <w:t xml:space="preserve">Source: </w:t>
      </w:r>
      <w:r>
        <w:t>ScienceDirect Publication: Applied Energy</w:t>
      </w:r>
      <w:r>
        <w:t xml:space="preserve">    </w:t>
      </w:r>
      <w:r>
        <w:rPr>
          <w:b/>
        </w:rPr>
        <w:t xml:space="preserve">Pub date: </w:t>
      </w:r>
      <w:r>
        <w:t>2026-08-12 00:00:00+00:00</w:t>
      </w:r>
      <w:r>
        <w:t xml:space="preserve">    </w:t>
      </w:r>
      <w:r>
        <w:rPr>
          <w:b/>
        </w:rPr>
        <w:t xml:space="preserve">DOI: </w:t>
      </w:r>
      <w:hyperlink r:id="rId526">
        <w:r>
          <w:rPr>
            <w:color w:val="1155CC"/>
            <w:u w:val="single"/>
          </w:rPr>
          <w:t>10.1016/j.apenergy.2026.128667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 </w:t>
      </w:r>
      <w:hyperlink r:id="rId317">
        <w:r>
          <w:rPr>
            <w:color w:val="1155CC"/>
            <w:u w:val="single"/>
          </w:rPr>
          <w:t>通过电气化和蓄热实现水泥生产脱碳：对电力市场和输电重新调度的影响</w:t>
        </w:r>
      </w:hyperlink>
    </w:p>
    <w:p>
      <w:pPr>
        <w:spacing w:before="0" w:after="80"/>
      </w:pPr>
      <w:r>
        <w:rPr>
          <w:i/>
          <w:sz w:val="20"/>
        </w:rPr>
        <w:t>EN: Decarbonising cement production through electrification and thermal storage: impacts on electricity markets and transmission redispatch</w:t>
      </w:r>
    </w:p>
    <w:p>
      <w:pPr>
        <w:spacing w:before="0" w:after="120"/>
      </w:pPr>
      <w:r>
        <w:rPr>
          <w:b/>
        </w:rPr>
        <w:t xml:space="preserve">Source: </w:t>
      </w:r>
      <w:r>
        <w:t>ScienceDirect Publication: Applied Energy</w:t>
      </w:r>
      <w:r>
        <w:t xml:space="preserve">    </w:t>
      </w:r>
      <w:r>
        <w:rPr>
          <w:b/>
        </w:rPr>
        <w:t xml:space="preserve">Pub date: </w:t>
      </w:r>
      <w:r>
        <w:t>2026-08-12 00:00:00+00:00</w:t>
      </w:r>
      <w:r>
        <w:t xml:space="preserve">    </w:t>
      </w:r>
      <w:r>
        <w:rPr>
          <w:b/>
        </w:rPr>
        <w:t xml:space="preserve">DOI: </w:t>
      </w:r>
      <w:hyperlink r:id="rId318">
        <w:r>
          <w:rPr>
            <w:color w:val="1155CC"/>
            <w:u w:val="single"/>
          </w:rPr>
          <w:t>10.1016/j.apenergy.2026.128666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 </w:t>
      </w:r>
      <w:hyperlink r:id="rId426">
        <w:r>
          <w:rPr>
            <w:color w:val="1155CC"/>
            <w:u w:val="single"/>
          </w:rPr>
          <w:t>推动可持续航空：欧盟监管下甲醇喷气式 eSAF 的技术经济视角和机票价格影响</w:t>
        </w:r>
      </w:hyperlink>
    </w:p>
    <w:p>
      <w:pPr>
        <w:spacing w:before="0" w:after="80"/>
      </w:pPr>
      <w:r>
        <w:rPr>
          <w:i/>
          <w:sz w:val="20"/>
        </w:rPr>
        <w:t>EN: Fuelling sustainable aviation: Techno-economic perspectives and airfare implications for methanol-to-jet eSAF under EU regulation</w:t>
      </w:r>
    </w:p>
    <w:p>
      <w:pPr>
        <w:spacing w:before="0" w:after="120"/>
      </w:pPr>
      <w:r>
        <w:rPr>
          <w:b/>
        </w:rPr>
        <w:t xml:space="preserve">Source: </w:t>
      </w:r>
      <w:r>
        <w:t>ScienceDirect Publication: Applied Energy</w:t>
      </w:r>
      <w:r>
        <w:t xml:space="preserve">    </w:t>
      </w:r>
      <w:r>
        <w:rPr>
          <w:b/>
        </w:rPr>
        <w:t xml:space="preserve">Pub date: </w:t>
      </w:r>
      <w:r>
        <w:t>2026-08-12 00:00:00+00:00</w:t>
      </w:r>
      <w:r>
        <w:t xml:space="preserve">    </w:t>
      </w:r>
      <w:r>
        <w:rPr>
          <w:b/>
        </w:rPr>
        <w:t xml:space="preserve">DOI: </w:t>
      </w:r>
      <w:hyperlink r:id="rId427">
        <w:r>
          <w:rPr>
            <w:color w:val="1155CC"/>
            <w:u w:val="single"/>
          </w:rPr>
          <w:t>10.1016/j.apenergy.2026.128622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 </w:t>
      </w:r>
      <w:hyperlink r:id="rId527">
        <w:r>
          <w:rPr>
            <w:color w:val="1155CC"/>
            <w:u w:val="single"/>
          </w:rPr>
          <w:t>深度强化学习和模型预测控制的在线神经融合，用于舒适感知的温室能源优化</w:t>
        </w:r>
      </w:hyperlink>
    </w:p>
    <w:p>
      <w:pPr>
        <w:spacing w:before="0" w:after="80"/>
      </w:pPr>
      <w:r>
        <w:rPr>
          <w:i/>
          <w:sz w:val="20"/>
        </w:rPr>
        <w:t>EN: Online neural fusion of deep reinforcement learning and model predictive control for comfort-aware greenhouse energy optimization</w:t>
      </w:r>
    </w:p>
    <w:p>
      <w:pPr>
        <w:spacing w:before="0" w:after="120"/>
      </w:pPr>
      <w:r>
        <w:rPr>
          <w:b/>
        </w:rPr>
        <w:t xml:space="preserve">Source: </w:t>
      </w:r>
      <w:r>
        <w:t>ScienceDirect Publication: Applied Energy</w:t>
      </w:r>
      <w:r>
        <w:t xml:space="preserve">    </w:t>
      </w:r>
      <w:r>
        <w:rPr>
          <w:b/>
        </w:rPr>
        <w:t xml:space="preserve">Pub date: </w:t>
      </w:r>
      <w:r>
        <w:t>2026-08-12 00:00:00+00:00</w:t>
      </w:r>
      <w:r>
        <w:t xml:space="preserve">    </w:t>
      </w:r>
      <w:r>
        <w:rPr>
          <w:b/>
        </w:rPr>
        <w:t xml:space="preserve">DOI: </w:t>
      </w:r>
      <w:hyperlink r:id="rId528">
        <w:r>
          <w:rPr>
            <w:color w:val="1155CC"/>
            <w:u w:val="single"/>
          </w:rPr>
          <w:t>10.1016/j.apenergy.2026.128621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 </w:t>
      </w:r>
      <w:hyperlink r:id="rId529">
        <w:r>
          <w:rPr>
            <w:color w:val="1155CC"/>
            <w:u w:val="single"/>
          </w:rPr>
          <w:t>分级膜分子级石油精炼</w:t>
        </w:r>
      </w:hyperlink>
    </w:p>
    <w:p>
      <w:pPr>
        <w:spacing w:before="0" w:after="80"/>
      </w:pPr>
      <w:r>
        <w:rPr>
          <w:i/>
          <w:sz w:val="20"/>
        </w:rPr>
        <w:t>EN: Molecular-level petroleum refining by graded membranes</w:t>
      </w:r>
    </w:p>
    <w:p>
      <w:pPr>
        <w:spacing w:before="0" w:after="120"/>
      </w:pPr>
      <w:r>
        <w:rPr>
          <w:b/>
        </w:rPr>
        <w:t xml:space="preserve">Source: </w:t>
      </w:r>
      <w:r>
        <w:t>National Science Review Advance Access</w:t>
      </w:r>
      <w:r>
        <w:t xml:space="preserve">    </w:t>
      </w:r>
      <w:r>
        <w:rPr>
          <w:b/>
        </w:rPr>
        <w:t xml:space="preserve">Pub date: </w:t>
      </w:r>
      <w:r>
        <w:t>2026-08-12 00:00:00+00:00</w:t>
      </w:r>
      <w:r>
        <w:t xml:space="preserve">    </w:t>
      </w:r>
      <w:r>
        <w:rPr>
          <w:b/>
        </w:rPr>
        <w:t xml:space="preserve">DOI: </w:t>
      </w:r>
      <w:hyperlink r:id="rId530">
        <w:r>
          <w:rPr>
            <w:color w:val="1155CC"/>
            <w:u w:val="single"/>
          </w:rPr>
          <w:t>10.1093/nsr/nwag488</w:t>
        </w:r>
      </w:hyperlink>
    </w:p>
    <w:p>
      <w:pPr>
        <w:spacing w:before="0" w:after="120"/>
      </w:pPr>
      <w:r>
        <w:rPr>
          <w:b/>
        </w:rPr>
        <w:t xml:space="preserve">Notes: </w:t>
      </w:r>
      <w:r>
        <w:t>abstract_source=rss_oup</w:t>
      </w:r>
    </w:p>
    <w:p>
      <w:pPr>
        <w:spacing w:before="0" w:after="80" w:lineRule="auto" w:line="276"/>
      </w:pPr>
      <w:r>
        <w:rPr>
          <w:b/>
        </w:rPr>
        <w:t xml:space="preserve">摘要（ZH）: </w:t>
      </w:r>
      <w:r>
        <w:t>轻石脑油是一种关键原料，其全部价值依赖于分子水平分馏成特定价值的物流。实现如此精确的分离仍然很困难，因为其成分表现出极其相似的物理化学性质。在这里，我们通过开发基于金属有机框架 CuBTC 的分级膜级联来应对这一挑战，其孔径和表面化学性质通过温和的单宁酸处理不断调整。创建具有不同筛分特性的膜来顺序共分离直链和单支链烷烃，然后选择性地渗透芳烃。集成级联将 15 种 C5-C7 混合物分馏成三种高纯度物流、乙烯原料、化学中间体和汽油燃料，与传统蒸馏相比，回收率达 85-90%，能耗预计降低 91%。该策略建立了一条通向分子精炼的节能途径。</w:t>
      </w:r>
    </w:p>
    <w:p>
      <w:pPr>
        <w:spacing w:before="0" w:after="200" w:lineRule="auto" w:line="276"/>
      </w:pPr>
      <w:r>
        <w:rPr>
          <w:b/>
        </w:rPr>
        <w:t xml:space="preserve">Abstract (EN): </w:t>
      </w:r>
      <w:r>
        <w:t>Light naphtha is a critical feedstock whose full value relies on molecular-level fractionation into value-specific streams. Achieving such precise separation remains difficult because its components exhibit extremely similar physicochemical properties. Here, we address this challenge by developing a graded membrane cascade based on metal-organic framework CuBTC whose pore size and surface chemistry are continuously tuned through mild tannic acid treatment. Membranes with distinct sieving characteristics were created to sequentially co-separate linear and mono-branched alkanes and then selectively permeate aromatics. The integrated cascade fractionated a 15-component C5–C7 mixture into three high-purity streams, ethylene feedstock, chemical intermediates, and gasoline fuel, with recoveries of 85–90% and an estimated 91% reduction in energy consumption compared to conventional distillation. This strategy establishes an energy-efficient route toward molecular refining.</w:t>
      </w:r>
    </w:p>
    <w:p>
      <w:pPr>
        <w:spacing w:before="120" w:after="120"/>
      </w:pPr>
      <w:r>
        <w:rPr>
          <w:sz w:val="18"/>
        </w:rPr>
        <w:t>——————————————————————————————————————————————————————————————————————</w:t>
      </w:r>
    </w:p>
    <w:p>
      <w:pPr>
        <w:spacing w:before="160" w:after="40" w:line="240" w:lineRule="auto"/>
      </w:pPr>
      <w:r>
        <w:rPr>
          <w:b/>
        </w:rPr>
        <w:t xml:space="preserve">[43] </w:t>
      </w:r>
      <w:hyperlink r:id="rId531">
        <w:r>
          <w:rPr>
            <w:color w:val="1155CC"/>
            <w:u w:val="single"/>
          </w:rPr>
          <w:t>外延氧化物界面创建用于环境催化的抗毒 CuO 位点</w:t>
        </w:r>
      </w:hyperlink>
    </w:p>
    <w:p>
      <w:pPr>
        <w:spacing w:before="0" w:after="80"/>
      </w:pPr>
      <w:r>
        <w:rPr>
          <w:i/>
          <w:sz w:val="20"/>
        </w:rPr>
        <w:t>EN: Epitaxial Oxide Interfaces Create Poison‐Resistant CuO Sites for Environmental Catalysis</w:t>
      </w:r>
    </w:p>
    <w:p>
      <w:pPr>
        <w:spacing w:before="0" w:after="120"/>
      </w:pPr>
      <w:r>
        <w:rPr>
          <w:b/>
        </w:rPr>
        <w:t xml:space="preserve">Source: </w:t>
      </w:r>
      <w:r>
        <w:t>Wiley: Angewandte Chemie International Edition: Table of Contents</w:t>
      </w:r>
      <w:r>
        <w:t xml:space="preserve">    </w:t>
      </w:r>
      <w:r>
        <w:rPr>
          <w:b/>
        </w:rPr>
        <w:t xml:space="preserve">Pub date: </w:t>
      </w:r>
      <w:r>
        <w:t>2026-08-12 17:01:49+00:00</w:t>
      </w:r>
      <w:r>
        <w:t xml:space="preserve">    </w:t>
      </w:r>
      <w:r>
        <w:rPr>
          <w:b/>
        </w:rPr>
        <w:t xml:space="preserve">DOI: </w:t>
      </w:r>
      <w:hyperlink r:id="rId532">
        <w:r>
          <w:rPr>
            <w:color w:val="1155CC"/>
            <w:u w:val="single"/>
          </w:rPr>
          <w:t>10.1002/anie.7111765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真正的废气流很少含有单一污染物：NO</w:t>
      </w:r>
      <w:r>
        <w:t xml:space="preserve"> </w:t>
      </w:r>
      <w:r>
        <w:t>x</w:t>
      </w:r>
      <w:r>
        <w:t xml:space="preserve"> </w:t>
      </w:r>
      <w:r>
        <w:t>与石化生产、化学品制造和废物焚烧产生的烟气中的挥发性有机化合物 (VOC) 共存，但催化剂可与 NH 偶联</w:t>
      </w:r>
      <w:r>
        <w:rPr>
          <w:vertAlign w:val="subscript"/>
        </w:rPr>
        <w:t>3</w:t>
      </w:r>
      <w:r>
        <w:t>‐具有 VOC 氧化作用的 SCR 通常会遭受竞争吸附、硫中毒和 HCN 副产物形成。在这里，我们在 Ti 上设计了外延稳定的 CuO 覆盖层</w:t>
      </w:r>
      <w:r>
        <w:t xml:space="preserve"> </w:t>
      </w:r>
      <w:r>
        <w:t>1-x</w:t>
      </w:r>
      <w:r>
        <w:t xml:space="preserve"> </w:t>
      </w:r>
      <w:r>
        <w:t>在</w:t>
      </w:r>
      <w:r>
        <w:t xml:space="preserve"> </w:t>
      </w:r>
      <w:r>
        <w:t>x</w:t>
      </w:r>
      <w:r>
        <w:t xml:space="preserve"> </w:t>
      </w:r>
      <w:r>
        <w:t>氧</w:t>
      </w:r>
      <w:r>
        <w:rPr>
          <w:vertAlign w:val="subscript"/>
        </w:rPr>
        <w:t>2</w:t>
      </w:r>
      <w:r>
        <w:t>通过产生贫电子、高对称性的 Cu-O 位点并激活氧化物-氧化物界面上的晶格-氧氧化还原，打破了活性-选择性-稳定性的约束。界面应变和电荷转移增加了 Cu-O 共价性和路易斯酸性，加速了 NO</w:t>
      </w:r>
      <w:r>
        <w:t xml:space="preserve"> </w:t>
      </w:r>
      <w:r>
        <w:t>x</w:t>
      </w:r>
      <w:r>
        <w:t xml:space="preserve"> </w:t>
      </w:r>
      <w:r>
        <w:t>通过 Eley–Rideal 途径还原，同时转移硫酸盐沉积远离铜。同时，界面激活的晶格氧维持CH的深度氧化</w:t>
      </w:r>
      <w:r>
        <w:rPr>
          <w:vertAlign w:val="subscript"/>
        </w:rPr>
        <w:t>3</w:t>
      </w:r>
      <w:r>
        <w:t>SH（一种代表性的 S-VOC）通过 Mars-van Krevelen 循环抑制 HCN。因此，外延界面提供了抗毒多污染物催化的通用途径。</w:t>
      </w:r>
    </w:p>
    <w:p>
      <w:pPr>
        <w:spacing w:before="0" w:after="200" w:lineRule="auto" w:line="276"/>
      </w:pPr>
      <w:r>
        <w:rPr>
          <w:b/>
        </w:rPr>
        <w:t xml:space="preserve">Abstract (EN): </w:t>
      </w:r>
      <w:r>
        <w:t>Real exhaust streams rarely contain a single pollutant: NO</w:t>
      </w:r>
      <w:r>
        <w:t xml:space="preserve"> </w:t>
      </w:r>
      <w:r>
        <w:t>x</w:t>
      </w:r>
      <w:r>
        <w:t xml:space="preserve"> </w:t>
      </w:r>
      <w:r>
        <w:t>coexists with volatile organic compounds (VOCs) in flue gas from petrochemical production, chemical manufacturing, and waste incineration, yet catalysts that couple NH</w:t>
      </w:r>
      <w:r>
        <w:rPr>
          <w:vertAlign w:val="subscript"/>
        </w:rPr>
        <w:t>3</w:t>
      </w:r>
      <w:r>
        <w:t>‐SCR with VOC oxidation typically suffer competitive adsorption, sulfur poisoning, and HCN byproduct formation. Here we engineer an epitaxially stabilized CuO overlayer on Ti</w:t>
      </w:r>
      <w:r>
        <w:t xml:space="preserve"> </w:t>
      </w:r>
      <w:r>
        <w:t>1‐x</w:t>
      </w:r>
      <w:r>
        <w:t xml:space="preserve"> </w:t>
      </w:r>
      <w:r>
        <w:t>In</w:t>
      </w:r>
      <w:r>
        <w:t xml:space="preserve"> </w:t>
      </w:r>
      <w:r>
        <w:t>x</w:t>
      </w:r>
      <w:r>
        <w:t xml:space="preserve"> </w:t>
      </w:r>
      <w:r>
        <w:t>O</w:t>
      </w:r>
      <w:r>
        <w:rPr>
          <w:vertAlign w:val="subscript"/>
        </w:rPr>
        <w:t>2</w:t>
      </w:r>
      <w:r>
        <w:t>that breaks the activity–selectivity–stability constraint by creating electron‐poor, high‐symmetry Cu–O sites and activating lattice‐oxygen redox at the oxide–oxide interface. Interfacial strain and charge transfer increase Cu–O covalency and Lewis acidity, accelerating NO</w:t>
      </w:r>
      <w:r>
        <w:t xml:space="preserve"> </w:t>
      </w:r>
      <w:r>
        <w:t>x</w:t>
      </w:r>
      <w:r>
        <w:t xml:space="preserve"> </w:t>
      </w:r>
      <w:r>
        <w:t>reduction via an Eley–Rideal pathway while diverting sulfate deposition away from Cu. Concurrently, interface‐activated lattice oxygen sustains deep oxidation of CH</w:t>
      </w:r>
      <w:r>
        <w:rPr>
          <w:vertAlign w:val="subscript"/>
        </w:rPr>
        <w:t>3</w:t>
      </w:r>
      <w:r>
        <w:t>SH (a representative S‐VOC) through a Mars–van Krevelen cycle, suppressing HCN. Epitaxial interfaces thus offer a general route to poison‐resistant multipollutant catalysis.</w:t>
      </w:r>
    </w:p>
    <w:p>
      <w:pPr>
        <w:spacing w:before="120" w:after="120"/>
      </w:pPr>
      <w:r>
        <w:rPr>
          <w:sz w:val="18"/>
        </w:rPr>
        <w:t>——————————————————————————————————————————————————————————————————————</w:t>
      </w:r>
    </w:p>
    <w:p>
      <w:pPr>
        <w:spacing w:before="160" w:after="40" w:line="240" w:lineRule="auto"/>
      </w:pPr>
      <w:r>
        <w:rPr>
          <w:b/>
        </w:rPr>
        <w:t xml:space="preserve">[44] </w:t>
      </w:r>
      <w:hyperlink r:id="rId456">
        <w:r>
          <w:rPr>
            <w:color w:val="1155CC"/>
            <w:u w:val="single"/>
          </w:rPr>
          <w:t>重型燃料电池汽车在货运脱碳中的未来作用</w:t>
        </w:r>
      </w:hyperlink>
    </w:p>
    <w:p>
      <w:pPr>
        <w:spacing w:before="0" w:after="80"/>
      </w:pPr>
      <w:r>
        <w:rPr>
          <w:i/>
          <w:sz w:val="20"/>
        </w:rPr>
        <w:t>EN: Future role of heavy-duty fuel cell vehicles in the decarbonization of the freight transport</w:t>
      </w:r>
    </w:p>
    <w:p>
      <w:pPr>
        <w:spacing w:before="0" w:after="120"/>
      </w:pPr>
      <w:r>
        <w:rPr>
          <w:b/>
        </w:rPr>
        <w:t xml:space="preserve">Source: </w:t>
      </w:r>
      <w:r>
        <w:t>ScienceDirect Publication: Applied Energy</w:t>
      </w:r>
      <w:r>
        <w:t xml:space="preserve">    </w:t>
      </w:r>
      <w:r>
        <w:rPr>
          <w:b/>
        </w:rPr>
        <w:t xml:space="preserve">Pub date: </w:t>
      </w:r>
      <w:r>
        <w:t>2026-08-13 00:00:00+00:00</w:t>
      </w:r>
      <w:r>
        <w:t xml:space="preserve">    </w:t>
      </w:r>
      <w:r>
        <w:rPr>
          <w:b/>
        </w:rPr>
        <w:t xml:space="preserve">DOI: </w:t>
      </w:r>
      <w:hyperlink r:id="rId457">
        <w:r>
          <w:rPr>
            <w:color w:val="1155CC"/>
            <w:u w:val="single"/>
          </w:rPr>
          <w:t>10.1016/j.apenergy.2026.128632</w:t>
        </w:r>
      </w:hyperlink>
    </w:p>
    <w:p>
      <w:pPr>
        <w:spacing w:before="0" w:after="120"/>
      </w:pPr>
      <w:r>
        <w:rPr>
          <w:b/>
        </w:rPr>
        <w:t xml:space="preserve">Notes: </w:t>
      </w:r>
      <w:r>
        <w:t>abstract_source=openalex</w:t>
      </w:r>
    </w:p>
    <w:p>
      <w:pPr>
        <w:spacing w:before="0" w:after="80" w:lineRule="auto" w:line="276"/>
      </w:pPr>
      <w:r>
        <w:rPr>
          <w:b/>
        </w:rPr>
        <w:t xml:space="preserve">摘要（ZH）: </w:t>
      </w:r>
      <w:r>
        <w:t>随着世界转向更清洁、更可持续的交通解决方案，了解氢燃料电池技术在重型车辆中的要求和影响对于为行业发展和政策决策提供信息至关重要。本文的目的是研究各种车辆领域和动力系统设计中重型燃料电池汽车 (HDFCV) 的氢消耗和动力系统效率。为了实现这一目标，采用了综合方法，包括将参考 HDFCV 模型集成到 VECTO 平台中，使用 MATLAB Simulink 模拟不同动力总成架构，以及估计重型车队当前和未来的氢气需求。这项研究的主要结果表明，所提出的设计空间可以作为行业利益相关者选择最佳电池尺寸、燃料电池系统功率和氢罐尺寸的基准，从而加速车辆开发。此外，政策制定者可以利用氢消耗和动力系统效率的数据来定义关键性能指标，估计未来的氢需求，并将 HDFCV 与其他推进系统的环境影响进行比较。就 HDFCV 车队的 H 2 需求而言，解决本工作中提出的所有不确定性，每年 H 2 量可能在 1.6 至 2.8 吨之间变化，这意味着高达当前 H 2 产量的 3%。因此，H 2 生产基础设施能够适应HDV领域更雄心勃勃的H 2 相关场景。最后，每个车型的 H 2 消耗范围</w:t>
      </w:r>
    </w:p>
    <w:p>
      <w:pPr>
        <w:spacing w:before="0" w:after="200" w:lineRule="auto" w:line="276"/>
      </w:pPr>
      <w:r>
        <w:rPr>
          <w:b/>
        </w:rPr>
        <w:t xml:space="preserve">Abstract (EN): </w:t>
      </w:r>
      <w:r>
        <w:t>As the world shifts towards cleaner and more sustainable transportation solutions, understanding the requirements and implications of hydrogen fuel cell technology in heavy-duty vehicles is crucial for informing industry developments and policy decisions. The objective of this paper is to investigate the hydrogen consumption and powertrain efficiency of heavy-duty fuel cell vehicles (HDFCVs) in various vehicle segments and powertrain designs. To achieve this, a comprehensive methodology was employed, involving the integration of reference HDFCV models into the VECTO platform, simulation of different powertrain architectures using MATLAB Simulink, and estimation of current and future hydrogen demand for the heavy-duty vehicle fleet. The key results of this study indicate that the design spaces presented can serve as a baseline for industry stakeholders to select optimal battery sizes, fuel cell system powers, and hydrogen tank sizes, thereby accelerating vehicle development. Furthermore, policymakers can utilize the data on hydrogen consumption and powertrain efficiency to define key performance indicators, estimate future hydrogen demands, and compare the environmental impact of HDFCVs with other propulsion systems. In terms of HDFCV fleet H 2 demand, addressing all the uncertainties raised in this work, it may vary from 1.6 to 2.8 Mt of H 2 yearly, implying up to 3% of the current H 2 production. Therefore, the H 2 production infrastructure is able to accommodate more ambitious H 2 -related scenarios for the HDV sector. Finally, the H 2 consumption ranges per vehicle class and powertrain design, together with the H 2 tank capacity values sized on the basis of official VECTO cycles, constitute an original reference dataset—grounded in a mathematically guaranteed minimum consumption via an optimal energy management strategy—that can be directly used by vehicle manufacturers as a baseline for preliminary powertrain and hydrogen storage system design.</w:t>
      </w:r>
    </w:p>
    <w:p>
      <w:pPr>
        <w:spacing w:before="120" w:after="120"/>
      </w:pPr>
      <w:r>
        <w:rPr>
          <w:sz w:val="18"/>
        </w:rPr>
        <w:t>——————————————————————————————————————————————————————————————————————</w:t>
      </w:r>
    </w:p>
    <w:p>
      <w:pPr>
        <w:spacing w:before="160" w:after="40" w:line="240" w:lineRule="auto"/>
      </w:pPr>
      <w:r>
        <w:rPr>
          <w:b/>
        </w:rPr>
        <w:t xml:space="preserve">[45] </w:t>
      </w:r>
      <w:hyperlink r:id="rId533">
        <w:r>
          <w:rPr>
            <w:color w:val="1155CC"/>
            <w:u w:val="single"/>
          </w:rPr>
          <w:t>实时实施协同 HEMS 框架：集成元启发式需求侧管理和基于 CVR 的电压控制，以提高住宅能源效率</w:t>
        </w:r>
      </w:hyperlink>
    </w:p>
    <w:p>
      <w:pPr>
        <w:spacing w:before="0" w:after="80"/>
      </w:pPr>
      <w:r>
        <w:rPr>
          <w:i/>
          <w:sz w:val="20"/>
        </w:rPr>
        <w:t>EN: Real-time implementation of a synergistic HEMS framework: Integrating meta-heuristic demand side management and CVR-based voltage control for enhanced residential energy efficiency</w:t>
      </w:r>
    </w:p>
    <w:p>
      <w:pPr>
        <w:spacing w:before="0" w:after="120"/>
      </w:pPr>
      <w:r>
        <w:rPr>
          <w:b/>
        </w:rPr>
        <w:t xml:space="preserve">Source: </w:t>
      </w:r>
      <w:r>
        <w:t>ScienceDirect Publication: Applied Energy</w:t>
      </w:r>
      <w:r>
        <w:t xml:space="preserve">    </w:t>
      </w:r>
      <w:r>
        <w:rPr>
          <w:b/>
        </w:rPr>
        <w:t xml:space="preserve">Pub date: </w:t>
      </w:r>
      <w:r>
        <w:t>2026-08-13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458">
        <w:r>
          <w:rPr>
            <w:color w:val="1155CC"/>
            <w:u w:val="single"/>
          </w:rPr>
          <w:t>极端事件下氢能一体化多能源系统双层弹性规划框架</w:t>
        </w:r>
      </w:hyperlink>
    </w:p>
    <w:p>
      <w:pPr>
        <w:spacing w:before="0" w:after="80"/>
      </w:pPr>
      <w:r>
        <w:rPr>
          <w:i/>
          <w:sz w:val="20"/>
        </w:rPr>
        <w:t>EN: A bi-level resilience-oriented planning framework for hydrogen-integrated multi-energy systems under extreme events</w:t>
      </w:r>
    </w:p>
    <w:p>
      <w:pPr>
        <w:spacing w:before="0" w:after="120"/>
      </w:pPr>
      <w:r>
        <w:rPr>
          <w:b/>
        </w:rPr>
        <w:t xml:space="preserve">Source: </w:t>
      </w:r>
      <w:r>
        <w:t>ScienceDirect Publication: Applied Energy</w:t>
      </w:r>
      <w:r>
        <w:t xml:space="preserve">    </w:t>
      </w:r>
      <w:r>
        <w:rPr>
          <w:b/>
        </w:rPr>
        <w:t xml:space="preserve">Pub date: </w:t>
      </w:r>
      <w:r>
        <w:t>2026-08-13 00:00:00+00:00</w:t>
      </w:r>
      <w:r>
        <w:t xml:space="preserve">    </w:t>
      </w:r>
      <w:r>
        <w:rPr>
          <w:b/>
        </w:rPr>
        <w:t xml:space="preserve">DOI: </w:t>
      </w:r>
      <w:hyperlink r:id="rId459">
        <w:r>
          <w:rPr>
            <w:color w:val="1155CC"/>
            <w:u w:val="single"/>
          </w:rPr>
          <w:t>10.1016/j.apenergy.2026.128671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534">
        <w:r>
          <w:rPr>
            <w:color w:val="1155CC"/>
            <w:u w:val="single"/>
          </w:rPr>
          <w:t>使用工程金属硫化物光催化剂将木质素光催化裂解和升级为高价值产品的最新进展</w:t>
        </w:r>
      </w:hyperlink>
    </w:p>
    <w:p>
      <w:pPr>
        <w:spacing w:before="0" w:after="80"/>
      </w:pPr>
      <w:r>
        <w:rPr>
          <w:i/>
          <w:sz w:val="20"/>
        </w:rPr>
        <w:t>EN: Recent advances in photocatalytic fragmentation and upgradation of lignin to high-value products using engineered metal sulphide photocatalysts</w:t>
      </w:r>
    </w:p>
    <w:p>
      <w:pPr>
        <w:spacing w:before="0" w:after="120"/>
      </w:pPr>
      <w:r>
        <w:rPr>
          <w:b/>
        </w:rPr>
        <w:t xml:space="preserve">Source: </w:t>
      </w:r>
      <w:r>
        <w:t>ScienceDirect Publication: Applied Energy</w:t>
      </w:r>
      <w:r>
        <w:t xml:space="preserve">    </w:t>
      </w:r>
      <w:r>
        <w:rPr>
          <w:b/>
        </w:rPr>
        <w:t xml:space="preserve">Pub date: </w:t>
      </w:r>
      <w:r>
        <w:t>2026-08-13 00:00:00+00:00</w:t>
      </w:r>
      <w:r>
        <w:t xml:space="preserve">    </w:t>
      </w:r>
      <w:r>
        <w:rPr>
          <w:b/>
        </w:rPr>
        <w:t xml:space="preserve">DOI: </w:t>
      </w:r>
      <w:hyperlink r:id="rId535">
        <w:r>
          <w:rPr>
            <w:color w:val="1155CC"/>
            <w:u w:val="single"/>
          </w:rPr>
          <w:t>10.1016/j.apenergy.2026.128519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536">
        <w:r>
          <w:rPr>
            <w:color w:val="1155CC"/>
            <w:u w:val="single"/>
          </w:rPr>
          <w:t>高熵尖晶石催化剂在丙烯氧化过程中的表面氧化还原行为</w:t>
        </w:r>
      </w:hyperlink>
    </w:p>
    <w:p>
      <w:pPr>
        <w:spacing w:before="0" w:after="80"/>
      </w:pPr>
      <w:r>
        <w:rPr>
          <w:i/>
          <w:sz w:val="20"/>
        </w:rPr>
        <w:t>EN: Surface Redox Behavior of a High Entropy Spinel Catalyst during Propene Oxidation</w:t>
      </w:r>
    </w:p>
    <w:p>
      <w:pPr>
        <w:spacing w:before="0" w:after="120"/>
      </w:pPr>
      <w:r>
        <w:rPr>
          <w:b/>
        </w:rPr>
        <w:t xml:space="preserve">Source: </w:t>
      </w:r>
      <w:r>
        <w:t>ACS Applied Materials &amp; Interfaces: Latest Articles (ACS Publications)</w:t>
      </w:r>
      <w:r>
        <w:t xml:space="preserve">    </w:t>
      </w:r>
      <w:r>
        <w:rPr>
          <w:b/>
        </w:rPr>
        <w:t xml:space="preserve">Pub date: </w:t>
      </w:r>
      <w:r>
        <w:t>2026-08-13 00:00:00+00:00</w:t>
      </w:r>
      <w:r>
        <w:t xml:space="preserve">    </w:t>
      </w:r>
      <w:r>
        <w:rPr>
          <w:b/>
        </w:rPr>
        <w:t xml:space="preserve">DOI: </w:t>
      </w:r>
      <w:hyperlink r:id="rId537">
        <w:r>
          <w:rPr>
            <w:color w:val="1155CC"/>
            <w:u w:val="single"/>
          </w:rPr>
          <w:t>10.1021/acsami.6c05840</w:t>
        </w:r>
      </w:hyperlink>
    </w:p>
    <w:p>
      <w:pPr>
        <w:spacing w:before="0" w:after="120"/>
      </w:pPr>
      <w:r>
        <w:rPr>
          <w:b/>
        </w:rPr>
        <w:t xml:space="preserve">Notes: </w:t>
      </w:r>
      <w:r>
        <w:t>abstract_source=crossref</w:t>
      </w:r>
    </w:p>
    <w:p>
      <w:pPr>
        <w:spacing w:before="0" w:after="80" w:lineRule="auto" w:line="276"/>
      </w:pPr>
      <w:r>
        <w:rPr>
          <w:b/>
        </w:rPr>
        <w:t xml:space="preserve">摘要（ZH）: </w:t>
      </w:r>
      <w:r>
        <w:t>摘要 高熵（HE）氧化物有潜力实现多相催化剂的阶跃变化。 HE 氧化物具有前所未有的成分灵活性，具有多种可能的活性位点，从而促进更高的催化剂活性和长期稳定性。然而，由于 HE 表面的复杂性增加，人们对含有超过 5 个阳离子的表面的操作行为或氧化还原化学知之甚少。在此，七金属 HE 尖晶石氧化物（M3O4，其中 M 是 Cr、Mn、Fe、Co、Ni、Cu 和 Zn 的等摩尔贡献）在丙烯 (C3H6) 氧化方面表现出令人印象深刻的催化性能。催化活性受到还原（H2）或氧化（O2）表面预处理的显着影响。与 O2 预处理相比，H2 预处理需要降低 31% 的温度才能达到 10% 的转化率 (T10)。丙烯转化率高于 60% 时，这种性能增强作用消失，催化活性与 O2 预处理趋同。原位和操作近环境压力 X 射线光电子能谱 (NAP-XPS) 研究揭示了瞬态 Cu(I)/Cu(0) 表面物质以及钴还原成 Co(II)，这在之前的异位情况下未曾观察到。催化剂失活被证明是一个缓慢的、多方面的过程，其中活性位点缓慢地重新氧化，并且催化活性阳离子（例如铁和锰）从表面迁移到本体中。这项工作结合了多种表征方法，包括操作和原位技术，将结构-性能关系的研究扩展到非模型c</w:t>
      </w:r>
    </w:p>
    <w:p>
      <w:pPr>
        <w:spacing w:before="0" w:after="200" w:lineRule="auto" w:line="276"/>
      </w:pPr>
      <w:r>
        <w:rPr>
          <w:b/>
        </w:rPr>
        <w:t xml:space="preserve">Abstract (EN): </w:t>
      </w:r>
      <w:r>
        <w:t>High entropy (HE) oxides have the potential to deliver a step-change in heterogeneous catalysts. HE oxides allow for unprecedented compositional flexibility with a diverse range of possible active sites, promoting higher catalyst activity and long-term stability. However, due to the increased complexity of HE surfaces, little is understood about the operando behavior or redox chemistry of a surface containing over five cations. Herein, a seven-metal HE spinel oxide (M3O4, where M is an equimolar contribution of Cr, Mn, Fe, Co, Ni, Cu, and Zn) demonstrates impressive catalytic performance with respect to propene (C3H6) oxidation. Catalytic activity was significantly impacted by reductive (H2) or oxidative (O2) surface pre-treatment. A 31% lower temperature to reach 10% conversion (T10) was required under H2 pre-treatment when compared to O2 pre-treatment. Above 60% propene conversion, this performance enhancement was lost, and catalytic activity converged with the O2 pre-treatment. In-situ and operando near-ambient pressure X-ray photoelectron spectroscopy (NAP-XPS) studies revealed both transient Cu(I)/Cu(0) surface species and the reduction of cobalt to Co(II) which has not been observed previously ex-situ. Catalyst deactivation was shown to be a slow, multifaceted process where active sites re-oxidized slowly, and catalytically active cations (e.g., Fe and Mn) migrate from the surface into the bulk. This work combines several characterization methods, including operando and in-situ techniques, to expand the study of structure-property relationships to non-model chemical reactions and complex material systems.</w:t>
      </w:r>
    </w:p>
    <w:p>
      <w:pPr>
        <w:spacing w:before="120" w:after="120"/>
      </w:pPr>
      <w:r>
        <w:rPr>
          <w:sz w:val="18"/>
        </w:rPr>
        <w:t>——————————————————————————————————————————————————————————————————————</w:t>
      </w:r>
    </w:p>
    <w:p>
      <w:pPr>
        <w:spacing w:before="160" w:after="40" w:line="240" w:lineRule="auto"/>
      </w:pPr>
      <w:r>
        <w:rPr>
          <w:b/>
        </w:rPr>
        <w:t xml:space="preserve">[49] </w:t>
      </w:r>
      <w:hyperlink r:id="rId538">
        <w:r>
          <w:rPr>
            <w:color w:val="1155CC"/>
            <w:u w:val="single"/>
          </w:rPr>
          <w:t>通过甲基官能化对笼状 MOF 进行结构定制，以增强甲烷纯化性能</w:t>
        </w:r>
      </w:hyperlink>
    </w:p>
    <w:p>
      <w:pPr>
        <w:spacing w:before="0" w:after="80"/>
      </w:pPr>
      <w:r>
        <w:rPr>
          <w:i/>
          <w:sz w:val="20"/>
        </w:rPr>
        <w:t>EN: Structurally Tailoring Cage-like MOFs via Methyl Functionalization for Enhanced Methane Purification Performance</w:t>
      </w:r>
    </w:p>
    <w:p>
      <w:pPr>
        <w:spacing w:before="0" w:after="120"/>
      </w:pPr>
      <w:r>
        <w:rPr>
          <w:b/>
        </w:rPr>
        <w:t xml:space="preserve">Source: </w:t>
      </w:r>
      <w:r>
        <w:t>ACS Applied Materials &amp; Interfaces: Latest Articles (ACS Publications)</w:t>
      </w:r>
      <w:r>
        <w:t xml:space="preserve">    </w:t>
      </w:r>
      <w:r>
        <w:rPr>
          <w:b/>
        </w:rPr>
        <w:t xml:space="preserve">Pub date: </w:t>
      </w:r>
      <w:r>
        <w:t>2026-08-13 00:00:00+00:00</w:t>
      </w:r>
      <w:r>
        <w:t xml:space="preserve">    </w:t>
      </w:r>
      <w:r>
        <w:rPr>
          <w:b/>
        </w:rPr>
        <w:t xml:space="preserve">DOI: </w:t>
      </w:r>
      <w:hyperlink r:id="rId539">
        <w:r>
          <w:rPr>
            <w:color w:val="1155CC"/>
            <w:u w:val="single"/>
          </w:rPr>
          <w:t>10.1021/acsami.6c11022</w:t>
        </w:r>
      </w:hyperlink>
    </w:p>
    <w:p>
      <w:pPr>
        <w:spacing w:before="0" w:after="120"/>
      </w:pPr>
      <w:r>
        <w:rPr>
          <w:b/>
        </w:rPr>
        <w:t xml:space="preserve">Notes: </w:t>
      </w:r>
      <w:r>
        <w:t>abstract_source=crossref</w:t>
      </w:r>
    </w:p>
    <w:p>
      <w:pPr>
        <w:spacing w:before="0" w:after="80" w:lineRule="auto" w:line="276"/>
      </w:pPr>
      <w:r>
        <w:rPr>
          <w:b/>
        </w:rPr>
        <w:t xml:space="preserve">摘要（ZH）: </w:t>
      </w:r>
      <w:r>
        <w:t>摘要 原始天然气中的轻烃污染物极大地影响了甲烷纯度和能源利用效率。轻烃高度相似的物理化学性质也给甲烷的高效纯化带来了很大的障碍。金属有机框架（MOF）在气体分离方面显示出巨大的潜力，但吸附能力和选择性之间的相互制约限制了其实际工业应用。在此，通过配体功能化策略成功合成了甲基功能化的笼状MOF（Co-tpt-btb-（CH3）3），以精确调节孔隙微环境。通过甲基修饰，多面体笼腔均匀收缩，表面活性位点得到合理优化，显着增强了MOF框架与C2H6/C3H8之间的主客体相互作用。 Co-tpt-btb-(CH3)3 对 C2H6 和 C3H8 的饱和吸附量分别为 4.96 和 7.23 mmol·g–1，而在 298 K 和 100 kPa 下，CH4 吸附量极低，仅为 0.49 mmol·g–1。动态突破测试证实Co-tpt-btb-(CH3)3可以有效区分三元天然气成分（C3H8/C2H6/CH4, 5/10/85, v/v/v）进行高效气体分离，产生高纯度CH4（纯度&gt; 99.9%）。理论密度泛函理论模拟表明，协同多重相互作用，包括C–H…O、C–H…N和C–H…π，赋予C2H6和C3H8显着增强的吸附能。此外，Co-tp具有良好的化学稳定性</w:t>
      </w:r>
    </w:p>
    <w:p>
      <w:pPr>
        <w:spacing w:before="0" w:after="200" w:lineRule="auto" w:line="276"/>
      </w:pPr>
      <w:r>
        <w:rPr>
          <w:b/>
        </w:rPr>
        <w:t xml:space="preserve">Abstract (EN): </w:t>
      </w:r>
      <w:r>
        <w:t>Light hydrocarbon contaminants in raw natural gas considerably compromise methane purity and energy utilization efficiency. The highly similar physicochemical properties of light hydrocarbons also create substantial obstacles for the high-efficiency purification of methane. Metal–organic frameworks (MOFs) show great potential in gas separation, yet the mutual restriction between adsorption capacity and selectivity limits their practical industrial utilization. Herein, a methyl-functionalized cage-like MOF (Co-tpt-btb-(CH3)3) was successfully synthesized via a ligand functionalization strategy for precise modulation of the pore microenvironment. Through methyl modification, polyhedral cage cavities undergo uniform contraction and surface active sites are rationally optimized, which markedly enhances host–guest interactions between the MOF framework and C2H6/C3H8. Co-tpt-btb-(CH3)3 delivers prominent saturated adsorption amounts of 4.96 and 7.23 mmol·g–1 for C2H6 and C3H8, respectively, while presenting extremely low CH4 adsorption loading of only 0.49 mmol·g–1 at 298 K and 100 kPa. Dynamic breakthrough testing confirms that Co-tpt-btb-(CH3)3 can effectively discriminate ternary natural gas compositions (C3H8/C2H6/CH4, 5/10/85, v/v/v) for high-efficiency gas separation, producing high-purity CH4 (purity &amp;gt; 99.9%). Theoretical density functional theory simulations reveal that the synergistic multiple interactions, including C–H···O, C–H···N, and C–H···π, endow C2H6 and C3H8 with significantly enhanced adsorption energy. Moreover, the good chemical stability of Co-tpt-btb-(CH3)3 endows great application potential as a high-efficiency adsorbent for CH4 purification.</w:t>
      </w:r>
    </w:p>
    <w:p>
      <w:pPr>
        <w:spacing w:before="120" w:after="120"/>
      </w:pPr>
      <w:r>
        <w:rPr>
          <w:sz w:val="18"/>
        </w:rPr>
        <w:t>——————————————————————————————————————————————————————————————————————</w:t>
      </w:r>
    </w:p>
    <w:p>
      <w:pPr>
        <w:spacing w:before="160" w:after="40" w:line="240" w:lineRule="auto"/>
      </w:pPr>
      <w:r>
        <w:rPr>
          <w:b/>
        </w:rPr>
        <w:t xml:space="preserve">[50] </w:t>
      </w:r>
      <w:hyperlink r:id="rId540">
        <w:r>
          <w:rPr>
            <w:color w:val="1155CC"/>
            <w:u w:val="single"/>
          </w:rPr>
          <w:t>三反应中心催化在无氧化剂条件下驱动同时氧化还原多种新兴污染物</w:t>
        </w:r>
      </w:hyperlink>
    </w:p>
    <w:p>
      <w:pPr>
        <w:spacing w:before="0" w:after="80"/>
      </w:pPr>
      <w:r>
        <w:rPr>
          <w:i/>
          <w:sz w:val="20"/>
        </w:rPr>
        <w:t>EN: Triple-reaction-center catalysis drives simultaneous oxidation-reduction towards diverse emerging contaminants under oxidant-free conditions</w:t>
      </w:r>
    </w:p>
    <w:p>
      <w:pPr>
        <w:spacing w:before="0" w:after="120"/>
      </w:pPr>
      <w:r>
        <w:rPr>
          <w:b/>
        </w:rPr>
        <w:t xml:space="preserve">Source: </w:t>
      </w:r>
      <w:r>
        <w:t>Earth and environmental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精确设计的自驱动单原子催化剂（SAC）可以在不添加氧化剂的情况下实现新兴污染物（EC）的高效降解，但此类系统通常表现出仅限于供电子EC的选择性，缺乏广谱降解能力。为了解决这一限制，本研究设计了一种三重反应中心催化剂（Co0/CoN2-SAC），集成了基于碳骨架的缺电子区域和具有金属钴（Co0）和原子分散的CoN2位点的富电子区域。缺电子区域通过π-π相互作用促进EC的吸附，而富电子区域中的CoN2位点充当电子受体，从供电子的EC中提取电子。而缺电子区的Co0位点作为电子供体，向吸电子EC提供电子，同时伴随活性原子氢(H*)和·OH的攻击，从而实现吸电子EC的有效还原降解。因此，Co0/CoN2-SAC 系统对给电子和吸电子 EC 均表现出广谱降解能力，而缺乏 Co0 的酸浸对应物仅对给电子物质表现出活性。阐明这种同时氧化还原机制为合理设计能够处理复杂废水基质的自适应催化系统提供了重要见解，确保在不同的工业和市政水处理应用中稳健地去除污染物。</w:t>
      </w:r>
    </w:p>
    <w:p>
      <w:pPr>
        <w:spacing w:before="0" w:after="200" w:lineRule="auto" w:line="276"/>
      </w:pPr>
      <w:r>
        <w:rPr>
          <w:b/>
        </w:rPr>
        <w:t xml:space="preserve">Abstract (EN): </w:t>
      </w:r>
      <w:r>
        <w:t>Precisely designed self-driven single-atom catalysts (SACs) can achieve efficient degradation of emerging contaminants (ECs) without oxidants addition, but such systems often exhibited selectivity limited to electron-donating ECs, lacking broad-spectrum degradation capability. To address this limitation, a triple-reaction-center catalyst (Co0/CoN2-SAC) is designed in this study, integrating an electron-deficient region based on carbon framework and an electron-enriched region featuring both metallic cobalt (Co0) and atomically dispersed CoN2 sites. The electron-deficient region facilitates ECs adsorption through π–π interactions, and the CoN2 sites in the electron-enriched region serve as electron acceptors, extracting electrons from electron-donating ECs. While the Co0 sites in the electron-deficient region serve as the electron donor for donating the electron towards electron-withdrawing ECs accompanying with reactive atomic hydrogen (H*) and •OH attacking, enabling efficient reductive degradation of electron-withdrawing ECs. As a result, the Co0/CoN2-SAC system exhibits broad-spectrum degradation capability for both electron-donating and electron-withdrawing ECs, whereas the acid-leached counterpart lacking Co0 shows activity solely toward electron-donating species. Elucidation of this simultaneous oxidation-reduction mechanism provides critical insights for the rational design of adaptive catalytic systems capable of treating complex wastewater matrices, ensuring robust contaminant removal across diverse industrial and municipal water treatment applications.</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541">
        <w:r>
          <w:rPr>
            <w:color w:val="1155CC"/>
            <w:u w:val="single"/>
          </w:rPr>
          <w:t>调整电子反馈以切换 CO2 加氢反应途径</w:t>
        </w:r>
      </w:hyperlink>
    </w:p>
    <w:p>
      <w:pPr>
        <w:spacing w:before="0" w:after="80"/>
      </w:pPr>
      <w:r>
        <w:rPr>
          <w:i/>
          <w:sz w:val="20"/>
        </w:rPr>
        <w:t>EN: Tuning electron back-donation to switch reaction pathway in CO2 hydrogenation</w:t>
      </w:r>
    </w:p>
    <w:p>
      <w:pPr>
        <w:spacing w:before="0" w:after="120"/>
      </w:pPr>
      <w:r>
        <w:rPr>
          <w:b/>
        </w:rPr>
        <w:t xml:space="preserve">Source: </w:t>
      </w:r>
      <w:r>
        <w:t>Physical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在地球上储量丰富的镍催化剂上进行二氧化碳加氢对于基于二氧化碳的燃料合成很有吸引力，但镍本质上有利于甲烷化。在这里，我们展示了有序 Ni3Sn2 金属间化合物调节 Ni-CO 电子回馈并将 CO2 加氢从 CH4 形成转变为反向水煤气变换反应。原子分辨率显微镜和X射线吸收光谱揭示了Sn对延伸的Ni-Ni系综的破坏，而光谱和理论计算表明Ni-Sn d-p杂化使Ni 3d带下移并削弱了Ni→CO 2π*回馈。 Ni3Sn2催化剂实现CO2转化接近热力学平衡，CO选择性接近100%，并保持稳定300小时。原位红外光谱、稳态同位素瞬态动力学分析和理论计算表明，H 辅助的 CO2 活化、类似观察者的甲酸盐物种和容易的 CO 解吸支撑了 CO 选择性途径。 Ni-Ga 和 Ni-In 催化剂的类似行为表明了一种用于重定向 Ni 基 CO2 加氢的通用回馈策略。</w:t>
      </w:r>
    </w:p>
    <w:p>
      <w:pPr>
        <w:spacing w:before="0" w:after="200" w:lineRule="auto" w:line="276"/>
      </w:pPr>
      <w:r>
        <w:rPr>
          <w:b/>
        </w:rPr>
        <w:t xml:space="preserve">Abstract (EN): </w:t>
      </w:r>
      <w:r>
        <w:t>CO2 hydrogenation over earth-abundant Ni catalysts is attractive for CO-based fuel synthesis, but Ni intrinsically favors methanation. Here we show that ordered Ni3Sn2 intermetallics tune Ni–CO electron back-donation and switch CO2 hydrogenation from CH4 formation to the reverse water–gas shift reaction. Atomic-resolution microscopy and X-ray absorption spectroscopy reveal disruption of extended Ni–Ni ensembles by Sn, while spectroscopy and theoretical calculations show that Ni–Sn d-p hybridization downshifts the Ni 3d band and weakens Ni→CO 2π* back-donation. The Ni3Sn2 catalyst achieves CO2 conversion approaching thermodynamic equilibrium with nearly 100% CO selectivity and remains stable for 300 h. In situ infrared spectroscopy, steady-state isotopic transient kinetic analysis and theoretical calculations indicate that H-assisted CO2 activation, spectator-like formate species and facile CO desorption underpin the CO-selective pathway. Similar behavior over Ni–Ga and Ni–In catalysts suggests a general back-donation strategy for redirecting Ni-based CO2 hydrogenation.</w:t>
      </w:r>
    </w:p>
    <w:p>
      <w:pPr>
        <w:spacing w:before="120" w:after="120"/>
      </w:pPr>
      <w:r>
        <w:rPr>
          <w:sz w:val="18"/>
        </w:rPr>
        <w:t>——————————————————————————————————————————————————————————————————————</w:t>
      </w:r>
    </w:p>
    <w:p>
      <w:pPr>
        <w:spacing w:before="160" w:after="40" w:line="240" w:lineRule="auto"/>
      </w:pPr>
      <w:r>
        <w:rPr>
          <w:b/>
        </w:rPr>
        <w:t xml:space="preserve">[2] </w:t>
      </w:r>
      <w:hyperlink r:id="rId542">
        <w:r>
          <w:rPr>
            <w:color w:val="1155CC"/>
            <w:u w:val="single"/>
          </w:rPr>
          <w:t>胶体合成能够调节液态镓纳米颗粒中的铟溶解度，以实现温度依赖性的二氧化碳电催化活性位点的生成</w:t>
        </w:r>
      </w:hyperlink>
    </w:p>
    <w:p>
      <w:pPr>
        <w:spacing w:before="0" w:after="80"/>
      </w:pPr>
      <w:r>
        <w:rPr>
          <w:i/>
          <w:sz w:val="20"/>
        </w:rPr>
        <w:t>EN: Colloidal Synthesis Enables Indium Solubility Modulation in Liquid Gallium Nanoparticles for Temperature-Dependent Generation of CO2 Electrocatalytic Active Sites</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543">
        <w:r>
          <w:rPr>
            <w:color w:val="1155CC"/>
            <w:u w:val="single"/>
          </w:rPr>
          <w:t>10.1021/jacs.6c11963</w:t>
        </w:r>
      </w:hyperlink>
    </w:p>
    <w:p>
      <w:pPr>
        <w:spacing w:before="0" w:after="120"/>
      </w:pPr>
      <w:r>
        <w:rPr>
          <w:b/>
        </w:rPr>
        <w:t xml:space="preserve">Notes: </w:t>
      </w:r>
      <w:r>
        <w:t>abstract_source=crossref</w:t>
      </w:r>
    </w:p>
    <w:p>
      <w:pPr>
        <w:spacing w:before="0" w:after="80" w:lineRule="auto" w:line="276"/>
      </w:pPr>
      <w:r>
        <w:rPr>
          <w:b/>
        </w:rPr>
        <w:t xml:space="preserve">摘要（ZH）: </w:t>
      </w:r>
      <w:r>
        <w:t>摘要：块状液态金属（LM）是一种独特的刺激响应动态材料，在包括催化在内的不同科学技术领域都具有吸引力。然而，块状LM的低表面积与体积比、有限的原子尺度设计以及所需的特设反应堆工程限制了它们的开发。胶体 LM 纳米颗粒 (NP) 可以解决所有这些缺点；然而，与其他材料相比，它们的合成化学具有挑战性并且不太先进。在这里，我们推进了 LM NP 的合成知识，并提出了一种通过平衡前体反应性策略合成具有可调铟含量的单分散 In-Ga NP 的胶体方法。该合成产生了温度和电压响应的过冷亚稳态纳米颗粒，我们利用它进行二氧化碳电还原。亚稳态纳米粒子表现出独特的温度依赖性活性位点调节，导致甲酸产量随温度升高而增加。这种行为与迄今为止报道的固体 CO2RR 催化剂对相同产品的温度失活相反。</w:t>
      </w:r>
    </w:p>
    <w:p>
      <w:pPr>
        <w:spacing w:before="0" w:after="200" w:lineRule="auto" w:line="276"/>
      </w:pPr>
      <w:r>
        <w:rPr>
          <w:b/>
        </w:rPr>
        <w:t xml:space="preserve">Abstract (EN): </w:t>
      </w:r>
      <w:r>
        <w:t>Bulk liquid metals (LMs) are unique stimulus-responsive dynamic materials that are appealing across different fields of science and technology, including catalysis. However, the low surface-to-volume ratio, limited atomic-scale design, and required ad-hoc reactor engineering of bulk LM limit their exploitation. Colloidal LM nanoparticles (NPs) can address all of these shortcomings; however, their synthetic chemistry is challenging and less advanced compared to other materials. Here, we advance the synthetic knowledge on LM NPs and propose a colloidal approach for the synthesis of monodispersed In–Ga NPs with tunable indium content via a balanced precursor reactivity strategy. The synthesis generates temperature- and voltage-responsive supercooled metastable NPs, which we leverage for CO2 electroreduction. The metastable NPs show a unique temperature-dependent modulation of active sites, which results in increasing formate production with temperature. This behavior opposes the temperature deactivation reported so far for solid CO2RR catalysts toward the same product.</w:t>
      </w:r>
    </w:p>
    <w:p>
      <w:pPr>
        <w:spacing w:before="120" w:after="120"/>
      </w:pPr>
      <w:r>
        <w:rPr>
          <w:sz w:val="18"/>
        </w:rPr>
        <w:t>——————————————————————————————————————————————————————————————————————</w:t>
      </w:r>
    </w:p>
    <w:p>
      <w:pPr>
        <w:spacing w:before="160" w:after="40" w:line="240" w:lineRule="auto"/>
      </w:pPr>
      <w:r>
        <w:rPr>
          <w:b/>
        </w:rPr>
        <w:t xml:space="preserve">[3] </w:t>
      </w:r>
      <w:hyperlink r:id="rId544">
        <w:r>
          <w:rPr>
            <w:color w:val="1155CC"/>
            <w:u w:val="single"/>
          </w:rPr>
          <w:t>外场增强亥姆霍兹层局部电荷密度使得纯 H2O 供给的 CO2 电还原成 C2+ 产物中的 C─C 耦合成为可能</w:t>
        </w:r>
      </w:hyperlink>
    </w:p>
    <w:p>
      <w:pPr>
        <w:spacing w:before="0" w:after="80"/>
      </w:pPr>
      <w:r>
        <w:rPr>
          <w:i/>
          <w:sz w:val="20"/>
        </w:rPr>
        <w:t>EN: External‐Field‐Enhanced Helmholtz‐Layer Local Charge Density Enables C─C Coupling in Pure‐H2O‐Fed CO2 Electroreduction To C2+ Products</w:t>
      </w:r>
    </w:p>
    <w:p>
      <w:pPr>
        <w:spacing w:before="0" w:after="120"/>
      </w:pPr>
      <w:r>
        <w:rPr>
          <w:b/>
        </w:rPr>
        <w:t xml:space="preserve">Source: </w:t>
      </w:r>
      <w:r>
        <w:t>Wiley: Angewandte Chemie International Edition: Table of Contents</w:t>
      </w:r>
      <w:r>
        <w:t xml:space="preserve">    </w:t>
      </w:r>
      <w:r>
        <w:rPr>
          <w:b/>
        </w:rPr>
        <w:t xml:space="preserve">Pub date: </w:t>
      </w:r>
      <w:r>
        <w:t>2026-08-07 12:55:27+00:00</w:t>
      </w:r>
      <w:r>
        <w:t xml:space="preserve">    </w:t>
      </w:r>
      <w:r>
        <w:rPr>
          <w:b/>
        </w:rPr>
        <w:t xml:space="preserve">DOI: </w:t>
      </w:r>
      <w:hyperlink r:id="rId545">
        <w:r>
          <w:rPr>
            <w:color w:val="1155CC"/>
            <w:u w:val="single"/>
          </w:rPr>
          <w:t>10.1002/anie.7758933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电化学CO</w:t>
      </w:r>
      <w:r>
        <w:rPr>
          <w:vertAlign w:val="subscript"/>
        </w:rPr>
        <w:t>2</w:t>
      </w:r>
      <w:r>
        <w:t>减少（ECO</w:t>
      </w:r>
      <w:r>
        <w:rPr>
          <w:vertAlign w:val="subscript"/>
        </w:rPr>
        <w:t>2</w:t>
      </w:r>
      <w:r>
        <w:t>R）是一种有前途的脱碳技术，但受到催化性能和系统稳定性之间权衡的限制。在这里，我们提出了一种外场辅助策略来增强亥姆霍兹层的局部电荷密度，从而促进纯 H 中的 C─C 耦合</w:t>
      </w:r>
      <w:r>
        <w:rPr>
          <w:vertAlign w:val="subscript"/>
        </w:rPr>
        <w:t>2</w:t>
      </w:r>
      <w:r>
        <w:t>O-fed ECO</w:t>
      </w:r>
      <w:r>
        <w:rPr>
          <w:vertAlign w:val="subscript"/>
        </w:rPr>
        <w:t>2</w:t>
      </w:r>
      <w:r>
        <w:t>R系统。通过在 Cu 上引入阳离子有机离聚物 (QAS)</w:t>
      </w:r>
      <w:r>
        <w:rPr>
          <w:vertAlign w:val="subscript"/>
        </w:rPr>
        <w:t>2</w:t>
      </w:r>
      <w:r>
        <w:t>O表面建立界面外场，放大亥姆霍兹层电荷密度，抑制水合氢积累和析氢反应（HER），加速ECO</w:t>
      </w:r>
      <w:r>
        <w:rPr>
          <w:vertAlign w:val="subscript"/>
        </w:rPr>
        <w:t>2</w:t>
      </w:r>
      <w:r>
        <w:t>R 动力学。优化后的铜</w:t>
      </w:r>
      <w:r>
        <w:rPr>
          <w:vertAlign w:val="subscript"/>
        </w:rPr>
        <w:t>2</w:t>
      </w:r>
      <w:r>
        <w:t>O/QAS 电极提供 C</w:t>
      </w:r>
      <w:r>
        <w:t xml:space="preserve"> </w:t>
      </w:r>
      <w:r>
        <w:t>2+</w:t>
      </w:r>
      <w:r>
        <w:t xml:space="preserve"> </w:t>
      </w:r>
      <w:r>
        <w:t>400 mA cm 时法拉第效率 (FE) 约为 85%</w:t>
      </w:r>
      <w:r>
        <w:t xml:space="preserve"> </w:t>
      </w:r>
      <w:r>
        <w:t>−2</w:t>
      </w:r>
      <w:r>
        <w:t xml:space="preserve"> </w:t>
      </w:r>
      <w:r>
        <w:t>在碱性流通池中，带有 C</w:t>
      </w:r>
      <w:r>
        <w:t xml:space="preserve"> </w:t>
      </w:r>
      <w:r>
        <w:t>2+</w:t>
      </w:r>
      <w:r>
        <w:t xml:space="preserve"> </w:t>
      </w:r>
      <w:r>
        <w:t>/C</w:t>
      </w:r>
      <w:r>
        <w:rPr>
          <w:vertAlign w:val="subscript"/>
        </w:rPr>
        <w:t>1</w:t>
      </w:r>
      <w:r>
        <w:t>比率~6.8，比原始铜增强了 3.4 倍</w:t>
      </w:r>
      <w:r>
        <w:rPr>
          <w:vertAlign w:val="subscript"/>
        </w:rPr>
        <w:t>2</w:t>
      </w:r>
      <w:r>
        <w:t>O.值得注意的是，高C</w:t>
      </w:r>
      <w:r>
        <w:t xml:space="preserve"> </w:t>
      </w:r>
      <w:r>
        <w:t>2+</w:t>
      </w:r>
      <w:r>
        <w:t xml:space="preserve"> </w:t>
      </w:r>
      <w:r>
        <w:t>即使在酸性流通池中，FE 也能保持约 60%。为了满足工业要求，纯 H</w:t>
      </w:r>
      <w:r>
        <w:rPr>
          <w:vertAlign w:val="subscript"/>
        </w:rPr>
        <w:t>2</w:t>
      </w:r>
      <w:r>
        <w:t>O馈电膜电极组件（M</w:t>
      </w:r>
    </w:p>
    <w:p>
      <w:pPr>
        <w:spacing w:before="0" w:after="200" w:lineRule="auto" w:line="276"/>
      </w:pPr>
      <w:r>
        <w:rPr>
          <w:b/>
        </w:rPr>
        <w:t xml:space="preserve">Abstract (EN): </w:t>
      </w:r>
      <w:r>
        <w:t>Electrochemical CO</w:t>
      </w:r>
      <w:r>
        <w:rPr>
          <w:vertAlign w:val="subscript"/>
        </w:rPr>
        <w:t>2</w:t>
      </w:r>
      <w:r>
        <w:t>reduction (ECO</w:t>
      </w:r>
      <w:r>
        <w:rPr>
          <w:vertAlign w:val="subscript"/>
        </w:rPr>
        <w:t>2</w:t>
      </w:r>
      <w:r>
        <w:t>R) is a promising decarbonization technology but is limited by the trade‐off between catalytic performance and system stability. Here, we present an external‐field‐assisted strategy to enhance the local charge density of the Helmholtz layer, thereby promoting C─C coupling in a pure‐H</w:t>
      </w:r>
      <w:r>
        <w:rPr>
          <w:vertAlign w:val="subscript"/>
        </w:rPr>
        <w:t>2</w:t>
      </w:r>
      <w:r>
        <w:t>O‐fed ECO</w:t>
      </w:r>
      <w:r>
        <w:rPr>
          <w:vertAlign w:val="subscript"/>
        </w:rPr>
        <w:t>2</w:t>
      </w:r>
      <w:r>
        <w:t>R system. By introducing a cationic organic ionomer (QAS) onto the Cu</w:t>
      </w:r>
      <w:r>
        <w:rPr>
          <w:vertAlign w:val="subscript"/>
        </w:rPr>
        <w:t>2</w:t>
      </w:r>
      <w:r>
        <w:t>O surface, an interfacial external field is established, which amplifies Helmholtz‐layer charge density, suppresses hydronium accumulation and the hydrogen evolution reaction (HER), and accelerates ECO</w:t>
      </w:r>
      <w:r>
        <w:rPr>
          <w:vertAlign w:val="subscript"/>
        </w:rPr>
        <w:t>2</w:t>
      </w:r>
      <w:r>
        <w:t>R kinetics. The optimized Cu</w:t>
      </w:r>
      <w:r>
        <w:rPr>
          <w:vertAlign w:val="subscript"/>
        </w:rPr>
        <w:t>2</w:t>
      </w:r>
      <w:r>
        <w:t>O/QAS electrode delivers a C</w:t>
      </w:r>
      <w:r>
        <w:t xml:space="preserve"> </w:t>
      </w:r>
      <w:r>
        <w:t>2+</w:t>
      </w:r>
      <w:r>
        <w:t xml:space="preserve"> </w:t>
      </w:r>
      <w:r>
        <w:t>Faradaic efficiency (FE) of ∼85% at 400 mA cm</w:t>
      </w:r>
      <w:r>
        <w:t xml:space="preserve"> </w:t>
      </w:r>
      <w:r>
        <w:t>−2</w:t>
      </w:r>
      <w:r>
        <w:t xml:space="preserve"> </w:t>
      </w:r>
      <w:r>
        <w:t>in an alkaline flow cell, with a C</w:t>
      </w:r>
      <w:r>
        <w:t xml:space="preserve"> </w:t>
      </w:r>
      <w:r>
        <w:t>2+</w:t>
      </w:r>
      <w:r>
        <w:t xml:space="preserve"> </w:t>
      </w:r>
      <w:r>
        <w:t>/C</w:t>
      </w:r>
      <w:r>
        <w:rPr>
          <w:vertAlign w:val="subscript"/>
        </w:rPr>
        <w:t>1</w:t>
      </w:r>
      <w:r>
        <w:t>ratio of ∼6.8, representing a 3.4‐fold enhancement over pristine Cu</w:t>
      </w:r>
      <w:r>
        <w:rPr>
          <w:vertAlign w:val="subscript"/>
        </w:rPr>
        <w:t>2</w:t>
      </w:r>
      <w:r>
        <w:t>O. Notably, a high C</w:t>
      </w:r>
      <w:r>
        <w:t xml:space="preserve"> </w:t>
      </w:r>
      <w:r>
        <w:t>2+</w:t>
      </w:r>
      <w:r>
        <w:t xml:space="preserve"> </w:t>
      </w:r>
      <w:r>
        <w:t>FE of ∼60% is retained even in acidic flow cells. To meet industrial requirements, a pure‐H</w:t>
      </w:r>
      <w:r>
        <w:rPr>
          <w:vertAlign w:val="subscript"/>
        </w:rPr>
        <w:t>2</w:t>
      </w:r>
      <w:r>
        <w:t>O‐fed membrane‐electrode‐assembly (MEA) cell is constructed, achieving ∼62% C</w:t>
      </w:r>
      <w:r>
        <w:t xml:space="preserve"> </w:t>
      </w:r>
      <w:r>
        <w:t>2+</w:t>
      </w:r>
      <w:r>
        <w:t xml:space="preserve"> </w:t>
      </w:r>
      <w:r>
        <w:t>FE at 300 mA cm</w:t>
      </w:r>
      <w:r>
        <w:t xml:space="preserve"> </w:t>
      </w:r>
      <w:r>
        <w:t>−2</w:t>
      </w:r>
      <w:r>
        <w:t xml:space="preserve"> </w:t>
      </w:r>
      <w:r>
        <w:t>and ∼4 V. Moreover, the scaled‐up MEA system demonstrates stable operation for over 100 h at 45 A and ∼176 W. In situ electrochemical analyses, operando spectroscopy, and theoretical calculations reveal that enhanced Helmholtz‐layer charge density stabilizes C─C coupling intermediates and lowers the thermodynamic barrier, enabling high C</w:t>
      </w:r>
      <w:r>
        <w:t xml:space="preserve"> </w:t>
      </w:r>
      <w:r>
        <w:t>2+</w:t>
      </w:r>
      <w:r>
        <w:t xml:space="preserve"> </w:t>
      </w:r>
      <w:r>
        <w:t>selectivity and activity.</w:t>
      </w:r>
    </w:p>
    <w:p>
      <w:pPr>
        <w:spacing w:before="120" w:after="120"/>
      </w:pPr>
      <w:r>
        <w:rPr>
          <w:sz w:val="18"/>
        </w:rPr>
        <w:t>——————————————————————————————————————————————————————————————————————</w:t>
      </w:r>
    </w:p>
    <w:p>
      <w:pPr>
        <w:spacing w:before="160" w:after="40" w:line="240" w:lineRule="auto"/>
      </w:pPr>
      <w:r>
        <w:rPr>
          <w:b/>
        </w:rPr>
        <w:t xml:space="preserve">[4] </w:t>
      </w:r>
      <w:hyperlink r:id="rId546">
        <w:r>
          <w:rPr>
            <w:color w:val="1155CC"/>
            <w:u w:val="single"/>
          </w:rPr>
          <w:t>动态 Te-OH 质子中继可在单原子催化剂上实现工业级酸性 CO2 电还原</w:t>
        </w:r>
      </w:hyperlink>
    </w:p>
    <w:p>
      <w:pPr>
        <w:spacing w:before="0" w:after="80"/>
      </w:pPr>
      <w:r>
        <w:rPr>
          <w:i/>
          <w:sz w:val="20"/>
        </w:rPr>
        <w:t>EN: Dynamic Te–OH Proton Relay Enables Industrial‐Level Acidic CO2 Electroreduction on Single‐Atom Catalysts</w:t>
      </w:r>
    </w:p>
    <w:p>
      <w:pPr>
        <w:spacing w:before="0" w:after="120"/>
      </w:pPr>
      <w:r>
        <w:rPr>
          <w:b/>
        </w:rPr>
        <w:t xml:space="preserve">Source: </w:t>
      </w:r>
      <w:r>
        <w:t>Wiley: Advanced Materials: Table of Contents</w:t>
      </w:r>
      <w:r>
        <w:t xml:space="preserve">    </w:t>
      </w:r>
      <w:r>
        <w:rPr>
          <w:b/>
        </w:rPr>
        <w:t xml:space="preserve">Pub date: </w:t>
      </w:r>
      <w:r>
        <w:t>2026-08-08 09:13:52+00:00</w:t>
      </w:r>
      <w:r>
        <w:t xml:space="preserve">    </w:t>
      </w:r>
      <w:r>
        <w:rPr>
          <w:b/>
        </w:rPr>
        <w:t xml:space="preserve">DOI: </w:t>
      </w:r>
      <w:hyperlink r:id="rId547">
        <w:r>
          <w:rPr>
            <w:color w:val="1155CC"/>
            <w:u w:val="single"/>
          </w:rPr>
          <w:t>10.1002/adma.74545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电化学CO</w:t>
      </w:r>
      <w:r>
        <w:rPr>
          <w:vertAlign w:val="subscript"/>
        </w:rPr>
        <w:t>2</w:t>
      </w:r>
      <w:r>
        <w:t>还原反应（CO</w:t>
      </w:r>
      <w:r>
        <w:rPr>
          <w:vertAlign w:val="subscript"/>
        </w:rPr>
        <w:t>2</w:t>
      </w:r>
      <w:r>
        <w:t>RR）在酸性介质中可以抑制碳酸盐的形成并增加CO</w:t>
      </w:r>
      <w:r>
        <w:rPr>
          <w:vertAlign w:val="subscript"/>
        </w:rPr>
        <w:t>2</w:t>
      </w:r>
      <w:r>
        <w:t>利用效率。然而，在高电流密度下，质子的快速消耗会引起局部碱化，导致质子供应不足并限制反应动力学。在这里，我们报告了一种动态质子中继策略，可以实现快速、选择性的二氧化碳</w:t>
      </w:r>
      <w:r>
        <w:rPr>
          <w:vertAlign w:val="subscript"/>
        </w:rPr>
        <w:t>2</w:t>
      </w:r>
      <w:r>
        <w:t>通过将碳上原子分散的 Ni-N 位点与相邻的 Te 物种 (Ni-N/Te-C) 整合来进行 RR。掺入的 Te 中心形成可逆的 Te-OH/Te-O</w:t>
      </w:r>
      <w:r>
        <w:t xml:space="preserve"> </w:t>
      </w:r>
      <w:r>
        <w:t>-</w:t>
      </w:r>
      <w:r>
        <w:t>同时促进水活化和介导受控质子传递的对，从而使氢供应与中间质子化同步，同时抑制竞争性氢析出。因此，与可逆氢电极相比，Ni-N/Te-C 在 -0.8 至 -1.4 V 的宽电位窗口内实现了高于 94.8% 的 CO 法拉第效率。 Ni–N/Te–C 可提供 562.5 mA cm 的工业 CO 电流密度</w:t>
      </w:r>
      <w:r>
        <w:t xml:space="preserve"> </w:t>
      </w:r>
      <w:r>
        <w:t>−2</w:t>
      </w:r>
      <w:r>
        <w:t xml:space="preserve"> </w:t>
      </w:r>
      <w:r>
        <w:t>周转频率为16291.9小时</w:t>
      </w:r>
      <w:r>
        <w:t xml:space="preserve"> </w:t>
      </w:r>
      <w:r>
        <w:t>−1</w:t>
      </w:r>
      <w:r>
        <w:t xml:space="preserve"> </w:t>
      </w:r>
      <w:r>
        <w:t>-1.4 V，明显高于 Ni-N/C。该催化剂还表现出卓越的耐用性，在 100.0 mA cm 电流下 300 小时内保持 93.8% 的选择性</w:t>
      </w:r>
      <w:r>
        <w:t xml:space="preserve"> </w:t>
      </w:r>
      <w:r>
        <w:t>−2</w:t>
      </w:r>
      <w:r>
        <w:t xml:space="preserve"> </w:t>
      </w:r>
      <w:r>
        <w:t>。原位光谱表征和</w:t>
      </w:r>
    </w:p>
    <w:p>
      <w:pPr>
        <w:spacing w:before="0" w:after="200" w:lineRule="auto" w:line="276"/>
      </w:pPr>
      <w:r>
        <w:rPr>
          <w:b/>
        </w:rPr>
        <w:t xml:space="preserve">Abstract (EN): </w:t>
      </w:r>
      <w:r>
        <w:t>Electrochemical CO</w:t>
      </w:r>
      <w:r>
        <w:rPr>
          <w:vertAlign w:val="subscript"/>
        </w:rPr>
        <w:t>2</w:t>
      </w:r>
      <w:r>
        <w:t>reduction reaction (CO</w:t>
      </w:r>
      <w:r>
        <w:rPr>
          <w:vertAlign w:val="subscript"/>
        </w:rPr>
        <w:t>2</w:t>
      </w:r>
      <w:r>
        <w:t>RR) in acidic media can suppress carbonate formation and boost CO</w:t>
      </w:r>
      <w:r>
        <w:rPr>
          <w:vertAlign w:val="subscript"/>
        </w:rPr>
        <w:t>2</w:t>
      </w:r>
      <w:r>
        <w:t>utilization efficiency. However, at high current densities, rapid proton consumption induces localized alkalization, causing insufficient proton supply and limiting reaction kinetics. Here we report a dynamic proton‐relay strategy that enables rapid and selective CO</w:t>
      </w:r>
      <w:r>
        <w:rPr>
          <w:vertAlign w:val="subscript"/>
        </w:rPr>
        <w:t>2</w:t>
      </w:r>
      <w:r>
        <w:t>RR by integrating atomically dispersed Ni–N sites on carbon with adjacent Te species (Ni–N/Te–C). The incorporated Te centers form reversible Te–OH/Te–O</w:t>
      </w:r>
      <w:r>
        <w:t xml:space="preserve"> </w:t>
      </w:r>
      <w:r>
        <w:t>−</w:t>
      </w:r>
      <w:r>
        <w:t>couples that simultaneously promote water activation and mediate controlled proton delivery, thereby synchronizing hydrogen supply with intermediate protonation while suppressing competitive hydrogen evolution. As a result, Ni–N/Te–C achieves a CO Faradaic efficiency above 94.8% across a wide potential window from −0.8 to −1.4 V versus the reversible hydrogen electrode. Ni–N/Te–C delivers an industrial CO current density of 562.5 mA cm</w:t>
      </w:r>
      <w:r>
        <w:t xml:space="preserve"> </w:t>
      </w:r>
      <w:r>
        <w:t>−2</w:t>
      </w:r>
      <w:r>
        <w:t xml:space="preserve"> </w:t>
      </w:r>
      <w:r>
        <w:t>and a turnover frequency of 16291.9 h</w:t>
      </w:r>
      <w:r>
        <w:t xml:space="preserve"> </w:t>
      </w:r>
      <w:r>
        <w:t>−1</w:t>
      </w:r>
      <w:r>
        <w:t xml:space="preserve"> </w:t>
      </w:r>
      <w:r>
        <w:t>at −1.4 V, significantly higher than that of Ni–N/C. The catalyst also demonstrates remarkable durability, maintaining 93.8% selectivity for 300 h at 100.0 mA cm</w:t>
      </w:r>
      <w:r>
        <w:t xml:space="preserve"> </w:t>
      </w:r>
      <w:r>
        <w:t>−2</w:t>
      </w:r>
      <w:r>
        <w:t xml:space="preserve"> </w:t>
      </w:r>
      <w:r>
        <w:t>. In situ spectroscopic characterization and theoretical calculations reveal that the Te–OH‐mediated proton relay modulates the reaction pathway of water dissociation and CO</w:t>
      </w:r>
      <w:r>
        <w:rPr>
          <w:vertAlign w:val="subscript"/>
        </w:rPr>
        <w:t>2</w:t>
      </w:r>
      <w:r>
        <w:t>protonation with significantly lower energy barriers, thus accelerating *COOH formation.</w:t>
      </w:r>
    </w:p>
    <w:p>
      <w:pPr>
        <w:spacing w:before="120" w:after="120"/>
      </w:pPr>
      <w:r>
        <w:rPr>
          <w:sz w:val="18"/>
        </w:rPr>
        <w:t>——————————————————————————————————————————————————————————————————————</w:t>
      </w:r>
    </w:p>
    <w:p>
      <w:pPr>
        <w:spacing w:before="160" w:after="40" w:line="240" w:lineRule="auto"/>
      </w:pPr>
      <w:r>
        <w:rPr>
          <w:b/>
        </w:rPr>
        <w:t xml:space="preserve">[5] </w:t>
      </w:r>
      <w:hyperlink r:id="rId548">
        <w:r>
          <w:rPr>
            <w:color w:val="1155CC"/>
            <w:u w:val="single"/>
          </w:rPr>
          <w:t>室温快速合成Ag─C配位MOFs用于高效酸性CO2电还原</w:t>
        </w:r>
      </w:hyperlink>
    </w:p>
    <w:p>
      <w:pPr>
        <w:spacing w:before="0" w:after="80"/>
      </w:pPr>
      <w:r>
        <w:rPr>
          <w:i/>
          <w:sz w:val="20"/>
        </w:rPr>
        <w:t>EN: Room‐Temperature Rapid Synthesis of Crystalline Ag─C Coordinated MOFs for Highly Efficient Acidic CO2 Electroreduction</w:t>
      </w:r>
    </w:p>
    <w:p>
      <w:pPr>
        <w:spacing w:before="0" w:after="120"/>
      </w:pPr>
      <w:r>
        <w:rPr>
          <w:b/>
        </w:rPr>
        <w:t xml:space="preserve">Source: </w:t>
      </w:r>
      <w:r>
        <w:t>Wiley: Angewandte Chemie International Edition: Table of Contents</w:t>
      </w:r>
      <w:r>
        <w:t xml:space="preserve">    </w:t>
      </w:r>
      <w:r>
        <w:rPr>
          <w:b/>
        </w:rPr>
        <w:t xml:space="preserve">Pub date: </w:t>
      </w:r>
      <w:r>
        <w:t>2026-08-08 10:50:05+00:00</w:t>
      </w:r>
      <w:r>
        <w:t xml:space="preserve">    </w:t>
      </w:r>
      <w:r>
        <w:rPr>
          <w:b/>
        </w:rPr>
        <w:t xml:space="preserve">DOI: </w:t>
      </w:r>
      <w:hyperlink r:id="rId549">
        <w:r>
          <w:rPr>
            <w:color w:val="1155CC"/>
            <w:u w:val="single"/>
          </w:rPr>
          <w:t>10.1002/anie.5594041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酸性CO</w:t>
      </w:r>
      <w:r>
        <w:rPr>
          <w:vertAlign w:val="subscript"/>
        </w:rPr>
        <w:t>2</w:t>
      </w:r>
      <w:r>
        <w:t>电还原反应（eCO</w:t>
      </w:r>
      <w:r>
        <w:rPr>
          <w:vertAlign w:val="subscript"/>
        </w:rPr>
        <w:t>2</w:t>
      </w:r>
      <w:r>
        <w:t>RR）在解决中性/碱性条件下遇到的碳酸化问题方面显示出巨大的前景。然而，它仍然面临着由于高质子可用性而导致的低选择性以及由于酸性介质的腐蚀和还原性质而导致的催化剂降解的挑战。在这项工作中，我们展示了使用 4'-(4-乙炔基苯基)-2,2':6',2"-三联吡啶作为配体，在室温下快速（&lt; 5 分钟）合成新型结晶 Ag-C 配位金属有机框架 (TEPT-AgC-MOF)，从而实现克级生产。强共价Ag-C键的引入显着增强了催化剂在酸性条件下的结构稳定性。此外，含三嗪的配体与调制的电子结构共同增强了CO</w:t>
      </w:r>
      <w:r>
        <w:rPr>
          <w:vertAlign w:val="subscript"/>
        </w:rPr>
        <w:t>2</w:t>
      </w:r>
      <w:r>
        <w:t>吸附、活化和还原效率。由此产生的催化剂可提供出色的 eCO</w:t>
      </w:r>
      <w:r>
        <w:rPr>
          <w:vertAlign w:val="subscript"/>
        </w:rPr>
        <w:t>2</w:t>
      </w:r>
      <w:r>
        <w:t>酸中的RR性能，CO法拉第效率达到94.5%，部分电流密度达到417.5 mA·cm</w:t>
      </w:r>
      <w:r>
        <w:t xml:space="preserve"> </w:t>
      </w:r>
      <w:r>
        <w:t>−2</w:t>
      </w:r>
      <w:r>
        <w:t xml:space="preserve"> </w:t>
      </w:r>
      <w:r>
        <w:t>，周转频率 (TOF) 为 7357 小时</w:t>
      </w:r>
      <w:r>
        <w:t xml:space="preserve"> </w:t>
      </w:r>
      <w:r>
        <w:t>−1</w:t>
      </w:r>
      <w:r>
        <w:t xml:space="preserve"> </w:t>
      </w:r>
      <w:r>
        <w:t>，超过了大多数报道的银基酸性催化剂。值得注意的是，这项研究不仅建立了合成Ag-MOFs的简便途径，而且也是对crys的首次研究</w:t>
      </w:r>
    </w:p>
    <w:p>
      <w:pPr>
        <w:spacing w:before="0" w:after="200" w:lineRule="auto" w:line="276"/>
      </w:pPr>
      <w:r>
        <w:rPr>
          <w:b/>
        </w:rPr>
        <w:t xml:space="preserve">Abstract (EN): </w:t>
      </w:r>
      <w:r>
        <w:t>The acidic CO</w:t>
      </w:r>
      <w:r>
        <w:rPr>
          <w:vertAlign w:val="subscript"/>
        </w:rPr>
        <w:t>2</w:t>
      </w:r>
      <w:r>
        <w:t>electroreduction reaction (eCO</w:t>
      </w:r>
      <w:r>
        <w:rPr>
          <w:vertAlign w:val="subscript"/>
        </w:rPr>
        <w:t>2</w:t>
      </w:r>
      <w:r>
        <w:t>RR) shows great promise in addressing carbonation issues encountered under neutral/alkaline conditions. However, it remains challenged by low selectivity arising from high proton availability, as well as catalyst degradation due to the corrosive and reductive nature of acidic media. In this work, we demonstrate a room‐temperature and rapid (&amp;lt; 5 min) synthesis of a novel crystalline Ag–C coordinated metal‐organic framework (TEPT‐AgC‐MOF) employing 4′‐(4‐ethynylphenyl)‐2,2′:6′,2″‐terpyridine as the ligand, enabling gram‐scale production. The incorporation of strongly covalent Ag–C bonds significantly enhances the structural stability of the catalyst under acidic conditions. Moreover, the triazine‐containing ligands in conjunction with a modulated electronic structure collectively enhance CO</w:t>
      </w:r>
      <w:r>
        <w:rPr>
          <w:vertAlign w:val="subscript"/>
        </w:rPr>
        <w:t>2</w:t>
      </w:r>
      <w:r>
        <w:t>adsorption, activation, and reduction efficiency. The resulting catalyst delivers outstanding eCO</w:t>
      </w:r>
      <w:r>
        <w:rPr>
          <w:vertAlign w:val="subscript"/>
        </w:rPr>
        <w:t>2</w:t>
      </w:r>
      <w:r>
        <w:t>RR performance in acid, achieving a CO Faradaic efficiency of 94.5%, a partial current density of 417.5 mA·cm</w:t>
      </w:r>
      <w:r>
        <w:t xml:space="preserve"> </w:t>
      </w:r>
      <w:r>
        <w:t>−2</w:t>
      </w:r>
      <w:r>
        <w:t xml:space="preserve"> </w:t>
      </w:r>
      <w:r>
        <w:t>, and a turnover frequency (TOF) of 7357 h</w:t>
      </w:r>
      <w:r>
        <w:t xml:space="preserve"> </w:t>
      </w:r>
      <w:r>
        <w:t>−1</w:t>
      </w:r>
      <w:r>
        <w:t xml:space="preserve"> </w:t>
      </w:r>
      <w:r>
        <w:t>, surpassing those of most reported Ag‐based acidic catalysts. Notably, this study not only establishes a facile route for synthesizing Ag‐MOFs, but also constitutes the first investigation into crystalline Ag–C coordinated MOFs as electrocatalysts for the acidic eCO</w:t>
      </w:r>
      <w:r>
        <w:rPr>
          <w:vertAlign w:val="subscript"/>
        </w:rPr>
        <w:t>2</w:t>
      </w:r>
      <w:r>
        <w:t>RR.</w:t>
      </w:r>
    </w:p>
    <w:p>
      <w:pPr>
        <w:spacing w:before="120" w:after="120"/>
      </w:pPr>
      <w:r>
        <w:rPr>
          <w:sz w:val="18"/>
        </w:rPr>
        <w:t>——————————————————————————————————————————————————————————————————————</w:t>
      </w:r>
    </w:p>
    <w:p>
      <w:pPr>
        <w:spacing w:before="160" w:after="40" w:line="240" w:lineRule="auto"/>
      </w:pPr>
      <w:r>
        <w:rPr>
          <w:b/>
        </w:rPr>
        <w:t xml:space="preserve">[6] </w:t>
      </w:r>
      <w:hyperlink r:id="rId550">
        <w:r>
          <w:rPr>
            <w:color w:val="1155CC"/>
            <w:u w:val="single"/>
          </w:rPr>
          <w:t>通过单层模型催化剂解开距离对 CO2 电还原为多碳产品的影响</w:t>
        </w:r>
      </w:hyperlink>
    </w:p>
    <w:p>
      <w:pPr>
        <w:spacing w:before="0" w:after="80"/>
      </w:pPr>
      <w:r>
        <w:rPr>
          <w:i/>
          <w:sz w:val="20"/>
        </w:rPr>
        <w:t>EN: Unlocking the Distance Effect on CO2 Electroreduction to Multi‐Carbon Products via Monolayer Model Catalysts</w:t>
      </w:r>
    </w:p>
    <w:p>
      <w:pPr>
        <w:spacing w:before="0" w:after="120"/>
      </w:pPr>
      <w:r>
        <w:rPr>
          <w:b/>
        </w:rPr>
        <w:t xml:space="preserve">Source: </w:t>
      </w:r>
      <w:r>
        <w:t>Wiley: Angewandte Chemie International Edition: Table of Contents</w:t>
      </w:r>
      <w:r>
        <w:t xml:space="preserve">    </w:t>
      </w:r>
      <w:r>
        <w:rPr>
          <w:b/>
        </w:rPr>
        <w:t xml:space="preserve">Pub date: </w:t>
      </w:r>
      <w:r>
        <w:t>2026-08-08 11:09:48+00:00</w:t>
      </w:r>
      <w:r>
        <w:t xml:space="preserve">    </w:t>
      </w:r>
      <w:r>
        <w:rPr>
          <w:b/>
        </w:rPr>
        <w:t xml:space="preserve">DOI: </w:t>
      </w:r>
      <w:hyperlink r:id="rId551">
        <w:r>
          <w:rPr>
            <w:color w:val="1155CC"/>
            <w:u w:val="single"/>
          </w:rPr>
          <w:t>10.1002/anie.3659056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相邻活性位点之间的相互作用显着影响电催化性能，例如，CO</w:t>
      </w:r>
      <w:r>
        <w:rPr>
          <w:vertAlign w:val="subscript"/>
        </w:rPr>
        <w:t>2</w:t>
      </w:r>
      <w:r>
        <w:t>电还原（CO</w:t>
      </w:r>
      <w:r>
        <w:rPr>
          <w:vertAlign w:val="subscript"/>
        </w:rPr>
        <w:t>2</w:t>
      </w:r>
      <w:r>
        <w:t>RR），但由于难以精确控制站点间距离，因此通过实验量化这种效应仍然具有挑战性。在这里，我们使用具有明确 Cu-N 的 Cu 配位卟啉构建了单层模型催化剂</w:t>
      </w:r>
      <w:r>
        <w:rPr>
          <w:vertAlign w:val="subscript"/>
        </w:rPr>
        <w:t>4</w:t>
      </w:r>
      <w:r>
        <w:t>Au(111) 上的位点。通过改变分子配体和聚集状态在亚纳米水平上调节铜中心之间的距离，并通过扫描隧道显微镜（STM）直接测量。这种可调节的间距关键决定了 CO 中多碳产物的选择性</w:t>
      </w:r>
      <w:r>
        <w:rPr>
          <w:vertAlign w:val="subscript"/>
        </w:rPr>
        <w:t>2</w:t>
      </w:r>
      <w:r>
        <w:t>RR。当 Cu 位点间距为 0.98 nm 时，C 的法拉第效率 (FE) 为 6.1%</w:t>
      </w:r>
      <w:r>
        <w:rPr>
          <w:vertAlign w:val="subscript"/>
        </w:rPr>
        <w:t>2</w:t>
      </w:r>
      <w:r>
        <w:t>H</w:t>
      </w:r>
      <w:r>
        <w:rPr>
          <w:vertAlign w:val="subscript"/>
        </w:rPr>
        <w:t>4</w:t>
      </w:r>
      <w:r>
        <w:t>已实现。将 Cu 位点的间距增加到 1.50 nm 可显着降低 C</w:t>
      </w:r>
      <w:r>
        <w:rPr>
          <w:vertAlign w:val="subscript"/>
        </w:rPr>
        <w:t>2</w:t>
      </w:r>
      <w:r>
        <w:t>H</w:t>
      </w:r>
      <w:r>
        <w:rPr>
          <w:vertAlign w:val="subscript"/>
        </w:rPr>
        <w:t>4</w:t>
      </w:r>
      <w:r>
        <w:t>FE 至 1.2%。在 1.63 nm 和 1.74 nm 的较大间距下，C─C 耦合几乎完全被抑制，并且 C</w:t>
      </w:r>
      <w:r>
        <w:rPr>
          <w:vertAlign w:val="subscript"/>
        </w:rPr>
        <w:t>2</w:t>
      </w:r>
      <w:r>
        <w:t>H</w:t>
      </w:r>
      <w:r>
        <w:rPr>
          <w:vertAlign w:val="subscript"/>
        </w:rPr>
        <w:t>4</w:t>
      </w:r>
      <w:r>
        <w:t>产量变得可以忽略不计。这些结果为 CO 中的距离效应提供了直接的实验证据</w:t>
      </w:r>
      <w:r>
        <w:rPr>
          <w:vertAlign w:val="subscript"/>
        </w:rPr>
        <w:t>2</w:t>
      </w:r>
      <w:r>
        <w:t>电子</w:t>
      </w:r>
    </w:p>
    <w:p>
      <w:pPr>
        <w:spacing w:before="0" w:after="200" w:lineRule="auto" w:line="276"/>
      </w:pPr>
      <w:r>
        <w:rPr>
          <w:b/>
        </w:rPr>
        <w:t xml:space="preserve">Abstract (EN): </w:t>
      </w:r>
      <w:r>
        <w:t>The interaction between adjacent active sites significantly influences electrocatalytic performance, for example, CO</w:t>
      </w:r>
      <w:r>
        <w:rPr>
          <w:vertAlign w:val="subscript"/>
        </w:rPr>
        <w:t>2</w:t>
      </w:r>
      <w:r>
        <w:t>electroreduction (CO</w:t>
      </w:r>
      <w:r>
        <w:rPr>
          <w:vertAlign w:val="subscript"/>
        </w:rPr>
        <w:t>2</w:t>
      </w:r>
      <w:r>
        <w:t>RR), yet quantifying this effect experimentally remains challenging due to the difficulty in precisely controlling inter‐site distances. Here, we construct a monolayer model catalyst using Cu‐coordinated porphyrins with well‐defined Cu–N</w:t>
      </w:r>
      <w:r>
        <w:rPr>
          <w:vertAlign w:val="subscript"/>
        </w:rPr>
        <w:t>4</w:t>
      </w:r>
      <w:r>
        <w:t>sites on Au(111). The distance between Cu centers is regulated at the sub‐nanometer level by modifying molecular ligands and aggregation states, and is directly measured by scanning tunneling microscopy (STM). This adjustable spacing critically determines the selectivity toward multi‐carbon products in CO</w:t>
      </w:r>
      <w:r>
        <w:rPr>
          <w:vertAlign w:val="subscript"/>
        </w:rPr>
        <w:t>2</w:t>
      </w:r>
      <w:r>
        <w:t>RR. When Cu sites are spaced 0.98 nm apart,a Faradaic efficiency (FE) of 6.1% for C</w:t>
      </w:r>
      <w:r>
        <w:rPr>
          <w:vertAlign w:val="subscript"/>
        </w:rPr>
        <w:t>2</w:t>
      </w:r>
      <w:r>
        <w:t>H</w:t>
      </w:r>
      <w:r>
        <w:rPr>
          <w:vertAlign w:val="subscript"/>
        </w:rPr>
        <w:t>4</w:t>
      </w:r>
      <w:r>
        <w:t>is achieved. Increasing the inter‐distance of Cu sites to 1.50 nm dramatically reduces C</w:t>
      </w:r>
      <w:r>
        <w:rPr>
          <w:vertAlign w:val="subscript"/>
        </w:rPr>
        <w:t>2</w:t>
      </w:r>
      <w:r>
        <w:t>H</w:t>
      </w:r>
      <w:r>
        <w:rPr>
          <w:vertAlign w:val="subscript"/>
        </w:rPr>
        <w:t>4</w:t>
      </w:r>
      <w:r>
        <w:t>FE to 1.2%. At larger separations of 1.63 nm and 1.74 nm, C─C coupling is almost completely suppressed, and C</w:t>
      </w:r>
      <w:r>
        <w:rPr>
          <w:vertAlign w:val="subscript"/>
        </w:rPr>
        <w:t>2</w:t>
      </w:r>
      <w:r>
        <w:t>H</w:t>
      </w:r>
      <w:r>
        <w:rPr>
          <w:vertAlign w:val="subscript"/>
        </w:rPr>
        <w:t>4</w:t>
      </w:r>
      <w:r>
        <w:t>production becomes negligible. These results provide direct experimental evidence of the distance effect in CO</w:t>
      </w:r>
      <w:r>
        <w:rPr>
          <w:vertAlign w:val="subscript"/>
        </w:rPr>
        <w:t>2</w:t>
      </w:r>
      <w:r>
        <w:t>electroreduction, and precisely identify, for the first time, the distance between Cu sites capable of facilitating C─C coupling process. This study establishes a molecular‐level platform for probing fundamental mechanisms in electrocatalysis.</w:t>
      </w:r>
    </w:p>
    <w:p>
      <w:pPr>
        <w:spacing w:before="120" w:after="120"/>
      </w:pPr>
      <w:r>
        <w:rPr>
          <w:sz w:val="18"/>
        </w:rPr>
        <w:t>——————————————————————————————————————————————————————————————————————</w:t>
      </w:r>
    </w:p>
    <w:p>
      <w:pPr>
        <w:spacing w:before="160" w:after="40" w:line="240" w:lineRule="auto"/>
      </w:pPr>
      <w:r>
        <w:rPr>
          <w:b/>
        </w:rPr>
        <w:t xml:space="preserve">[7] </w:t>
      </w:r>
      <w:hyperlink r:id="rId552">
        <w:r>
          <w:rPr>
            <w:color w:val="1155CC"/>
            <w:u w:val="single"/>
          </w:rPr>
          <w:t>未活化烯烃和杂芳烃与 CO2 光催化氨基羧化生成 β-氨基酸衍生物</w:t>
        </w:r>
      </w:hyperlink>
    </w:p>
    <w:p>
      <w:pPr>
        <w:spacing w:before="0" w:after="80"/>
      </w:pPr>
      <w:r>
        <w:rPr>
          <w:i/>
          <w:sz w:val="20"/>
        </w:rPr>
        <w:t>EN: Photocatalytic Aminocarboxylation of Unactivated Alkenes and Heteroarenes with CO2 toward β-Amino Acid Derivatives</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553">
        <w:r>
          <w:rPr>
            <w:color w:val="1155CC"/>
            <w:u w:val="single"/>
          </w:rPr>
          <w:t>10.1021/jacs.6c11164</w:t>
        </w:r>
      </w:hyperlink>
    </w:p>
    <w:p>
      <w:pPr>
        <w:spacing w:before="0" w:after="120"/>
      </w:pPr>
      <w:r>
        <w:rPr>
          <w:b/>
        </w:rPr>
        <w:t xml:space="preserve">Notes: </w:t>
      </w:r>
      <w:r>
        <w:t>abstract_source=crossref</w:t>
      </w:r>
    </w:p>
    <w:p>
      <w:pPr>
        <w:spacing w:before="0" w:after="80" w:lineRule="auto" w:line="276"/>
      </w:pPr>
      <w:r>
        <w:rPr>
          <w:b/>
        </w:rPr>
        <w:t xml:space="preserve">摘要（ZH）: </w:t>
      </w:r>
      <w:r>
        <w:t>摘要 β-氨基酸代表生物活性分子的重要结构基序，在有机合成、制药和材料科学中具有广泛的用途。尽管 CO2 已被广泛用作合成羧酸的 C1 羧基源，但未活化的烯烃与 CO2 直接氨基羧化以提供 β-氨基酸仍然很大程度上未被探索，并面临着巨大的挑战。在此，我们报告了首次使用二氧化碳作为理想的单碳原料对未活化的烯烃和杂芳烃进行光催化氨基羧化，从而能够有效合成多种有价值的β-氨基酸衍生物。这种创新策略依赖于在烯烃上顺序安装 CO2 自由基阴离子和氮中心自由基 (NCR)。具体来说，市售的酰肼可作为关键的 NCR 前体来形成捕获肼自由基，从而促进由持久自由基效应 (PRE) 控制的选择性自由基-自由基交叉偶联。这种方法很容易适应简单而丰富的化学原料，范围从未活化的烯烃（包括乙烯）到杂芳烃和活化的烯烃。该方案具有催化剂负载量低、选择性高和官能团耐受性好的特点，能够将产物后期衍生化为生物活性分子和各种杂环。</w:t>
      </w:r>
    </w:p>
    <w:p>
      <w:pPr>
        <w:spacing w:before="0" w:after="200" w:lineRule="auto" w:line="276"/>
      </w:pPr>
      <w:r>
        <w:rPr>
          <w:b/>
        </w:rPr>
        <w:t xml:space="preserve">Abstract (EN): </w:t>
      </w:r>
      <w:r>
        <w:t>β-Amino acids represent vital structural motifs in bioactive molecules, finding broad utility in organic synthesis, pharmaceuticals, and materials science. Although CO2 has been widely exploited as a C1 carboxyl source for the synthesis of carboxylic acids, the direct aminocarboxylation of unactivated alkenes with CO2 to afford β-amino acids remains largely unexplored and faces formidable challenges. Herein, we report the first photocatalytic aminocarboxylation of unactivated alkenes and heteroarenes using CO2 as the ideal one-carbon feedstock, enabling the efficient synthesis of diverse valuable β-amino acid derivatives. This innovative strategy relies on the sequential installation of a CO2 radical anion and a nitrogen-centered radical (NCR) across alkenes. Specifically, commercially available acyl hydrazides serve as key NCR precursors to form captodative hydrazyl radicals, thereby facilitating selective radical–radical cross-coupling governed by the persistent radical effect (PRE). This methodology readily accommodates simple and abundant chemical feedstocks, ranging from unactivated alkenes (including ethylene) to heteroarenes and activated alkenes. Characterized by low catalyst loading, high selectivity, and good functional-group tolerance, this protocol enables the late-stage derivatization of products into bioactive molecules and various heterocycles.</w:t>
      </w:r>
    </w:p>
    <w:p>
      <w:pPr>
        <w:spacing w:before="120" w:after="120"/>
      </w:pPr>
      <w:r>
        <w:rPr>
          <w:sz w:val="18"/>
        </w:rPr>
        <w:t>——————————————————————————————————————————————————————————————————————</w:t>
      </w:r>
    </w:p>
    <w:p>
      <w:pPr>
        <w:spacing w:before="160" w:after="40" w:line="240" w:lineRule="auto"/>
      </w:pPr>
      <w:r>
        <w:rPr>
          <w:b/>
        </w:rPr>
        <w:t xml:space="preserve">[8] </w:t>
      </w:r>
      <w:hyperlink r:id="rId554">
        <w:r>
          <w:rPr>
            <w:color w:val="1155CC"/>
            <w:u w:val="single"/>
          </w:rPr>
          <w:t>双配体协同构建双壁笼状Zn-MOF：甲基修饰调节孔径和选择性C2H2/CO2分离性能</w:t>
        </w:r>
      </w:hyperlink>
    </w:p>
    <w:p>
      <w:pPr>
        <w:spacing w:before="0" w:after="80"/>
      </w:pPr>
      <w:r>
        <w:rPr>
          <w:i/>
          <w:sz w:val="20"/>
        </w:rPr>
        <w:t>EN: Dual-Ligand Synergistic Construction of Double-Walled Cage Zn-MOFs: Methyl Modification Regulates Pore Size and Selective C2H2/CO2 Separation Performance</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555">
        <w:r>
          <w:rPr>
            <w:color w:val="1155CC"/>
            <w:u w:val="single"/>
          </w:rPr>
          <w:t>10.1021/acsami.6c10729</w:t>
        </w:r>
      </w:hyperlink>
    </w:p>
    <w:p>
      <w:pPr>
        <w:spacing w:before="0" w:after="120"/>
      </w:pPr>
      <w:r>
        <w:rPr>
          <w:b/>
        </w:rPr>
        <w:t xml:space="preserve">Notes: </w:t>
      </w:r>
      <w:r>
        <w:t>abstract_source=crossref</w:t>
      </w:r>
    </w:p>
    <w:p>
      <w:pPr>
        <w:spacing w:before="0" w:after="80" w:lineRule="auto" w:line="276"/>
      </w:pPr>
      <w:r>
        <w:rPr>
          <w:b/>
        </w:rPr>
        <w:t xml:space="preserve">摘要（ZH）: </w:t>
      </w:r>
      <w:r>
        <w:t>摘要 由于乙​​炔（C2H2）和二氧化碳（CO2）的分子大小和熔沸点极其相似，它们的高效分离和纯化一直是工业纯化领域的重大挑战。基于配体构建策略，本研究选择2,4,6-三(4-羧基苯基)-1,3,5-三嗪作为主要配体，分别与3-甲基-1H-1,2,4-三唑和3,5-二甲基-1H-1,2,4-三唑配位组装金属有机骨架(MOF)，成功制备了两种双壁MOF晶体材料： Zn-TATB-fmtrz 和 Zn-TATB-dmtrz。其中，Zn-TATB-fmtrz具有较​​大的孔径（11.64×6.63 Å），而对比材料Zn-TATB-dmtrz的孔径仅为4.94×4.30 Å；此外，Zn-TATB-fmtrz的比表面积（1403.4 m2/g）也显着高于Zn-TATB-dmtrz（826.4 m2/g）。受益于上述结构优势，两种MOF材料都能实现C2H2/CO2的高效分离。系统吸附测试表明，在298 K、1 bar条件下，Zn-TATB-fmtrz的最大乙炔吸附容量达到58.6 cm3/g，远高于Zn-TATB-dmtrz的37.5 cm3/g；此外，Zn-TATB-fmtrz对C2H2/CO2的吸附选择性为3.0，略优于Zn-TATB-dmtrz的2.9。基于真实二元混合物的动态突破实验进一步直观地证实了 Zn-TATB-fmtrz 显示出实际 C2H2/CO2 分离的潜力。</w:t>
      </w:r>
    </w:p>
    <w:p>
      <w:pPr>
        <w:spacing w:before="0" w:after="200" w:lineRule="auto" w:line="276"/>
      </w:pPr>
      <w:r>
        <w:rPr>
          <w:b/>
        </w:rPr>
        <w:t xml:space="preserve">Abstract (EN): </w:t>
      </w:r>
      <w:r>
        <w:t>Due to the extremely similar molecular sizes and melting and boiling points of acetylene (C2H2) and carbon dioxide (CO2), their efficient separation and purification have long been significant challenges in the field of industrial purification. Based on the ligand construction strategy, this study selected 2,4,6-tris(4-carboxyphenyl)-1,3,5-triazine as the main ligand and coordinated it with 3-methyl-1H-1,2,4-triazole and 3,5-dimethyl-1H-1,2,4-triazole, respectively, to assemble metal-organic frameworks (MOFs), successfully preparing two double-walled MOF crystal materials: Zn-TATB-fmtrz and Zn-TATB-dmtrz. Among them, Zn-TATB-fmtrz has a larger pore size (11.64 × 6.63 Å), while the pore size of the comparative material Zn-TATB-dmtrz is only 4.94 × 4.30 Å; in addition, the specific surface area of Zn-TATB-fmtrz (1403.4 m2/g) is also significantly higher than that of Zn-TATB-dmtrz (826.4 m2/g). Benefiting from the above structural advantages, both MOF materials can achieve efficient separation of C2H2/CO2. Systematic adsorption tests indicate that under conditions of 298 K and 1 bar, the maximum acetylene adsorption capacity of Zn-TATB-fmtrz reaches 58.6 cm3/g, much higher than the 37.5 cm3/g of Zn-TATB-dmtrz; moreover, the adsorption selectivity of Zn-TATB-fmtrz for C2H2/CO2 is 3.0, slightly better than 2.9 for Zn-TATB-dmtrz. Dynamic breakthrough experiments based on real binary mixtures further visually confirm that Zn-TATB-fmtrz shows potential for practical C2H2/CO2 separation.</w:t>
      </w:r>
    </w:p>
    <w:p>
      <w:pPr>
        <w:spacing w:before="120" w:after="120"/>
      </w:pPr>
      <w:r>
        <w:rPr>
          <w:sz w:val="18"/>
        </w:rPr>
        <w:t>——————————————————————————————————————————————————————————————————————</w:t>
      </w:r>
    </w:p>
    <w:p>
      <w:pPr>
        <w:spacing w:before="160" w:after="40" w:line="240" w:lineRule="auto"/>
      </w:pPr>
      <w:r>
        <w:rPr>
          <w:b/>
        </w:rPr>
        <w:t xml:space="preserve">[9] </w:t>
      </w:r>
      <w:hyperlink r:id="rId419">
        <w:r>
          <w:rPr>
            <w:color w:val="1155CC"/>
            <w:u w:val="single"/>
          </w:rPr>
          <w:t>金稳定铜可实现超低压 CO 电解制乙烯的阳极析氢</w:t>
        </w:r>
      </w:hyperlink>
    </w:p>
    <w:p>
      <w:pPr>
        <w:spacing w:before="0" w:after="80"/>
      </w:pPr>
      <w:r>
        <w:rPr>
          <w:i/>
          <w:sz w:val="20"/>
        </w:rPr>
        <w:t>EN: Gold‐Stabilized Copper Enables Anodic Hydrogen Evolution for Ultralow‐Voltage CO‐to‐Ethylene Electrolysis</w:t>
      </w:r>
    </w:p>
    <w:p>
      <w:pPr>
        <w:spacing w:before="0" w:after="120"/>
      </w:pPr>
      <w:r>
        <w:rPr>
          <w:b/>
        </w:rPr>
        <w:t xml:space="preserve">Source: </w:t>
      </w:r>
      <w:r>
        <w:t>Wiley: Advanced Materials: Table of Contents</w:t>
      </w:r>
      <w:r>
        <w:t xml:space="preserve">    </w:t>
      </w:r>
      <w:r>
        <w:rPr>
          <w:b/>
        </w:rPr>
        <w:t xml:space="preserve">Pub date: </w:t>
      </w:r>
      <w:r>
        <w:t>2026-08-10 03:53:48+00:00</w:t>
      </w:r>
      <w:r>
        <w:t xml:space="preserve">    </w:t>
      </w:r>
      <w:r>
        <w:rPr>
          <w:b/>
        </w:rPr>
        <w:t xml:space="preserve">DOI: </w:t>
      </w:r>
      <w:hyperlink r:id="rId420">
        <w:r>
          <w:rPr>
            <w:color w:val="1155CC"/>
            <w:u w:val="single"/>
          </w:rPr>
          <w:t>10.1002/adma.74459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 电化学升级</w:t>
      </w:r>
      <w:r>
        <w:rPr>
          <w:vertAlign w:val="subscript"/>
        </w:rPr>
        <w:t>2</w:t>
      </w:r>
      <w:r>
        <w:t>CO 转化为乙烯通常与析氧反应 (OER) 结合，其高标准还原电位导致全电池电压在 200 mA/cm 下高于 2.2 V</w:t>
      </w:r>
      <w:r>
        <w:rPr>
          <w:vertAlign w:val="subscript"/>
        </w:rPr>
        <w:t>2</w:t>
      </w:r>
      <w:r>
        <w:t>。在这里，我们探索了另一种阳极反应，其中糠醛被氧化成糠酸，这是一种具有低起始电位的反应（</w:t>
      </w:r>
      <w:r>
        <w:t xml:space="preserve"> </w:t>
      </w:r>
      <w:r>
        <w:t>乙</w:t>
      </w:r>
      <w:r>
        <w:rPr>
          <w:vertAlign w:val="subscript"/>
        </w:rPr>
        <w:t>0</w:t>
      </w:r>
      <w:r>
        <w:t>≈ 0.05 V vs. RHE)，哪个反应伴随着 H 的演化</w:t>
      </w:r>
      <w:r>
        <w:rPr>
          <w:vertAlign w:val="subscript"/>
        </w:rPr>
        <w:t>2</w:t>
      </w:r>
      <w:r>
        <w:t>：阳极析氢反应（a-HER）。在早期实验中，氧化铜作为 a-HER 催化剂表现出有限的稳定性（&lt; 10 分钟）和活性（80 mA/cm</w:t>
      </w:r>
      <w:r>
        <w:rPr>
          <w:vertAlign w:val="subscript"/>
        </w:rPr>
        <w:t>2</w:t>
      </w:r>
      <w:r>
        <w:t>0.8</w:t>
      </w:r>
      <w:r>
        <w:t xml:space="preserve"> </w:t>
      </w:r>
      <w:r>
        <w:t>V</w:t>
      </w:r>
      <w:r>
        <w:t xml:space="preserve"> </w:t>
      </w:r>
      <w:r>
        <w:t>细胞</w:t>
      </w:r>
      <w:r>
        <w:t xml:space="preserve"> </w:t>
      </w:r>
      <w:r>
        <w:t>）。我们使用原位光谱法发现，氢氧化物在铜表面形成，并使所需的 a-HER 过程失活。当我们筛选候选金属掺杂剂时，我们发现最好的是 Au，因为它可以稳定 Cu 表面，实现 a-HER：260 mA cm</w:t>
      </w:r>
      <w:r>
        <w:t xml:space="preserve"> </w:t>
      </w:r>
      <w:r>
        <w:t>−2</w:t>
      </w:r>
      <w:r>
        <w:t xml:space="preserve"> </w:t>
      </w:r>
      <w:r>
        <w:t>0.8</w:t>
      </w:r>
      <w:r>
        <w:t xml:space="preserve"> </w:t>
      </w:r>
      <w:r>
        <w:t>V</w:t>
      </w:r>
      <w:r>
        <w:t xml:space="preserve"> </w:t>
      </w:r>
      <w:r>
        <w:t>细胞</w:t>
      </w:r>
      <w:r>
        <w:t xml:space="preserve"> </w:t>
      </w:r>
      <w:r>
        <w:t>并稳定运行16小时。集成到配对的 CO 制乙烯电解槽中，可提供 0.92 V</w:t>
      </w:r>
      <w:r>
        <w:t xml:space="preserve"> </w:t>
      </w:r>
      <w:r>
        <w:t>全细胞</w:t>
      </w:r>
      <w:r>
        <w:t xml:space="preserve"> </w:t>
      </w:r>
      <w:r>
        <w:t>400 mA cm 时</w:t>
      </w:r>
      <w:r>
        <w:t xml:space="preserve"> </w:t>
      </w:r>
      <w:r>
        <w:t>−2</w:t>
      </w:r>
      <w:r>
        <w:t xml:space="preserve"> </w:t>
      </w:r>
      <w:r>
        <w:t>，每吨乙烯需要 40 GJ 电力，</w:t>
      </w:r>
    </w:p>
    <w:p>
      <w:pPr>
        <w:spacing w:before="0" w:after="200" w:lineRule="auto" w:line="276"/>
      </w:pPr>
      <w:r>
        <w:rPr>
          <w:b/>
        </w:rPr>
        <w:t xml:space="preserve">Abstract (EN): </w:t>
      </w:r>
      <w:r>
        <w:t>Electrochemical upgrading from CO</w:t>
      </w:r>
      <w:r>
        <w:rPr>
          <w:vertAlign w:val="subscript"/>
        </w:rPr>
        <w:t>2</w:t>
      </w:r>
      <w:r>
        <w:t>and CO to ethylene has typically been coupled with the oxygen evolution reaction (OER), whose high standard reduction potential leads to full‐cell voltages above 2.2 V at 200 mA/cm</w:t>
      </w:r>
      <w:r>
        <w:rPr>
          <w:vertAlign w:val="subscript"/>
        </w:rPr>
        <w:t>2</w:t>
      </w:r>
      <w:r>
        <w:t>. Here we explored an alternative anodic reaction, where furfural is oxidized to furoic acid, a reaction having a low onset potential (</w:t>
      </w:r>
      <w:r>
        <w:t xml:space="preserve"> </w:t>
      </w:r>
      <w:r>
        <w:t>E</w:t>
      </w:r>
      <w:r>
        <w:rPr>
          <w:vertAlign w:val="subscript"/>
        </w:rPr>
        <w:t>0</w:t>
      </w:r>
      <w:r>
        <w:t>≈ 0.05 V vs. RHE), and which reaction is accompanied by the evolution of H</w:t>
      </w:r>
      <w:r>
        <w:rPr>
          <w:vertAlign w:val="subscript"/>
        </w:rPr>
        <w:t>2</w:t>
      </w:r>
      <w:r>
        <w:t>: an anodic hydrogen evolution reaction (a‐HER). In early experiments, copper oxide as a‐HER catalyst exhibit limited stability (&amp;lt; 10 min) and activity (80 mA/cm</w:t>
      </w:r>
      <w:r>
        <w:rPr>
          <w:vertAlign w:val="subscript"/>
        </w:rPr>
        <w:t>2</w:t>
      </w:r>
      <w:r>
        <w:t>at 0.8</w:t>
      </w:r>
      <w:r>
        <w:t xml:space="preserve"> </w:t>
      </w:r>
      <w:r>
        <w:t>V</w:t>
      </w:r>
      <w:r>
        <w:t xml:space="preserve"> </w:t>
      </w:r>
      <w:r>
        <w:t>cell</w:t>
      </w:r>
      <w:r>
        <w:t xml:space="preserve"> </w:t>
      </w:r>
      <w:r>
        <w:t>). We found, using operando spectroscopy, that hydroxide forms on the surface of copper and deactivates the desired a‐HER process. When we screened candidate metal dopants, we found the best to be Au, for it served to stabilize the Cu surface, enablinained a‐HER: 260 mA cm</w:t>
      </w:r>
      <w:r>
        <w:t xml:space="preserve"> </w:t>
      </w:r>
      <w:r>
        <w:t>−2</w:t>
      </w:r>
      <w:r>
        <w:t xml:space="preserve"> </w:t>
      </w:r>
      <w:r>
        <w:t>at 0.8</w:t>
      </w:r>
      <w:r>
        <w:t xml:space="preserve"> </w:t>
      </w:r>
      <w:r>
        <w:t>V</w:t>
      </w:r>
      <w:r>
        <w:t xml:space="preserve"> </w:t>
      </w:r>
      <w:r>
        <w:t>cell</w:t>
      </w:r>
      <w:r>
        <w:t xml:space="preserve"> </w:t>
      </w:r>
      <w:r>
        <w:t>and stable operation for 16 h. Integrated into a paired CO‐to‐ethylene electrolyzer, this delivered 0.92 V</w:t>
      </w:r>
      <w:r>
        <w:t xml:space="preserve"> </w:t>
      </w:r>
      <w:r>
        <w:t>fullcell</w:t>
      </w:r>
      <w:r>
        <w:t xml:space="preserve"> </w:t>
      </w:r>
      <w:r>
        <w:t>at 400 mA cm</w:t>
      </w:r>
      <w:r>
        <w:t xml:space="preserve"> </w:t>
      </w:r>
      <w:r>
        <w:t>−2</w:t>
      </w:r>
      <w:r>
        <w:t xml:space="preserve"> </w:t>
      </w:r>
      <w:r>
        <w:t>, required 40 GJ electricity per ton of ethylene, and co‐produced 460 kg H</w:t>
      </w:r>
      <w:r>
        <w:rPr>
          <w:vertAlign w:val="subscript"/>
        </w:rPr>
        <w:t>2</w:t>
      </w:r>
      <w:r>
        <w:t>per ton ethylene. To enable comparison with CO</w:t>
      </w:r>
      <w:r>
        <w:rPr>
          <w:vertAlign w:val="subscript"/>
        </w:rPr>
        <w:t>2</w:t>
      </w:r>
      <w:r>
        <w:t>‐to‐ethylene reports, which require an additional CO</w:t>
      </w:r>
      <w:r>
        <w:rPr>
          <w:vertAlign w:val="subscript"/>
        </w:rPr>
        <w:t>2</w:t>
      </w:r>
      <w:r>
        <w:t>‐to‐CO step, we estimate ∼ 69 GJ/tonC</w:t>
      </w:r>
      <w:r>
        <w:rPr>
          <w:vertAlign w:val="subscript"/>
        </w:rPr>
        <w:t>2</w:t>
      </w:r>
      <w:r>
        <w:t>H</w:t>
      </w:r>
      <w:r>
        <w:rPr>
          <w:vertAlign w:val="subscript"/>
        </w:rPr>
        <w:t>4</w:t>
      </w:r>
      <w:r>
        <w:t>.</w:t>
      </w:r>
    </w:p>
    <w:p>
      <w:pPr>
        <w:spacing w:before="120" w:after="120"/>
      </w:pPr>
      <w:r>
        <w:rPr>
          <w:sz w:val="18"/>
        </w:rPr>
        <w:t>——————————————————————————————————————————————————————————————————————</w:t>
      </w:r>
    </w:p>
    <w:p>
      <w:pPr>
        <w:spacing w:before="160" w:after="40" w:line="240" w:lineRule="auto"/>
      </w:pPr>
      <w:r>
        <w:rPr>
          <w:b/>
        </w:rPr>
        <w:t xml:space="preserve">[10] </w:t>
      </w:r>
      <w:hyperlink r:id="rId556">
        <w:r>
          <w:rPr>
            <w:color w:val="1155CC"/>
            <w:u w:val="single"/>
          </w:rPr>
          <w:t>安培级废物处理废物电催化中铝诱导的 Cu2+-Cu+ 极化，用于同时进行 CO2-to-C2 生产和塑料升级循环</w:t>
        </w:r>
      </w:hyperlink>
    </w:p>
    <w:p>
      <w:pPr>
        <w:spacing w:before="0" w:after="80"/>
      </w:pPr>
      <w:r>
        <w:rPr>
          <w:i/>
          <w:sz w:val="20"/>
        </w:rPr>
        <w:t>EN: Al‐Induced Cu2+‐Cu+ Polarization in Ampere‐Level Waste‐Treating‐Waste Electrocatalysis for Concurrent CO2‐to‐C2 Production and Plastic Upcycling</w:t>
      </w:r>
    </w:p>
    <w:p>
      <w:pPr>
        <w:spacing w:before="0" w:after="120"/>
      </w:pPr>
      <w:r>
        <w:rPr>
          <w:b/>
        </w:rPr>
        <w:t xml:space="preserve">Source: </w:t>
      </w:r>
      <w:r>
        <w:t>Wiley: Advanced Energy Materials: Table of Contents</w:t>
      </w:r>
      <w:r>
        <w:t xml:space="preserve">    </w:t>
      </w:r>
      <w:r>
        <w:rPr>
          <w:b/>
        </w:rPr>
        <w:t xml:space="preserve">Pub date: </w:t>
      </w:r>
      <w:r>
        <w:t>2026-08-10 05:36:46+00:00</w:t>
      </w:r>
      <w:r>
        <w:t xml:space="preserve">    </w:t>
      </w:r>
      <w:r>
        <w:rPr>
          <w:b/>
        </w:rPr>
        <w:t xml:space="preserve">DOI: </w:t>
      </w:r>
      <w:hyperlink r:id="rId557">
        <w:r>
          <w:rPr>
            <w:color w:val="1155CC"/>
            <w:u w:val="single"/>
          </w:rPr>
          <w:t>10.1002/aenm.71413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本研究介绍了一种将聚对苯二甲酸乙二醇酯 (PET) 升级改造与 CO 相结合的对电重整策略</w:t>
      </w:r>
      <w:r>
        <w:rPr>
          <w:vertAlign w:val="subscript"/>
        </w:rPr>
        <w:t>2</w:t>
      </w:r>
      <w:r>
        <w:t>减少，从而能够在节能条件下同时产生增值化学品。这项研究的核心是通过双水热方法合成的自支撑 AlCuIn 纳米棒/氮掺杂氧化石墨烯 (ACI/NG) 电催化剂。 Al 的战略掺入引发了强大的 Cu</w:t>
      </w:r>
      <w:r>
        <w:t xml:space="preserve"> </w:t>
      </w:r>
      <w:r>
        <w:t>2+</w:t>
      </w:r>
      <w:r>
        <w:t xml:space="preserve"> </w:t>
      </w:r>
      <w:r>
        <w:t>‐对‐Cu</w:t>
      </w:r>
      <w:r>
        <w:t xml:space="preserve"> </w:t>
      </w:r>
      <w:r>
        <w:t>+</w:t>
      </w:r>
      <w:r>
        <w:t xml:space="preserve"> </w:t>
      </w:r>
      <w:r>
        <w:t>极化效应，通过优化*CO相互作用显着增强催化活化，从而促进高效CO</w:t>
      </w:r>
      <w:r>
        <w:rPr>
          <w:vertAlign w:val="subscript"/>
        </w:rPr>
        <w:t>2</w:t>
      </w:r>
      <w:r>
        <w:t>‐到‐C</w:t>
      </w:r>
      <w:r>
        <w:rPr>
          <w:vertAlign w:val="subscript"/>
        </w:rPr>
        <w:t>2</w:t>
      </w:r>
      <w:r>
        <w:t>转换。这种偏振驱动的增强功能可实现可调的产品选择性，C 的法拉第效率 (FE) 达到 91.2%</w:t>
      </w:r>
      <w:r>
        <w:rPr>
          <w:vertAlign w:val="subscript"/>
        </w:rPr>
        <w:t>1</w:t>
      </w:r>
      <w:r>
        <w:t>产品 (CI/NG) 和 C 为 93.8%</w:t>
      </w:r>
      <w:r>
        <w:rPr>
          <w:vertAlign w:val="subscript"/>
        </w:rPr>
        <w:t>2</w:t>
      </w:r>
      <w:r>
        <w:t>产品（ACI/NG）。此外，该系统表现出安培级性能，保持-0.65 A cm的高电流密度</w:t>
      </w:r>
      <w:r>
        <w:t xml:space="preserve"> </w:t>
      </w:r>
      <w:r>
        <w:t>−2</w:t>
      </w:r>
      <w:r>
        <w:t xml:space="preserve"> </w:t>
      </w:r>
      <w:r>
        <w:t>超过100小时。 PET 水解产物氧化对甲酸的选择性接近 100%，凸显了其在电化学增值方面的功效。 DFT 分析和原位光谱揭示了 *CO 二聚化和关键中间体的形成，为偏振增强催化提供了机理见解。而且，</w:t>
      </w:r>
    </w:p>
    <w:p>
      <w:pPr>
        <w:spacing w:before="0" w:after="200" w:lineRule="auto" w:line="276"/>
      </w:pPr>
      <w:r>
        <w:rPr>
          <w:b/>
        </w:rPr>
        <w:t xml:space="preserve">Abstract (EN): </w:t>
      </w:r>
      <w:r>
        <w:t>This study introduces a pair‐electro‐reforming strategy that integrates polyethylene terephthalate (PET) upcycling with CO</w:t>
      </w:r>
      <w:r>
        <w:rPr>
          <w:vertAlign w:val="subscript"/>
        </w:rPr>
        <w:t>2</w:t>
      </w:r>
      <w:r>
        <w:t>reduction, enabling the concurrent generation of value‐added chemicals under energy‐efficient conditions. Central to this study is the self‐supported AlCuIn nanorod/N‐doped graphene oxide (ACI/NG) electrocatalyst, synthesized via a dual‐hydrothermal approach. The strategic incorporation of Al induces a strong Cu</w:t>
      </w:r>
      <w:r>
        <w:t xml:space="preserve"> </w:t>
      </w:r>
      <w:r>
        <w:t>2+</w:t>
      </w:r>
      <w:r>
        <w:t xml:space="preserve"> </w:t>
      </w:r>
      <w:r>
        <w:t>‐to‐Cu</w:t>
      </w:r>
      <w:r>
        <w:t xml:space="preserve"> </w:t>
      </w:r>
      <w:r>
        <w:t>+</w:t>
      </w:r>
      <w:r>
        <w:t xml:space="preserve"> </w:t>
      </w:r>
      <w:r>
        <w:t>polarization effect, significantly enhancing catalytic activation by optimizing the *CO interaction, thereby promoting efficient CO</w:t>
      </w:r>
      <w:r>
        <w:rPr>
          <w:vertAlign w:val="subscript"/>
        </w:rPr>
        <w:t>2</w:t>
      </w:r>
      <w:r>
        <w:t>‐to‐C</w:t>
      </w:r>
      <w:r>
        <w:rPr>
          <w:vertAlign w:val="subscript"/>
        </w:rPr>
        <w:t>2</w:t>
      </w:r>
      <w:r>
        <w:t>conversion. This polarization‐driven enhancement enables tunable product selectivity, achieving faradaic efficiencies (FE) of 91.2% for C</w:t>
      </w:r>
      <w:r>
        <w:rPr>
          <w:vertAlign w:val="subscript"/>
        </w:rPr>
        <w:t>1</w:t>
      </w:r>
      <w:r>
        <w:t>products (CI/NG) and 93.8% for C</w:t>
      </w:r>
      <w:r>
        <w:rPr>
          <w:vertAlign w:val="subscript"/>
        </w:rPr>
        <w:t>2</w:t>
      </w:r>
      <w:r>
        <w:t>products (ACI/NG). Furthermore, the system demonstrates ampere‐level performance, maintaining a high current density of −0.65 A cm</w:t>
      </w:r>
      <w:r>
        <w:t xml:space="preserve"> </w:t>
      </w:r>
      <w:r>
        <w:t>−2</w:t>
      </w:r>
      <w:r>
        <w:t xml:space="preserve"> </w:t>
      </w:r>
      <w:r>
        <w:t>for over 100 h. PET hydrolysate oxidation proceeds with nearly 100% selectivity toward formic acid, highlighting its efficacy in electrochemical valorization. DFT analysis and in‐situ spectroscopy reveal *CO dimerization and key intermediate formation, offering mechanistic insights into polarization‐enhanced catalysis. Moreover, a solar‐powered CO</w:t>
      </w:r>
      <w:r>
        <w:rPr>
          <w:vertAlign w:val="subscript"/>
        </w:rPr>
        <w:t>2</w:t>
      </w:r>
      <w:r>
        <w:t>RR||PET hydrolysate oxidation system achieves η</w:t>
      </w:r>
      <w:r>
        <w:t xml:space="preserve"> </w:t>
      </w:r>
      <w:r>
        <w:t>STF</w:t>
      </w:r>
      <w:r>
        <w:t xml:space="preserve"> </w:t>
      </w:r>
      <w:r>
        <w:t>values of 17.01% and 16.31%, ensuring operational stability. Ultimately, this work provides a scalable, energy‐efficient platform for waste‐treating CO</w:t>
      </w:r>
      <w:r>
        <w:rPr>
          <w:vertAlign w:val="subscript"/>
        </w:rPr>
        <w:t>2</w:t>
      </w:r>
      <w:r>
        <w:t>and plastic waste, advancing sustainable electrocatalysis.</w:t>
      </w:r>
    </w:p>
    <w:p>
      <w:pPr>
        <w:spacing w:before="120" w:after="120"/>
      </w:pPr>
      <w:r>
        <w:rPr>
          <w:sz w:val="18"/>
        </w:rPr>
        <w:t>——————————————————————————————————————————————————————————————————————</w:t>
      </w:r>
    </w:p>
    <w:p>
      <w:pPr>
        <w:spacing w:before="160" w:after="40" w:line="240" w:lineRule="auto"/>
      </w:pPr>
      <w:r>
        <w:rPr>
          <w:b/>
        </w:rPr>
        <w:t xml:space="preserve">[11] </w:t>
      </w:r>
      <w:hyperlink r:id="rId558">
        <w:r>
          <w:rPr>
            <w:color w:val="1155CC"/>
            <w:u w:val="single"/>
          </w:rPr>
          <w:t>人工光合水凝胶微球作为可编程二氧化碳增值的多功能平台</w:t>
        </w:r>
      </w:hyperlink>
    </w:p>
    <w:p>
      <w:pPr>
        <w:spacing w:before="0" w:after="80"/>
      </w:pPr>
      <w:r>
        <w:rPr>
          <w:i/>
          <w:sz w:val="20"/>
        </w:rPr>
        <w:t>EN: Artificial Photosynthetic Hydrogel Microspheres as a Versatile Platform for Programmable CO2 Valorization</w:t>
      </w:r>
    </w:p>
    <w:p>
      <w:pPr>
        <w:spacing w:before="0" w:after="120"/>
      </w:pPr>
      <w:r>
        <w:rPr>
          <w:b/>
        </w:rPr>
        <w:t xml:space="preserve">Source: </w:t>
      </w:r>
      <w:r>
        <w:t>Journal of the American Chemical Society: Latest Articles (ACS Publications)</w:t>
      </w:r>
      <w:r>
        <w:t xml:space="preserve">    </w:t>
      </w:r>
      <w:r>
        <w:rPr>
          <w:b/>
        </w:rPr>
        <w:t xml:space="preserve">Pub date: </w:t>
      </w:r>
      <w:r>
        <w:t>2026-08-11 00:00:00+00:00</w:t>
      </w:r>
      <w:r>
        <w:t xml:space="preserve">    </w:t>
      </w:r>
      <w:r>
        <w:rPr>
          <w:b/>
        </w:rPr>
        <w:t xml:space="preserve">DOI: </w:t>
      </w:r>
      <w:hyperlink r:id="rId559">
        <w:r>
          <w:rPr>
            <w:color w:val="1155CC"/>
            <w:u w:val="single"/>
          </w:rPr>
          <w:t>10.1021/jacs.6c10649</w:t>
        </w:r>
      </w:hyperlink>
    </w:p>
    <w:p>
      <w:pPr>
        <w:spacing w:before="0" w:after="120"/>
      </w:pPr>
      <w:r>
        <w:rPr>
          <w:b/>
        </w:rPr>
        <w:t xml:space="preserve">Notes: </w:t>
      </w:r>
      <w:r>
        <w:t>abstract_source=crossref</w:t>
      </w:r>
    </w:p>
    <w:p>
      <w:pPr>
        <w:spacing w:before="0" w:after="80" w:lineRule="auto" w:line="276"/>
      </w:pPr>
      <w:r>
        <w:rPr>
          <w:b/>
        </w:rPr>
        <w:t xml:space="preserve">摘要（ZH）: </w:t>
      </w:r>
      <w:r>
        <w:t>摘要 负碳生物制造对于全球可持续发展至关重要。基于材料-微生物混合系统的人工光合作用前景广阔，但面临能源供应效率低下、光毒性、非生物-生物不相容性和产品谱有限等问题。在这里，我们提出人工光合水凝胶微球（APHM）作为高效和可编程二氧化碳增值的多功能平台。在藻酸盐/羧甲基纤维素水凝胶基质内，空间分隔将 COF/Pt/Cr2O3 光催化剂（用于原位析氢）和遮光产乙酸菌（伍氏醋杆菌）集成在定制的双功能介质中，从而实现 CO2 向乙酸的转化。该系统在高强度照明（60 mW cm-2）下稳定运行，实现了 88.85% 的接近化学计量的 H2 与乙酸盐的耦合效率。由此产生的醋酸盐作为明确的碳中心，能够与工程酵母无缝连接，以可编程合成不同的产品，包括葡萄糖 (316 mg L–1)、肌醇 (64 mg L–1)、葡萄糖胺 (24 mg L–1)、蔗糖 (609 mg L–1) 和淀粉 (256 mg L–1)。总的来说，这项工作为多功能太阳能化学合成提供了一条通用、有效的途径。</w:t>
      </w:r>
    </w:p>
    <w:p>
      <w:pPr>
        <w:spacing w:before="0" w:after="200" w:lineRule="auto" w:line="276"/>
      </w:pPr>
      <w:r>
        <w:rPr>
          <w:b/>
        </w:rPr>
        <w:t xml:space="preserve">Abstract (EN): </w:t>
      </w:r>
      <w:r>
        <w:t>Carbon-negative biomanufacturing is essential for global sustainability. Artificial photosynthesis based on material-microbe hybrid systems holds promise but suffers from inefficient energy supply, phototoxicity, abiotic–biotic incompatibility, and limited product spectrum. Here, we present artificial photosynthetic hydrogel microspheres (APHM) as a versatile platform for efficient and programmable CO2 valorization. Within an alginate/carboxymethyl cellulose hydrogel matrix, spatial compartmentalization integrated a COF/Pt/Cr2O3 photocatalyst (for in situ hydrogen evolution) and a light-shielded acetogen (Acetobacterium woodii) in a tailored bifunctional medium, enabling CO2-to-acetate conversion. The system operated stably under high-intensity illumination (60 mW cm–2), achieving a near-stoichiometric H2-to-acetate coupling efficiency of 88.85%. The resulting acetate served as a well-defined carbon hub, enabling seamless interface with engineered yeast for programmable synthesis of diverse products, including glucose (316 mg L–1), myo-inositol (64 mg L–1), glucosamine (24 mg L–1), sucrose (609 mg L–1), and starch (256 mg L–1). Overall, this work presents a universal, efficient route to versatile solar-to-chemical synthesis.</w:t>
      </w:r>
    </w:p>
    <w:p>
      <w:pPr>
        <w:spacing w:before="120" w:after="120"/>
      </w:pPr>
      <w:r>
        <w:rPr>
          <w:sz w:val="18"/>
        </w:rPr>
        <w:t>——————————————————————————————————————————————————————————————————————</w:t>
      </w:r>
    </w:p>
    <w:p>
      <w:pPr>
        <w:spacing w:before="160" w:after="40" w:line="240" w:lineRule="auto"/>
      </w:pPr>
      <w:r>
        <w:rPr>
          <w:b/>
        </w:rPr>
        <w:t xml:space="preserve">[12] </w:t>
      </w:r>
      <w:hyperlink r:id="rId560">
        <w:r>
          <w:rPr>
            <w:color w:val="1155CC"/>
            <w:u w:val="single"/>
          </w:rPr>
          <w:t>能量转化为维生素或能量转化为蛋白质：从技术经济角度评估工业规模的集成系统</w:t>
        </w:r>
      </w:hyperlink>
    </w:p>
    <w:p>
      <w:pPr>
        <w:spacing w:before="0" w:after="80"/>
      </w:pPr>
      <w:r>
        <w:rPr>
          <w:i/>
          <w:sz w:val="20"/>
        </w:rPr>
        <w:t>EN: Power-to-Vitamins or Power-to-Protein: An evaluation of the integrated system at an industrial scale from techno-economic perspectives</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561">
        <w:r>
          <w:rPr>
            <w:color w:val="1155CC"/>
            <w:u w:val="single"/>
          </w:rPr>
          <w:t>10.1073/pnas.2535684123</w:t>
        </w:r>
      </w:hyperlink>
    </w:p>
    <w:p>
      <w:pPr>
        <w:spacing w:before="0" w:after="120"/>
      </w:pPr>
      <w:r>
        <w:rPr>
          <w:b/>
        </w:rPr>
        <w:t xml:space="preserve">Notes: </w:t>
      </w:r>
      <w:r>
        <w:t>abstract_source=crossref</w:t>
      </w:r>
    </w:p>
    <w:p>
      <w:pPr>
        <w:spacing w:before="0" w:after="80" w:lineRule="auto" w:line="276"/>
      </w:pPr>
      <w:r>
        <w:rPr>
          <w:b/>
        </w:rPr>
        <w:t xml:space="preserve">摘要（ZH）: </w:t>
      </w:r>
      <w:r>
        <w:t>我们评估了使用源自 CO 的乙酸盐生产富含叶酸和蛋白质的酵母生物质的两阶段系统的经济可行性</w:t>
      </w:r>
      <w:r>
        <w:rPr>
          <w:vertAlign w:val="subscript"/>
        </w:rPr>
        <w:t>2</w:t>
      </w:r>
      <w:r>
        <w:t>以及海拔 1,750 m 的可再生电力</w:t>
      </w:r>
      <w:r>
        <w:rPr>
          <w:vertAlign w:val="subscript"/>
        </w:rPr>
        <w:t>3</w:t>
      </w:r>
      <w:r>
        <w:t>规模。在生产用于部分每日蛋白质摄入量的生物质产品的电力转维生素系统中，不需要加热来去除核酸。在这些条件下，CO</w:t>
      </w:r>
      <w:r>
        <w:rPr>
          <w:vertAlign w:val="subscript"/>
        </w:rPr>
        <w:t>2</w:t>
      </w:r>
      <w:r>
        <w:t>输入 31.3 kt</w:t>
      </w:r>
      <w:r>
        <w:t xml:space="preserve"> </w:t>
      </w:r>
      <w:r>
        <w:t>二氧化碳</w:t>
      </w:r>
      <w:r>
        <w:t xml:space="preserve"> </w:t>
      </w:r>
      <w:r>
        <w:t>y</w:t>
      </w:r>
      <w:r>
        <w:t xml:space="preserve"> </w:t>
      </w:r>
      <w:r>
        <w:t>−1</w:t>
      </w:r>
      <w:r>
        <w:t xml:space="preserve"> </w:t>
      </w:r>
      <w:r>
        <w:t>产量 12.9 克拉</w:t>
      </w:r>
      <w:r>
        <w:t xml:space="preserve"> </w:t>
      </w:r>
      <w:r>
        <w:t>产品</w:t>
      </w:r>
      <w:r>
        <w:t xml:space="preserve"> </w:t>
      </w:r>
      <w:r>
        <w:t>y</w:t>
      </w:r>
      <w:r>
        <w:t xml:space="preserve"> </w:t>
      </w:r>
      <w:r>
        <w:t>−1</w:t>
      </w:r>
      <w:r>
        <w:t xml:space="preserve"> </w:t>
      </w:r>
      <w:r>
        <w:t>含813公斤</w:t>
      </w:r>
      <w:r>
        <w:t xml:space="preserve"> </w:t>
      </w:r>
      <w:r>
        <w:t>叶酸</w:t>
      </w:r>
      <w:r>
        <w:t xml:space="preserve"> </w:t>
      </w:r>
      <w:r>
        <w:t>y</w:t>
      </w:r>
      <w:r>
        <w:t xml:space="preserve"> </w:t>
      </w:r>
      <w:r>
        <w:t>−1</w:t>
      </w:r>
      <w:r>
        <w:t xml:space="preserve"> </w:t>
      </w:r>
      <w:r>
        <w:t>和 5.6 节</w:t>
      </w:r>
      <w:r>
        <w:t xml:space="preserve"> </w:t>
      </w:r>
      <w:r>
        <w:t>蛋白质</w:t>
      </w:r>
      <w:r>
        <w:t xml:space="preserve"> </w:t>
      </w:r>
      <w:r>
        <w:t>y</w:t>
      </w:r>
      <w:r>
        <w:t xml:space="preserve"> </w:t>
      </w:r>
      <w:r>
        <w:t>−1</w:t>
      </w:r>
      <w:r>
        <w:t xml:space="preserve"> </w:t>
      </w:r>
      <w:r>
        <w:t>（酵母生物量的 43%）。当每人每天食用 6 克干酵母产品时，该产量满足 560 万人的叶酸每日推荐摄入量 (RDA) 的全部和蛋白质每日推荐摄入量 (RDA) 的 5%。售价为 20 美元/公斤</w:t>
      </w:r>
      <w:r>
        <w:t xml:space="preserve"> </w:t>
      </w:r>
      <w:r>
        <w:t>产品</w:t>
      </w:r>
      <w:r>
        <w:t xml:space="preserve"> </w:t>
      </w:r>
      <w:r>
        <w:t>−1</w:t>
      </w:r>
      <w:r>
        <w:t xml:space="preserve"> </w:t>
      </w:r>
      <w:r>
        <w:t>，系统的投资回收期为5年。在基准情景中，最低售价 (MSP) 为 8.41 美元/千克</w:t>
      </w:r>
      <w:r>
        <w:t xml:space="preserve"> </w:t>
      </w:r>
      <w:r>
        <w:t>产品</w:t>
      </w:r>
      <w:r>
        <w:t xml:space="preserve"> </w:t>
      </w:r>
      <w:r>
        <w:t>−1</w:t>
      </w:r>
      <w:r>
        <w:t xml:space="preserve"> </w:t>
      </w:r>
      <w:r>
        <w:t>，主要受电价和水电解能源需求驱动。理想场景模拟将 MSP 降低至 4.53 美元/千克</w:t>
      </w:r>
      <w:r>
        <w:t xml:space="preserve"> </w:t>
      </w:r>
      <w:r>
        <w:t>产品</w:t>
      </w:r>
      <w:r>
        <w:t xml:space="preserve"> </w:t>
      </w:r>
      <w:r>
        <w:t>-</w:t>
      </w:r>
    </w:p>
    <w:p>
      <w:pPr>
        <w:spacing w:before="0" w:after="200" w:lineRule="auto" w:line="276"/>
      </w:pPr>
      <w:r>
        <w:rPr>
          <w:b/>
        </w:rPr>
        <w:t xml:space="preserve">Abstract (EN): </w:t>
      </w:r>
      <w:r>
        <w:t>We assessed the economic viability of a two-stage system for producing folate- and protein-enriched yeast biomass using acetate derived from CO</w:t>
      </w:r>
      <w:r>
        <w:rPr>
          <w:vertAlign w:val="subscript"/>
        </w:rPr>
        <w:t>2</w:t>
      </w:r>
      <w:r>
        <w:t>and renewable electric power at a 1,750 m</w:t>
      </w:r>
      <w:r>
        <w:rPr>
          <w:vertAlign w:val="subscript"/>
        </w:rPr>
        <w:t>3</w:t>
      </w:r>
      <w:r>
        <w:t>scale. In a Power-to-vitamin system producing a biomass product for partial daily protein intakes, heating for nucleic acids removal is unnecessary. Under these conditions, a CO</w:t>
      </w:r>
      <w:r>
        <w:rPr>
          <w:vertAlign w:val="subscript"/>
        </w:rPr>
        <w:t>2</w:t>
      </w:r>
      <w:r>
        <w:t>input of 31.3 kt</w:t>
      </w:r>
      <w:r>
        <w:t xml:space="preserve"> </w:t>
      </w:r>
      <w:r>
        <w:t>CO2</w:t>
      </w:r>
      <w:r>
        <w:t xml:space="preserve"> </w:t>
      </w:r>
      <w:r>
        <w:t>y</w:t>
      </w:r>
      <w:r>
        <w:t xml:space="preserve"> </w:t>
      </w:r>
      <w:r>
        <w:t>−1</w:t>
      </w:r>
      <w:r>
        <w:t xml:space="preserve"> </w:t>
      </w:r>
      <w:r>
        <w:t>yields 12.9 kt</w:t>
      </w:r>
      <w:r>
        <w:t xml:space="preserve"> </w:t>
      </w:r>
      <w:r>
        <w:t>product</w:t>
      </w:r>
      <w:r>
        <w:t xml:space="preserve"> </w:t>
      </w:r>
      <w:r>
        <w:t>y</w:t>
      </w:r>
      <w:r>
        <w:t xml:space="preserve"> </w:t>
      </w:r>
      <w:r>
        <w:t>−1</w:t>
      </w:r>
      <w:r>
        <w:t xml:space="preserve"> </w:t>
      </w:r>
      <w:r>
        <w:t>containing 813 kg</w:t>
      </w:r>
      <w:r>
        <w:t xml:space="preserve"> </w:t>
      </w:r>
      <w:r>
        <w:t>folate</w:t>
      </w:r>
      <w:r>
        <w:t xml:space="preserve"> </w:t>
      </w:r>
      <w:r>
        <w:t>y</w:t>
      </w:r>
      <w:r>
        <w:t xml:space="preserve"> </w:t>
      </w:r>
      <w:r>
        <w:t>−1</w:t>
      </w:r>
      <w:r>
        <w:t xml:space="preserve"> </w:t>
      </w:r>
      <w:r>
        <w:t>and 5.6 kt</w:t>
      </w:r>
      <w:r>
        <w:t xml:space="preserve"> </w:t>
      </w:r>
      <w:r>
        <w:t>protein</w:t>
      </w:r>
      <w:r>
        <w:t xml:space="preserve"> </w:t>
      </w:r>
      <w:r>
        <w:t>y</w:t>
      </w:r>
      <w:r>
        <w:t xml:space="preserve"> </w:t>
      </w:r>
      <w:r>
        <w:t>−1</w:t>
      </w:r>
      <w:r>
        <w:t xml:space="preserve"> </w:t>
      </w:r>
      <w:r>
        <w:t>(43% of yeast biomass). This production volume meets the full recommended daily allowance (RDA) for folate and 5% of RDA for protein of 5.6 million people when each person consumes 6 g of dried yeast product daily. At a selling price of $20 kg</w:t>
      </w:r>
      <w:r>
        <w:t xml:space="preserve"> </w:t>
      </w:r>
      <w:r>
        <w:t>product</w:t>
      </w:r>
      <w:r>
        <w:t xml:space="preserve"> </w:t>
      </w:r>
      <w:r>
        <w:t>−1</w:t>
      </w:r>
      <w:r>
        <w:t xml:space="preserve"> </w:t>
      </w:r>
      <w:r>
        <w:t>, the system’s payback period is 5 y. In a baseline scenario, the minimum selling price (MSP) is $8.41 kg</w:t>
      </w:r>
      <w:r>
        <w:t xml:space="preserve"> </w:t>
      </w:r>
      <w:r>
        <w:t>product</w:t>
      </w:r>
      <w:r>
        <w:t xml:space="preserve"> </w:t>
      </w:r>
      <w:r>
        <w:t>−1</w:t>
      </w:r>
      <w:r>
        <w:t xml:space="preserve"> </w:t>
      </w:r>
      <w:r>
        <w:t>, largely driven by electric-power pricing and energy demand of water electrolysis. An ideal scenario simulation reduced the MSP to $4.53 kg</w:t>
      </w:r>
      <w:r>
        <w:t xml:space="preserve"> </w:t>
      </w:r>
      <w:r>
        <w:t>product</w:t>
      </w:r>
      <w:r>
        <w:t xml:space="preserve"> </w:t>
      </w:r>
      <w:r>
        <w:t>−1</w:t>
      </w:r>
      <w:r>
        <w:t xml:space="preserve"> </w:t>
      </w:r>
      <w:r>
        <w:t>, combining: 1) lower water purity requirements for electrolysis; 2) higher yeast production rate; 3) lower electric-power pricing; and 4) no CO</w:t>
      </w:r>
      <w:r>
        <w:rPr>
          <w:vertAlign w:val="subscript"/>
        </w:rPr>
        <w:t>2</w:t>
      </w:r>
      <w:r>
        <w:t>procurement costs and lower ammonium costs. In a Power-to-protein system with a biomass product designed to meet full daily protein needs, heat treatment is necessary, which increases the MSP to $14.24 kg</w:t>
      </w:r>
      <w:r>
        <w:t xml:space="preserve"> </w:t>
      </w:r>
      <w:r>
        <w:t>product</w:t>
      </w:r>
      <w:r>
        <w:t xml:space="preserve"> </w:t>
      </w:r>
      <w:r>
        <w:t>−1</w:t>
      </w:r>
      <w:r>
        <w:t xml:space="preserve"> </w:t>
      </w:r>
      <w:r>
        <w:t>. At a selling price of $20 kg</w:t>
      </w:r>
      <w:r>
        <w:t xml:space="preserve"> </w:t>
      </w:r>
      <w:r>
        <w:t>product</w:t>
      </w:r>
      <w:r>
        <w:t xml:space="preserve"> </w:t>
      </w:r>
      <w:r>
        <w:t>−1</w:t>
      </w:r>
      <w:r>
        <w:t xml:space="preserve"> </w:t>
      </w:r>
      <w:r>
        <w:t>, the payback period is 7 y, exhibiting lower overall profitability than the Power-to-vitamin system. Both modeled systems are economically viable at selling prices competitive with plant-, whey-, algae-, and yeast-derived protein products.</w:t>
      </w:r>
    </w:p>
    <w:p>
      <w:pPr>
        <w:spacing w:before="120" w:after="120"/>
      </w:pPr>
      <w:r>
        <w:rPr>
          <w:sz w:val="18"/>
        </w:rPr>
        <w:t>——————————————————————————————————————————————————————————————————————</w:t>
      </w:r>
    </w:p>
    <w:p>
      <w:pPr>
        <w:spacing w:before="160" w:after="40" w:line="240" w:lineRule="auto"/>
      </w:pPr>
      <w:r>
        <w:rPr>
          <w:b/>
        </w:rPr>
        <w:t xml:space="preserve">[13] </w:t>
      </w:r>
      <w:hyperlink r:id="rId562">
        <w:r>
          <w:rPr>
            <w:color w:val="1155CC"/>
            <w:u w:val="single"/>
          </w:rPr>
          <w:t>空位设计的钙钛矿铁氧体可稳定原子钌位点并激活晶格氧，用于光热甲烷干重整</w:t>
        </w:r>
      </w:hyperlink>
    </w:p>
    <w:p>
      <w:pPr>
        <w:spacing w:before="0" w:after="80"/>
      </w:pPr>
      <w:r>
        <w:rPr>
          <w:i/>
          <w:sz w:val="20"/>
        </w:rPr>
        <w:t>EN: Vacancy-Engineered Perovskite Ferrites Stabilize Atomic Ru Sites and Activate Lattice Oxygen for Photothermal Methane Dry Reforming</w:t>
      </w:r>
    </w:p>
    <w:p>
      <w:pPr>
        <w:spacing w:before="0" w:after="120"/>
      </w:pPr>
      <w:r>
        <w:rPr>
          <w:b/>
        </w:rPr>
        <w:t xml:space="preserve">Source: </w:t>
      </w:r>
      <w:r>
        <w:t>Journal of the American Chemical Society: Latest Articles (ACS Publications)</w:t>
      </w:r>
      <w:r>
        <w:t xml:space="preserve">    </w:t>
      </w:r>
      <w:r>
        <w:rPr>
          <w:b/>
        </w:rPr>
        <w:t xml:space="preserve">Pub date: </w:t>
      </w:r>
      <w:r>
        <w:t>2026-08-12 00:00:00+00:00</w:t>
      </w:r>
      <w:r>
        <w:t xml:space="preserve">    </w:t>
      </w:r>
      <w:r>
        <w:rPr>
          <w:b/>
        </w:rPr>
        <w:t xml:space="preserve">DOI: </w:t>
      </w:r>
      <w:hyperlink r:id="rId563">
        <w:r>
          <w:rPr>
            <w:color w:val="1155CC"/>
            <w:u w:val="single"/>
          </w:rPr>
          <w:t>10.1021/jacs.6c05473</w:t>
        </w:r>
      </w:hyperlink>
    </w:p>
    <w:p>
      <w:pPr>
        <w:spacing w:before="0" w:after="120"/>
      </w:pPr>
      <w:r>
        <w:rPr>
          <w:b/>
        </w:rPr>
        <w:t xml:space="preserve">Notes: </w:t>
      </w:r>
      <w:r>
        <w:t>abstract_source=crossref</w:t>
      </w:r>
    </w:p>
    <w:p>
      <w:pPr>
        <w:spacing w:before="0" w:after="80" w:lineRule="auto" w:line="276"/>
      </w:pPr>
      <w:r>
        <w:rPr>
          <w:b/>
        </w:rPr>
        <w:t xml:space="preserve">摘要（ZH）: </w:t>
      </w:r>
      <w:r>
        <w:t>摘要：通过 Mars-van Krevelen 途径由晶格氧 (OL) 介导的甲烷光热干重整 (DRM) 是将温室气体转化为合成气的一条有前途的途径。然而，该策略受到单原子助催化剂在反应条件下的不稳定性以及传统氧化物载体中OL迁移缓慢的限制。在这里，我们报道了一种空位设计的钙钛矿铁氧体（LaFe1-xO3），它可以同时稳定原子助催化剂并加速OL动力学，以实现高效的光热DRM。引入 Fe 缺陷会为原子 Ru 助催化剂 (Ru1) 产生强大的锚定位点，同时削弱 La-O-Fe 框架以促进 OL 迁移率。优化的Ru1/LaFe1–xO3催化剂无需外部加热即可实现光驱动DRM，实现高合成气产量（H2：53.6和CO：66.1 mol gRu–1 h–1），甲烷周转频率为1.3 s–1，并稳定运行超过180小时。机理研究表明，空位诱导的电子局域化促进了 OL 迁移，而光诱导的金属间电荷转移则使 Fe 位点富集电子，并用空穴激活表面 OL。这种协同过程选择性地将 CH3* 氧化为 CH3O*，抑制深度脱氢和焦炭形成。这些发现提出缺陷工​​程作为一种通用策略，将原子助催化剂稳定与 OL 活化结合起来，用于太阳能驱动的催化转化。</w:t>
      </w:r>
    </w:p>
    <w:p>
      <w:pPr>
        <w:spacing w:before="0" w:after="200" w:lineRule="auto" w:line="276"/>
      </w:pPr>
      <w:r>
        <w:rPr>
          <w:b/>
        </w:rPr>
        <w:t xml:space="preserve">Abstract (EN): </w:t>
      </w:r>
      <w:r>
        <w:t>Photothermal dry reforming of methane (DRM) mediated by lattice oxygen (OL) via a Mars–van Krevelen pathway is a promising route for converting greenhouse gases into syngas. However, this strategy is limited by the instability of single-atom cocatalysts under reaction conditions and the sluggish migration of OL in conventional oxide supports. Here, we report a vacancy-engineered perovskite ferrite (LaFe1–xO3) that simultaneously stabilizes atomic cocatalysts and accelerates OL dynamics for efficient photothermal DRM. Introducing Fe defects generates robust anchoring sites for atomic Ru cocatalysts (Ru1) while weakening the La–O–Fe framework to promote OL mobility. The optimized Ru1/LaFe1–xO3 catalyst enables light-driven DRM without external heating, achieving high syngas production (H2: 53.6 and CO: 66.1 mol gRu–1 h–1), a methane turnover frequency of 1.3 s–1, and stable operation over 180 h. Mechanistic studies reveal that vacancy-induced electron localization facilitates OL migration, while photoinduced metal-to-metal charge transfer enriches Fe sites with electrons and activates surface OL with holes. This cooperative process selectively oxidizes CH3* to CH3O*, suppressing deep dehydrogenation and coke formation. These findings propose defect engineering as a general strategy to couple atomic cocatalyst stabilization with OL activation for solar-driven catalytic transformations.</w:t>
      </w:r>
    </w:p>
    <w:p>
      <w:pPr>
        <w:spacing w:before="120" w:after="120"/>
      </w:pPr>
      <w:r>
        <w:rPr>
          <w:sz w:val="18"/>
        </w:rPr>
        <w:t>——————————————————————————————————————————————————————————————————————</w:t>
      </w:r>
    </w:p>
    <w:p>
      <w:pPr>
        <w:spacing w:before="160" w:after="40" w:line="240" w:lineRule="auto"/>
      </w:pPr>
      <w:r>
        <w:rPr>
          <w:b/>
        </w:rPr>
        <w:t xml:space="preserve">[14] </w:t>
      </w:r>
      <w:hyperlink r:id="rId564">
        <w:r>
          <w:rPr>
            <w:color w:val="1155CC"/>
            <w:u w:val="single"/>
          </w:rPr>
          <w:t>功能高于秩序：通过共价有机框架解耦 CO2/CH4 分离中的化学和结构贡献</w:t>
        </w:r>
      </w:hyperlink>
    </w:p>
    <w:p>
      <w:pPr>
        <w:spacing w:before="0" w:after="80"/>
      </w:pPr>
      <w:r>
        <w:rPr>
          <w:i/>
          <w:sz w:val="20"/>
        </w:rPr>
        <w:t>EN: Functionality over Order: Decoupling Chemical and Structural Contributions in CO2/CH4 Separation by Covalent 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2026-08-12 00:00:00+00:00</w:t>
      </w:r>
      <w:r>
        <w:t xml:space="preserve">    </w:t>
      </w:r>
      <w:r>
        <w:rPr>
          <w:b/>
        </w:rPr>
        <w:t xml:space="preserve">DOI: </w:t>
      </w:r>
      <w:hyperlink r:id="rId565">
        <w:r>
          <w:rPr>
            <w:color w:val="1155CC"/>
            <w:u w:val="single"/>
          </w:rPr>
          <w:t>10.1021/jacs.6c08177</w:t>
        </w:r>
      </w:hyperlink>
    </w:p>
    <w:p>
      <w:pPr>
        <w:spacing w:before="0" w:after="120"/>
      </w:pPr>
      <w:r>
        <w:rPr>
          <w:b/>
        </w:rPr>
        <w:t xml:space="preserve">Notes: </w:t>
      </w:r>
      <w:r>
        <w:t>abstract_source=crossref</w:t>
      </w:r>
    </w:p>
    <w:p>
      <w:pPr>
        <w:spacing w:before="0" w:after="80" w:lineRule="auto" w:line="276"/>
      </w:pPr>
      <w:r>
        <w:rPr>
          <w:b/>
        </w:rPr>
        <w:t xml:space="preserve">摘要（ZH）: </w:t>
      </w:r>
      <w:r>
        <w:t>摘要 孔隙率和结晶度通常被认为是多孔材料中气体吸附和分离的关键参数。然而，与化学功能相比，它们在确定气体选择性方面的相对重要性仍然没有得到充分的了解。在这里，我们研究了用于 CO2/CH4 分离的共价有机框架 (COF) 中结构顺序和化学功能之间的相互作用。合成了一系列跨越广泛结构景观的四种多孔框架，从高度结晶和多孔的吖嗪连接的COF到富含亲CO2官能团的低结晶和非结晶聚合物网络。该系列能够将孔隙度、结晶度和化学功能的作用解耦，以选择性捕获二氧化碳。单组分吸附等温线、基于扩展等温线模型的二元预测和动态柱突破 (DCB) 实验表明，含有极性吸附位点的 COF 尽管具有较低的表面积和较低的结构有序性，但表现出显着增强的 CO2/CH4 选择性。分子动力学 (MD) 模拟进一步确定了 COF 内 CO2 优先结合的特定相互作用基序。这些结果表明，化学功能在控制选择性 CO2 捕获方面对表面积和结晶度起着主导作用，并为下一代气体分离 COF 的合理设计提供了关键见解。</w:t>
      </w:r>
    </w:p>
    <w:p>
      <w:pPr>
        <w:spacing w:before="0" w:after="200" w:lineRule="auto" w:line="276"/>
      </w:pPr>
      <w:r>
        <w:rPr>
          <w:b/>
        </w:rPr>
        <w:t xml:space="preserve">Abstract (EN): </w:t>
      </w:r>
      <w:r>
        <w:t>Porosity and crystallinity are commonly regarded as key parameters governing gas adsorption and separation in porous materials. However, their relative importance compared to chemical functionality in determining gas selectivity remains insufficiently understood. Here, we investigate the interplay between structural order and chemical functionality in covalent organic frameworks (COFs) for CO2/CH4 separation. A series of four porous frameworks spanning a wide structural landscape, from highly crystalline and porous azine-linked COFs to poorly crystalline and non-crystalline polymeric networks enriched with CO2-philic functional groups, were synthesized. This series enables decoupling the roles of porosity, crystallinity, and chemical functionality for selective CO2 capture. Single-component adsorption isotherms, extended isotherm model-based binary predictions, and dynamic column breakthrough (DCB) experiments reveal that COFs containing polar adsorption sites exhibit significantly enhanced CO2/CH4 selectivity despite possessing lower surface areas and reduced structural order. Molecular dynamics (MD) simulations further identify the specific interaction motifs responsible for preferential CO2 binding within the COFs. These results demonstrate that chemical functionality plays a dominant role over surface area and crystallinity in governing selective CO2 capture and provide key insights for the rational design of next-generation COFs for gas separation.</w:t>
      </w:r>
    </w:p>
    <w:p>
      <w:pPr>
        <w:spacing w:before="120" w:after="120"/>
      </w:pPr>
      <w:r>
        <w:rPr>
          <w:sz w:val="18"/>
        </w:rPr>
        <w:t>——————————————————————————————————————————————————————————————————————</w:t>
      </w:r>
    </w:p>
    <w:p>
      <w:pPr>
        <w:spacing w:before="160" w:after="40" w:line="240" w:lineRule="auto"/>
      </w:pPr>
      <w:r>
        <w:rPr>
          <w:b/>
        </w:rPr>
        <w:t xml:space="preserve">[15] </w:t>
      </w:r>
      <w:hyperlink r:id="rId566">
        <w:r>
          <w:rPr>
            <w:color w:val="1155CC"/>
            <w:u w:val="single"/>
          </w:rPr>
          <w:t>在哪里解决 CO2 电化学价值链中的 N2 和反应性杂质问题？</w:t>
        </w:r>
      </w:hyperlink>
    </w:p>
    <w:p>
      <w:pPr>
        <w:spacing w:before="0" w:after="80"/>
      </w:pPr>
      <w:r>
        <w:rPr>
          <w:i/>
          <w:sz w:val="20"/>
        </w:rPr>
        <w:t>EN: Where to address N2 and reactive impurities in the CO2 electrochemical value chain?</w:t>
      </w:r>
    </w:p>
    <w:p>
      <w:pPr>
        <w:spacing w:before="0" w:after="120"/>
      </w:pPr>
      <w:r>
        <w:rPr>
          <w:b/>
        </w:rPr>
        <w:t xml:space="preserve">Source: </w:t>
      </w:r>
      <w:r>
        <w:t>Joule</w:t>
      </w:r>
      <w:r>
        <w:t xml:space="preserve">    </w:t>
      </w:r>
      <w:r>
        <w:rPr>
          <w:b/>
        </w:rPr>
        <w:t xml:space="preserve">Pub date: </w:t>
      </w:r>
      <w:r>
        <w:t>2026-08-12 00:00:00+00:00</w:t>
      </w:r>
      <w:r>
        <w:t xml:space="preserve">    </w:t>
      </w:r>
      <w:r>
        <w:rPr>
          <w:b/>
        </w:rPr>
        <w:t xml:space="preserve">DOI: </w:t>
      </w:r>
      <w:hyperlink r:id="rId567">
        <w:r>
          <w:rPr>
            <w:color w:val="1155CC"/>
            <w:u w:val="single"/>
          </w:rPr>
          <w:t>10.1016/j.joule.2026.102626</w:t>
        </w:r>
      </w:hyperlink>
    </w:p>
    <w:p>
      <w:pPr>
        <w:spacing w:before="0" w:after="120"/>
      </w:pPr>
      <w:r>
        <w:rPr>
          <w:b/>
        </w:rPr>
        <w:t xml:space="preserve">Notes: </w:t>
      </w:r>
      <w:r>
        <w:t>abstract_source=rss_cell</w:t>
      </w:r>
    </w:p>
    <w:p>
      <w:pPr>
        <w:spacing w:before="0" w:after="80" w:lineRule="auto" w:line="276"/>
      </w:pPr>
      <w:r>
        <w:rPr>
          <w:b/>
        </w:rPr>
        <w:t xml:space="preserve">摘要（ZH）: </w:t>
      </w:r>
      <w:r>
        <w:t>电化学二氧化碳还原是将废碳转化为增值化学品的一条有前途的途径。然而，工业二氧化碳原料很稀，并且含有氧气、氮氧化物和硫氧化物等反应性杂质，这些杂质会影响电解槽的性能。设计能够容忍杂质的电解槽可以减少上游纯化的需要，但随后会将分离负担转移到下游，而下游的合成纯度要求通常更严格。该观点探讨了碳价值链中杂质应在何处得到解决，并得出结论，上游去除通常是最佳的。</w:t>
      </w:r>
    </w:p>
    <w:p>
      <w:pPr>
        <w:spacing w:before="0" w:after="200" w:lineRule="auto" w:line="276"/>
      </w:pPr>
      <w:r>
        <w:rPr>
          <w:b/>
        </w:rPr>
        <w:t xml:space="preserve">Abstract (EN): </w:t>
      </w:r>
      <w:r>
        <w:t>Electrochemical CO2 reduction is a promising route to convert waste carbon into value-added chemicals. However, industrial CO2 feedstocks are dilute and contain reactive impurities such as O2, NOx, and SOx, which affect electrolyzer performance. Designing electrolyzers that can tolerate impurities reduces the need for upstream purification but then shifts the separation burden downstream, where purity requirements for synthesis are often stricter. This perspective examines where in the carbon value chain impurities should be addressed and concludes that upstream removal is generally optimal.</w:t>
      </w:r>
    </w:p>
    <w:p>
      <w:pPr>
        <w:spacing w:before="120" w:after="120"/>
      </w:pPr>
      <w:r>
        <w:rPr>
          <w:sz w:val="18"/>
        </w:rPr>
        <w:t>——————————————————————————————————————————————————————————————————————</w:t>
      </w:r>
    </w:p>
    <w:p>
      <w:pPr>
        <w:spacing w:before="160" w:after="40" w:line="240" w:lineRule="auto"/>
      </w:pPr>
      <w:r>
        <w:rPr>
          <w:b/>
        </w:rPr>
        <w:t xml:space="preserve">[16] </w:t>
      </w:r>
      <w:hyperlink r:id="rId568">
        <w:r>
          <w:rPr>
            <w:color w:val="1155CC"/>
            <w:u w:val="single"/>
          </w:rPr>
          <w:t>基于纳米线的复合电极通过加速传质将二氧化碳安培级电化学还原为多碳产品</w:t>
        </w:r>
      </w:hyperlink>
    </w:p>
    <w:p>
      <w:pPr>
        <w:spacing w:before="0" w:after="80"/>
      </w:pPr>
      <w:r>
        <w:rPr>
          <w:i/>
          <w:sz w:val="20"/>
        </w:rPr>
        <w:t>EN: Nanowire-Based Composite Electrodes for Ampere-Level Electrochemical Reduction of CO2 to Multi-Carbon Productsvia Accelerated Mass Transport</w:t>
      </w:r>
    </w:p>
    <w:p>
      <w:pPr>
        <w:spacing w:before="0" w:after="120"/>
      </w:pPr>
      <w:r>
        <w:rPr>
          <w:b/>
        </w:rPr>
        <w:t xml:space="preserve">Source: </w:t>
      </w:r>
      <w:r>
        <w:t>ACS Energy Letters: Latest Articles (ACS Publications)</w:t>
      </w:r>
      <w:r>
        <w:t xml:space="preserve">    </w:t>
      </w:r>
      <w:r>
        <w:rPr>
          <w:b/>
        </w:rPr>
        <w:t xml:space="preserve">Pub date: </w:t>
      </w:r>
      <w:r>
        <w:t>2026-08-12 00:00:00+00:00</w:t>
      </w:r>
      <w:r>
        <w:t xml:space="preserve">    </w:t>
      </w:r>
      <w:r>
        <w:rPr>
          <w:b/>
        </w:rPr>
        <w:t xml:space="preserve">DOI: </w:t>
      </w:r>
      <w:hyperlink r:id="rId569">
        <w:r>
          <w:rPr>
            <w:color w:val="1155CC"/>
            <w:u w:val="single"/>
          </w:rPr>
          <w:t>10.1021/acsenergylett.6c01954</w:t>
        </w:r>
      </w:hyperlink>
    </w:p>
    <w:p>
      <w:pPr>
        <w:spacing w:before="0" w:after="120"/>
      </w:pPr>
      <w:r>
        <w:rPr>
          <w:b/>
        </w:rPr>
        <w:t xml:space="preserve">Notes: </w:t>
      </w:r>
      <w:r>
        <w:t>abstract_source=crossref</w:t>
      </w:r>
    </w:p>
    <w:p>
      <w:pPr>
        <w:spacing w:before="0" w:after="80" w:lineRule="auto" w:line="276"/>
      </w:pPr>
      <w:r>
        <w:rPr>
          <w:b/>
        </w:rPr>
        <w:t xml:space="preserve">摘要（ZH）: </w:t>
      </w:r>
      <w:r>
        <w:t>摘要：实现安培级 CO2 电还原为多碳 (C2+) 产品需要解决传统碳基气体扩散电极 (GDE) 固有的系统级传质瓶颈，即亚 100 nm 微孔层 (MPL) 和碱性高电流密度条件下的电润湿引起的溢流。在质量传输模拟的指导下，我们设计了一种复合 GDE，包括 Nafion 涂层的铜纳米线 (NW) 网络催化剂层 (CL) 和疏水性、不含 MPL 的聚四氟乙烯 (PTFE) 气体扩散层 (GDL)。大孔 Cu NW 网络本质上是导电的，并且能够在耦合传质架构内独立优化 GDL 孔径和 CL 厚度。优化的配置为 C2+ 产品提供了 88.1% 的法拉第效率和 –1.19 A cm-2 的部分电流密度，同时在稀 CO2 进料 (15%) 下仍保留 71.9% 的 C2+ 选择性。先进的原位光谱表征表明，加速的 CO2 通量提高了 *CO 表面覆盖率，将 C-C 耦合起始降低约 60 mV。这项工作为大众运输在行业相关的二氧化碳到 C2+ 转化中的作用提供了重要的见解。</w:t>
      </w:r>
    </w:p>
    <w:p>
      <w:pPr>
        <w:spacing w:before="0" w:after="200" w:lineRule="auto" w:line="276"/>
      </w:pPr>
      <w:r>
        <w:rPr>
          <w:b/>
        </w:rPr>
        <w:t xml:space="preserve">Abstract (EN): </w:t>
      </w:r>
      <w:r>
        <w:t>Achieving ampere-level CO2 electroreduction to multicarbon (C2+) products requires resolving the system-level mass-transport bottleneck inherent to conventional carbon-based gas-diffusion electrodes (GDEs)—namely, a sub-100 nm microporous layer (MPL) and electrowetting-induced flooding under alkaline, high-current-density conditions. Guided by mass-transport simulation, we design a composite GDE comprising a Nafion-coated Cu nanowire (NW) network catalyst layer (CL) and a hydrophobic, MPL-free polytetrafluoroethylene (PTFE) gas-diffusion layer (GDL). The macroporous Cu NW network is intrinsically conductive and enables independent optimization of GDL pore size and CL thickness within a coupled mass-transport architecture. The optimized configuration delivers a Faradaic efficiency of 88.1% and a partial current density of –1.19 A cm–2 for C2+ products while still retaining 71.9% C2+ selectivity with a dilute CO2 feed (15%). Advanced operando spectroscopy characterization reveals that accelerated CO2 flux elevates *CO surface coverage, lowering the C–C coupling onset by ∼60 mV. This work offers important insights into the role of mass transport in industry-relevant CO2-to-C2+ conversion.</w:t>
      </w:r>
    </w:p>
    <w:p>
      <w:pPr>
        <w:spacing w:before="120" w:after="120"/>
      </w:pPr>
      <w:r>
        <w:rPr>
          <w:sz w:val="18"/>
        </w:rPr>
        <w:t>——————————————————————————————————————————————————————————————————————</w:t>
      </w:r>
    </w:p>
    <w:p>
      <w:pPr>
        <w:spacing w:before="160" w:after="40" w:line="240" w:lineRule="auto"/>
      </w:pPr>
      <w:r>
        <w:rPr>
          <w:b/>
        </w:rPr>
        <w:t xml:space="preserve">[17] </w:t>
      </w:r>
      <w:hyperlink r:id="rId570">
        <w:r>
          <w:rPr>
            <w:color w:val="1155CC"/>
            <w:u w:val="single"/>
          </w:rPr>
          <w:t>阶梯关联的铜-二氧化铈界面增强催化活性和选择性</w:t>
        </w:r>
      </w:hyperlink>
    </w:p>
    <w:p>
      <w:pPr>
        <w:spacing w:before="0" w:after="80"/>
      </w:pPr>
      <w:r>
        <w:rPr>
          <w:i/>
          <w:sz w:val="20"/>
        </w:rPr>
        <w:t>EN: Step‐Associated Cu‐Ceria Interfaces Enhance Catalytic Activity and Selectivity</w:t>
      </w:r>
    </w:p>
    <w:p>
      <w:pPr>
        <w:spacing w:before="0" w:after="120"/>
      </w:pPr>
      <w:r>
        <w:rPr>
          <w:b/>
        </w:rPr>
        <w:t xml:space="preserve">Source: </w:t>
      </w:r>
      <w:r>
        <w:t>Wiley: Angewandte Chemie International Edition: Table of Contents</w:t>
      </w:r>
      <w:r>
        <w:t xml:space="preserve">    </w:t>
      </w:r>
      <w:r>
        <w:rPr>
          <w:b/>
        </w:rPr>
        <w:t xml:space="preserve">Pub date: </w:t>
      </w:r>
      <w:r>
        <w:t>2026-08-12 16:10:44+00:00</w:t>
      </w:r>
      <w:r>
        <w:t xml:space="preserve">    </w:t>
      </w:r>
      <w:r>
        <w:rPr>
          <w:b/>
        </w:rPr>
        <w:t xml:space="preserve">DOI: </w:t>
      </w:r>
      <w:hyperlink r:id="rId571">
        <w:r>
          <w:rPr>
            <w:color w:val="1155CC"/>
            <w:u w:val="single"/>
          </w:rPr>
          <w:t>10.1002/anie.5628406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精确控制金属-载体相互作用对于理解和引导催化过程至关重要。在这里，我们证明氧化物载体上金属纳米粒子（NP）的表面位置可以强烈影响催化性能。使用原子捕获的 Cu 催化剂作为前驱体能够形成具有独特 Cu-CeO 的 Cu 纳米颗粒</w:t>
      </w:r>
      <w:r>
        <w:rPr>
          <w:vertAlign w:val="subscript"/>
        </w:rPr>
        <w:t>2</w:t>
      </w:r>
      <w:r>
        <w:t>与通过浸渍或胶体方法制备的催化剂相比，界面环境得到了改善。这些所得催化剂表现出增强的 CO</w:t>
      </w:r>
      <w:r>
        <w:rPr>
          <w:vertAlign w:val="subscript"/>
        </w:rPr>
        <w:t>2</w:t>
      </w:r>
      <w:r>
        <w:t>通过促进甲酸活化来加氢形成甲醇。这些 Cu-CeO 增强了反应性</w:t>
      </w:r>
      <w:r>
        <w:rPr>
          <w:vertAlign w:val="subscript"/>
        </w:rPr>
        <w:t>2</w:t>
      </w:r>
      <w:r>
        <w:t>正如理论计算所揭示的，界面环境使甲醇形成途径在热力学上更加有利。这些发现提供了关于纳米粒子锚定环境如何影响催化活性和选择性的机制见解，为氧化物负载的金属催化剂提供了合理的设计策略。</w:t>
      </w:r>
    </w:p>
    <w:p>
      <w:pPr>
        <w:spacing w:before="0" w:after="200" w:lineRule="auto" w:line="276"/>
      </w:pPr>
      <w:r>
        <w:rPr>
          <w:b/>
        </w:rPr>
        <w:t xml:space="preserve">Abstract (EN): </w:t>
      </w:r>
      <w:r>
        <w:t>Precise control of metal–support interactions is essential for understanding and steering catalytic processes. Here, we demonstrate that the surface location of metal nanoparticles (NPs) on oxide supports can strongly influence catalytic performance. Using atom‐trapped Cu catalysts as precursors enabled the formation of Cu NPs with distinct Cu–CeO</w:t>
      </w:r>
      <w:r>
        <w:rPr>
          <w:vertAlign w:val="subscript"/>
        </w:rPr>
        <w:t>2</w:t>
      </w:r>
      <w:r>
        <w:t>interfacial environments compared with catalysts prepared by impregnation or colloidal methods. These resulting catalysts exhibit enhanced CO</w:t>
      </w:r>
      <w:r>
        <w:rPr>
          <w:vertAlign w:val="subscript"/>
        </w:rPr>
        <w:t>2</w:t>
      </w:r>
      <w:r>
        <w:t>hydrogenation toward methanol formation by promoting formate activation. Enhanced reactivity arises from these Cu–CeO</w:t>
      </w:r>
      <w:r>
        <w:rPr>
          <w:vertAlign w:val="subscript"/>
        </w:rPr>
        <w:t>2</w:t>
      </w:r>
      <w:r>
        <w:t>interfacial environments that render the methanol formation pathway thermodynamically more favorable, as revealed by theoretical calculations. These findings provide mechanistic insights into how NP anchoring environments influence catalytic activity and selectivity, offering a rational design strategy for oxide‐supported metal catalysts.</w:t>
      </w:r>
    </w:p>
    <w:p>
      <w:pPr>
        <w:spacing w:before="120" w:after="120"/>
      </w:pPr>
      <w:r>
        <w:rPr>
          <w:sz w:val="18"/>
        </w:rPr>
        <w:t>——————————————————————————————————————————————————————————————————————</w:t>
      </w:r>
    </w:p>
    <w:p>
      <w:pPr>
        <w:spacing w:before="160" w:after="40" w:line="240" w:lineRule="auto"/>
      </w:pPr>
      <w:r>
        <w:rPr>
          <w:b/>
        </w:rPr>
        <w:t xml:space="preserve">[18] </w:t>
      </w:r>
      <w:hyperlink r:id="rId572">
        <w:r>
          <w:rPr>
            <w:color w:val="1155CC"/>
            <w:u w:val="single"/>
          </w:rPr>
          <w:t>通过连续原位萃取来定制纳米粒子的活性成分，用于高性能固体氧化物 CO2 电解槽（Adv. Energy Mater. 30/2026）</w:t>
        </w:r>
      </w:hyperlink>
    </w:p>
    <w:p>
      <w:pPr>
        <w:spacing w:before="0" w:after="80"/>
      </w:pPr>
      <w:r>
        <w:rPr>
          <w:i/>
          <w:sz w:val="20"/>
        </w:rPr>
        <w:t>EN: Tailoring Active Components of Nanoparticles via Sequential In Situ Exsolution for High‐Performance Solid Oxide CO2 Electrolyzers (Adv. Energy Mater. 30/2026)</w:t>
      </w:r>
    </w:p>
    <w:p>
      <w:pPr>
        <w:spacing w:before="0" w:after="120"/>
      </w:pPr>
      <w:r>
        <w:rPr>
          <w:b/>
        </w:rPr>
        <w:t xml:space="preserve">Source: </w:t>
      </w:r>
      <w:r>
        <w:t>Wiley: Advanced Energy Materials: Table of Contents</w:t>
      </w:r>
      <w:r>
        <w:t xml:space="preserve">    </w:t>
      </w:r>
      <w:r>
        <w:rPr>
          <w:b/>
        </w:rPr>
        <w:t xml:space="preserve">Pub date: </w:t>
      </w:r>
      <w:r>
        <w:t>2026-08-12 18:29:41+00:00</w:t>
      </w:r>
      <w:r>
        <w:t xml:space="preserve">    </w:t>
      </w:r>
      <w:r>
        <w:rPr>
          <w:b/>
        </w:rPr>
        <w:t xml:space="preserve">DOI: </w:t>
      </w:r>
      <w:hyperlink r:id="rId573">
        <w:r>
          <w:rPr>
            <w:color w:val="1155CC"/>
            <w:u w:val="single"/>
          </w:rPr>
          <w:t>10.1002/aenm.71270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574">
        <w:r>
          <w:rPr>
            <w:color w:val="1155CC"/>
            <w:u w:val="single"/>
          </w:rPr>
          <w:t>混合 CO2-H2O 团簇中电离驱动的氧-氧键形成：溶剂化和团簇组成的作用</w:t>
        </w:r>
      </w:hyperlink>
    </w:p>
    <w:p>
      <w:pPr>
        <w:spacing w:before="0" w:after="80"/>
      </w:pPr>
      <w:r>
        <w:rPr>
          <w:i/>
          <w:sz w:val="20"/>
        </w:rPr>
        <w:t>EN: Ionization-Driven Oxygen–Oxygen Bond Formation in Mixed CO2–H2O Clusters: The Role of Solvation and Cluster Composition</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575">
        <w:r>
          <w:rPr>
            <w:color w:val="1155CC"/>
            <w:u w:val="single"/>
          </w:rPr>
          <w:t>10.1021/jacs.6c07627</w:t>
        </w:r>
      </w:hyperlink>
    </w:p>
    <w:p>
      <w:pPr>
        <w:spacing w:before="0" w:after="120"/>
      </w:pPr>
      <w:r>
        <w:rPr>
          <w:b/>
        </w:rPr>
        <w:t xml:space="preserve">Notes: </w:t>
      </w:r>
      <w:r>
        <w:t>abstract_source=crossref</w:t>
      </w:r>
    </w:p>
    <w:p>
      <w:pPr>
        <w:spacing w:before="0" w:after="80" w:lineRule="auto" w:line="276"/>
      </w:pPr>
      <w:r>
        <w:rPr>
          <w:b/>
        </w:rPr>
        <w:t xml:space="preserve">摘要（ZH）: </w:t>
      </w:r>
      <w:r>
        <w:t>摘要 氢键分子簇的电离可以引发孤立分子中无法进入的反应途径，但局部溶剂化在指导这种化学反应中的作用仍然知之甚少。在这里，我们采用弱结合的 CO2-H2O 簇作为实验上易于处理的模型系统来研究微溶剂化如何影响电离驱动的分子生长和键形成。我们使用基于同步加速器的真空紫外光电离质谱在 10-14 eV 光子能量范围内研究混合的 CO2-H2O 团簇，并观察通过分子生长和键重组形成的新的含氧产物。我们检测到 m/z 78，分配给 [H2CO4]+，与混合 CO2-H2O 簇内过氧化物键的形成一致。我们进一步确定了通过簇重排和蒸发生成 H2O2 的间接途径，由 m/z 112 证明并指定为 [(H2O2)2(CO2)]+。产品支化很大程度上取决于簇组成，富含水的环境有利于形成过氧化物的化学反应。其他产品，包括甲酸和碳酸，揭示了氢键簇内广泛的电离诱导分子生长。双杂化水平的密度泛函理论揭示了混合簇环境特有的漫游式中间体、电荷局域化和低势垒重排。实验和理论结果共同表明纳米级 CO-H2O 聚集体是化学活性反应器。</w:t>
      </w:r>
    </w:p>
    <w:p>
      <w:pPr>
        <w:spacing w:before="0" w:after="200" w:lineRule="auto" w:line="276"/>
      </w:pPr>
      <w:r>
        <w:rPr>
          <w:b/>
        </w:rPr>
        <w:t xml:space="preserve">Abstract (EN): </w:t>
      </w:r>
      <w:r>
        <w:t>Ionization of hydrogen-bonded molecular clusters can initiate reaction pathways that are inaccessible in isolated molecules, yet the role of local solvation in directing this chemistry remains poorly understood. Here, we employ weakly bound CO2–H2O clusters as experimentally tractable model systems to investigate how microsolvation influences ionization-driven molecular growth and bond formation. Using synchrotron-based vacuum ultraviolet photoionization mass spectrometry over the 10–14 eV photon-energy range, we investigate mixed CO2–H2O clusters and observe new oxygen-bearing products formed through molecular growth and bond reorganization. We detect m/z 78, assigned to [H2CO4]+, consistent with peroxide bond formation within mixed CO2–H2O clusters. We further identify an indirect route to H2O2 through cluster rearrangement and evaporation, evidenced by m/z 112 and assigned to [(H2O2)2(CO2)]+. Product branching depends strongly on cluster composition, with water-rich environments favoring peroxide-forming chemistry. Additional products, including formic acid and carbonic acid, reveal extensive ionization-induced molecular growth within hydrogen-bonded clusters. Density functional theory at the double-hybrid level reveals roaming-like intermediates, charge localization, and low-barrier rearrangements unique to the mixed cluster environment. Together, the experimental and theoretical results identify nanoscale CO–H2O aggregates as chemically active reactors.</w:t>
      </w:r>
    </w:p>
    <w:p>
      <w:pPr>
        <w:spacing w:before="120" w:after="120"/>
      </w:pPr>
      <w:r>
        <w:rPr>
          <w:sz w:val="18"/>
        </w:rPr>
        <w:t>——————————————————————————————————————————————————————————————————————</w:t>
      </w:r>
    </w:p>
    <w:p>
      <w:pPr>
        <w:spacing w:before="160" w:after="40" w:line="240" w:lineRule="auto"/>
      </w:pPr>
      <w:r>
        <w:rPr>
          <w:b/>
        </w:rPr>
        <w:t xml:space="preserve">[20] </w:t>
      </w:r>
      <w:hyperlink r:id="rId576">
        <w:r>
          <w:rPr>
            <w:color w:val="1155CC"/>
            <w:u w:val="single"/>
          </w:rPr>
          <w:t>羟基定义的路易斯碱界面指导协同光氧化还原催化中的空穴路径</w:t>
        </w:r>
      </w:hyperlink>
    </w:p>
    <w:p>
      <w:pPr>
        <w:spacing w:before="0" w:after="80"/>
      </w:pPr>
      <w:r>
        <w:rPr>
          <w:i/>
          <w:sz w:val="20"/>
        </w:rPr>
        <w:t>EN: Hydroxyl-Defined Lewis Base Interface Directs Hole Routing in Cooperative Photoredox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577">
        <w:r>
          <w:rPr>
            <w:color w:val="1155CC"/>
            <w:u w:val="single"/>
          </w:rPr>
          <w:t>10.1021/jacs.6c12712</w:t>
        </w:r>
      </w:hyperlink>
    </w:p>
    <w:p>
      <w:pPr>
        <w:spacing w:before="0" w:after="120"/>
      </w:pPr>
      <w:r>
        <w:rPr>
          <w:b/>
        </w:rPr>
        <w:t xml:space="preserve">Notes: </w:t>
      </w:r>
      <w:r>
        <w:t>abstract_source=crossref</w:t>
      </w:r>
    </w:p>
    <w:p>
      <w:pPr>
        <w:spacing w:before="0" w:after="80" w:lineRule="auto" w:line="276"/>
      </w:pPr>
      <w:r>
        <w:rPr>
          <w:b/>
        </w:rPr>
        <w:t xml:space="preserve">摘要（ZH）: </w:t>
      </w:r>
      <w:r>
        <w:t>摘要：将光生载流子引导至高效的耦合氧化还原化学是太阳能到化学能转换的核心，但控制载流子路径的界面化学基础仍然难以捉摸。在这里，我们建立了羟基定义的路易斯碱界面作为化学编程平台，用于将空穴选择性萃取与协同光氧化还原催化耦合。通过在超薄 ZnIn2S4 纳米片 (ZISO) 上原位构建结晶 In(OH)3，创建了富含晶格羟基路易斯碱位点的羟基相关界面结构，从而能够选择性调节氧化侧载流子动力学。飞秒瞬态光谱和表面光电压测量表明，羟基定义的界面促进空穴选择性界面提取，抑制电荷复合，并保留用于还原反应的还原侧电子数量。因此，通过脱氢偶联进行的光氧化苯硫酚增值以 33.5 mmol g–1 h–1 的速率进行，并在协同光氧化还原过程中与 CO2 光还原有效结合。密度泛函理论计算进一步表明，羟基定义的界面产生协同吸附构型，促进电子极化和底物活化，稳定关键反应中间体，并降低二氧化碳还原的能量需求。因此，羟基定义的界面将定向载流子动力学转化为界面氧化还原周转，从而实现高效的协同光氧化还原催化。这</w:t>
      </w:r>
    </w:p>
    <w:p>
      <w:pPr>
        <w:spacing w:before="0" w:after="200" w:lineRule="auto" w:line="276"/>
      </w:pPr>
      <w:r>
        <w:rPr>
          <w:b/>
        </w:rPr>
        <w:t xml:space="preserve">Abstract (EN): </w:t>
      </w:r>
      <w:r>
        <w:t>Directing photogenerated carriers toward productive coupled redox chemistry is central to solar-to-chemical energy conversion, yet the interfacial chemical basis governing carrier routing remains elusive. Here, we establish a hydroxyl-defined Lewis base interface as a chemically programmed platform for coupling hole-selective extraction with cooperative photoredox catalysis. By in situ constructing crystalline In(OH)3 on ultrathin ZnIn2S4 nanosheets (ZISO), a hydroxyl-associated interfacial architecture enriched with lattice hydroxyl Lewis base sites is created, enabling selective regulation of oxidation-side carrier dynamics. Femtosecond transient spectroscopic and surface photovoltage measurements reveal that the hydroxyl-defined interface promotes hole-selective interfacial extraction, suppresses charge recombination, and preserves reduction-side electron population for the reduction reaction. Consequently, photooxidative thiophenol valorization via dehydrogenative coupling proceeds at a rate of 33.5 mmol g–1 h–1 and is efficiently integrated with CO2 photoreduction in a cooperative photoredox process. Density functional theory calculations further show that the hydroxyl-defined interface generates cooperative adsorption configurations that promote electronic polarization and substrate activation, stabilize key reaction intermediates, and lower the energetic requirements for CO2 reduction. As a result, the hydroxyl-defined interface translates directional carrier dynamics into interfacial redox turnover, enabling efficient cooperative photoredox catalysis. This work reveals that chemically explicit interfacial functionality can be leveraged to integrate carrier-selective routing and catalytic redox chemistry, providing an interfacial design principle for cooperative photoredox systems in solar-to-chemical energy conversion.</w:t>
      </w:r>
    </w:p>
    <w:p>
      <w:pPr>
        <w:spacing w:before="120" w:after="120"/>
      </w:pPr>
      <w:r>
        <w:rPr>
          <w:sz w:val="18"/>
        </w:rPr>
        <w:t>——————————————————————————————————————————————————————————————————————</w:t>
      </w:r>
    </w:p>
    <w:p>
      <w:pPr>
        <w:spacing w:before="160" w:after="40" w:line="240" w:lineRule="auto"/>
      </w:pPr>
      <w:r>
        <w:rPr>
          <w:b/>
        </w:rPr>
        <w:t xml:space="preserve">[21] </w:t>
      </w:r>
      <w:hyperlink r:id="rId578">
        <w:r>
          <w:rPr>
            <w:color w:val="1155CC"/>
            <w:u w:val="single"/>
          </w:rPr>
          <w:t>离子液体诱导 CO2 在阴极上重新取向驱动电催化 CO2 还原中 CO 和甲酸盐之间的产物选择性切换</w:t>
        </w:r>
      </w:hyperlink>
    </w:p>
    <w:p>
      <w:pPr>
        <w:spacing w:before="0" w:after="80"/>
      </w:pPr>
      <w:r>
        <w:rPr>
          <w:i/>
          <w:sz w:val="20"/>
        </w:rPr>
        <w:t>EN: Product Selectivity Switching between CO and Formate in Electrocatalytic CO2 Reduction Driven by Ionic Liquid-Induced Reorientation of CO2 over Cathode</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579">
        <w:r>
          <w:rPr>
            <w:color w:val="1155CC"/>
            <w:u w:val="single"/>
          </w:rPr>
          <w:t>10.1021/jacs.6c09949</w:t>
        </w:r>
      </w:hyperlink>
    </w:p>
    <w:p>
      <w:pPr>
        <w:spacing w:before="0" w:after="120"/>
      </w:pPr>
      <w:r>
        <w:rPr>
          <w:b/>
        </w:rPr>
        <w:t xml:space="preserve">Notes: </w:t>
      </w:r>
      <w:r>
        <w:t>abstract_source=crossref</w:t>
      </w:r>
    </w:p>
    <w:p>
      <w:pPr>
        <w:spacing w:before="0" w:after="80" w:lineRule="auto" w:line="276"/>
      </w:pPr>
      <w:r>
        <w:rPr>
          <w:b/>
        </w:rPr>
        <w:t xml:space="preserve">摘要（ZH）: </w:t>
      </w:r>
      <w:r>
        <w:t>摘要 合理切换反应途径以选择性地生产多种增值化学品对于电化学二氧化碳还原反应（CO2RR）至关重要。然而，这样的目标通常是通过催化剂设计来实现的，这对于电解质工程来说仍然是一个挑战。在此，采用两种结构相似的离子液体（IL），仅咪唑鎓阳离子的C2取代基（H或–CH3）不同，即1-丁基-3-甲基咪唑鎓六氟磷酸盐（[BMIM][PF6]）和1-丁基-2,3-二甲基咪唑鎓六氟磷酸盐（[BMMIM][PF6]），用作电解质来调节产物的选择性双金属 Fe5Sn1NC 电催化剂上的 CO2RR。研究发现，通过将电解质中的IL阳离子从[BMMIM]+更改为[BMIM]+，CO2还原产物在CO（法拉第效率（FE）= 98.9%）和HCOOH（FE = 99.7%）之间显着切换，并且H电池中的电流密度在-2.2 V时达到93.7 mA·cm–2，在-2.6 V时达到181.4 mA·cm–2（vs分别为Ag/Ag+)。线性扫描伏安曲线、H/D交换、原位/异位红外光谱和密度泛函理论计算表明，CO和HCOOH之间的显着产物转换源于ILs咪唑鎓阳离子中不同活性位点驱动的催化剂表面上的CO2重新取向，这导致CO2RR中不同的反应途径。</w:t>
      </w:r>
    </w:p>
    <w:p>
      <w:pPr>
        <w:spacing w:before="0" w:after="200" w:lineRule="auto" w:line="276"/>
      </w:pPr>
      <w:r>
        <w:rPr>
          <w:b/>
        </w:rPr>
        <w:t xml:space="preserve">Abstract (EN): </w:t>
      </w:r>
      <w:r>
        <w:t>Rationally switching reaction pathways to selectively produce diverse value-added chemicals is crucial for electrochemical CO2 reduction reactions (CO2RRs). However, such a goal is usually achieved by catalyst design, and it remains a challenge for electrolyte engineering. Herein, two structurally similar ionic liquids (ILs) differing only in the C2 substituent (H or –CH3) of the imidazolium cation, namely, 1-butyl-3-methylimidazolium hexafluorophosphate ([BMIM][PF6]) and 1-butyl-2,3-dimethylimidazolium hexafluorophosphate ([BMMIM][PF6]), were employed as electrolytes to modulate the product selectivity of CO2RR over a bimetallic Fe5Sn1NC electrocatalyst. It was found that CO2 reduction product was significantly switched between CO (Faradaic efficiency (FE) = 98.9%) and HCOOH (FE = 99.7%) via changing the IL cation from [BMMIM]+ to [BMIM]+ in the electrolyte, and the current density in the H-cell reached up to 93.7 mA·cm–2 at −2.2 V and 181.4 mA·cm–2 at −2.6 V (vs Ag/Ag+), respectively. Linear sweep voltammetry curves, H/D exchange, in situ/ex situ infrared spectroscopy, and density functional theory calculations suggest that the significant product switching between CO and HCOOH originates from the CO2 reorientation on the catalyst surface driven by different active sites in the imidazolium cations of the ILs, which leads to different reaction pathways in CO2RR.</w:t>
      </w:r>
    </w:p>
    <w:p>
      <w:pPr>
        <w:spacing w:before="120" w:after="120"/>
      </w:pPr>
      <w:r>
        <w:rPr>
          <w:sz w:val="18"/>
        </w:rPr>
        <w:t>——————————————————————————————————————————————————————————————————————</w:t>
      </w:r>
    </w:p>
    <w:p>
      <w:pPr>
        <w:spacing w:before="160" w:after="120"/>
      </w:pPr>
      <w:r>
        <w:rPr>
          <w:b/>
          <w:sz w:val="28"/>
        </w:rPr>
        <w:t>【海底采矿】</w:t>
      </w:r>
    </w:p>
    <w:p>
      <w:pPr>
        <w:spacing w:before="160" w:after="40" w:line="240" w:lineRule="auto"/>
      </w:pPr>
      <w:r>
        <w:rPr>
          <w:b/>
        </w:rPr>
        <w:t xml:space="preserve">[1] </w:t>
      </w:r>
      <w:hyperlink r:id="rId580">
        <w:r>
          <w:rPr>
            <w:color w:val="1155CC"/>
            <w:u w:val="single"/>
          </w:rPr>
          <w:t>前景与挑战：天然气水合物与浅层和深层天然气联产能否实现海洋天然气开采“1+1+1&gt;3”？</w:t>
        </w:r>
      </w:hyperlink>
    </w:p>
    <w:p>
      <w:pPr>
        <w:spacing w:before="0" w:after="80"/>
      </w:pPr>
      <w:r>
        <w:rPr>
          <w:i/>
          <w:sz w:val="20"/>
        </w:rPr>
        <w:t>EN: Prospects and challenges: Can co-production of natural gas hydrate with shallow and deep gas achieve “1 + 1 + 1 &gt; 3” in marine gas exploitation?</w:t>
      </w:r>
    </w:p>
    <w:p>
      <w:pPr>
        <w:spacing w:before="0" w:after="120"/>
      </w:pPr>
      <w:r>
        <w:rPr>
          <w:b/>
        </w:rPr>
        <w:t xml:space="preserve">Source: </w:t>
      </w:r>
      <w:r>
        <w:t>ScienceDirect Publication: Applied Energy</w:t>
      </w:r>
      <w:r>
        <w:t xml:space="preserve">    </w:t>
      </w:r>
      <w:r>
        <w:rPr>
          <w:b/>
        </w:rPr>
        <w:t xml:space="preserve">Pub date: </w:t>
      </w:r>
      <w:r>
        <w:t>2026-08-08 00:00:00+00:00</w:t>
      </w:r>
      <w:r>
        <w:t xml:space="preserve">    </w:t>
      </w:r>
      <w:r>
        <w:rPr>
          <w:b/>
        </w:rPr>
        <w:t xml:space="preserve">DOI: </w:t>
      </w:r>
      <w:hyperlink r:id="rId581">
        <w:r>
          <w:rPr>
            <w:color w:val="1155CC"/>
            <w:u w:val="single"/>
          </w:rPr>
          <w:t>10.1016/j.apenergy.2026.128546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582">
        <w:r>
          <w:rPr>
            <w:color w:val="1155CC"/>
            <w:u w:val="single"/>
          </w:rPr>
          <w:t>废塑料/生物质增值中的电催化和光催化 C─X 键偶联：反应机理和催化剂工程</w:t>
        </w:r>
      </w:hyperlink>
    </w:p>
    <w:p>
      <w:pPr>
        <w:spacing w:before="0" w:after="80"/>
      </w:pPr>
      <w:r>
        <w:rPr>
          <w:i/>
          <w:sz w:val="20"/>
        </w:rPr>
        <w:t>EN: Electro‐ and Photocatalytic C─X Bond Coupling in Valorization of Waste Plastics/Biomass: Reaction Mechanism and Catalyst Engineering</w:t>
      </w:r>
    </w:p>
    <w:p>
      <w:pPr>
        <w:spacing w:before="0" w:after="120"/>
      </w:pPr>
      <w:r>
        <w:rPr>
          <w:b/>
        </w:rPr>
        <w:t xml:space="preserve">Source: </w:t>
      </w:r>
      <w:r>
        <w:t>Wiley: Advanced Materials: Table of Contents</w:t>
      </w:r>
      <w:r>
        <w:t xml:space="preserve">    </w:t>
      </w:r>
      <w:r>
        <w:rPr>
          <w:b/>
        </w:rPr>
        <w:t xml:space="preserve">Pub date: </w:t>
      </w:r>
      <w:r>
        <w:t>2026-08-07 01:41:13+00:00</w:t>
      </w:r>
      <w:r>
        <w:t xml:space="preserve">    </w:t>
      </w:r>
      <w:r>
        <w:rPr>
          <w:b/>
        </w:rPr>
        <w:t xml:space="preserve">DOI: </w:t>
      </w:r>
      <w:hyperlink r:id="rId583">
        <w:r>
          <w:rPr>
            <w:color w:val="1155CC"/>
            <w:u w:val="single"/>
          </w:rPr>
          <w:t>10.1002/adma.74524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和光催化碳—杂原子（C—N/S）耦合开辟了一条新兴途径，将废塑料/生物质原料升级为增值的含氮和含硫化学品，例如酰胺、氨基酸和有机硫化合物。然而，这个过程受到复杂的反应网络、竞争性副反应和不稳定的活性位点的阻碍，从而损害了活性、选择性和长期稳定性。克服这些挑战需要对催化机制和合理的催化剂设计有基本的了解，以实现有效的底物活化和优化的中间体管理。然而，迄今为止，仍然缺乏专门针对废塑料/生物质转化为 C─X 化合物的系统综述。为了填补这一空白，本文总结了用于废塑料/生物质增值的电催化和光催化C─X偶联反应的最新进展，重点关注协同活性位点的设计、反应中间体的控制、机理阐明和大规模生产设计。此外，我们通过技术经济分析和生命周期评估来评估此类策略的经济可行性和环境效益。最后，讨论了工艺集成和规模化的关键挑战，概述了推动这些技术在循环碳经济中实际实施的未来方向。</w:t>
      </w:r>
    </w:p>
    <w:p>
      <w:pPr>
        <w:spacing w:before="0" w:after="200" w:lineRule="auto" w:line="276"/>
      </w:pPr>
      <w:r>
        <w:rPr>
          <w:b/>
        </w:rPr>
        <w:t xml:space="preserve">Abstract (EN): </w:t>
      </w:r>
      <w:r>
        <w:t>Electro‐ and photocatalytic carbon─heteroatom (C─N/S) coupling has opened an emerging avenue for upgrading waste plastic/biomass‐derived feedstocks into value‐added nitrogen‐ and sulfur‐containing chemicals, such as amides, amino acids, and organosulfur compounds. However, this process is hindered by complex reaction networks, competing side reactions, and unstable active sites, which compromise activity, selectivity, and long‐term stability. Overcoming these challenges requires a fundamental understanding of catalytic mechanisms and rational catalyst design to achieve efficient substrate activation and optimized intermediate management. However, a systematic review specifically addressing the transformation of waste plastics/biomass into C─X compounds remains lacking to date. To fill this gap, this review summarizes recent advances in electro‐ and photocatalytic C─X coupling reactions for the valorization of waste plastics/biomass, focusing on the design of synergistic active sites, the control of reactive intermediates, mechanistic elucidations, and large‐scale production design. Furthermore, we evaluate the economic feasibility and environmental benefits of such strategies through techno‐economic analysis and life‐cycle assessment. Finally, key challenges in process integration and scale‐up are discussed, outlining future directions to advance these technologies toward practical implementation in a circular carbon economy.</w:t>
      </w:r>
    </w:p>
    <w:p>
      <w:pPr>
        <w:spacing w:before="120" w:after="120"/>
      </w:pPr>
      <w:r>
        <w:rPr>
          <w:sz w:val="18"/>
        </w:rPr>
        <w:t>——————————————————————————————————————————————————————————————————————</w:t>
      </w:r>
    </w:p>
    <w:p>
      <w:pPr>
        <w:spacing w:before="160" w:after="40" w:line="240" w:lineRule="auto"/>
      </w:pPr>
      <w:r>
        <w:rPr>
          <w:b/>
        </w:rPr>
        <w:t xml:space="preserve">[2] </w:t>
      </w:r>
      <w:hyperlink r:id="rId584">
        <w:r>
          <w:rPr>
            <w:color w:val="1155CC"/>
            <w:u w:val="single"/>
          </w:rPr>
          <w:t>空间利用加氧酶实现配对和超选择性电氧化废物解聚</w:t>
        </w:r>
      </w:hyperlink>
    </w:p>
    <w:p>
      <w:pPr>
        <w:spacing w:before="0" w:after="80"/>
      </w:pPr>
      <w:r>
        <w:rPr>
          <w:i/>
          <w:sz w:val="20"/>
        </w:rPr>
        <w:t>EN: Spatially harnessing oxygenase enables paired and ultraselective electrooxidative waste depolymerization</w:t>
      </w:r>
    </w:p>
    <w:p>
      <w:pPr>
        <w:spacing w:before="0" w:after="120"/>
      </w:pPr>
      <w:r>
        <w:rPr>
          <w:b/>
        </w:rPr>
        <w:t xml:space="preserve">Source: </w:t>
      </w:r>
      <w:r>
        <w:t>Physical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在传统的单阳极系统中，电氧化C-C键断裂经常遇到区域选择性差和效率低的问题。在这里，我们故意将天然氯化血红素（HM）共价锚定到由三聚氰胺（MM）交联的羧化多壁碳纳米管（MWCNT）上，定制具有中等自旋FeIII位点的双极酶电催化剂HM@MM-MWCNT，进一步轴向配位单原子Fe。 HM@MM-MWCNT 可以在两个电极上同时触发多种木质素和塑料衍生物的完全氧化升级循环，专门提供有机酸，产率达到 &gt;95%（阴极）和 &gt;92%（阳极），是最先进电极的两倍到四倍。轴向MM将FeIII从高自旋状态切换到中自旋状态，增强阴极FeIII - O2•−和阳极FeIV = O物种的定向Cβ - H活化活性。此外，原位形成的FeIII-OOH和FeIII-OH通过轴向配位形成较弱的Fe-O键，可以分别促进*OOH和*OH的解离，以便随后与脱氢生成的底物Cβ•偶联，最终实现配对且选择性的Cα-Cβ键断裂。玉米秸秆木质素双极共解聚提供了总产率较高的芳香族单体，其技术经济分析表明生产成本较低。具有自适应活性物质的空间定制酶电极可实现双极共氧化，使电合成效率加倍，以升级废弃碳源。</w:t>
      </w:r>
    </w:p>
    <w:p>
      <w:pPr>
        <w:spacing w:before="0" w:after="200" w:lineRule="auto" w:line="276"/>
      </w:pPr>
      <w:r>
        <w:rPr>
          <w:b/>
        </w:rPr>
        <w:t xml:space="preserve">Abstract (EN): </w:t>
      </w:r>
      <w:r>
        <w:t>Electrooxidative C − C bond cleavage often encounters poor regioselectivity and low efficiency in conventional single-anode systems. Here, we deliberately customize a bipolar enzymic electrocatalyst HM@MM-MWCNT featuring medium-spin FeIII sites by covalently anchoring natural hemin (HM) to carboxylated multi-walled carbon nanotubes (MWCNT) cross-linked by melamine (MM) that further axially coordinates the single-atom Fe. HM@MM-MWCNT can trigger the complete oxidative upcycling of diverse lignin and plastic derivatives concurrently on two electrodes to exclusively afford organic acids with yields reaching &gt;95% (cathode) and &gt;92% (anode), double to quadruple that of state-of-the-art electrodes. The axial MM switches FeIII from a high-spin to medium-spin state, boosting directional Cβ − H activation activity of cathodic FeIII − O2•− and anodic FeIV = O species. Additionally, in-situ formed FeIII − OOH and FeIII − OH with weaker Fe−O bonding enabled by axial coordination can facilitate the dissociation of *OOH and *OH, respectively, for the subsequent coupling with the substrate Cβ• generated by dehydrogenation, eventually achieving paired and selective Cα − Cβ bond scission. Bipolar co-depolymerization of corn stover lignin furnishes aromatic monomers in a total yield, and its techno-economic analysis highlights low production costs. Spatially customizing enzymic electrodes with self-adaptive active species enables bipolar co-oxidation, doubling electrosynthesis efficiency for upgrading waste carbon sources.</w:t>
      </w:r>
    </w:p>
    <w:p>
      <w:pPr>
        <w:spacing w:before="120" w:after="120"/>
      </w:pPr>
      <w:r>
        <w:rPr>
          <w:sz w:val="18"/>
        </w:rPr>
        <w:t>——————————————————————————————————————————————————————————————————————</w:t>
      </w:r>
    </w:p>
    <w:p>
      <w:pPr>
        <w:spacing w:before="160" w:after="40" w:line="240" w:lineRule="auto"/>
      </w:pPr>
      <w:r>
        <w:rPr>
          <w:b/>
        </w:rPr>
        <w:t xml:space="preserve">[3] </w:t>
      </w:r>
      <w:hyperlink r:id="rId585">
        <w:r>
          <w:rPr>
            <w:color w:val="1155CC"/>
            <w:u w:val="single"/>
          </w:rPr>
          <w:t>通过光控 RAFT 聚合制备具有应变环丁烷主链的可降解交替共聚物</w:t>
        </w:r>
      </w:hyperlink>
    </w:p>
    <w:p>
      <w:pPr>
        <w:spacing w:before="0" w:after="80"/>
      </w:pPr>
      <w:r>
        <w:rPr>
          <w:i/>
          <w:sz w:val="20"/>
        </w:rPr>
        <w:t>EN: Degradable Alternating Copolymers With Strained Cyclobutane Backbones via Photocontrolled RAFT Polymerization</w:t>
      </w:r>
    </w:p>
    <w:p>
      <w:pPr>
        <w:spacing w:before="0" w:after="120"/>
      </w:pPr>
      <w:r>
        <w:rPr>
          <w:b/>
        </w:rPr>
        <w:t xml:space="preserve">Source: </w:t>
      </w:r>
      <w:r>
        <w:t>Wiley: Angewandte Chemie International Edition: Table of Contents</w:t>
      </w:r>
      <w:r>
        <w:t xml:space="preserve">    </w:t>
      </w:r>
      <w:r>
        <w:rPr>
          <w:b/>
        </w:rPr>
        <w:t xml:space="preserve">Pub date: </w:t>
      </w:r>
      <w:r>
        <w:t>2026-08-08 11:06:48+00:00</w:t>
      </w:r>
      <w:r>
        <w:t xml:space="preserve">    </w:t>
      </w:r>
      <w:r>
        <w:rPr>
          <w:b/>
        </w:rPr>
        <w:t xml:space="preserve">DOI: </w:t>
      </w:r>
      <w:hyperlink r:id="rId586">
        <w:r>
          <w:rPr>
            <w:color w:val="1155CC"/>
            <w:u w:val="single"/>
          </w:rPr>
          <w:t>10.1002/anie.7228967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这项研究中，我们报道了1,3-二取代双环[1.1.0]丁烷（BCB）与马来酰亚胺、马来酸酐或生物基富马酸酯衍生物的可逆加成断裂链转移（RAFT）交替共聚，提供了一类具有应变环丁烷主链的结构明确的共聚物。在可见光照射下，链转移剂 (CTA) 介导的光引发引发剂工艺可产生具有高度交替性、可调分子量和出色端基保真度的 BCB 衍生共聚物。我们的设计利用电子和空间调谐的 BCB 单体，在一个桥头带有芳基取代基，在另一个桥头带有吸电子基团，有助于精确控制自由基反应性和选择性交叉传播。所得聚合物表现出高热稳定性，分解温度高达 429°C，但在机械刺激下会发生高效降解。</w:t>
      </w:r>
    </w:p>
    <w:p>
      <w:pPr>
        <w:spacing w:before="0" w:after="200" w:lineRule="auto" w:line="276"/>
      </w:pPr>
      <w:r>
        <w:rPr>
          <w:b/>
        </w:rPr>
        <w:t xml:space="preserve">Abstract (EN): </w:t>
      </w:r>
      <w:r>
        <w:t>In this study, we report a reversible addition‐fragmentation chain transfer (RAFT) alternating copolymerization of 1,3‐disubstituted bicyclo[1.1.0]butanes (BCBs) with maleimides, maleic anhydride, or bio‐based fumarate derivatives, affording a class of well‐defined copolymers with strained cyclobutane backbones. Under visible‐light irradiation, a chain transfer agent (CTA)‐mediated photoiniferter process delivers BCB‐derived copolymers with a high degree of alternation, tunable molecular weights, and excellent end‐group fidelity. Our design leverages electronically and sterically tuned BCB monomers bearing an aryl substituent at one bridgehead and an electron‐withdrawing group at the other, facilitating precise control over radical reactivity and selective cross‐propagation. The resulting polymers exhibit high thermal stability with decomposition temperature up to 429°C, yet undergo highly efficient degradation under mechanical stimulation.</w:t>
      </w:r>
    </w:p>
    <w:p>
      <w:pPr>
        <w:spacing w:before="120" w:after="120"/>
      </w:pPr>
      <w:r>
        <w:rPr>
          <w:sz w:val="18"/>
        </w:rPr>
        <w:t>——————————————————————————————————————————————————————————————————————</w:t>
      </w:r>
    </w:p>
    <w:p>
      <w:pPr>
        <w:spacing w:before="160" w:after="40" w:line="240" w:lineRule="auto"/>
      </w:pPr>
      <w:r>
        <w:rPr>
          <w:b/>
        </w:rPr>
        <w:t xml:space="preserve">[4] </w:t>
      </w:r>
      <w:hyperlink r:id="rId587">
        <w:r>
          <w:rPr>
            <w:color w:val="1155CC"/>
            <w:u w:val="single"/>
          </w:rPr>
          <w:t>作为可触发和可降解压敏粘合剂的洗瓶刷聚烯烃砜</w:t>
        </w:r>
      </w:hyperlink>
    </w:p>
    <w:p>
      <w:pPr>
        <w:spacing w:before="0" w:after="80"/>
      </w:pPr>
      <w:r>
        <w:rPr>
          <w:i/>
          <w:sz w:val="20"/>
        </w:rPr>
        <w:t>EN: Bottlebrush Polyolefin Sulfones as Triggerable and Degradable Pressure‐Sensitive Adhesives</w:t>
      </w:r>
    </w:p>
    <w:p>
      <w:pPr>
        <w:spacing w:before="0" w:after="120"/>
      </w:pPr>
      <w:r>
        <w:rPr>
          <w:b/>
        </w:rPr>
        <w:t xml:space="preserve">Source: </w:t>
      </w:r>
      <w:r>
        <w:t>Wiley: Angewandte Chemie International Edition: Table of Contents</w:t>
      </w:r>
      <w:r>
        <w:t xml:space="preserve">    </w:t>
      </w:r>
      <w:r>
        <w:rPr>
          <w:b/>
        </w:rPr>
        <w:t xml:space="preserve">Pub date: </w:t>
      </w:r>
      <w:r>
        <w:t>2026-08-08 11:08:55+00:00</w:t>
      </w:r>
      <w:r>
        <w:t xml:space="preserve">    </w:t>
      </w:r>
      <w:r>
        <w:rPr>
          <w:b/>
        </w:rPr>
        <w:t xml:space="preserve">DOI: </w:t>
      </w:r>
      <w:hyperlink r:id="rId588">
        <w:r>
          <w:rPr>
            <w:color w:val="1155CC"/>
            <w:u w:val="single"/>
          </w:rPr>
          <w:t>10.1002/anie.7449383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洗瓶刷聚合物的分子结构（拓扑）具有沿聚合物主链密集接枝的侧链，具有独特的物理性能，使其能够用作弹性体和压敏粘合剂 (PSA) 等功能材料。由于其结构，洗瓶刷聚合物可以形成无添加剂的压敏胶，但大多数是包含全碳主链的交联材料，具有热不稳定的二硫键，或者达不到洗瓶刷压敏胶所需的高摩尔质量。在这里，我们应用了二氧化硫（SO</w:t>
      </w:r>
      <w:r>
        <w:rPr>
          <w:vertAlign w:val="subscript"/>
        </w:rPr>
        <w:t>2</w:t>
      </w:r>
      <w:r>
        <w:t>）和降冰片烯基大分子单体通过接枝方法制备数均摩尔质量超过 1100 kg/mol 且主链聚合度超过 900 的洗瓶刷聚合物。聚（烯烃砜）洗瓶刷聚合物的第一个例子包含聚丙烯酸酯、聚甲基丙烯酸酯、聚苯乙烯和聚（乳酸）侧链，所有侧链均连接到聚（降冰片烯）</w:t>
      </w:r>
      <w:r>
        <w:t xml:space="preserve"> </w:t>
      </w:r>
      <w:r>
        <w:t>替代</w:t>
      </w:r>
      <w:r>
        <w:t xml:space="preserve"> </w:t>
      </w:r>
      <w:r>
        <w:t>‐SO</w:t>
      </w:r>
      <w:r>
        <w:rPr>
          <w:vertAlign w:val="subscript"/>
        </w:rPr>
        <w:t>2</w:t>
      </w:r>
      <w:r>
        <w:t>）骨干。在温和的碱性条件下，这些极高分子量的洗瓶刷聚合物在 10 分钟内显着降解，并在 4 小时内完全降解。最后，使用这种方法合成的瓶刷聚合物作为压敏胶，剥离强度约为 1200 N/m，大大高于商业胶带中的不可降解压敏胶。总之，这项工作提供了一种合成触发器的通用方法</w:t>
      </w:r>
    </w:p>
    <w:p>
      <w:pPr>
        <w:spacing w:before="0" w:after="200" w:lineRule="auto" w:line="276"/>
      </w:pPr>
      <w:r>
        <w:rPr>
          <w:b/>
        </w:rPr>
        <w:t xml:space="preserve">Abstract (EN): </w:t>
      </w:r>
      <w:r>
        <w:t>The molecular architecture (topology) of bottlebrush polymers, featuring densely grafted side chains along a polymeric backbone, leads to unique physical properties, enabling their use as functional materials including elastomers and pressure‐sensitive adhesives (PSAs). Bottlebrush polymers can form additive‐free PSAs due to their architecture, but most are crosslinked materials that include all‐carbon backbones, have thermally unstable disulfide bonds, or do not reach the high molar masses needed for bottlebrush PSAs. Here, we applied the alternating free‐radical copolymerization of sulfur dioxide (SO</w:t>
      </w:r>
      <w:r>
        <w:rPr>
          <w:vertAlign w:val="subscript"/>
        </w:rPr>
        <w:t>2</w:t>
      </w:r>
      <w:r>
        <w:t>) and norbornene‐based macromonomers in a grafting‐through approach to make bottlebrush polymers with number‐average molar masses exceeding 1100 kg/mol and backbone degrees of polymerization exceeding 900. These first examples of poly(olefin sulfone) bottlebrush polymers incorporated polyacrylate, polymethacrylate, polystyrene, and poly(lactic acid) side chains, all attached to a poly(norbornene‐</w:t>
      </w:r>
      <w:r>
        <w:t xml:space="preserve"> </w:t>
      </w:r>
      <w:r>
        <w:t>alt</w:t>
      </w:r>
      <w:r>
        <w:t xml:space="preserve"> </w:t>
      </w:r>
      <w:r>
        <w:t>‐SO</w:t>
      </w:r>
      <w:r>
        <w:rPr>
          <w:vertAlign w:val="subscript"/>
        </w:rPr>
        <w:t>2</w:t>
      </w:r>
      <w:r>
        <w:t>) backbone. Under mild alkaline conditions, these very high molecular weight bottlebrush polymers degraded considerably within 10 min and completely within 4 h. Finally, a bottlebrush polymer synthesized using this approach behaved as a PSA with a peel strength of ∼1200 N/m, substantially higher than non‐degradable PSAs in commercial tapes. In sum, this work offers a versatile approach to synthesize triggerable and degradable bottlebrush polymer adhesives enabling end‐of‐life disposal following their intended applications.</w:t>
      </w:r>
    </w:p>
    <w:p>
      <w:pPr>
        <w:spacing w:before="120" w:after="120"/>
      </w:pPr>
      <w:r>
        <w:rPr>
          <w:sz w:val="18"/>
        </w:rPr>
        <w:t>——————————————————————————————————————————————————————————————————————</w:t>
      </w:r>
    </w:p>
    <w:p>
      <w:pPr>
        <w:spacing w:before="160" w:after="40" w:line="240" w:lineRule="auto"/>
      </w:pPr>
      <w:r>
        <w:rPr>
          <w:b/>
        </w:rPr>
        <w:t xml:space="preserve">[5] </w:t>
      </w:r>
      <w:hyperlink r:id="rId589">
        <w:r>
          <w:rPr>
            <w:color w:val="1155CC"/>
            <w:u w:val="single"/>
          </w:rPr>
          <w:t>单一材料架构层压板的曲率可编程片材至 3D 变形：发泡诱导弯曲的功能分级框架</w:t>
        </w:r>
      </w:hyperlink>
    </w:p>
    <w:p>
      <w:pPr>
        <w:spacing w:before="0" w:after="80"/>
      </w:pPr>
      <w:r>
        <w:rPr>
          <w:i/>
          <w:sz w:val="20"/>
        </w:rPr>
        <w:t>EN: Curvature-Programmable Sheet-to-3D Morphing of Single-Material Architected Laminates: A Functionally Graded Framework for Foaming-Induced Bending</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590">
        <w:r>
          <w:rPr>
            <w:color w:val="1155CC"/>
            <w:u w:val="single"/>
          </w:rPr>
          <w:t>10.1021/acsami.6c13885</w:t>
        </w:r>
      </w:hyperlink>
    </w:p>
    <w:p>
      <w:pPr>
        <w:spacing w:before="0" w:after="120"/>
      </w:pPr>
      <w:r>
        <w:rPr>
          <w:b/>
        </w:rPr>
        <w:t xml:space="preserve">Notes: </w:t>
      </w:r>
      <w:r>
        <w:t>abstract_source=crossref</w:t>
      </w:r>
    </w:p>
    <w:p>
      <w:pPr>
        <w:spacing w:before="0" w:after="80" w:lineRule="auto" w:line="276"/>
      </w:pPr>
      <w:r>
        <w:rPr>
          <w:b/>
        </w:rPr>
        <w:t xml:space="preserve">摘要（ZH）: </w:t>
      </w:r>
      <w:r>
        <w:t>摘要：通过结合使用熔融沉积成型 (FDM) 和固态微孔发泡，在单一材料聚乳酸 (PLA) 层压板中展示了具有单一主曲率的曲率可编程片材到三维 (3D) 变形，无需多材料结构或刺激响应添加剂。发泡过程在 CO2 诱导的细胞成核和生长过程中，由全厚度热不对称性驱动，在细胞形态中产生表面到核心的梯度，从而在层压板厚度上产生空间梯度刚度和各向异性自由膨胀应变。这种材料级的异质性，加上从印刷长丝架构继承的光栅方向正交各向异性，产生了内置的特征应变失配，驱动发泡时的可编程弯曲。上下印刷层的不对称分配构成了曲率控制的主要设计手柄，而印刷速度调节链方向并提供膨胀各向异性的二次微调。功能梯度层压板模型将经典层压板理论与实验校准的梯度参数相结合，定量再现曲率响应 (R2 = 0.9216)，并支持实现目标形状的逆向设计程序。泡沫蜂窝结构进一步使压缩下的比能吸收增加了 8.2%。与依赖于多材料组装、刺激响应添加剂或外在表面图案的现有系统不同，这种方法程序</w:t>
      </w:r>
    </w:p>
    <w:p>
      <w:pPr>
        <w:spacing w:before="0" w:after="200" w:lineRule="auto" w:line="276"/>
      </w:pPr>
      <w:r>
        <w:rPr>
          <w:b/>
        </w:rPr>
        <w:t xml:space="preserve">Abstract (EN): </w:t>
      </w:r>
      <w:r>
        <w:t>Curvature-programmable sheet-to-three-dimensional (3D) morphing with a single principal curvature is demonstrated in single-material polylactic acid (PLA) laminates through the combined use of fused deposition modeling (FDM) and solid-state microcellular foaming, without requiring multi-material architecture or stimulus-responsive additives. The foaming process generates a surface-to-core gradient in cellular morphology driven by through-thickness thermal asymmetry during CO2-induced cell nucleation and growth, producing spatially graded stiffness and anisotropic free-expansion strain across the laminate thickness. This material-level heterogeneity, coupled with raster-direction orthotropy inherited from the printed filament architecture, creates a built-in eigenstrain mismatch that drives programmable bending upon foaming. Asymmetric allocation of upper and lower printed layers constitutes the primary design handle for curvature control, while printing speed modulates chain orientation and provides secondary fine-tuning of the expansion anisotropy. A functionally graded laminate model integrating classical laminated plate theory with experimentally calibrated gradation parameters quantitatively reproduces the curvature response (R2 = 0.9216) and supports an inverse design procedure for target shape realization. The foamed cellular architecture further yields an 8.2% increase in specific energy absorption under compression. Unlike prior systems that rely on multi-material assembly, stimulus-responsive additives, or extrinsic surface patterning, this approach programs a continuous, model-predicted curvature in a single polymer through an intrinsic through-thickness gradient with an inverse design procedure. This work establishes a single-polymer, additive-manufacturing-compatible platform in which microstructural gradients serve as programmable material descriptors for lightweight morphing structures.</w:t>
      </w:r>
    </w:p>
    <w:p>
      <w:pPr>
        <w:spacing w:before="120" w:after="120"/>
      </w:pPr>
      <w:r>
        <w:rPr>
          <w:sz w:val="18"/>
        </w:rPr>
        <w:t>——————————————————————————————————————————————————————————————————————</w:t>
      </w:r>
    </w:p>
    <w:p>
      <w:pPr>
        <w:spacing w:before="160" w:after="40" w:line="240" w:lineRule="auto"/>
      </w:pPr>
      <w:r>
        <w:rPr>
          <w:b/>
        </w:rPr>
        <w:t xml:space="preserve">[6] </w:t>
      </w:r>
      <w:hyperlink r:id="rId556">
        <w:r>
          <w:rPr>
            <w:color w:val="1155CC"/>
            <w:u w:val="single"/>
          </w:rPr>
          <w:t>安培级废物处理废物电催化中铝诱导的 Cu2+-Cu+ 极化，用于同时进行 CO2-to-C2 生产和塑料升级循环</w:t>
        </w:r>
      </w:hyperlink>
    </w:p>
    <w:p>
      <w:pPr>
        <w:spacing w:before="0" w:after="80"/>
      </w:pPr>
      <w:r>
        <w:rPr>
          <w:i/>
          <w:sz w:val="20"/>
        </w:rPr>
        <w:t>EN: Al‐Induced Cu2+‐Cu+ Polarization in Ampere‐Level Waste‐Treating‐Waste Electrocatalysis for Concurrent CO2‐to‐C2 Production and Plastic Upcycling</w:t>
      </w:r>
    </w:p>
    <w:p>
      <w:pPr>
        <w:spacing w:before="0" w:after="120"/>
      </w:pPr>
      <w:r>
        <w:rPr>
          <w:b/>
        </w:rPr>
        <w:t xml:space="preserve">Source: </w:t>
      </w:r>
      <w:r>
        <w:t>Wiley: Advanced Energy Materials: Table of Contents</w:t>
      </w:r>
      <w:r>
        <w:t xml:space="preserve">    </w:t>
      </w:r>
      <w:r>
        <w:rPr>
          <w:b/>
        </w:rPr>
        <w:t xml:space="preserve">Pub date: </w:t>
      </w:r>
      <w:r>
        <w:t>2026-08-10 05:36:46+00:00</w:t>
      </w:r>
      <w:r>
        <w:t xml:space="preserve">    </w:t>
      </w:r>
      <w:r>
        <w:rPr>
          <w:b/>
        </w:rPr>
        <w:t xml:space="preserve">DOI: </w:t>
      </w:r>
      <w:hyperlink r:id="rId557">
        <w:r>
          <w:rPr>
            <w:color w:val="1155CC"/>
            <w:u w:val="single"/>
          </w:rPr>
          <w:t>10.1002/aenm.71413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本研究介绍了一种将聚对苯二甲酸乙二醇酯 (PET) 升级改造与 CO 相结合的对电重整策略</w:t>
      </w:r>
      <w:r>
        <w:rPr>
          <w:vertAlign w:val="subscript"/>
        </w:rPr>
        <w:t>2</w:t>
      </w:r>
      <w:r>
        <w:t>减少，从而能够在节能条件下同时产生增值化学品。这项研究的核心是通过双水热方法合成的自支撑 AlCuIn 纳米棒/氮掺杂氧化石墨烯 (ACI/NG) 电催化剂。 Al 的战略掺入引发了强大的 Cu</w:t>
      </w:r>
      <w:r>
        <w:t xml:space="preserve"> </w:t>
      </w:r>
      <w:r>
        <w:t>2+</w:t>
      </w:r>
      <w:r>
        <w:t xml:space="preserve"> </w:t>
      </w:r>
      <w:r>
        <w:t>‐对‐Cu</w:t>
      </w:r>
      <w:r>
        <w:t xml:space="preserve"> </w:t>
      </w:r>
      <w:r>
        <w:t>+</w:t>
      </w:r>
      <w:r>
        <w:t xml:space="preserve"> </w:t>
      </w:r>
      <w:r>
        <w:t>极化效应，通过优化*CO相互作用显着增强催化活化，从而促进高效CO</w:t>
      </w:r>
      <w:r>
        <w:rPr>
          <w:vertAlign w:val="subscript"/>
        </w:rPr>
        <w:t>2</w:t>
      </w:r>
      <w:r>
        <w:t>‐到‐C</w:t>
      </w:r>
      <w:r>
        <w:rPr>
          <w:vertAlign w:val="subscript"/>
        </w:rPr>
        <w:t>2</w:t>
      </w:r>
      <w:r>
        <w:t>转换。这种偏振驱动的增强功能可实现可调的产品选择性，C 的法拉第效率 (FE) 达到 91.2%</w:t>
      </w:r>
      <w:r>
        <w:rPr>
          <w:vertAlign w:val="subscript"/>
        </w:rPr>
        <w:t>1</w:t>
      </w:r>
      <w:r>
        <w:t>产品 (CI/NG) 和 C 为 93.8%</w:t>
      </w:r>
      <w:r>
        <w:rPr>
          <w:vertAlign w:val="subscript"/>
        </w:rPr>
        <w:t>2</w:t>
      </w:r>
      <w:r>
        <w:t>产品（ACI/NG）。此外，该系统表现出安培级性能，保持-0.65 A cm的高电流密度</w:t>
      </w:r>
      <w:r>
        <w:t xml:space="preserve"> </w:t>
      </w:r>
      <w:r>
        <w:t>−2</w:t>
      </w:r>
      <w:r>
        <w:t xml:space="preserve"> </w:t>
      </w:r>
      <w:r>
        <w:t>超过100小时。 PET 水解产物氧化对甲酸的选择性接近 100%，凸显了其在电化学增值方面的功效。 DFT 分析和原位光谱揭示了 *CO 二聚化和关键中间体的形成，为偏振增强催化提供了机理见解。而且，</w:t>
      </w:r>
    </w:p>
    <w:p>
      <w:pPr>
        <w:spacing w:before="0" w:after="200" w:lineRule="auto" w:line="276"/>
      </w:pPr>
      <w:r>
        <w:rPr>
          <w:b/>
        </w:rPr>
        <w:t xml:space="preserve">Abstract (EN): </w:t>
      </w:r>
      <w:r>
        <w:t>This study introduces a pair‐electro‐reforming strategy that integrates polyethylene terephthalate (PET) upcycling with CO</w:t>
      </w:r>
      <w:r>
        <w:rPr>
          <w:vertAlign w:val="subscript"/>
        </w:rPr>
        <w:t>2</w:t>
      </w:r>
      <w:r>
        <w:t>reduction, enabling the concurrent generation of value‐added chemicals under energy‐efficient conditions. Central to this study is the self‐supported AlCuIn nanorod/N‐doped graphene oxide (ACI/NG) electrocatalyst, synthesized via a dual‐hydrothermal approach. The strategic incorporation of Al induces a strong Cu</w:t>
      </w:r>
      <w:r>
        <w:t xml:space="preserve"> </w:t>
      </w:r>
      <w:r>
        <w:t>2+</w:t>
      </w:r>
      <w:r>
        <w:t xml:space="preserve"> </w:t>
      </w:r>
      <w:r>
        <w:t>‐to‐Cu</w:t>
      </w:r>
      <w:r>
        <w:t xml:space="preserve"> </w:t>
      </w:r>
      <w:r>
        <w:t>+</w:t>
      </w:r>
      <w:r>
        <w:t xml:space="preserve"> </w:t>
      </w:r>
      <w:r>
        <w:t>polarization effect, significantly enhancing catalytic activation by optimizing the *CO interaction, thereby promoting efficient CO</w:t>
      </w:r>
      <w:r>
        <w:rPr>
          <w:vertAlign w:val="subscript"/>
        </w:rPr>
        <w:t>2</w:t>
      </w:r>
      <w:r>
        <w:t>‐to‐C</w:t>
      </w:r>
      <w:r>
        <w:rPr>
          <w:vertAlign w:val="subscript"/>
        </w:rPr>
        <w:t>2</w:t>
      </w:r>
      <w:r>
        <w:t>conversion. This polarization‐driven enhancement enables tunable product selectivity, achieving faradaic efficiencies (FE) of 91.2% for C</w:t>
      </w:r>
      <w:r>
        <w:rPr>
          <w:vertAlign w:val="subscript"/>
        </w:rPr>
        <w:t>1</w:t>
      </w:r>
      <w:r>
        <w:t>products (CI/NG) and 93.8% for C</w:t>
      </w:r>
      <w:r>
        <w:rPr>
          <w:vertAlign w:val="subscript"/>
        </w:rPr>
        <w:t>2</w:t>
      </w:r>
      <w:r>
        <w:t>products (ACI/NG). Furthermore, the system demonstrates ampere‐level performance, maintaining a high current density of −0.65 A cm</w:t>
      </w:r>
      <w:r>
        <w:t xml:space="preserve"> </w:t>
      </w:r>
      <w:r>
        <w:t>−2</w:t>
      </w:r>
      <w:r>
        <w:t xml:space="preserve"> </w:t>
      </w:r>
      <w:r>
        <w:t>for over 100 h. PET hydrolysate oxidation proceeds with nearly 100% selectivity toward formic acid, highlighting its efficacy in electrochemical valorization. DFT analysis and in‐situ spectroscopy reveal *CO dimerization and key intermediate formation, offering mechanistic insights into polarization‐enhanced catalysis. Moreover, a solar‐powered CO</w:t>
      </w:r>
      <w:r>
        <w:rPr>
          <w:vertAlign w:val="subscript"/>
        </w:rPr>
        <w:t>2</w:t>
      </w:r>
      <w:r>
        <w:t>RR||PET hydrolysate oxidation system achieves η</w:t>
      </w:r>
      <w:r>
        <w:t xml:space="preserve"> </w:t>
      </w:r>
      <w:r>
        <w:t>STF</w:t>
      </w:r>
      <w:r>
        <w:t xml:space="preserve"> </w:t>
      </w:r>
      <w:r>
        <w:t>values of 17.01% and 16.31%, ensuring operational stability. Ultimately, this work provides a scalable, energy‐efficient platform for waste‐treating CO</w:t>
      </w:r>
      <w:r>
        <w:rPr>
          <w:vertAlign w:val="subscript"/>
        </w:rPr>
        <w:t>2</w:t>
      </w:r>
      <w:r>
        <w:t>and plastic waste, advancing sustainable electrocatalysis.</w:t>
      </w:r>
    </w:p>
    <w:p>
      <w:pPr>
        <w:spacing w:before="120" w:after="120"/>
      </w:pPr>
      <w:r>
        <w:rPr>
          <w:sz w:val="18"/>
        </w:rPr>
        <w:t>——————————————————————————————————————————————————————————————————————</w:t>
      </w:r>
    </w:p>
    <w:p>
      <w:pPr>
        <w:spacing w:before="160" w:after="40" w:line="240" w:lineRule="auto"/>
      </w:pPr>
      <w:r>
        <w:rPr>
          <w:b/>
        </w:rPr>
        <w:t xml:space="preserve">[7] </w:t>
      </w:r>
      <w:hyperlink r:id="rId591">
        <w:r>
          <w:rPr>
            <w:color w:val="1155CC"/>
            <w:u w:val="single"/>
          </w:rPr>
          <w:t>太阳能驱动的废聚对苯二甲酸乙二醇酯的升级回收</w:t>
        </w:r>
      </w:hyperlink>
    </w:p>
    <w:p>
      <w:pPr>
        <w:spacing w:before="0" w:after="80"/>
      </w:pPr>
      <w:r>
        <w:rPr>
          <w:i/>
          <w:sz w:val="20"/>
        </w:rPr>
        <w:t>EN: Solar‐Driven Upcycling of Waste Polyethylene Terephthalate</w:t>
      </w:r>
    </w:p>
    <w:p>
      <w:pPr>
        <w:spacing w:before="0" w:after="120"/>
      </w:pPr>
      <w:r>
        <w:rPr>
          <w:b/>
        </w:rPr>
        <w:t xml:space="preserve">Source: </w:t>
      </w:r>
      <w:r>
        <w:t>Wiley: Advanced Energy Materials: Table of Contents</w:t>
      </w:r>
      <w:r>
        <w:t xml:space="preserve">    </w:t>
      </w:r>
      <w:r>
        <w:rPr>
          <w:b/>
        </w:rPr>
        <w:t xml:space="preserve">Pub date: </w:t>
      </w:r>
      <w:r>
        <w:t>2026-08-10 05:45:26+00:00</w:t>
      </w:r>
      <w:r>
        <w:t xml:space="preserve">    </w:t>
      </w:r>
      <w:r>
        <w:rPr>
          <w:b/>
        </w:rPr>
        <w:t xml:space="preserve">DOI: </w:t>
      </w:r>
      <w:hyperlink r:id="rId592">
        <w:r>
          <w:rPr>
            <w:color w:val="1155CC"/>
            <w:u w:val="single"/>
          </w:rPr>
          <w:t>10.1002/aenm.71417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聚对苯二甲酸乙二醇酯 (PET) 废物对环境构成了重大挑战，而现有的回收技术往往受到高能源需求、有限的产品价值和低效的碳利用的限制。太阳能驱动的 PET 升级回收利用可再生太阳能将 PET 废物转化为燃料和增值化学品，提供了一种有吸引力的替代方案。本综述总结了光催化、光热和光电化学 PET 升级改造的最新进展。特别强调反应机制、选择性键活化、电荷和能量管理以及催化剂和设备设计。从反应路线、产物选择性和工艺集成方面讨论了不同太阳能驱动途径的机遇和局限性。最后，概述了未来的挑战和前景，为开发可扩展的太阳能驱动技术以促进塑料增值和循环塑料经济提供指导。</w:t>
      </w:r>
    </w:p>
    <w:p>
      <w:pPr>
        <w:spacing w:before="0" w:after="200" w:lineRule="auto" w:line="276"/>
      </w:pPr>
      <w:r>
        <w:rPr>
          <w:b/>
        </w:rPr>
        <w:t xml:space="preserve">Abstract (EN): </w:t>
      </w:r>
      <w:r>
        <w:t>Polyethylene terephthalate (PET) waste poses a significant environmental challenge, while existing recycling technologies are often constrained by high energy demand, limited product value, and inefficient carbon utilization. Solar‐driven PET upcycling offers an attractive alternative by harnessing renewable solar energy to convert PET waste into fuels and value‐added chemicals. This Review summarizes recent advances in photocatalytic, photothermal, and photoelectrochemical PET upcycling. Particular emphasis is placed on reaction mechanisms, selective bond activation, charge and energy management, and catalyst and device design. The opportunities and limitations of different solar‐driven pathways are discussed in terms of reaction routes, product selectivity, and process integration. Finally, future challenges and perspectives are outlined, providing guidance for the development of scalable solar‐driven technologies for plastic valorization and a circular plastics economy.</w:t>
      </w:r>
    </w:p>
    <w:p>
      <w:pPr>
        <w:spacing w:before="120" w:after="120"/>
      </w:pPr>
      <w:r>
        <w:rPr>
          <w:sz w:val="18"/>
        </w:rPr>
        <w:t>——————————————————————————————————————————————————————————————————————</w:t>
      </w:r>
    </w:p>
    <w:p>
      <w:pPr>
        <w:spacing w:before="160" w:after="40" w:line="240" w:lineRule="auto"/>
      </w:pPr>
      <w:r>
        <w:rPr>
          <w:b/>
        </w:rPr>
        <w:t xml:space="preserve">[8] </w:t>
      </w:r>
      <w:hyperlink r:id="rId593">
        <w:r>
          <w:rPr>
            <w:color w:val="1155CC"/>
            <w:u w:val="single"/>
          </w:rPr>
          <w:t>对“等离子体激元介导的微塑料降解的原位 SERS 监测”的更正</w:t>
        </w:r>
      </w:hyperlink>
    </w:p>
    <w:p>
      <w:pPr>
        <w:spacing w:before="0" w:after="80"/>
      </w:pPr>
      <w:r>
        <w:rPr>
          <w:i/>
          <w:sz w:val="20"/>
        </w:rPr>
        <w:t>EN: Correction to “In Situ SERS Monitoring of Plasmon-Mediated Degradation of Microplastics”</w:t>
      </w:r>
    </w:p>
    <w:p>
      <w:pPr>
        <w:spacing w:before="0" w:after="120"/>
      </w:pPr>
      <w:r>
        <w:rPr>
          <w:b/>
        </w:rPr>
        <w:t xml:space="preserve">Source: </w:t>
      </w:r>
      <w:r>
        <w:t>Journal of the American Chemical Society: Latest Articles (ACS Publications)</w:t>
      </w:r>
      <w:r>
        <w:t xml:space="preserve">    </w:t>
      </w:r>
      <w:r>
        <w:rPr>
          <w:b/>
        </w:rPr>
        <w:t xml:space="preserve">Pub date: </w:t>
      </w:r>
      <w:r>
        <w:t>2026-08-11 00:00:00+00:00</w:t>
      </w:r>
      <w:r>
        <w:t xml:space="preserve">    </w:t>
      </w:r>
      <w:r>
        <w:rPr>
          <w:b/>
        </w:rPr>
        <w:t xml:space="preserve">DOI: </w:t>
      </w:r>
      <w:hyperlink r:id="rId594">
        <w:r>
          <w:rPr>
            <w:color w:val="1155CC"/>
            <w:u w:val="single"/>
          </w:rPr>
          <w:t>10.1021/jacs.6c13807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53">
        <w:r>
          <w:rPr>
            <w:color w:val="1155CC"/>
            <w:u w:val="single"/>
          </w:rPr>
          <w:t>由多孔 Vitrimer 实现的可回收锌离子结构超级电容器</w:t>
        </w:r>
      </w:hyperlink>
    </w:p>
    <w:p>
      <w:pPr>
        <w:spacing w:before="0" w:after="80"/>
      </w:pPr>
      <w:r>
        <w:rPr>
          <w:i/>
          <w:sz w:val="20"/>
        </w:rPr>
        <w:t>EN: Recyclable Zinc Ion Structural Supercapacitor Enabled by Porous Vitrimer</w:t>
      </w:r>
    </w:p>
    <w:p>
      <w:pPr>
        <w:spacing w:before="0" w:after="120"/>
      </w:pPr>
      <w:r>
        <w:rPr>
          <w:b/>
        </w:rPr>
        <w:t xml:space="preserve">Source: </w:t>
      </w:r>
      <w:r>
        <w:t>ACS Energy Letters: Latest Articles (ACS Publications)</w:t>
      </w:r>
      <w:r>
        <w:t xml:space="preserve">    </w:t>
      </w:r>
      <w:r>
        <w:rPr>
          <w:b/>
        </w:rPr>
        <w:t xml:space="preserve">Pub date: </w:t>
      </w:r>
      <w:r>
        <w:t>2026-08-11 00:00:00+00:00</w:t>
      </w:r>
      <w:r>
        <w:t xml:space="preserve">    </w:t>
      </w:r>
      <w:r>
        <w:rPr>
          <w:b/>
        </w:rPr>
        <w:t xml:space="preserve">DOI: </w:t>
      </w:r>
      <w:hyperlink r:id="rId254">
        <w:r>
          <w:rPr>
            <w:color w:val="1155CC"/>
            <w:u w:val="single"/>
          </w:rPr>
          <w:t>10.1021/acsenergylett.6c01274</w:t>
        </w:r>
      </w:hyperlink>
    </w:p>
    <w:p>
      <w:pPr>
        <w:spacing w:before="0" w:after="120"/>
      </w:pPr>
      <w:r>
        <w:rPr>
          <w:b/>
        </w:rPr>
        <w:t xml:space="preserve">Notes: </w:t>
      </w:r>
      <w:r>
        <w:t>abstract_source=crossref</w:t>
      </w:r>
    </w:p>
    <w:p>
      <w:pPr>
        <w:spacing w:before="0" w:after="80" w:lineRule="auto" w:line="276"/>
      </w:pPr>
      <w:r>
        <w:rPr>
          <w:b/>
        </w:rPr>
        <w:t xml:space="preserve">摘要（ZH）: </w:t>
      </w:r>
      <w:r>
        <w:t>摘要 结构电化学电池结合了承载和储能功能，以满足便携式系统不断增长的能源需求。然而，这些集成复合材料在使用寿命结束时很难拆卸。为了实现可持续性，这项工作设计了 vitrimers 来创建一种固态电解质，为结构储能设备提供机械强度、高离子电导率和可回收性。结构锌离子超级电容器在18 W kg−1的功率密度下实现了13.9 GPa的高弯曲模量和3.57 Wh kg−1的比能量。该多功能设备集成到滑翔机的机翼中，为机载发动机提供动力，以延长飞行距离。该复合结构可通过室温反应进行回收，从而实现碳纤维阴极的回收和再利用。回收的材料被重新制成新电池，以进一步延长材料寿命，维持超过 172,000 次氧化还原循环，并展示了一条通往循环、耐用能源存储结构的有前途的途径。</w:t>
      </w:r>
    </w:p>
    <w:p>
      <w:pPr>
        <w:spacing w:before="0" w:after="200" w:lineRule="auto" w:line="276"/>
      </w:pPr>
      <w:r>
        <w:rPr>
          <w:b/>
        </w:rPr>
        <w:t xml:space="preserve">Abstract (EN): </w:t>
      </w:r>
      <w:r>
        <w:t>Structural electrochemical cells combine load-bearing and energy storage functions to meet growing energy demands in portable systems. However, these integrated composites are difficult to disassemble at the end of life. To attain sustainability, this work engineers vitrimers to create a solid-state electrolyte that delivers mechanical strength, high ionic conductivity, and recyclability for structural energy storage devices. The structural zinc ion supercapacitors achieve a high flexural modulus of 13.9 GPa and a specific energy of 3.57 Wh kg−1 at a power density of 18 W kg−1. Integrated into a glider’s wings, the multifunctional device powers the onboard motor to extend the flight distance. The composite structure is recyclable through a room-temperature reaction, enabling recovery and reuse of the carbon-fiber cathode. The reclaimed materials are remade into new cells to further extend material lifetime, sustaining over 172,000 redox cycles and demonstrating a promising route towards circular, durable energy storage structures.</w:t>
      </w:r>
    </w:p>
    <w:p>
      <w:pPr>
        <w:spacing w:before="120" w:after="120"/>
      </w:pPr>
      <w:r>
        <w:rPr>
          <w:sz w:val="18"/>
        </w:rPr>
        <w:t>——————————————————————————————————————————————————————————————————————</w:t>
      </w:r>
    </w:p>
    <w:p>
      <w:pPr>
        <w:spacing w:before="160" w:after="40" w:line="240" w:lineRule="auto"/>
      </w:pPr>
      <w:r>
        <w:rPr>
          <w:b/>
        </w:rPr>
        <w:t xml:space="preserve">[10] </w:t>
      </w:r>
      <w:hyperlink r:id="rId595">
        <w:r>
          <w:rPr>
            <w:color w:val="1155CC"/>
            <w:u w:val="single"/>
          </w:rPr>
          <w:t>疏水性纳米域和大体积阴离子介导的软交联可实现坚固、坚韧、防水和可回收的塑料</w:t>
        </w:r>
      </w:hyperlink>
    </w:p>
    <w:p>
      <w:pPr>
        <w:spacing w:before="0" w:after="80"/>
      </w:pPr>
      <w:r>
        <w:rPr>
          <w:i/>
          <w:sz w:val="20"/>
        </w:rPr>
        <w:t>EN: Hydrophobic Nanodomains and Bulky Anion-Mediated Soft Cross-Links Enable Strong, Tough, Water-Resistant, and Recyclable Plastics</w:t>
      </w:r>
    </w:p>
    <w:p>
      <w:pPr>
        <w:spacing w:before="0" w:after="120"/>
      </w:pPr>
      <w:r>
        <w:rPr>
          <w:b/>
        </w:rPr>
        <w:t xml:space="preserve">Source: </w:t>
      </w:r>
      <w:r>
        <w:t>Journal of the American Chemical Society: Latest Articles (ACS Publications)</w:t>
      </w:r>
      <w:r>
        <w:t xml:space="preserve">    </w:t>
      </w:r>
      <w:r>
        <w:rPr>
          <w:b/>
        </w:rPr>
        <w:t xml:space="preserve">Pub date: </w:t>
      </w:r>
      <w:r>
        <w:t>2026-08-12 00:00:00+00:00</w:t>
      </w:r>
      <w:r>
        <w:t xml:space="preserve">    </w:t>
      </w:r>
      <w:r>
        <w:rPr>
          <w:b/>
        </w:rPr>
        <w:t xml:space="preserve">DOI: </w:t>
      </w:r>
      <w:hyperlink r:id="rId596">
        <w:r>
          <w:rPr>
            <w:color w:val="1155CC"/>
            <w:u w:val="single"/>
          </w:rPr>
          <w:t>10.1021/jacs.6c13232</w:t>
        </w:r>
      </w:hyperlink>
    </w:p>
    <w:p>
      <w:pPr>
        <w:spacing w:before="0" w:after="120"/>
      </w:pPr>
      <w:r>
        <w:rPr>
          <w:b/>
        </w:rPr>
        <w:t xml:space="preserve">Notes: </w:t>
      </w:r>
      <w:r>
        <w:t>abstract_source=crossref</w:t>
      </w:r>
    </w:p>
    <w:p>
      <w:pPr>
        <w:spacing w:before="0" w:after="80" w:lineRule="auto" w:line="276"/>
      </w:pPr>
      <w:r>
        <w:rPr>
          <w:b/>
        </w:rPr>
        <w:t xml:space="preserve">摘要（ZH）: </w:t>
      </w:r>
      <w:r>
        <w:t>摘要 由于强度和韧性之间固有的权衡以及可回收性的非共价交联的稳定性有限，同时兼具高强度、高模量、韧性和环境稳定性的高性能、本质上可持续的塑料仍然难以实现。在这里，我们报告了一类聚（脲-聚氨酯）（PUU）塑料，它通过原位形成的刚性疏水纳米域和大体积软离子交联的协同增强来协调这些竞争要求。掺入的双（三氟甲磺酰）亚胺 (TFSI–) 阴离子增加了链间距并促进能量耗散，同时动态交联 PUU 链上的阳离子基团，以补偿与自由体积增加相关的强度损失。该塑料的屈服强度为 97.2 MPa，杨氏模量为 2.02 GPa，韧性为 14.6 MJ m–3，同时保持优异的耐水、酸性和碱性水溶液性能。这些塑料易于再加工，可以作为高性能碳纤维复合材料的基质，从而实现轻松且无损的碳纤维回收。</w:t>
      </w:r>
    </w:p>
    <w:p>
      <w:pPr>
        <w:spacing w:before="0" w:after="200" w:lineRule="auto" w:line="276"/>
      </w:pPr>
      <w:r>
        <w:rPr>
          <w:b/>
        </w:rPr>
        <w:t xml:space="preserve">Abstract (EN): </w:t>
      </w:r>
      <w:r>
        <w:t>High-performance, intrinsically sustainable plastics that simultaneously combine high strength, high modulus, toughness, and environmental stability remain elusive owing to the inherent trade-off between strength and toughness and the limited stability of noncovalent cross-links that enable recyclability. Here, we report a class of poly(urea–urethane) (PUU) plastics that reconcile these competing requirements through synergistic reinforcement by in situ-formed rigid hydrophobic nanodomains and bulky soft ionic cross-links. The incorporated bis(trifluoromethanesulfonyl)imide (TFSI–) anions increase interchain spacing and promote energy dissipation, while dynamically cross-linking cationic groups on PUU chains to compensate for the strength loss associated with increased free volume. The plastics exhibit a yield strength of 97.2 MPa, a Young’s modulus of 2.02 GPa, and a toughness of 14.6 MJ m–3, while maintaining exceptional resistance to water, acidic, and alkaline aqueous solutions. The plastics are readily reprocessable and can serve as matrices for high-performance carbon-fiber composites, enabling facile and nondestructive carbon-fiber recovery.</w:t>
      </w:r>
    </w:p>
    <w:p>
      <w:pPr>
        <w:spacing w:before="120" w:after="120"/>
      </w:pPr>
      <w:r>
        <w:rPr>
          <w:sz w:val="18"/>
        </w:rPr>
        <w:t>——————————————————————————————————————————————————————————————————————</w:t>
      </w:r>
    </w:p>
    <w:p>
      <w:pPr>
        <w:spacing w:before="160" w:after="40" w:line="240" w:lineRule="auto"/>
      </w:pPr>
      <w:r>
        <w:rPr>
          <w:b/>
        </w:rPr>
        <w:t xml:space="preserve">[11] </w:t>
      </w:r>
      <w:hyperlink r:id="rId597">
        <w:r>
          <w:rPr>
            <w:color w:val="1155CC"/>
            <w:u w:val="single"/>
          </w:rPr>
          <w:t>PETase 向 LCC 学习：通过基于概率的模拟重新设计酶反应性</w:t>
        </w:r>
      </w:hyperlink>
    </w:p>
    <w:p>
      <w:pPr>
        <w:spacing w:before="0" w:after="80"/>
      </w:pPr>
      <w:r>
        <w:rPr>
          <w:i/>
          <w:sz w:val="20"/>
        </w:rPr>
        <w:t>EN: PETase learns from LCC: Redesigning enzymatic reactivity with probability-based simulations</w:t>
      </w:r>
    </w:p>
    <w:p>
      <w:pPr>
        <w:spacing w:before="0" w:after="120"/>
      </w:pPr>
      <w:r>
        <w:rPr>
          <w:b/>
        </w:rPr>
        <w:t xml:space="preserve">Source: </w:t>
      </w:r>
      <w:r>
        <w:t>Chem</w:t>
      </w:r>
      <w:r>
        <w:t xml:space="preserve">    </w:t>
      </w:r>
      <w:r>
        <w:rPr>
          <w:b/>
        </w:rPr>
        <w:t xml:space="preserve">Pub date: </w:t>
      </w:r>
      <w:r>
        <w:t>2026-08-12 00:00:00+00:00</w:t>
      </w:r>
      <w:r>
        <w:t xml:space="preserve">    </w:t>
      </w:r>
      <w:r>
        <w:rPr>
          <w:b/>
        </w:rPr>
        <w:t xml:space="preserve">DOI: </w:t>
      </w:r>
      <w:hyperlink r:id="rId598">
        <w:r>
          <w:rPr>
            <w:color w:val="1155CC"/>
            <w:u w:val="single"/>
          </w:rPr>
          <w:t>10.1016/j.chempr.2026.103201</w:t>
        </w:r>
      </w:hyperlink>
    </w:p>
    <w:p>
      <w:pPr>
        <w:spacing w:before="0" w:after="120"/>
      </w:pPr>
      <w:r>
        <w:rPr>
          <w:b/>
        </w:rPr>
        <w:t xml:space="preserve">Notes: </w:t>
      </w:r>
      <w:r>
        <w:t>abstract_source=rss_cell</w:t>
      </w:r>
    </w:p>
    <w:p>
      <w:pPr>
        <w:spacing w:before="0" w:after="80" w:lineRule="auto" w:line="276"/>
      </w:pPr>
      <w:r>
        <w:rPr>
          <w:b/>
        </w:rPr>
        <w:t xml:space="preserve">摘要（ZH）: </w:t>
      </w:r>
      <w:r>
        <w:t>塑料降解酶是解决全球塑料废物问题的一种有前途的策略，但其催化效率仍然达不到工业需求。作者没有依赖单一的静态结构，而是使用基于概率的模拟框架来捕获 PETase 和 LCCICCG（生物技术塑料回收的两种有前途的候选材料）中反应途径的完整集合。这些见解被转化为具有改进活性的合理设计的 PETase 变体，展示了概率引导设计作为酶工程的一般策略。</w:t>
      </w:r>
    </w:p>
    <w:p>
      <w:pPr>
        <w:spacing w:before="0" w:after="200" w:lineRule="auto" w:line="276"/>
      </w:pPr>
      <w:r>
        <w:rPr>
          <w:b/>
        </w:rPr>
        <w:t xml:space="preserve">Abstract (EN): </w:t>
      </w:r>
      <w:r>
        <w:t>Plastic-degrading enzymes represent a promising strategy to address the global plastic waste problem, but their catalytic efficiency still falls short of industrial needs. Rather than relying on a single static structure, the authors use a probability-based simulation framework to capture the full ensemble of reactive pathways in PETase and LCCICCG, two promising candidates for biotechnological plastic recycling. These insights are translated into a rationally engineered PETase variant with improved activity, showcasing probability-guided design as a general strategy for enzyme engineering.</w:t>
      </w:r>
    </w:p>
    <w:p>
      <w:pPr>
        <w:spacing w:before="120" w:after="120"/>
      </w:pPr>
      <w:r>
        <w:rPr>
          <w:sz w:val="18"/>
        </w:rPr>
        <w:t>——————————————————————————————————————————————————————————————————————</w:t>
      </w:r>
    </w:p>
    <w:p>
      <w:pPr>
        <w:spacing w:before="160" w:after="40" w:line="240" w:lineRule="auto"/>
      </w:pPr>
      <w:r>
        <w:rPr>
          <w:b/>
        </w:rPr>
        <w:t xml:space="preserve">[12] </w:t>
      </w:r>
      <w:hyperlink r:id="rId599">
        <w:r>
          <w:rPr>
            <w:color w:val="1155CC"/>
            <w:u w:val="single"/>
          </w:rPr>
          <w:t>利用废 PET 缺陷工程微波响应 Ni@C 复合材料用于催化塑料升级再造</w:t>
        </w:r>
      </w:hyperlink>
    </w:p>
    <w:p>
      <w:pPr>
        <w:spacing w:before="0" w:after="80"/>
      </w:pPr>
      <w:r>
        <w:rPr>
          <w:i/>
          <w:sz w:val="20"/>
        </w:rPr>
        <w:t>EN: Defect‐Engineered Microwave‐Responsive Ni@C Composites From Waste PET for Catalytic Plastic Upcycling</w:t>
      </w:r>
    </w:p>
    <w:p>
      <w:pPr>
        <w:spacing w:before="0" w:after="120"/>
      </w:pPr>
      <w:r>
        <w:rPr>
          <w:b/>
        </w:rPr>
        <w:t xml:space="preserve">Source: </w:t>
      </w:r>
      <w:r>
        <w:t>Wiley: Advanced Materials: Table of Contents</w:t>
      </w:r>
      <w:r>
        <w:t xml:space="preserve">    </w:t>
      </w:r>
      <w:r>
        <w:rPr>
          <w:b/>
        </w:rPr>
        <w:t xml:space="preserve">Pub date: </w:t>
      </w:r>
      <w:r>
        <w:t>2026-08-12 08:05:36+00:00</w:t>
      </w:r>
      <w:r>
        <w:t xml:space="preserve">    </w:t>
      </w:r>
      <w:r>
        <w:rPr>
          <w:b/>
        </w:rPr>
        <w:t xml:space="preserve">DOI: </w:t>
      </w:r>
      <w:hyperlink r:id="rId600">
        <w:r>
          <w:rPr>
            <w:color w:val="1155CC"/>
            <w:u w:val="single"/>
          </w:rPr>
          <w:t>10.1002/adma.74578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其化学稳定性，固体塑料废物的直接催化升级回收具有挑战性，并且现有的转化路线通常需要恶劣的条件或昂贵的催化剂。在这里，我们开发了一种循环塑料到催化剂到产品的策略，将废弃的聚对苯二甲酸乙二醇酯（PET）瓶转化为微波响应复合催化剂，用于微波辅助催化塑料升级回收。首先，微波辅助 PET 解聚和 Ni-MOF 纳米棒结晶产生丰富的缺失簇缺陷，这些缺陷在热解过程中继承为晶格扭曲的 Ni 纳米核和封装在有缺陷的碳壳 (Ni@C) 内的边缘位错。这些富含应变的Ni─C异质界面增强了微波辐射下的介电损耗和界面极化，促进了催化剂-塑料接触处的局部微波能量耗散，并加速了过一硫酸盐（PMS）的活化。微波热化学耦合 PMS 活化在氧化官能化之前引发高密度聚乙烯 (HDPE) 颗粒中的聚合物链无序、夺氢和 C─C 键断裂，使其比氧化主导的水热加热更有效。光谱和应变图分析表明，富含位错的镍核和碳缺陷控制微波能量耗散，从而控制催化氧化反应性。优化的 Ni@C 催化剂可实现高达 96% 的 HDPE 降解，并将产品转化为有价值的液态烃和含氧化合物，且植物毒性有限。总体而言，这项工作整合了</w:t>
      </w:r>
    </w:p>
    <w:p>
      <w:pPr>
        <w:spacing w:before="0" w:after="200" w:lineRule="auto" w:line="276"/>
      </w:pPr>
      <w:r>
        <w:rPr>
          <w:b/>
        </w:rPr>
        <w:t xml:space="preserve">Abstract (EN): </w:t>
      </w:r>
      <w:r>
        <w:t>Direct catalytic upcycling of solid plastic waste is challenging owing to its chemical robustness, and existing conversion routes often require harsh conditions or costly catalysts. Here, we develop a circular plastic‐to‐catalyst‐to‐product strategy converting waste poly(ethylene terephthalate) (PET) bottles into a microwave‐responsive composite catalyst for microwave‐assisted catalytic plastic upcycling. First, microwave‐assisted PET depolymerization and Ni‐MOF nanorod crystallization generate abundant missing‐cluster defects, inherited during pyrolysis as lattice‐distorted Ni nano‐cores and edge dislocations encapsulated within a defective carbon shell (Ni@C). These strain‐rich Ni─C heterointerfaces enhance dielectric loss and interfacial polarization under microwave irradiation, promoting local microwave energy dissipation at catalyst‐plastic contacts and accelerating peroxymonosulfate (PMS) activation. Coupled microwave‐thermal‐chemical PMS activation initiates polymer‐chain disordering, hydrogen abstraction, and C─C bond scission in high‐density polyethylene (HDPE) particles before oxidative functionalization, making it more efficient than oxidation‐dominated hydrothermal heating. Spectroscopic and strain‐mapping analyses reveal that dislocation‐rich Ni cores and carbon defects govern microwave energy dissipation and thus catalytic oxidation reactivity. The optimized Ni@C catalyst achieves up to 96% degradation of HDPE and converts products into valuable liquid hydrocarbons and oxygenates with limited phytotoxicity. Overall, this work integrates waste‐derived catalyst design with microwave‐assisted plastic conversion, offering a route toward circular plastic upcycling and carbon recovery.</w:t>
      </w:r>
    </w:p>
    <w:p>
      <w:pPr>
        <w:spacing w:before="120" w:after="120"/>
      </w:pPr>
      <w:r>
        <w:rPr>
          <w:sz w:val="18"/>
        </w:rPr>
        <w:t>——————————————————————————————————————————————————————————————————————</w:t>
      </w:r>
    </w:p>
    <w:p>
      <w:pPr>
        <w:spacing w:before="160" w:after="40" w:line="240" w:lineRule="auto"/>
      </w:pPr>
      <w:r>
        <w:rPr>
          <w:b/>
        </w:rPr>
        <w:t xml:space="preserve">[13] </w:t>
      </w:r>
      <w:hyperlink r:id="rId601">
        <w:r>
          <w:rPr>
            <w:color w:val="1155CC"/>
            <w:u w:val="single"/>
          </w:rPr>
          <w:t>动态 Diels-Alder 化学研究可降解和双闭环可回收聚烯烃</w:t>
        </w:r>
      </w:hyperlink>
    </w:p>
    <w:p>
      <w:pPr>
        <w:spacing w:before="0" w:after="80"/>
      </w:pPr>
      <w:r>
        <w:rPr>
          <w:i/>
          <w:sz w:val="20"/>
        </w:rPr>
        <w:t>EN: Dynamic Diels–Alder Chemistry Toward Degradable and Dual Closed‐Loop Recyclable Polyolefins</w:t>
      </w:r>
    </w:p>
    <w:p>
      <w:pPr>
        <w:spacing w:before="0" w:after="120"/>
      </w:pPr>
      <w:r>
        <w:rPr>
          <w:b/>
        </w:rPr>
        <w:t xml:space="preserve">Source: </w:t>
      </w:r>
      <w:r>
        <w:t>Wiley: Angewandte Chemie International Edition: Table of Contents</w:t>
      </w:r>
      <w:r>
        <w:t xml:space="preserve">    </w:t>
      </w:r>
      <w:r>
        <w:rPr>
          <w:b/>
        </w:rPr>
        <w:t xml:space="preserve">Pub date: </w:t>
      </w:r>
      <w:r>
        <w:t>2026-08-12 17:00:20+00:00</w:t>
      </w:r>
      <w:r>
        <w:t xml:space="preserve">    </w:t>
      </w:r>
      <w:r>
        <w:rPr>
          <w:b/>
        </w:rPr>
        <w:t xml:space="preserve">DOI: </w:t>
      </w:r>
      <w:hyperlink r:id="rId602">
        <w:r>
          <w:rPr>
            <w:color w:val="1155CC"/>
            <w:u w:val="single"/>
          </w:rPr>
          <w:t>10.1002/anie.3700101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塑料对现代社会至关重要，但全球塑料生产的快速扩张创造了对可回收聚合物的需求，以解决机械回收固有局限性造成的环境污染问题。在此，通过利用动态狄尔斯-阿尔德（DA）共价化学来构建可降解和双重可回收的聚烯烃，开发了一种简便的策略。这些聚合物可以通过良好控制的开环易位聚合（ROMP）从含蒽环状单体轻松合成。通过调节单体进料比，可以精确定制所得共聚物的共聚单体含量和分子量，从而调节聚合物的机械和热性能。聚合物主链内的可逆DA键使共聚物能够进行光触发的逆DA降解，生成分子量低20倍的蒽封端低聚物，该低聚物可以定量再二聚以实现闭环回收。此外，这些环状单体可以通过 ROMP 直接均聚，产生结构均匀的高分子量均聚物，具有良好的光降解和光回收性能。通过整合可逆光化学DA降解和Ru催化烯烃复分解解聚，构建双回收平台，实现高分子材料的高效闭环回收。这项工作为高性能、可持续聚合物材料的合理设计和制造提供了一种通用策略</w:t>
      </w:r>
    </w:p>
    <w:p>
      <w:pPr>
        <w:spacing w:before="0" w:after="200" w:lineRule="auto" w:line="276"/>
      </w:pPr>
      <w:r>
        <w:rPr>
          <w:b/>
        </w:rPr>
        <w:t xml:space="preserve">Abstract (EN): </w:t>
      </w:r>
      <w:r>
        <w:t>Plastics are vital to modern society, yet the rapid expansion of global plastic production has created demand for recyclable polymers to address environmental pollution caused by the inherent limitations of mechanical recycling. Herein, a facile strategy was developed by leveraging dynamic Diels–Alder (DA) covalent chemistry to construct degradable and dual‐recyclable polyolefins. These polymers can be readily synthesized from anthracene‐containing cyclic monomers through well‐controlled ring‐opening metathesis polymerization (ROMP). The comonomer content and molecular weight of the resulting copolymers can be precisely tailored by adjusting the monomer feed ratio, enabling modulation of the polymers’ mechanical and thermal properties. Reversible DA bonds within the polymer backbone enabled the copolymers to undergo phototriggered retro‐DA degradation to generate anthracene‐terminated oligomers with 20‐fold lower molecular weights, which could be quantitatively redimerized to achieve closed‐loop recycling. Furthermore, these cyclic monomers could be directly homopolymerized via ROMP to yield structurally uniform, high‐molecular‐weight homopolymers with great photodegradation and photo‐recycling properties. By integrating reversible photochemical DA degradation and Ru‐catalyzed olefin metathesis depolymerization, a dual‐recycling platform was constructed to realize efficient closed‐loop recycling of polymeric materials. This work provides a versatile strategy for the rational design and fabrication of high‐performance, sustainable polymeric materials.</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603">
        <w:r>
          <w:rPr>
            <w:color w:val="1155CC"/>
            <w:u w:val="single"/>
          </w:rPr>
          <w:t>消费者什么时候会因可变电价而蒙受损失？</w:t>
        </w:r>
      </w:hyperlink>
    </w:p>
    <w:p>
      <w:pPr>
        <w:spacing w:before="0" w:after="80"/>
      </w:pPr>
      <w:r>
        <w:rPr>
          <w:i/>
          <w:sz w:val="20"/>
        </w:rPr>
        <w:t>EN: When do consumers lose from variable electricity pricing?</w:t>
      </w:r>
    </w:p>
    <w:p>
      <w:pPr>
        <w:spacing w:before="0" w:after="120"/>
      </w:pPr>
      <w:r>
        <w:rPr>
          <w:b/>
        </w:rPr>
        <w:t xml:space="preserve">Source: </w:t>
      </w:r>
      <w:r>
        <w:t>ScienceDirect Publication: Energy Policy</w:t>
      </w:r>
      <w:r>
        <w:t xml:space="preserve">    </w:t>
      </w:r>
      <w:r>
        <w:rPr>
          <w:b/>
        </w:rPr>
        <w:t xml:space="preserve">Pub date: </w:t>
      </w:r>
      <w:r>
        <w:t>2026-08-07 00:00:00+00:00</w:t>
      </w:r>
      <w:r>
        <w:t xml:space="preserve">    </w:t>
      </w:r>
      <w:r>
        <w:rPr>
          <w:b/>
        </w:rPr>
        <w:t xml:space="preserve">DOI: </w:t>
      </w:r>
      <w:hyperlink r:id="rId604">
        <w:r>
          <w:rPr>
            <w:color w:val="1155CC"/>
            <w:u w:val="single"/>
          </w:rPr>
          <w:t>10.1016/j.enpol.2026.115474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605">
        <w:r>
          <w:rPr>
            <w:color w:val="1155CC"/>
            <w:u w:val="single"/>
          </w:rPr>
          <w:t>维生素 B12 通过磷脂重塑缓解剪接病</w:t>
        </w:r>
      </w:hyperlink>
    </w:p>
    <w:p>
      <w:pPr>
        <w:spacing w:before="0" w:after="80"/>
      </w:pPr>
      <w:r>
        <w:rPr>
          <w:i/>
          <w:sz w:val="20"/>
        </w:rPr>
        <w:t>EN: Vitamin B12 alleviates spliceosomopathy via phospholipid remodeling</w:t>
      </w:r>
    </w:p>
    <w:p>
      <w:pPr>
        <w:spacing w:before="0" w:after="120"/>
      </w:pPr>
      <w:r>
        <w:rPr>
          <w:b/>
        </w:rPr>
        <w:t xml:space="preserve">Source: </w:t>
      </w:r>
      <w:r>
        <w:t>Biological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mRNA 剪接代表基因调控的基本水平，可改变蛋白质组多样性和细胞状态。它的功能障碍可以深刻地重新连接新陈代谢，但潜在的机制仍然难以捉摸。在这里，我们使用秀丽隐杆线虫模型、人类细胞系和患者来源的样本研究了由核心剪接因子 PUF60 突变引起的 Verheij 综合征。我们证明，RNP-6/PUF60 缺陷会破坏控制一碳代谢和磷脂重塑的基因剪接，损害 S-腺苷甲硫氨酸/S-腺苷高半胱氨酸循环和磷脂酰胆碱合成。这些扰动会触发综合应激反应并损害 mTORC1 信号传导，导致发育生长缺陷。补充维生素 B12 通过重新激活 S-腺苷甲硫氨酸依赖性磷脂重塑和 mTORC1 活性来恢复代谢平衡，有效挽救 Verheij 样表型。干扰另一个剪接因子 PRP-19 也会产生类似的反应。从机制上讲，nhr-114/HNF4转录因子的内含子保留驱动了这些表型，而恢复其剪接则拯救了它们。我们的研究结果表明维生素 B12 依赖性一碳代谢作为一种代谢调节剂，具有减轻 Verheij 综合征和其他剪接病的治疗潜力。</w:t>
      </w:r>
    </w:p>
    <w:p>
      <w:pPr>
        <w:spacing w:before="0" w:after="200" w:lineRule="auto" w:line="276"/>
      </w:pPr>
      <w:r>
        <w:rPr>
          <w:b/>
        </w:rPr>
        <w:t xml:space="preserve">Abstract (EN): </w:t>
      </w:r>
      <w:r>
        <w:t>mRNA splicing represents a fundamental level of gene regulation that alters proteomic diversity and cellular state. Its dysfunction can profoundly rewire metabolism, yet underlying mechanisms remain elusive. Here, we investigate Verheij syndrome, caused by mutations in core splicing factor PUF60, using a Caenorhabditis elegans model, human cell lines, and patient-derived samples. We demonstrate that RNP-6/PUF60 deficiency disrupts splicing of genes governing one-carbon metabolism and phospholipid remodeling, impairing S-adenosylmethionine/S-adenosylhomocysteine cycling and phosphatidylcholine synthesis. These perturbations trigger the integrated stress response and compromise mTORC1 signaling, causing developmental growth defects. Vitamin B12 supplementation restores metabolic balance by reactivating S-adenosylmethionine-dependent phospholipid remodeling and mTORC1 activity, effectively rescuing Verheij-like phenotypes. Similar responses arise from perturbing another splicing factor, PRP-19. Mechanistically, intron retention of nhr-114/HNF4 transcription factor drives these phenotypes, while restoring its splicing rescues them. Our findings implicate vitamin B12-dependent one-carbon metabolism as a metabolic modulator with therapeutic potential to mitigate Verheij syndrome and other spliceosomopathies.</w:t>
      </w:r>
    </w:p>
    <w:p>
      <w:pPr>
        <w:spacing w:before="120" w:after="120"/>
      </w:pPr>
      <w:r>
        <w:rPr>
          <w:sz w:val="18"/>
        </w:rPr>
        <w:t>——————————————————————————————————————————————————————————————————————</w:t>
      </w:r>
    </w:p>
    <w:p>
      <w:pPr>
        <w:spacing w:before="160" w:after="40" w:line="240" w:lineRule="auto"/>
      </w:pPr>
      <w:r>
        <w:rPr>
          <w:b/>
        </w:rPr>
        <w:t xml:space="preserve">[3] </w:t>
      </w:r>
      <w:hyperlink r:id="rId606">
        <w:r>
          <w:rPr>
            <w:color w:val="1155CC"/>
            <w:u w:val="single"/>
          </w:rPr>
          <w:t>通过单纳米管图案化实现亚 10 nm 范围内交换偏压的电控制</w:t>
        </w:r>
      </w:hyperlink>
    </w:p>
    <w:p>
      <w:pPr>
        <w:spacing w:before="0" w:after="80"/>
      </w:pPr>
      <w:r>
        <w:rPr>
          <w:i/>
          <w:sz w:val="20"/>
        </w:rPr>
        <w:t>EN: Electrical control of exchange bias in sub-10 nm regime enabled by single-nanotube patterning</w:t>
      </w:r>
    </w:p>
    <w:p>
      <w:pPr>
        <w:spacing w:before="0" w:after="120"/>
      </w:pPr>
      <w:r>
        <w:rPr>
          <w:b/>
        </w:rPr>
        <w:t xml:space="preserve">Source: </w:t>
      </w:r>
      <w:r>
        <w:t>Physical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在亚 10 nm 铁磁层中实现稳定磁化是自旋轨道扭矩磁性随机存取存储器开发的基本瓶颈。虽然交换偏置可能通过反铁磁耦合在这种尺度上提供稳定性，但传统光刻从根本上限制了纳米级验证。在这里，我们引入了一种无需光刻的纳米图案化策略，利用单个碳纳米管作为蚀刻模板，从而能够精确制造从数十纳米到个位数尺寸的交换偏向异质结构。在垂直磁化的 Pt/Co/IrMn 堆栈中，即使在亚 10 nm 范围内，我们也展示了强大的交换偏置持久性，并通过反常霍尔效应测量确认了有效的自旋轨道扭矩切换。至关重要的是，缩放揭示了不同的切换机制：钴层从多域过渡到突然的单域反转，而交换偏置切换在不同尺寸之间保持一致的渐进特性 - 表明通过交换弹簧动力学进行集体反铁磁矩重新定向。这项工作实现了亚 10 nm 特征的物理图案化，以实现交换偏置稳定，提供了对纳米级磁开关的机械见解，并建立了一条通向高密度自旋电子存储器的可行途径。</w:t>
      </w:r>
    </w:p>
    <w:p>
      <w:pPr>
        <w:spacing w:before="0" w:after="200" w:lineRule="auto" w:line="276"/>
      </w:pPr>
      <w:r>
        <w:rPr>
          <w:b/>
        </w:rPr>
        <w:t xml:space="preserve">Abstract (EN): </w:t>
      </w:r>
      <w:r>
        <w:t>Achieving stable magnetization in sub-10 nm ferromagnetic layers represents a fundamental bottleneck in spin-orbit torque magnetic random-access memory development. While exchange bias potentially offers stabilization at such scales through antiferromagnetic coupling, conventional lithography fundamentally limits nanoscale verification. Here, we introduce a lithography-free nanopatterning strategy exploiting individual carbon nanotubes as etching templates, enabling precise fabrication of exchange-biased heterostructures from tens of nanometers down to single-digit dimensions. In perpendicularly magnetized Pt/Co/IrMn stacks, we demonstrate robust exchange bias persistence even at sub-10 nm regimes and confirm effective spin-orbit torque switching through anomalous Hall effect measurements. Crucially, scaling reveals divergent switching mechanisms: Cobalt layers transition from multi-domain to abrupt single-domain reversal, while exchange bias switching maintains gradual characteristics consistent across sizes – indicating collective antiferromagnetic moment reorientation via exchange-spring dynamics. This work enables the physical patterning of sub-10 nm features for exchange bias stabilization, provides mechanistic insights into nanoscale magnetic switching, and establishes a viable pathway toward high-density spintronic memories.</w:t>
      </w:r>
    </w:p>
    <w:p>
      <w:pPr>
        <w:spacing w:before="120" w:after="120"/>
      </w:pPr>
      <w:r>
        <w:rPr>
          <w:sz w:val="18"/>
        </w:rPr>
        <w:t>——————————————————————————————————————————————————————————————————————</w:t>
      </w:r>
    </w:p>
    <w:p>
      <w:pPr>
        <w:spacing w:before="160" w:after="40" w:line="240" w:lineRule="auto"/>
      </w:pPr>
      <w:r>
        <w:rPr>
          <w:b/>
        </w:rPr>
        <w:t xml:space="preserve">[4] </w:t>
      </w:r>
      <w:hyperlink r:id="rId607">
        <w:r>
          <w:rPr>
            <w:color w:val="1155CC"/>
            <w:u w:val="single"/>
          </w:rPr>
          <w:t>交替晶格中的巨大负光磁性</w:t>
        </w:r>
      </w:hyperlink>
    </w:p>
    <w:p>
      <w:pPr>
        <w:spacing w:before="0" w:after="80"/>
      </w:pPr>
      <w:r>
        <w:rPr>
          <w:i/>
          <w:sz w:val="20"/>
        </w:rPr>
        <w:t>EN: Giant negative photomagnetism in an alterlattice</w:t>
      </w:r>
    </w:p>
    <w:p>
      <w:pPr>
        <w:spacing w:before="0" w:after="120"/>
      </w:pPr>
      <w:r>
        <w:rPr>
          <w:b/>
        </w:rPr>
        <w:t xml:space="preserve">Source: </w:t>
      </w:r>
      <w:r>
        <w:t>Physical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光磁性能够对工程非平衡相的自旋顺序进行光学控制，但研究仍然主要局限于铁磁系统。在这里，我们介绍了交替晶格，这是在缺乏阳离子和阴离子的钙钛矿氧化物 La0.4Ca0.4TiO3-δ 中实现的一种新兴结构图案。交替晶格是由结构竞争产生的三维交替图案的上层结构网络，其中平均晶格由Ibmm对称性描述，而局部上层结构向Cmmm对称性弛豫。在该基序中，光诱导的反铁磁相关性在 19 K 以下发展。在 473 nm 照明下，交替晶格主体的磁化率在 2 K 和 1 T 下降低 51.7%，并在黑暗中迅速恢复。观察到的巨大负光磁性与引导缺陷介导的光载流子传输的各向异性应变场相关，从而驱动系统从自旋稀顺磁态转向具有准一维特性的短程反铁磁态。交替晶格为非平衡相和反铁磁自旋电子学的三维缺陷拓扑工程开辟了一条道路。</w:t>
      </w:r>
    </w:p>
    <w:p>
      <w:pPr>
        <w:spacing w:before="0" w:after="200" w:lineRule="auto" w:line="276"/>
      </w:pPr>
      <w:r>
        <w:rPr>
          <w:b/>
        </w:rPr>
        <w:t xml:space="preserve">Abstract (EN): </w:t>
      </w:r>
      <w:r>
        <w:t>Photomagnetism enables optical control of spin order for engineering non-equilibrium phases, yet studies remain largely confined to ferromagnetic systems. Here, we introduce the alterlattice, an emergent structural motif realized in the cation- and anion-deficient perovskite oxide La0.4Ca0.4TiO3–δ. The alterlattice is a three-dimensional alternately patterned superstructural network arising from structural competition, in which average lattice is described by Ibmm symmetry while local superstructure relaxes toward Cmmm symmetry. Within this motif, photo-induced antiferromagnetic correlations develop below 19 K. Under 473 nm illumination, the susceptibility of the alterlattice host decreases by 51.7% at 2 K and 1 T and rapidly recovers in the dark. The observed giant negative photomagnetism is associated with anisotropic strain fields that guide defect-mediated photocarrier transport, thereby driving the system from a spin-dilute paramagnetic state toward a short-range antiferromagnetic state with quasi-one-dimensional characteristics. The alterlattice opens a route to three-dimensional defect-topology engineering for non-equilibrium phases and antiferromagnetic spintronics.</w:t>
      </w:r>
    </w:p>
    <w:p>
      <w:pPr>
        <w:spacing w:before="120" w:after="120"/>
      </w:pPr>
      <w:r>
        <w:rPr>
          <w:sz w:val="18"/>
        </w:rPr>
        <w:t>——————————————————————————————————————————————————————————————————————</w:t>
      </w:r>
    </w:p>
    <w:p>
      <w:pPr>
        <w:spacing w:before="160" w:after="40" w:line="240" w:lineRule="auto"/>
      </w:pPr>
      <w:r>
        <w:rPr>
          <w:b/>
        </w:rPr>
        <w:t xml:space="preserve">[5] </w:t>
      </w:r>
      <w:hyperlink r:id="rId608">
        <w:r>
          <w:rPr>
            <w:color w:val="1155CC"/>
            <w:u w:val="single"/>
          </w:rPr>
          <w:t>具有可调圆锥几何形状的非球面光纤微透镜的确定性湿法蚀刻，可实现定制的光学功能</w:t>
        </w:r>
      </w:hyperlink>
    </w:p>
    <w:p>
      <w:pPr>
        <w:spacing w:before="0" w:after="80"/>
      </w:pPr>
      <w:r>
        <w:rPr>
          <w:i/>
          <w:sz w:val="20"/>
        </w:rPr>
        <w:t>EN: Deterministic wet etching of aspheric fiber microlenses with tunable conic geometry for tailored optical functionality</w:t>
      </w:r>
    </w:p>
    <w:p>
      <w:pPr>
        <w:spacing w:before="0" w:after="120"/>
      </w:pPr>
      <w:r>
        <w:rPr>
          <w:b/>
        </w:rPr>
        <w:t xml:space="preserve">Source: </w:t>
      </w:r>
      <w:r>
        <w:t>Physical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引导光纤模式与周围介质中的辐射场之间的有效耦合仍然是光子学、传感和生物光子学的基本限制。微透镜光纤提供了一种有前途的解决方案，但具有可预测的几何形状和确定性光学性能的可扩展制造仍然难以实现。在这里，我们介绍激光控制湿化学蚀刻（LCWCE），这是一种单参数策略，可在标准光纤上直接雕刻微透镜，从双曲线到抛物线和长椭圆形轮廓。局部激光照明建立了轴向限制的蚀刻速率梯度，从而能够对曲率和工作距离进行亚微米控制，而与光纤类型或内部结构无关。物理分离的多物理场框架结合了波动光学、传热和温度相关的蚀刻动力学，捕获了观察到的几何演化并验证了潜在的机制。 LCWCE 能够实现毫瓦级、基于最小功率光纤的光学捕获，以及微创体内树突检测和活体大脑中超过 1.5 毫米深度的单细胞神经询问，将无处不在的光纤转变为可扩展的高性能光子探针。</w:t>
      </w:r>
    </w:p>
    <w:p>
      <w:pPr>
        <w:spacing w:before="0" w:after="200" w:lineRule="auto" w:line="276"/>
      </w:pPr>
      <w:r>
        <w:rPr>
          <w:b/>
        </w:rPr>
        <w:t xml:space="preserve">Abstract (EN): </w:t>
      </w:r>
      <w:r>
        <w:t>Efficient coupling between guided optical fiber modes and radiated fields in the surrounding medium remains a fundamental limitation across photonics, sensing, and biophotonics. Micro-lensed fibers offer a promising solution, yet scalable fabrication with predictable geometry and deterministic optical performance has remained elusive. Here, we introduce laser-controlled wet-chemical etching (LCWCE), a single-parameter strategy that directly sculpts micro-lenses, from hyperbolic to parabolic and prolate elliptical profiles, on standard optical fibers. Local laser illumination establishes an axially confined etching-rate gradient, enabling sub-micrometer control of curvature and working distance independent of fiber type or internal structure. A physics-separated multiphysics framework combining wave optics, heat-transfer, and temperature-dependent etching kinetics captures the observed geometry evolution and validates the underlying mechanism. LCWCE enables milliwatt-scale, minimal-power fiber-based optical trapping, as well as minimally invasive in vivo dendritic detection and single-cell neural interrogation beyond 1.5 mm depth in live brains, transforming ubiquitous optical fibers into scalable, high-performance photonic probes.</w:t>
      </w:r>
    </w:p>
    <w:p>
      <w:pPr>
        <w:spacing w:before="120" w:after="120"/>
      </w:pPr>
      <w:r>
        <w:rPr>
          <w:sz w:val="18"/>
        </w:rPr>
        <w:t>——————————————————————————————————————————————————————————————————————</w:t>
      </w:r>
    </w:p>
    <w:p>
      <w:pPr>
        <w:spacing w:before="160" w:after="40" w:line="240" w:lineRule="auto"/>
      </w:pPr>
      <w:r>
        <w:rPr>
          <w:b/>
        </w:rPr>
        <w:t xml:space="preserve">[6] </w:t>
      </w:r>
      <w:hyperlink r:id="rId609">
        <w:r>
          <w:rPr>
            <w:color w:val="1155CC"/>
            <w:u w:val="single"/>
          </w:rPr>
          <w:t>使用结构化表面的卧镜</w:t>
        </w:r>
      </w:hyperlink>
    </w:p>
    <w:p>
      <w:pPr>
        <w:spacing w:before="0" w:after="80"/>
      </w:pPr>
      <w:r>
        <w:rPr>
          <w:i/>
          <w:sz w:val="20"/>
        </w:rPr>
        <w:t>EN: Lying mirror using structured surfaces</w:t>
      </w:r>
    </w:p>
    <w:p>
      <w:pPr>
        <w:spacing w:before="0" w:after="120"/>
      </w:pPr>
      <w:r>
        <w:rPr>
          <w:b/>
        </w:rPr>
        <w:t xml:space="preserve">Source: </w:t>
      </w:r>
      <w:r>
        <w:t>Physical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我们引入了一种全光学系统，称为“说谎镜”，通过将输入信息转换为误导性的、看似普通的图案来隐藏输入信息，从而有效地伪装底层图像数据并欺骗观察者。这种误导性的转换是通过入射光与优化的结构化衍射表面的被动光-物质相互作用来实现的，从而无需任何数字计算即可光学隐藏任何形式的秘密输入数据。这些卧镜设计被证明可以伪装不同类型的输入图像数据，表现出针对一系列对抗性操作的鲁棒性，包括随机图像噪声以及对象特征的未知、随机旋转、移位和缩放。还使用结构化微镜阵列和 480、550 和 600 nm 的多波长照明（覆盖蓝色、绿色和红色图像通道）对卧镜概念的可行性进行了实验验证。此外，我们创建了一种在连续光谱范围内工作的宽带卧镜，增强了其在不同照明条件下的适应性。该框架展示了结构化衍射表面在视觉信息处理中的强大功能，并可能在国防、安全和军事领域找到各种应用。娱乐。</w:t>
      </w:r>
    </w:p>
    <w:p>
      <w:pPr>
        <w:spacing w:before="0" w:after="200" w:lineRule="auto" w:line="276"/>
      </w:pPr>
      <w:r>
        <w:rPr>
          <w:b/>
        </w:rPr>
        <w:t xml:space="preserve">Abstract (EN): </w:t>
      </w:r>
      <w:r>
        <w:t>We introduce an all-optical system, termed the “lying mirror”, to hide input information by transforming it into misleading, ordinary-looking patterns that effectively camouflage the underlying image data and deceive the observers. This misleading transformation is achieved through passive light-matter interactions of the incident light with an optimized structured diffractive surface, enabling the optical concealment of any form of secret input data without any digital computing. These lying mirror designs were shown to camouflage different types of input image data, exhibiting robustness against a range of adversarial manipulations, including random image noise as well as unknown, random rotations, shifts, and scaling of the object features. The feasibility of the lying mirror concept was also validated experimentally using a structured micro-mirror array along with multi-wavelength illumination at 480, 550 and 600 nm" role="presentation"&gt;nm{nm}, covering the blue, green and red image channels. Furthermore, we created a broadband lying mirror that operates across a continuous spectral range, enhancing its adaptability under diverse illumination conditions. This framework showcases the power of structured diffractive surfaces for visual information processing and might find various applications in defense, security and entertainment.</w:t>
      </w:r>
    </w:p>
    <w:p>
      <w:pPr>
        <w:spacing w:before="120" w:after="120"/>
      </w:pPr>
      <w:r>
        <w:rPr>
          <w:sz w:val="18"/>
        </w:rPr>
        <w:t>——————————————————————————————————————————————————————————————————————</w:t>
      </w:r>
    </w:p>
    <w:p>
      <w:pPr>
        <w:spacing w:before="160" w:after="40" w:line="240" w:lineRule="auto"/>
      </w:pPr>
      <w:r>
        <w:rPr>
          <w:b/>
        </w:rPr>
        <w:t xml:space="preserve">[7] </w:t>
      </w:r>
      <w:hyperlink r:id="rId610">
        <w:r>
          <w:rPr>
            <w:color w:val="1155CC"/>
            <w:u w:val="single"/>
          </w:rPr>
          <w:t>热应激促进前 tRNA 加帽以调节酿酒酵母中帽依赖性翻译</w:t>
        </w:r>
      </w:hyperlink>
    </w:p>
    <w:p>
      <w:pPr>
        <w:spacing w:before="0" w:after="80"/>
      </w:pPr>
      <w:r>
        <w:rPr>
          <w:i/>
          <w:sz w:val="20"/>
        </w:rPr>
        <w:t>EN: Heat stress promotes pre-tRNA capping to modulate cap-dependent translation in Saccharomyces cerevisiae</w:t>
      </w:r>
    </w:p>
    <w:p>
      <w:pPr>
        <w:spacing w:before="0" w:after="120"/>
      </w:pPr>
      <w:r>
        <w:rPr>
          <w:b/>
        </w:rPr>
        <w:t xml:space="preserve">Source: </w:t>
      </w:r>
      <w:r>
        <w:t>Biological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甲基鸟苷加帽是 RNA 聚合酶 II 转录物 5' 末端的转录后修饰，影响 RNA 功能、稳定性和蛋白质合成。此前，我们鉴定了酿酒酵母中 RNA 聚合酶 III 转录的特定转移 RNA (tRNA) 前体 (pre-tRNA) 中的帽子修饰，并证明 pre-tRNA 加帽可防止前 tRNA 的 5' 核酸外切降解。在此，我们全面绘制了 tRNA 前体加帽图谱，发现几乎所有 tRNA 前体都经历了帽修饰。该分析能够精确确定所有 tRNA 基因的转录起始位点，并且加帽效率受到前 tRNA 的 5' 前导序列和 3' 尾序列之间的碱基配对概率的强烈影响。此外，前 tRNA 加帽在热应激下显着上调，产生加帽的前 tRNA 衍生片段。加帽前 tRNA 通过隔离真核起始因子 4E (eIF4E) 来调节帽依赖性翻译。总体而言，这些研究结果表明，前 tRNA 加帽有助于在酿酒酵母热应激条件下调节帽子依赖性翻译。</w:t>
      </w:r>
    </w:p>
    <w:p>
      <w:pPr>
        <w:spacing w:before="0" w:after="200" w:lineRule="auto" w:line="276"/>
      </w:pPr>
      <w:r>
        <w:rPr>
          <w:b/>
        </w:rPr>
        <w:t xml:space="preserve">Abstract (EN): </w:t>
      </w:r>
      <w:r>
        <w:t>Methylguanosine capping, a post-transcriptional modification of the 5′ terminus of RNA polymerase II transcripts, influences RNA function, stability, and protein synthesis. Previously, we identified the cap modification in specific transfer RNA (tRNA) precursors (pre-tRNAs) transcribed by RNA polymerase III in Saccharomyces cerevisiae, and demonstrated that pre-tRNA capping prevents 5′ exonucleolytic degradation of pre-tRNAs. Herein, we comprehensively mapped pre-tRNA capping and found that nearly all pre-tRNAs undergo cap modification. This analysis enabled precise determination of transcription start sites for all tRNA genes, and the capping efficiency was strongly influenced by the base-pairing probability between 5′ leaders and 3′ trailers of pre-tRNAs. Furthermore, pre-tRNA capping was significantly upregulated under heat stress, resulting in capped pre-tRNA-derived fragments. Capped pre-tRNAs modulated cap-dependent translation by sequestering eukaryotic initiation factor 4E (eIF4E). Overall, these findings suggest that pre-tRNA capping contributes to the regulation of cap-dependent translation under heat stress conditions in Saccharomyces cerevisiae.</w:t>
      </w:r>
    </w:p>
    <w:p>
      <w:pPr>
        <w:spacing w:before="120" w:after="120"/>
      </w:pPr>
      <w:r>
        <w:rPr>
          <w:sz w:val="18"/>
        </w:rPr>
        <w:t>——————————————————————————————————————————————————————————————————————</w:t>
      </w:r>
    </w:p>
    <w:p>
      <w:pPr>
        <w:spacing w:before="160" w:after="40" w:line="240" w:lineRule="auto"/>
      </w:pPr>
      <w:r>
        <w:rPr>
          <w:b/>
        </w:rPr>
        <w:t xml:space="preserve">[8] </w:t>
      </w:r>
      <w:hyperlink r:id="rId611">
        <w:r>
          <w:rPr>
            <w:color w:val="1155CC"/>
            <w:u w:val="single"/>
          </w:rPr>
          <w:t>海流涡轮机的长期部署：生物污垢对性能下降、缓解策略和技术经济影响的影响综述</w:t>
        </w:r>
      </w:hyperlink>
    </w:p>
    <w:p>
      <w:pPr>
        <w:spacing w:before="0" w:after="80"/>
      </w:pPr>
      <w:r>
        <w:rPr>
          <w:i/>
          <w:sz w:val="20"/>
        </w:rPr>
        <w:t>EN: Long-term deployment of marine current turbines: a review of biofouling effects on performance degradation, mitigation strategies and techno-economic impacts</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612">
        <w:r>
          <w:rPr>
            <w:color w:val="1155CC"/>
            <w:u w:val="single"/>
          </w:rPr>
          <w:t>10.1016/j.apenergy.2026.128574</w:t>
        </w:r>
      </w:hyperlink>
    </w:p>
    <w:p>
      <w:pPr>
        <w:spacing w:before="0" w:after="120"/>
      </w:pPr>
      <w:r>
        <w:rPr>
          <w:b/>
        </w:rPr>
        <w:t xml:space="preserve">Notes: </w:t>
      </w:r>
      <w:r>
        <w:t>abstract_source=openalex</w:t>
      </w:r>
    </w:p>
    <w:p>
      <w:pPr>
        <w:spacing w:before="0" w:after="80" w:lineRule="auto" w:line="276"/>
      </w:pPr>
      <w:r>
        <w:rPr>
          <w:b/>
        </w:rPr>
        <w:t xml:space="preserve">摘要（ZH）: </w:t>
      </w:r>
      <w:r>
        <w:t>海洋流涡轮机（MCT）是一种很有前途的可预测可再生能源发电技术，但其长期性能受到恶劣海洋环境的显着影响。在各种降解机制中，生物污垢是最关键的机制之一，因为它会增加表面粗糙度，改变水动力载荷，降低能量转换效率，并增加运营和维护成本。本综述通过综合流体动力学、生物、操作和技术经济角度，批判性地研究了生物污垢对 MCT 性能的影响。现有的实验、数值和现场研究表明，中度的生物污垢通常会使功率系数降低 10-20%，而严重的自然定殖可能会导致功率损失超过 40%，降解程度取决于污垢形态、涡轮机配置、安装条件和运行策略。系统地讨论了当前缓解方法的有效性和局限性，包括防污和污物释放涂层、自适应叶尖速比控制、清洁计划和特定于组件的维护策略。本次综述的一个关键贡献是确定了特定地点的生物污垢观察、预测生长模型和涡轮机性能评估之间的差距。为了解决这一限制，提出了一个综合框架，该框架结合了局部生物污垢监测、水动力建模和技术经济指标，以支持生命周期绩效评估。分析强调，</w:t>
      </w:r>
    </w:p>
    <w:p>
      <w:pPr>
        <w:spacing w:before="0" w:after="200" w:lineRule="auto" w:line="276"/>
      </w:pPr>
      <w:r>
        <w:rPr>
          <w:b/>
        </w:rPr>
        <w:t xml:space="preserve">Abstract (EN): </w:t>
      </w:r>
      <w:r>
        <w:t>Marine current turbines (MCTs) are a promising technology for predictable renewable energy generation, but their long-term performance is significantly affected by the harsh marine environment. Among the various degradation mechanisms, biofouling is one of the most critical, as it increases surface roughness, modifies hydrodynamic loads, reduces energy conversion efficiency, and raises operation and maintenance costs. This review critically examines the effects of biofouling on MCT performance by integrating hydrodynamic, biological, operational, and techno-economic perspectives. Existing experimental, numerical, and field studies indicate that moderate biofouling typically reduces the power coefficient by 10–20%, while severe natural colonisation may lead to power losses exceeding 40%, with the magnitude of degradation depending on fouling morphology, turbine configuration, installation conditions, and operating strategy. The effectiveness and limitations of current mitigation approaches, including antifouling and foul-release coatings, adaptive tip-speed-ratio control, cleaning schedules, and component-specific maintenance strategies, are systematically discussed. A key contribution of this review is the identification of the gap between site-specific biofouling observations, predictive growth modelling, and turbine performance assessment. To address this limitation, an integrated framework is proposed that combines local biofouling monitoring, hydrodynamic modelling, and techno-economic indicators to support lifecycle performance assessment. The analysis highlights that biofouling should be considered not only as a surface degradation phenomenon but also as a key lifecycle driver influencing turbine design, maintenance planning, annual energy production, and the economic viability of tidal energy systems.</w:t>
      </w:r>
    </w:p>
    <w:p>
      <w:pPr>
        <w:spacing w:before="120" w:after="120"/>
      </w:pPr>
      <w:r>
        <w:rPr>
          <w:sz w:val="18"/>
        </w:rPr>
        <w:t>——————————————————————————————————————————————————————————————————————</w:t>
      </w:r>
    </w:p>
    <w:p>
      <w:pPr>
        <w:spacing w:before="160" w:after="40" w:line="240" w:lineRule="auto"/>
      </w:pPr>
      <w:r>
        <w:rPr>
          <w:b/>
        </w:rPr>
        <w:t xml:space="preserve">[9] </w:t>
      </w:r>
      <w:hyperlink r:id="rId613">
        <w:r>
          <w:rPr>
            <w:color w:val="1155CC"/>
            <w:u w:val="single"/>
          </w:rPr>
          <w:t>通过无监督的潜在解缠对负荷和可再生能源发电概况进行无标记条件合成</w:t>
        </w:r>
      </w:hyperlink>
    </w:p>
    <w:p>
      <w:pPr>
        <w:spacing w:before="0" w:after="80"/>
      </w:pPr>
      <w:r>
        <w:rPr>
          <w:i/>
          <w:sz w:val="20"/>
        </w:rPr>
        <w:t>EN: Label-free conditional synthesis of load and renewable generation profiles via unsupervised latent disentanglement</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614">
        <w:r>
          <w:rPr>
            <w:color w:val="1155CC"/>
            <w:u w:val="single"/>
          </w:rPr>
          <w:t>10.1016/j.apenergy.2026.128617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615">
        <w:r>
          <w:rPr>
            <w:color w:val="1155CC"/>
            <w:u w:val="single"/>
          </w:rPr>
          <w:t>STD-MoE：采用稀疏专家混合的结构化时间序列分解用于光伏发电不确定性预测</w:t>
        </w:r>
      </w:hyperlink>
    </w:p>
    <w:p>
      <w:pPr>
        <w:spacing w:before="0" w:after="80"/>
      </w:pPr>
      <w:r>
        <w:rPr>
          <w:i/>
          <w:sz w:val="20"/>
        </w:rPr>
        <w:t>EN: STD-MoE: Structured time-series decomposition with sparse mixture-of-experts for photovoltaic power uncertainty forecasting</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616">
        <w:r>
          <w:rPr>
            <w:color w:val="1155CC"/>
            <w:u w:val="single"/>
          </w:rPr>
          <w:t>10.1016/j.apenergy.2026.128543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617">
        <w:r>
          <w:rPr>
            <w:color w:val="1155CC"/>
            <w:u w:val="single"/>
          </w:rPr>
          <w:t>基于 Benders 的具有负载损失概率约束的随机容量扩展模型的求解策略</w:t>
        </w:r>
      </w:hyperlink>
    </w:p>
    <w:p>
      <w:pPr>
        <w:spacing w:before="0" w:after="80"/>
      </w:pPr>
      <w:r>
        <w:rPr>
          <w:i/>
          <w:sz w:val="20"/>
        </w:rPr>
        <w:t>EN: Benders-based solution strategies for stochastic capacity expansion models with loss of load probability constraints</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618">
        <w:r>
          <w:rPr>
            <w:color w:val="1155CC"/>
            <w:u w:val="single"/>
          </w:rPr>
          <w:t>10.1016/j.apenergy.2026.128615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619">
        <w:r>
          <w:rPr>
            <w:color w:val="1155CC"/>
            <w:u w:val="single"/>
          </w:rPr>
          <w:t>疟原虫血红素解毒蛋白在线粒体蛋白质合成中发挥作用</w:t>
        </w:r>
      </w:hyperlink>
    </w:p>
    <w:p>
      <w:pPr>
        <w:spacing w:before="0" w:after="80"/>
      </w:pPr>
      <w:r>
        <w:rPr>
          <w:i/>
          <w:sz w:val="20"/>
        </w:rPr>
        <w:t>EN: The Plasmodium heme detoxification protein functions in mitochondrial protein synthesis</w:t>
      </w:r>
    </w:p>
    <w:p>
      <w:pPr>
        <w:spacing w:before="0" w:after="120"/>
      </w:pPr>
      <w:r>
        <w:rPr>
          <w:b/>
        </w:rPr>
        <w:t xml:space="preserve">Source: </w:t>
      </w:r>
      <w:r>
        <w:t>Biological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疟疾血液阶段寄生虫在降解液泡内消化约 80% 的宿主细胞血红蛋白，释放血红素，通过隔离成疟原虫色素晶体来解毒。尽管血红素生物矿化对于生存和有效的药物靶点至关重要，但其机制仍不清楚。在这里，我们研究了寄生虫的血红素解毒蛋白（HDP），之前提出使用遗传、显微镜、生物能和蛋白质组学方法介导疟原虫色素的形成。内源标记显示 HDP 定位于线粒体，而不是消化液泡。 HDP 失活对血红素生物矿化没有影响，但会导致线粒体去极化、氯胍过敏和发育停滞，这是通过绕过呼吸链依赖性嘧啶生物合成来挽救的。 HDP 敲除由于复合物 III 和 IV 的损失而消除了线粒体电子流，这与线粒体蛋白质合成受损一致。结构建模与定量蛋白质组学的整合将 HDP 置于线粒体大亚基内。在这里，我们证明 HDP 对于线粒体功能至关重要，并且不会促进疟原虫色素的形成。</w:t>
      </w:r>
    </w:p>
    <w:p>
      <w:pPr>
        <w:spacing w:before="0" w:after="200" w:lineRule="auto" w:line="276"/>
      </w:pPr>
      <w:r>
        <w:rPr>
          <w:b/>
        </w:rPr>
        <w:t xml:space="preserve">Abstract (EN): </w:t>
      </w:r>
      <w:r>
        <w:t>Malaria blood-stage parasites digest ~80% of host cell hemoglobin within a degradative vacuole, releasing heme that is detoxified by sequestration into hemozoin crystals. Although essential for survival and a validated drug target, the mechanisms of heme biomineralization remain unclear. Here, we study the parasite’s Heme Detoxification Protein (HDP), previously proposed to mediate hemozoin formation, using genetic, microscopic, bioenergetic, and proteomic approaches. Endogenous tagging reveals that HDP localizes to the mitochondrion, not the digestive vacuole. HDP inactivation has no effect on heme biomineralization, but causes mitochondrial depolarization, proguanil hypersensitivity, and developmental arrest, which is rescued by bypassing respiratory-chain-dependent pyrimidine biosynthesis. HDP knockout abolishes mitochondrial electron flow due to loss of complexes III and IV, consistent with impaired mitochondrial protein synthesis. Integration of structural modelling with quantitative proteomics places HDP within the mitoribosomal large subunit. Here, we show that HDP is essential for mitochondrial function and does not contribute to hemozoin formation.</w:t>
      </w:r>
    </w:p>
    <w:p>
      <w:pPr>
        <w:spacing w:before="120" w:after="120"/>
      </w:pPr>
      <w:r>
        <w:rPr>
          <w:sz w:val="18"/>
        </w:rPr>
        <w:t>——————————————————————————————————————————————————————————————————————</w:t>
      </w:r>
    </w:p>
    <w:p>
      <w:pPr>
        <w:spacing w:before="160" w:after="40" w:line="240" w:lineRule="auto"/>
      </w:pPr>
      <w:r>
        <w:rPr>
          <w:b/>
        </w:rPr>
        <w:t xml:space="preserve">[13] </w:t>
      </w:r>
      <w:hyperlink r:id="rId620">
        <w:r>
          <w:rPr>
            <w:color w:val="1155CC"/>
            <w:u w:val="single"/>
          </w:rPr>
          <w:t>CAF 通过 Lin28b-STING 轴塑造胰腺癌的免疫抑制微环境</w:t>
        </w:r>
      </w:hyperlink>
    </w:p>
    <w:p>
      <w:pPr>
        <w:spacing w:before="0" w:after="80"/>
      </w:pPr>
      <w:r>
        <w:rPr>
          <w:i/>
          <w:sz w:val="20"/>
        </w:rPr>
        <w:t>EN: CAFs shape the immunosuppressive microenvironment of pancreatic cancer through the Lin28b-STING Axis</w:t>
      </w:r>
    </w:p>
    <w:p>
      <w:pPr>
        <w:spacing w:before="0" w:after="120"/>
      </w:pPr>
      <w:r>
        <w:rPr>
          <w:b/>
        </w:rPr>
        <w:t xml:space="preserve">Source: </w:t>
      </w:r>
      <w:r>
        <w:t>Biological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癌症相关成纤维细胞包含多种功能不同的细胞亚群，其中某些亚群在塑造胰腺癌免疫微环境方面发挥着关键影响。在这里，我们证明 Lin28b+ 癌症相关成纤维细胞有助于在胰腺导管腺癌中建立免疫冷肿瘤微环境。从机制上讲，Lin28b 直接结合 STING mRNA 并促进其降解，从而抑制 STING 表达和下游 I 型干扰素信号传导。癌症相关成纤维细胞中 Lin28b 的缺失会激活 cGAS-STING-干扰素信号级联，增强树突状细胞抗原呈递和 CD8+ T 细胞的细胞毒功能。重要的是，癌症相关成纤维细胞中 Lin28b 的基因抑制可增强抗 PD-L1 免疫检查点阻断疗法的敏感性。这些发现表明，靶向 Lin28b-STING 轴代表了一种有前途的治疗策略，可以克服胰腺导管腺癌对免疫治疗的内在耐药性。</w:t>
      </w:r>
    </w:p>
    <w:p>
      <w:pPr>
        <w:spacing w:before="0" w:after="200" w:lineRule="auto" w:line="276"/>
      </w:pPr>
      <w:r>
        <w:rPr>
          <w:b/>
        </w:rPr>
        <w:t xml:space="preserve">Abstract (EN): </w:t>
      </w:r>
      <w:r>
        <w:t>Cancer-associated fibroblasts comprise diverse functionally distinct cellular subsets, with certain subpopulations exerting pivotal influence in shaping the pancreatic cancer immune microenvironment. Here we show that Lin28b+ cancer-associated fibroblasts contribute to establishing an immunologically cold tumor microenvironment in pancreatic ductal adenocarcinoma. Mechanistically, Lin28b directly binds to STING mRNA and promotes its degradation, thereby suppressing STING expression and downstream type I interferon signaling. Loss of Lin28b in cancer-associated fibroblasts activates the cGAS-STING-interferon signaling cascade, enhancing dendritic cell antigen presentation and CD8+ T cell cytotoxic function. Importantly, genetic inhibition of Lin28b in cancer-associated fibroblasts enhances sensitivity to anti-PD-L1 immune checkpoint blockade therapy. These findings reveal that targeting the Lin28b-STING axis represents a promising therapeutic strategy for overcoming the intrinsic resistance of pancreatic ductal adenocarcinoma to immunotherapy.</w:t>
      </w:r>
    </w:p>
    <w:p>
      <w:pPr>
        <w:spacing w:before="120" w:after="120"/>
      </w:pPr>
      <w:r>
        <w:rPr>
          <w:sz w:val="18"/>
        </w:rPr>
        <w:t>——————————————————————————————————————————————————————————————————————</w:t>
      </w:r>
    </w:p>
    <w:p>
      <w:pPr>
        <w:spacing w:before="160" w:after="40" w:line="240" w:lineRule="auto"/>
      </w:pPr>
      <w:r>
        <w:rPr>
          <w:b/>
        </w:rPr>
        <w:t xml:space="preserve">[14] </w:t>
      </w:r>
      <w:hyperlink r:id="rId621">
        <w:r>
          <w:rPr>
            <w:color w:val="1155CC"/>
            <w:u w:val="single"/>
          </w:rPr>
          <w:t>LZ901 疫苗针对 40 岁或以上成人带状疱疹病毒的功效、免疫原性和安全性：多中心、随机、双盲、安慰剂对照 3 期试验</w:t>
        </w:r>
      </w:hyperlink>
    </w:p>
    <w:p>
      <w:pPr>
        <w:spacing w:before="0" w:after="80"/>
      </w:pPr>
      <w:r>
        <w:rPr>
          <w:i/>
          <w:sz w:val="20"/>
        </w:rPr>
        <w:t>EN: The efficacy, immunogenicity and safety of the LZ901 vaccine for herpes zoster virus in adults 40 years of age or older: a multicentre, randomised, double-blind, placebo-controlled, phase 3 trial</w:t>
      </w:r>
    </w:p>
    <w:p>
      <w:pPr>
        <w:spacing w:before="0" w:after="120"/>
      </w:pPr>
      <w:r>
        <w:rPr>
          <w:b/>
        </w:rPr>
        <w:t xml:space="preserve">Source: </w:t>
      </w:r>
      <w:r>
        <w:t>Biological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在之前完成的 1 期和 2 期临床试验中，一种以氢氧化铝为佐剂的重组 gE-Fc 融合蛋白亚单位疫苗（称为 LZ901）表现出良好的安全性，并引发了强大的免疫反应。这项随机、安慰剂对照、双盲 3 期试验 (ChiCTR2300076253) 评估了 LZ901 在 40 岁以上成人中的疗效和安全性。 26,018 名参与者接受了两次肌肉注射 LZ901（间隔 30 天；n = 13,010）或安慰剂（间隔 30 天；n = 13,008）。主要目标是评估 LZ901 疫苗接种后 12 个月内的带状疱疹风险。在随访期间，15 名 LZ901 接受者和 178 名安慰剂接受者被确认带状疱疹呈阳性。带状疱疹疫苗的总体功效为 91.6%（95% 置信区间，86.3 至 95.3；p</w:t>
      </w:r>
    </w:p>
    <w:p>
      <w:pPr>
        <w:spacing w:before="0" w:after="200" w:lineRule="auto" w:line="276"/>
      </w:pPr>
      <w:r>
        <w:rPr>
          <w:b/>
        </w:rPr>
        <w:t xml:space="preserve">Abstract (EN): </w:t>
      </w:r>
      <w:r>
        <w:t>In previously completed Phase 1 and 2 clinical trials, a recombinant gE-Fc fusion protein subunit vaccine adjuvanted with aluminum hydroxide (called LZ901) demonstrated favorable safety profiles and elicited robust immune responses. This randomized, placebo-controlled, double-blind, phase 3 trial (ChiCTR2300076253) evaluated the efficacy and safety of LZ901 in adults ≥40 years. 26,018 participants received either two intramuscular doses of LZ901 (30-day interval; n = 13,010) or a placebo (30-day interval; n = 13,008). The primary objective was to assess herpes zoster risk within 12-months after LZ901 vaccination. During the follow-up period, 15 LZ901 recipients and 178 placebo recipients were confirmed positive for herpes zoster. Overall vaccine efficacy against herpes zoster was 91.6% (95% confidence interval, 86.3 to 95.3; p</w:t>
      </w:r>
    </w:p>
    <w:p>
      <w:pPr>
        <w:spacing w:before="120" w:after="120"/>
      </w:pPr>
      <w:r>
        <w:rPr>
          <w:sz w:val="18"/>
        </w:rPr>
        <w:t>——————————————————————————————————————————————————————————————————————</w:t>
      </w:r>
    </w:p>
    <w:p>
      <w:pPr>
        <w:spacing w:before="160" w:after="40" w:line="240" w:lineRule="auto"/>
      </w:pPr>
      <w:r>
        <w:rPr>
          <w:b/>
        </w:rPr>
        <w:t xml:space="preserve">[15] </w:t>
      </w:r>
      <w:hyperlink r:id="rId622">
        <w:r>
          <w:rPr>
            <w:color w:val="1155CC"/>
            <w:u w:val="single"/>
          </w:rPr>
          <w:t>茄甾生物碱手性生物合成机制及生态功能</w:t>
        </w:r>
      </w:hyperlink>
    </w:p>
    <w:p>
      <w:pPr>
        <w:spacing w:before="0" w:after="80"/>
      </w:pPr>
      <w:r>
        <w:rPr>
          <w:i/>
          <w:sz w:val="20"/>
        </w:rPr>
        <w:t>EN: Biosynthetic mechanism and ecological function of chirality in Solanum steroidal alkaloids</w:t>
      </w:r>
    </w:p>
    <w:p>
      <w:pPr>
        <w:spacing w:before="0" w:after="120"/>
      </w:pPr>
      <w:r>
        <w:rPr>
          <w:b/>
        </w:rPr>
        <w:t xml:space="preserve">Source: </w:t>
      </w:r>
      <w:r>
        <w:t>Biological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手性从根本上影响植物天然产物的生物活性和生态作用。番茄和野生近缘种中的甾体配糖生物碱 (SGA) 表现出这种立体化学变异。正向遗传学将 C26 羟化酶 GAME8 确定为控制 SGA 手性的关键酶。栽培番茄含有两个相同的 GAME8 拷贝，产生 S-构型中间体，而茄属同源物 GAME8a 和 GAME8b 分别主要产生 R- 和 S-构型产物。位点饱和诱变和分子对接揭示了四个足以改变这种手性的残基。生物测定表明，R 型 SGA（主要存在于野生番茄中）对专科害虫赤霉病具有卓越的防御能力，尽管手性并不影响对斜纹夜蛾的抵抗力。总的来说，这些结果阐明了 SGA 手性的生物合成机制和生态意义，为定制植物化学立体化学以增强作物保护奠定了基础。</w:t>
      </w:r>
    </w:p>
    <w:p>
      <w:pPr>
        <w:spacing w:before="0" w:after="200" w:lineRule="auto" w:line="276"/>
      </w:pPr>
      <w:r>
        <w:rPr>
          <w:b/>
        </w:rPr>
        <w:t xml:space="preserve">Abstract (EN): </w:t>
      </w:r>
      <w:r>
        <w:t>Chirality fundamentally influences the bioactivity and ecological roles of plant natural products. Steroidal glycoalkaloids (SGAs) in tomato and wild relatives exhibit this stereochemical variation. Forward genetics identifies C26 hydroxylase GAME8 as the key enzyme controlling SGA chirality. Cultivated tomato harbors two identical GAME8 copies yielding S-configured intermediates, whereas Solanum pennellii homologs GAME8a and GAME8b dominantly produce R- and S-configured products, respectively. Site-saturation mutagenesis and molecular docking reveal four residues sufficient to switch this chirality. Bioassays demonstrate that R-type SGAs, predominant in wild tomato, offer superior defense against the specialist pest Phthorimaea absoluta, although chirality does not affect resistance to the generalist Spodoptera litura. Collectively, these results elucidate the biosynthetic mechanism and ecological significance of SGA chirality, establishing a basis for tailoring phytochemical stereochemistry to enhance crop protection.</w:t>
      </w:r>
    </w:p>
    <w:p>
      <w:pPr>
        <w:spacing w:before="120" w:after="120"/>
      </w:pPr>
      <w:r>
        <w:rPr>
          <w:sz w:val="18"/>
        </w:rPr>
        <w:t>——————————————————————————————————————————————————————————————————————</w:t>
      </w:r>
    </w:p>
    <w:p>
      <w:pPr>
        <w:spacing w:before="160" w:after="40" w:line="240" w:lineRule="auto"/>
      </w:pPr>
      <w:r>
        <w:rPr>
          <w:b/>
        </w:rPr>
        <w:t xml:space="preserve">[16] </w:t>
      </w:r>
      <w:hyperlink r:id="rId623">
        <w:r>
          <w:rPr>
            <w:color w:val="1155CC"/>
            <w:u w:val="single"/>
          </w:rPr>
          <w:t>来自主客体分子系统的陷阱诱导的白色圆偏振持续发光</w:t>
        </w:r>
      </w:hyperlink>
    </w:p>
    <w:p>
      <w:pPr>
        <w:spacing w:before="0" w:after="80"/>
      </w:pPr>
      <w:r>
        <w:rPr>
          <w:i/>
          <w:sz w:val="20"/>
        </w:rPr>
        <w:t>EN: Trap-induced white circularly polarized persistent luminescence from a host-guest molecular system</w:t>
      </w:r>
    </w:p>
    <w:p>
      <w:pPr>
        <w:spacing w:before="0" w:after="120"/>
      </w:pPr>
      <w:r>
        <w:rPr>
          <w:b/>
        </w:rPr>
        <w:t xml:space="preserve">Source: </w:t>
      </w:r>
      <w:r>
        <w:t>Physical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圆偏振发光（CPL）以手性、波长和时间特征对不可复制的光学信息进行编码，为先进信息技术带来了巨大的希望。然而，系统调节多种光学特性的有效策略仍然难以捉摸。在此，我们报告了一种通过将陷阱态引入有机主客体分子系统而赋予 CPL 材料小时级双波段持久发光的通用方法。从陷阱释放的电子重新填充手性客体分子的单重态和三重态，在室温下产生双波段白色圆偏振持久发光4小时。系统表征表明，两种不同的手性构型使陷阱深度基本不变，同时赋予这些复合材料显着的 CPL 活性，最大发光不对称因子 glum 为 1.6 × 10−3/−2.3 × 10−3。利用这些特性，我们提出了用于莫尔斯电码加密和多模式信息存储的暖白圆偏振持久发光材料的概念验证演示。</w:t>
      </w:r>
    </w:p>
    <w:p>
      <w:pPr>
        <w:spacing w:before="0" w:after="200" w:lineRule="auto" w:line="276"/>
      </w:pPr>
      <w:r>
        <w:rPr>
          <w:b/>
        </w:rPr>
        <w:t xml:space="preserve">Abstract (EN): </w:t>
      </w:r>
      <w:r>
        <w:t>Circularly polarized luminescence (CPL), which encodes non-replicable optical information in the characteristics of chirality, wavelength, and time, holds significant promise for advanced information technologies. However, effective strategies for systematically regulating multiple optical properties remain elusive. Herein, we report a general approach that imparts hour-level dual-band persistent luminescence to CPL materials through the introduction of trap states into an organic host-guest molecular system. The electrons released from traps repopulate both the singlet and triplet states of the chiral guest molecules, producing dual-band white circularly polarized persistent luminescence for 4 h at room temperature. Systematic characterization reveals that two different chiral configurations leave the trap depth basically unaltered, while conferring pronounced CPL activity on these composites with a maximum luminescence dissymmetry factor glum of 1.6 × 10−3/−2.3 × 10−3. Leveraging these characteristics, we present a proof-of-concept demonstration of warm-white circularly polarized persistent luminescence materials for Morse-code encryption and multimodal information storage.</w:t>
      </w:r>
    </w:p>
    <w:p>
      <w:pPr>
        <w:spacing w:before="120" w:after="120"/>
      </w:pPr>
      <w:r>
        <w:rPr>
          <w:sz w:val="18"/>
        </w:rPr>
        <w:t>——————————————————————————————————————————————————————————————————————</w:t>
      </w:r>
    </w:p>
    <w:p>
      <w:pPr>
        <w:spacing w:before="160" w:after="40" w:line="240" w:lineRule="auto"/>
      </w:pPr>
      <w:r>
        <w:rPr>
          <w:b/>
        </w:rPr>
        <w:t xml:space="preserve">[17] </w:t>
      </w:r>
      <w:hyperlink r:id="rId624">
        <w:r>
          <w:rPr>
            <w:color w:val="1155CC"/>
            <w:u w:val="single"/>
          </w:rPr>
          <w:t>用于气体管道微泄漏检测的气泡触发内置液态金属原电池</w:t>
        </w:r>
      </w:hyperlink>
    </w:p>
    <w:p>
      <w:pPr>
        <w:spacing w:before="0" w:after="80"/>
      </w:pPr>
      <w:r>
        <w:rPr>
          <w:i/>
          <w:sz w:val="20"/>
        </w:rPr>
        <w:t>EN: Bubble-triggered built-in liquid metal-based galvanic cell for gas pipeline microleak detection</w:t>
      </w:r>
    </w:p>
    <w:p>
      <w:pPr>
        <w:spacing w:before="0" w:after="120"/>
      </w:pPr>
      <w:r>
        <w:rPr>
          <w:b/>
        </w:rPr>
        <w:t xml:space="preserve">Source: </w:t>
      </w:r>
      <w:r>
        <w:t>Physical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由于燃气管道泄漏造成重大经济损失和安全问题，及时发现管道轻微泄漏至关重要。在此，我们提出了一种智能液态金属气泡发生器（LMBG）室，能够通过液态金属界面的电化学转换机制将机械泄漏信号转换为实时电反馈。所提出的系统利用了液态金属（LM）及其氧化物的固有电势差。 LM气泡在泄漏处破裂，激活金属核和氧化物壳之间的内置原电池，实现直接的机电能量转换。值得注意的是，该系统表现出线性电压-体积（173.46 V·cm−3）和频率-流速（0.25 Hz·cm−1·s）相关性的灵敏度，以及快速响应特性（0.33 s延迟）。值得注意的是，对于小至 1.0×10−3 cm3 的微泄漏具有卓越的检测分辨率。主动传感技术的这一成就为智能基础设施监测开辟了一条途径，特别是为天然气管道泄漏检测的关键需求提供了可能的方法。</w:t>
      </w:r>
    </w:p>
    <w:p>
      <w:pPr>
        <w:spacing w:before="0" w:after="200" w:lineRule="auto" w:line="276"/>
      </w:pPr>
      <w:r>
        <w:rPr>
          <w:b/>
        </w:rPr>
        <w:t xml:space="preserve">Abstract (EN): </w:t>
      </w:r>
      <w:r>
        <w:t>Due to the significant economic losses and safety issues caused by gas pipeline leaks, timely detection of minor leaks in pipelines is crucial important. Herein, we present an intelligent liquid metal bubble generator (LMBG) chamber capable of converting mechanical leakage signals into real-time electrical feedback through the electrochemical conversion mechanism at the liquid metal interface. The proposed system exploits the intrinsic electric potential difference of a liquid metal (LM) and its oxide. The rupture of LM bubbles at leakage site activates a built-in galvanic cell between the metallic core and the oxide shell, achieving direct mechanoelectrical energy conversion. Notably, the system demonstrates sensitivity with linear voltage-volume (173.46 V·cm−3) and frequency-flow velocity (0.25 Hz·cm−1·s) correlations, as well as rapid response characteristics (0.33 s latency). Notably, the exceptional detection resolution for micro-leakages as small as 1.0×10−3 cm3. This achievement in active sensing technology establishes a route for intelligent infrastructure monitoring, particularly providing a possible way for the critical need of leakage detection for gas pipelines.</w:t>
      </w:r>
    </w:p>
    <w:p>
      <w:pPr>
        <w:spacing w:before="120" w:after="120"/>
      </w:pPr>
      <w:r>
        <w:rPr>
          <w:sz w:val="18"/>
        </w:rPr>
        <w:t>——————————————————————————————————————————————————————————————————————</w:t>
      </w:r>
    </w:p>
    <w:p>
      <w:pPr>
        <w:spacing w:before="160" w:after="40" w:line="240" w:lineRule="auto"/>
      </w:pPr>
      <w:r>
        <w:rPr>
          <w:b/>
        </w:rPr>
        <w:t xml:space="preserve">[18] </w:t>
      </w:r>
      <w:hyperlink r:id="rId625">
        <w:r>
          <w:rPr>
            <w:color w:val="1155CC"/>
            <w:u w:val="single"/>
          </w:rPr>
          <w:t>用于复杂纳米塑料混合物的全光学米氏空隙传感器</w:t>
        </w:r>
      </w:hyperlink>
    </w:p>
    <w:p>
      <w:pPr>
        <w:spacing w:before="0" w:after="80"/>
      </w:pPr>
      <w:r>
        <w:rPr>
          <w:i/>
          <w:sz w:val="20"/>
        </w:rPr>
        <w:t>EN: All-optical Mie void sensor for complex nanoplastic mixtures</w:t>
      </w:r>
    </w:p>
    <w:p>
      <w:pPr>
        <w:spacing w:before="0" w:after="120"/>
      </w:pPr>
      <w:r>
        <w:rPr>
          <w:b/>
        </w:rPr>
        <w:t xml:space="preserve">Source: </w:t>
      </w:r>
      <w:r>
        <w:t>Physical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塑料碎片的破碎和直接释放已成为紧迫的生态问题。一旦分散，这些颗粒就会渗入食物网，在生物体内积聚，并与有毒的共污染物结合，对生态系统和人类健康构成长期风险。尽管人们的认识不断增强，但纳米塑料的表征仍然极具挑战性。此外，获得额外的信息，例如颗粒形状或材料成分，进一步加剧了这些检测障碍。在这里，我们介绍了一种基于纳米级空隙的光子传感平台，可以同时对 500 nm 以下的颗粒进行材料和形态敏感的检测。嵌入高折射率材料中的空隙阵列同时充当排序元件和颜色报告器。球形和细长颗粒被选择性地捕获在圆形和椭圆形空隙中，同时区分不同的聚合物类型。这种方法为环境环境中纳米塑料的光学识别提供了一条可扩展的途径。它与高通量分析的兼容性使其成为实时研究的有前途的工具。</w:t>
      </w:r>
    </w:p>
    <w:p>
      <w:pPr>
        <w:spacing w:before="0" w:after="200" w:lineRule="auto" w:line="276"/>
      </w:pPr>
      <w:r>
        <w:rPr>
          <w:b/>
        </w:rPr>
        <w:t xml:space="preserve">Abstract (EN): </w:t>
      </w:r>
      <w:r>
        <w:t>The fragmentation and direct release of plastic debris have emerged as a pressing ecological concern. Once dispersed, these particles infiltrate food webs, accumulate within organisms, and bind toxic co-contaminants, posing long-term risks to ecosystems and human health. Despite growing awareness, the characterization of nanoplastics remains highly challenging. Moreover, obtaining additional information, such as particle shape or material composition, further exacerbates these detection hurdles. Here, we introduce a photonic sensing platform based on nanoscale voids that enables the simultaneous material- and morphology-sensitive detection of particles below 500 nm. Void arrays embedded in a high-refractive-index material act in parallel as both sorting elements and color reporters. Spherical and elongated particles are selectively trapped in circular and elliptical voids, while different polymer types are distinguished simultaneously. This approach offers a scalable route toward optical identification of nanoplastics in environmental settings. Its compatibility with high-throughput analysis positions it as a promising tool for real-time studies.</w:t>
      </w:r>
    </w:p>
    <w:p>
      <w:pPr>
        <w:spacing w:before="120" w:after="120"/>
      </w:pPr>
      <w:r>
        <w:rPr>
          <w:sz w:val="18"/>
        </w:rPr>
        <w:t>——————————————————————————————————————————————————————————————————————</w:t>
      </w:r>
    </w:p>
    <w:p>
      <w:pPr>
        <w:spacing w:before="160" w:after="40" w:line="240" w:lineRule="auto"/>
      </w:pPr>
      <w:r>
        <w:rPr>
          <w:b/>
        </w:rPr>
        <w:t xml:space="preserve">[19] </w:t>
      </w:r>
      <w:hyperlink r:id="rId626">
        <w:r>
          <w:rPr>
            <w:color w:val="1155CC"/>
            <w:u w:val="single"/>
          </w:rPr>
          <w:t>选择性自主生成单线态氧，无需能量输入即可协同去除重金属有机物</w:t>
        </w:r>
      </w:hyperlink>
    </w:p>
    <w:p>
      <w:pPr>
        <w:spacing w:before="0" w:after="80"/>
      </w:pPr>
      <w:r>
        <w:rPr>
          <w:i/>
          <w:sz w:val="20"/>
        </w:rPr>
        <w:t>EN: Selective and autonomous generation of singlet oxygen for synergistic heavy metal-organic removal without energy input</w:t>
      </w:r>
    </w:p>
    <w:p>
      <w:pPr>
        <w:spacing w:before="0" w:after="120"/>
      </w:pPr>
      <w:r>
        <w:rPr>
          <w:b/>
        </w:rPr>
        <w:t xml:space="preserve">Source: </w:t>
      </w:r>
      <w:r>
        <w:t>Earth and environmental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环境催化的一个基本挑战是依赖外部能量或化学输入来驱动解毒反应。在这里，我们通过污染物驱动的框架超越了这一限制，并通过可变价氧化钼（MoOx）进行了证明。在低价Mo和高价金属离子之间的协同相互作用的驱动下，空位锚定的双位点极化机制能够绕过自由基中间体，选择性地将吸附的氧转化为单线态氧（1O2）。该过程无需添加分子氧 (O2) 气体、外部能量（例如光、电或热）或化学氧化剂（例如过硫酸盐或过氧化物）即可同时实现重金属还原和有机降解。 MoOx 材料在复杂水中保持稳健的性能，并在闭环再生后保留超过 99% 的去除效率。这项工作建立了能量自主催化的一般设计原则，将环境修复与可持续化学联系起来，并为废水及其他领域的自我维持过程提出了潜在途径。</w:t>
      </w:r>
    </w:p>
    <w:p>
      <w:pPr>
        <w:spacing w:before="0" w:after="200" w:lineRule="auto" w:line="276"/>
      </w:pPr>
      <w:r>
        <w:rPr>
          <w:b/>
        </w:rPr>
        <w:t xml:space="preserve">Abstract (EN): </w:t>
      </w:r>
      <w:r>
        <w:t>A fundamental challenge across environmental catalysis is the reliance on external energy or chemical inputs to drive detoxification reactions. Here, we transcend this limitation with a pollutant-driven framework, demonstrated by a variable-valent molybdenum oxide (MoOx). A vacancy-anchored dual-site polarization mechanism enables the selective conversion of adsorbed oxygen into singlet oxygen (1O2), bypassing radical intermediates, driven by the synergistic interaction between low-valent Mo and high-valent metal ions. This process achieves simultaneous heavy-metal reduction and organic degradation without the addition of molecular oxygen (O2) gas, external energy (e.g., light, electricity, or heat), or chemical oxidants (e.g., persulfate or peroxide). The MoOx material maintains robust performance in complex water and retains over 99% removal efficiency after closed-loop regeneration. This work establishes a general design principle for energy-autonomous catalysis, bridging environmental remediation with sustainable chemistry and suggesting a potential pathway for self-sustaining processes in wastewater and beyond.</w:t>
      </w:r>
    </w:p>
    <w:p>
      <w:pPr>
        <w:spacing w:before="120" w:after="120"/>
      </w:pPr>
      <w:r>
        <w:rPr>
          <w:sz w:val="18"/>
        </w:rPr>
        <w:t>——————————————————————————————————————————————————————————————————————</w:t>
      </w:r>
    </w:p>
    <w:p>
      <w:pPr>
        <w:spacing w:before="160" w:after="40" w:line="240" w:lineRule="auto"/>
      </w:pPr>
      <w:r>
        <w:rPr>
          <w:b/>
        </w:rPr>
        <w:t xml:space="preserve">[20] </w:t>
      </w:r>
      <w:hyperlink r:id="rId627">
        <w:r>
          <w:rPr>
            <w:color w:val="1155CC"/>
            <w:u w:val="single"/>
          </w:rPr>
          <w:t>低曲率与高非晶化相结合提高了半导体 Rh-Se 介孔纳米球对非吸附性污染物的 SERS 敏感性</w:t>
        </w:r>
      </w:hyperlink>
    </w:p>
    <w:p>
      <w:pPr>
        <w:spacing w:before="0" w:after="80"/>
      </w:pPr>
      <w:r>
        <w:rPr>
          <w:i/>
          <w:sz w:val="20"/>
        </w:rPr>
        <w:t>EN: Low curvature combined with high amorphization improves SERS sensitivity of semiconducting Rh–Se mesoporous nanospheres toward non-adsorbing resistant pollutants</w:t>
      </w:r>
    </w:p>
    <w:p>
      <w:pPr>
        <w:spacing w:before="0" w:after="120"/>
      </w:pPr>
      <w:r>
        <w:rPr>
          <w:b/>
        </w:rPr>
        <w:t xml:space="preserve">Source: </w:t>
      </w:r>
      <w:r>
        <w:t>Physical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非晶金属硒 (M-Se) 合金由于其表面反应性、各向同性特性和可调谐带隙，在催化、电子学和表面增强拉曼光谱 (SERS) 传感等应用中具有广阔的前景。然而，控制纳米结构贵金属基M-Se材料的合成很困难，因为贵金属的强金属键合和低化学反应性阻碍了均相硒化。在这里，我们展示了一种一步胶束自组装还原方法来生产非晶半导体 Rh-Se 介孔纳米球（a-Rh-Se MN）。我们系统地研究成分、表面曲率和结晶度如何影响 SERS 性能。具有低曲率和高非晶化度的 a-Rh-Se MN 可提高对典型非吸附性、低极化性分析物的灵敏度，包括六氯苯、蒽和聚四氟乙烯微塑料（甚至在废水中）。实验和理论分析相结合表明，共调制曲率和非晶化可调节关键电子描述符（例如 d 带中心和功函数），从而促进共振电荷转移。这一发现颠覆了优先考虑高表面积基材的传统范例。我们的工作为 SERS 应用建立了介观结构的 a-Rh-Se，并为设计先进的 SERS 材料提供了对 M-Se 表面化学的见解。</w:t>
      </w:r>
    </w:p>
    <w:p>
      <w:pPr>
        <w:spacing w:before="0" w:after="200" w:lineRule="auto" w:line="276"/>
      </w:pPr>
      <w:r>
        <w:rPr>
          <w:b/>
        </w:rPr>
        <w:t xml:space="preserve">Abstract (EN): </w:t>
      </w:r>
      <w:r>
        <w:t>Amorphous metal–selenium (M–Se) alloys hold promise for applications such as catalysis, electronics, and surface-enhanced Raman spectroscopy (SERS) sensing due to their surface reactivity, isotropic properties, and tunable bandgap. However, controlling the synthesis of nanostructured noble-metal-based M–Se materials is difficult, as the strong metallic bonding and low chemical reactivity of noble metals hinder homogeneous selenization. Here we show a one-step micellar self-assembly reduction method to produce amorphous semiconducting Rh–Se mesoporous nanospheres (a-Rh–Se MNs). We systematically investigate how composition, surface curvature, and crystallinity affect SERS performance. a-Rh–Se MNs with low curvature and high amorphization achieve enhanced sensitivity toward typically non-adsorbing, low-polarizability analytes, including hexachlorobenzene, anthracene, and polytetrafluoroethylene microplastics (even in wastewater). Combined experimental and theoretical analyses reveal that co-modulating curvature and amorphization tunes key electronic descriptors (e.g., d-band center and work function), thereby promoting resonant charge transfer. This finding overturns the conventional paradigm that prioritizes high-surface-area substrates. Our work establishes mesostructured a-Rh–Se for SERS applications and provides insights into M–Se surface chemistry for designing advanced SERS materials.</w:t>
      </w:r>
    </w:p>
    <w:p>
      <w:pPr>
        <w:spacing w:before="120" w:after="120"/>
      </w:pPr>
      <w:r>
        <w:rPr>
          <w:sz w:val="18"/>
        </w:rPr>
        <w:t>——————————————————————————————————————————————————————————————————————</w:t>
      </w:r>
    </w:p>
    <w:p>
      <w:pPr>
        <w:spacing w:before="160" w:after="40" w:line="240" w:lineRule="auto"/>
      </w:pPr>
      <w:r>
        <w:rPr>
          <w:b/>
        </w:rPr>
        <w:t xml:space="preserve">[21] </w:t>
      </w:r>
      <w:hyperlink r:id="rId628">
        <w:r>
          <w:rPr>
            <w:color w:val="1155CC"/>
            <w:u w:val="single"/>
          </w:rPr>
          <w:t>水解稳定 MOF 中水吸附和预计大气水收集性能的分子水平洞察</w:t>
        </w:r>
      </w:hyperlink>
    </w:p>
    <w:p>
      <w:pPr>
        <w:spacing w:before="0" w:after="80"/>
      </w:pPr>
      <w:r>
        <w:rPr>
          <w:i/>
          <w:sz w:val="20"/>
        </w:rPr>
        <w:t>EN: Molecular-level insight into water adsorption and projected atmospheric water harvesting performance in a hydrolytically stable MOF</w:t>
      </w:r>
    </w:p>
    <w:p>
      <w:pPr>
        <w:spacing w:before="0" w:after="120"/>
      </w:pPr>
      <w:r>
        <w:rPr>
          <w:b/>
        </w:rPr>
        <w:t xml:space="preserve">Source: </w:t>
      </w:r>
      <w:r>
        <w:t>Physical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基于吸附的大气水收集（AWH）有望解决全球水资源短缺的挑战，尽管有前景的 AWH 材料数量不断增加，但仍然需要深入了解此类干燥剂的孔隙填充机制和水解稳定性。在这里，我们报告了两种 bnn 拓扑棒结构单元 (RBB) MOF，M2F2(tzba)(bpy)2，tzba = 4-(1H-四唑-5-基)苯甲酸酯，M = Co 或 Ni。 MOF、bnn-1-Co 和先前报道的 bnn-1-Ni 分别由包含三个桥连部分（氟化物、羧酸盐和四唑盐）的 RBB 构建。 bnn-1-Ni 在低吸收阈值（100 个循环）的驱动下表现出有前景的材料级 AWH 性能和水解稳定性，并且在模拟温度波动条件下预计重力水生产率为 0.3044 wt% min−1 (4.38 kg−1 kg−1 d−1)。通过单晶 X 射线衍射 (SCXRD) 和密度泛函理论 (DFT) 计算在分子水平上可视化水分子的负载，揭示了第一个水分子（吸附能 -75 kJ mol−1）具有多个氢键的结合位点，该结合位点锚定了水层的形成（平均吸附能 -59 kJ mol−1）。 bnn-1-Co 的水解稳定性较差，我们将此归因于 Ni-N/O/F 配位键比 Co-N/O/F 对应物更强。</w:t>
      </w:r>
    </w:p>
    <w:p>
      <w:pPr>
        <w:spacing w:before="0" w:after="200" w:lineRule="auto" w:line="276"/>
      </w:pPr>
      <w:r>
        <w:rPr>
          <w:b/>
        </w:rPr>
        <w:t xml:space="preserve">Abstract (EN): </w:t>
      </w:r>
      <w:r>
        <w:t>Sorption-based atmospheric water harvesting (AWH) promises a solution to the global challenge of water scarcity and, despite the increasing number of promising AWH materials, there remains a need for insight into pore-filling mechanisms and the hydrolytic stability of such desiccants. Here, we report two bnn-topology rod building block (RBB) MOFs, M2F2(tzba)(bpy)2, tzba = 4-(1H-tetrazol-5-yl)benzoate, M = Co or Ni. The MOFs, bnn-1-Co and previously reported bnn-1-Ni, respectively, are built from an RBB comprising three bridging moieties, fluoride, carboxylate and tetrazolate. bnn-1-Ni exhibits promising material-level AWH performance and hydrolytic stability driven by a low uptake threshold ( 100 cycles) and projected gravimetric water productivity of 0.3044 wt% min−1 (4.38 kg−1 kg−1 d−1) under simulated temperature swing conditions. Loading of water molecules, visualised at the molecular level through single-crystal X-ray diffraction (SCXRD) and density functional theory (DFT) calculations, revealed a binding site with multiple hydrogen bonds for the first water molecule (adsorption energy −75 kJ mol−1) that anchors formation of water layers (average adsorption energy −59 kJ mol−1). bnn-1-Co is less hydrolytically stable, which we attribute to stronger Ni-N/O/F coordination bonds than their Co-N/O/F counterparts.</w:t>
      </w:r>
    </w:p>
    <w:p>
      <w:pPr>
        <w:spacing w:before="120" w:after="120"/>
      </w:pPr>
      <w:r>
        <w:rPr>
          <w:sz w:val="18"/>
        </w:rPr>
        <w:t>——————————————————————————————————————————————————————————————————————</w:t>
      </w:r>
    </w:p>
    <w:p>
      <w:pPr>
        <w:spacing w:before="160" w:after="40" w:line="240" w:lineRule="auto"/>
      </w:pPr>
      <w:r>
        <w:rPr>
          <w:b/>
        </w:rPr>
        <w:t xml:space="preserve">[22] </w:t>
      </w:r>
      <w:hyperlink r:id="rId629">
        <w:r>
          <w:rPr>
            <w:color w:val="1155CC"/>
            <w:u w:val="single"/>
          </w:rPr>
          <w:t>北冰洋加克尔海脊主要非岩浆岩石圈的熔体爆发事件</w:t>
        </w:r>
      </w:hyperlink>
    </w:p>
    <w:p>
      <w:pPr>
        <w:spacing w:before="0" w:after="80"/>
      </w:pPr>
      <w:r>
        <w:rPr>
          <w:i/>
          <w:sz w:val="20"/>
        </w:rPr>
        <w:t>EN: Melt burst events in a dominantly amagmatic lithosphere at Gakkel Ridge in the Arctic Ocean</w:t>
      </w:r>
    </w:p>
    <w:p>
      <w:pPr>
        <w:spacing w:before="0" w:after="120"/>
      </w:pPr>
      <w:r>
        <w:rPr>
          <w:b/>
        </w:rPr>
        <w:t xml:space="preserve">Source: </w:t>
      </w:r>
      <w:r>
        <w:t>Earth and environmental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沿着慢速和超慢速扩张脊的岩浆和非岩浆海底交替是常见的。然而，时间变化被覆盖远离扩散中心的海洋基底的沉积物所掩盖。在这里，我们分析了超慢速扩张的 Gakkel 海脊处涵盖零年龄至约 35 Ma 洋壳的航磁数据，以表征岩浆和非岩浆岩石圈域及其与熔体供应的联系。出人意料的是，欧亚盆地约 68% 的区域是非岩浆海底，而在过去 35 Ma 中，岩浆海底仅占 32%。熔体供应呈现出以下循环：先是短暂的强烈岩浆活动，然后是较长的中间岩浆活动，然后是贫乏的岩浆活动。这些观察结果表明，强大的岩石圈可能是这种超慢扩张脊的特征，可能会阻止连续的熔体供应，反而有利于间歇性的熔体爆发。我们的研究间接限制了加克尔海脊历史上远离当前扩张轴的融化事件和岩石圈增生的程度和持续时间。</w:t>
      </w:r>
    </w:p>
    <w:p>
      <w:pPr>
        <w:spacing w:before="0" w:after="200" w:lineRule="auto" w:line="276"/>
      </w:pPr>
      <w:r>
        <w:rPr>
          <w:b/>
        </w:rPr>
        <w:t xml:space="preserve">Abstract (EN): </w:t>
      </w:r>
      <w:r>
        <w:t>Alternation of magmatic and amagmatic seafloor along the slow and ultraslow spreading ridges is common. Yet, temporal variation is obscured by sediments blanketing oceanic basement away from spreading centers. Here we analyze aeromagnetic data covering zero age to ~35 Ma oceanic crust at the ultraslow-spreading Gakkel Ridge to characterize magmatic and amagmatic lithospheric domains and their links to melt supply. Amagmatic seafloor unexpectedly dominates ~68% of the Eurasian Basin, while only 32% of magmatic seafloor over the last 35 Ma. The melt supply exhibits cycles initiating over a short episode of robust magmatism followed by a longer intermediate magmatism, then starved magmatism. These observations suggest that strong lithosphere presumably characterizing this ultraslow spreading ridge may prevent a continuous melt supply, instead favoring episodic melt bursts. Our study indirectly constraints the extent and duration of melting events and lithospheric accretion through the Gakkel Ridge history, away from the present spreading axis.</w:t>
      </w:r>
    </w:p>
    <w:p>
      <w:pPr>
        <w:spacing w:before="120" w:after="120"/>
      </w:pPr>
      <w:r>
        <w:rPr>
          <w:sz w:val="18"/>
        </w:rPr>
        <w:t>——————————————————————————————————————————————————————————————————————</w:t>
      </w:r>
    </w:p>
    <w:p>
      <w:pPr>
        <w:spacing w:before="160" w:after="40" w:line="240" w:lineRule="auto"/>
      </w:pPr>
      <w:r>
        <w:rPr>
          <w:b/>
        </w:rPr>
        <w:t xml:space="preserve">[23] </w:t>
      </w:r>
      <w:hyperlink r:id="rId630">
        <w:r>
          <w:rPr>
            <w:color w:val="1155CC"/>
            <w:u w:val="single"/>
          </w:rPr>
          <w:t>空间合唱的超快电子加速</w:t>
        </w:r>
      </w:hyperlink>
    </w:p>
    <w:p>
      <w:pPr>
        <w:spacing w:before="0" w:after="80"/>
      </w:pPr>
      <w:r>
        <w:rPr>
          <w:i/>
          <w:sz w:val="20"/>
        </w:rPr>
        <w:t>EN: Ultrafast electron acceleration by space chorus</w:t>
      </w:r>
    </w:p>
    <w:p>
      <w:pPr>
        <w:spacing w:before="0" w:after="120"/>
      </w:pPr>
      <w:r>
        <w:rPr>
          <w:b/>
        </w:rPr>
        <w:t xml:space="preserve">Source: </w:t>
      </w:r>
      <w:r>
        <w:t>Earth and environmental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合唱发射是自然界中最强的电磁波之一，被认为会引起强烈的电子加速，从而显着改变太空天气和气候。然而，由于涉及的时空尺度较小，通过合唱团直接测量电子加速度一直非常具有挑战性。在这里，我们利用美国宇航局磁层多尺度航天器的高节奏观测，展示了空间合唱团对电子加速度的超快测量。我们发现，观察到的合唱与呈现蝶形俯仰角分布的局部加速高能电子相关，并且合唱波局部阻尼，导致电子主要通过回旋共振在垂直于环境磁场的方向获得能量增益。我们证明了合唱驱动的电子加速是超快的，净加速比约为 300 eV/s，并揭示电子加速与非线性波捕获相关，受波频率和磁场的时空不均匀性控制。这些观测结果为合唱团产生的非线性、超快电子加速提供了直接证据，表明未来的空间天气预报模型应纳入合唱团引起的非线性效应，并为理解地球空间及其他区域的高能辐射提供重要见解。</w:t>
      </w:r>
    </w:p>
    <w:p>
      <w:pPr>
        <w:spacing w:before="0" w:after="200" w:lineRule="auto" w:line="276"/>
      </w:pPr>
      <w:r>
        <w:rPr>
          <w:b/>
        </w:rPr>
        <w:t xml:space="preserve">Abstract (EN): </w:t>
      </w:r>
      <w:r>
        <w:t>Chorus emissions, among the strongest electromagnetic waves occurring in nature, have been believed to cause intense electron acceleration which can significantly alter space weather and climate. However, direct measurement of electron acceleration by chorus has been highly challenging due to small spatiotemporal scales involved. Here we present ultrafast measurements of electron acceleration by space chorus, using high-cadence observations from NASA’s Magnetospheric Multiscale spacecraft. We find that the observed chorus is associated with locally-accelerated energetic electrons exhibiting butterfly pitch angle distribution, and the chorus waves were locally damping, resulting in energy gain of electrons mainly at direction perpendicular to ambient magnetic field by cyclotron resonance. We demonstrate that the chorus-driven electron acceleration was ultrafast, with a net acceleration ratio of approximately 300 eV/s, and reveal that the electron acceleration was established in association with nonlinear wave trapping, controlled by spatiotemporal inhomogeneity of wave frequency and magnetic field. These observations provide direct evidence for nonlinear, ultrafast electron acceleration by chorus, suggest that future space weather forecasting models should incorporate chorus-induced nonlinear effects, and offer important insights into understanding energetic radiations in geospace and beyond.</w:t>
      </w:r>
    </w:p>
    <w:p>
      <w:pPr>
        <w:spacing w:before="120" w:after="120"/>
      </w:pPr>
      <w:r>
        <w:rPr>
          <w:sz w:val="18"/>
        </w:rPr>
        <w:t>——————————————————————————————————————————————————————————————————————</w:t>
      </w:r>
    </w:p>
    <w:p>
      <w:pPr>
        <w:spacing w:before="160" w:after="40" w:line="240" w:lineRule="auto"/>
      </w:pPr>
      <w:r>
        <w:rPr>
          <w:b/>
        </w:rPr>
        <w:t xml:space="preserve">[24] </w:t>
      </w:r>
      <w:hyperlink r:id="rId631">
        <w:r>
          <w:rPr>
            <w:color w:val="1155CC"/>
            <w:u w:val="single"/>
          </w:rPr>
          <w:t>设计供体-受体共价有机框架中的 N 位异构现象，以实现高效的类芬顿水净化</w:t>
        </w:r>
      </w:hyperlink>
    </w:p>
    <w:p>
      <w:pPr>
        <w:spacing w:before="0" w:after="80"/>
      </w:pPr>
      <w:r>
        <w:rPr>
          <w:i/>
          <w:sz w:val="20"/>
        </w:rPr>
        <w:t>EN: Engineering N-site isomerism in donor-acceptor covalent organic frameworks for efficient Fenton-like water purification</w:t>
      </w:r>
    </w:p>
    <w:p>
      <w:pPr>
        <w:spacing w:before="0" w:after="120"/>
      </w:pPr>
      <w:r>
        <w:rPr>
          <w:b/>
        </w:rPr>
        <w:t xml:space="preserve">Source: </w:t>
      </w:r>
      <w:r>
        <w:t>Earth and environmental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共价有机框架（COF）已成为通过过一硫酸盐（PMS）活化生成单线态氧（1O2）的有希望的候选者，但它们的结构-性质-活性关系仍然知之甚少。在此，通过N位异构工程构建了三种结构异构的供体-受体COF（TF-22Bpy、TA-22Bpy和TA-33Bpy），其中涉及精确调节骨架内的亚胺和吡啶氮位置。这种系统的结构工程旨在揭示区域异构现象对电子结构和随后的类芬顿催化活性的基本影响。在异构体中，TA-33Bpy 对 PMS 激活表现出最佳的催化活性，观察到的速率常数 (kobs) 为 0.165 min−1。该值比 TF-22Bpy (0.013 min−1) 和 TA-22Bpy (0.052 min−1) 分别高出 12.7 和 3.2 倍。机理研究表明，直接的 PMS-COF 相互作用会诱导供体-受体框架内的电荷极化，产生局部缺电子和富电子域，从而促进选择性生成 1O2 所需的耦合氧化还原步骤。这项工作将 PMS 触发的电荷极化确定为 PMS 激活的关键决定因素，并为用于水净化的高性能 COF 催化剂提供了设计原理。</w:t>
      </w:r>
    </w:p>
    <w:p>
      <w:pPr>
        <w:spacing w:before="0" w:after="200" w:lineRule="auto" w:line="276"/>
      </w:pPr>
      <w:r>
        <w:rPr>
          <w:b/>
        </w:rPr>
        <w:t xml:space="preserve">Abstract (EN): </w:t>
      </w:r>
      <w:r>
        <w:t>Covalent organic frameworks (COFs) have emerged as promising candidates for singlet oxygen (1O2) generation via peroxymonosulfate (PMS) activation, yet their structure-property-activity relationships remain poorly understood. Herein, three constitutionally isomeric donor-acceptor COFs (TF-22Bpy, TA-22Bpy and TA-33Bpy) were constructed via N-site isomeric engineering, which involved precisely modulation of the imine and pyridine nitrogen positions within the skeleton. This systematically structural engineering was undertaken to unravel the fundamental effects of regioisomerism on both the electronic structure and subsequent Fenton-like catalytic activity. Among the isomers, TA-33Bpy showed the best catalytic activity for PMS activation, exhibiting an observed rate constant (kobs) of 0.165 min−1. This value is substantially higher than those of TF-22Bpy (0.013 min−1) and TA-22Bpy (0.052 min−1) by factors of 12.7 and 3.2, respectively. Mechanistic investigations indicate that direct PMS-COF interaction induces charge polarization within the donor-acceptor framework, generating localized electron-deficient and electron-enriched domains that promote the coupled redox steps required for selective ¹O₂ generation. This work identifies PMS-triggered charge polarization as a key determinant of PMS activation and offers a design principle for high-performance COF catalysts for water purification.</w:t>
      </w:r>
    </w:p>
    <w:p>
      <w:pPr>
        <w:spacing w:before="120" w:after="120"/>
      </w:pPr>
      <w:r>
        <w:rPr>
          <w:sz w:val="18"/>
        </w:rPr>
        <w:t>——————————————————————————————————————————————————————————————————————</w:t>
      </w:r>
    </w:p>
    <w:p>
      <w:pPr>
        <w:spacing w:before="160" w:after="40" w:line="240" w:lineRule="auto"/>
      </w:pPr>
      <w:r>
        <w:rPr>
          <w:b/>
        </w:rPr>
        <w:t xml:space="preserve">[25] </w:t>
      </w:r>
      <w:hyperlink r:id="rId632">
        <w:r>
          <w:rPr>
            <w:color w:val="1155CC"/>
            <w:u w:val="single"/>
          </w:rPr>
          <w:t>实现具有温度和离子强度独立性或可编程依赖性的分子信号传导</w:t>
        </w:r>
      </w:hyperlink>
    </w:p>
    <w:p>
      <w:pPr>
        <w:spacing w:before="0" w:after="80"/>
      </w:pPr>
      <w:r>
        <w:rPr>
          <w:i/>
          <w:sz w:val="20"/>
        </w:rPr>
        <w:t>EN: Enabling molecular signaling with temperature and ionic-strength independence or programmable dependence</w:t>
      </w:r>
    </w:p>
    <w:p>
      <w:pPr>
        <w:spacing w:before="0" w:after="120"/>
      </w:pPr>
      <w:r>
        <w:rPr>
          <w:b/>
        </w:rPr>
        <w:t xml:space="preserve">Source: </w:t>
      </w:r>
      <w:r>
        <w:t>Biological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化学反应的平衡常数从根本上取决于温度，这给生命系统带来了挑战。然而，许多构象生物体不能维持稳定的内部温度。这就提出了一个问题：分子信号通路本质上可以抵抗温度敏感性吗？分子交换是最近发现的一种从根本上不同的生物信息处理和可逆缔合/解离反应存储机制。在这里，我们表明分子换向能够实现独立于温度和离子强度的复杂信号系统，更一般地说，可以可编程地依赖于这些参数。使用各种 DNA 逻辑门、受体激活剂网络和具有复杂输入输出关系的系统（例如，计算为代数函数）的例子，我们通过计算证明在这些网络中引入补偿反应可以使其信号独立于温度和离子强度。我们通过实验验证了“是”逻辑门的这种独立性。最后，我们通过计算证明网络的输出遵循温度和离子强度的预定义函数形式（例如，sin(T)，其中 T 是温度）。基于亲和力的网络所呈现的内在能力提供了显着的稳态和信号控制机制，可以被任意高复杂性的生物系统使用。</w:t>
      </w:r>
    </w:p>
    <w:p>
      <w:pPr>
        <w:spacing w:before="0" w:after="200" w:lineRule="auto" w:line="276"/>
      </w:pPr>
      <w:r>
        <w:rPr>
          <w:b/>
        </w:rPr>
        <w:t xml:space="preserve">Abstract (EN): </w:t>
      </w:r>
      <w:r>
        <w:t>The equilibrium constants of chemical reactions fundamentally depend on temperature, posing challenges for living systems. However, many conformer organisms do not maintain a stable internal temperature. This raises the question: can molecular signaling pathways inherently resist temperature susceptibility? Molecular commutation is a recently discovered, fundamentally distinct mechanism of biological information processing and storage within reversible association/dissociation reactions. Here, we show that molecular commutation enables complex signaling systems that are independent of temperature and ionic strength and, even more generally, programmably dependent on these parameters. Using examples of various DNA logic gates, receptor-activator networks, and systems with complex input–output relationships (e.g., computed as algebraic functions), we demonstrate computationally that introducing compensatory reactions in these networks can render their signaling independent of temperature and ionic strength. We experimentally validate such independence for a case of a YES-logic gate. Finally, we computationally demonstrate networks with outputs that follow predefined functional forms of temperature and ionic strength (e.g., sin(T), where T is temperature). The presented intrinsic capabilities of affinity-based networks provide a remarkable homeostasis and signaling control mechanism that may be used by biological systems of arbitrarily high complexity.</w:t>
      </w:r>
    </w:p>
    <w:p>
      <w:pPr>
        <w:spacing w:before="120" w:after="120"/>
      </w:pPr>
      <w:r>
        <w:rPr>
          <w:sz w:val="18"/>
        </w:rPr>
        <w:t>——————————————————————————————————————————————————————————————————————</w:t>
      </w:r>
    </w:p>
    <w:p>
      <w:pPr>
        <w:spacing w:before="160" w:after="40" w:line="240" w:lineRule="auto"/>
      </w:pPr>
      <w:r>
        <w:rPr>
          <w:b/>
        </w:rPr>
        <w:t xml:space="preserve">[26] </w:t>
      </w:r>
      <w:hyperlink r:id="rId633">
        <w:r>
          <w:rPr>
            <w:color w:val="1155CC"/>
            <w:u w:val="single"/>
          </w:rPr>
          <w:t>非典型孔结构是人视网膜TRPM1本构门控的基础</w:t>
        </w:r>
      </w:hyperlink>
    </w:p>
    <w:p>
      <w:pPr>
        <w:spacing w:before="0" w:after="80"/>
      </w:pPr>
      <w:r>
        <w:rPr>
          <w:i/>
          <w:sz w:val="20"/>
        </w:rPr>
        <w:t>EN: Non-canonical pore architecture underlies constitutive gating of human retinal TRPM1</w:t>
      </w:r>
    </w:p>
    <w:p>
      <w:pPr>
        <w:spacing w:before="0" w:after="120"/>
      </w:pPr>
      <w:r>
        <w:rPr>
          <w:b/>
        </w:rPr>
        <w:t xml:space="preserve">Source: </w:t>
      </w:r>
      <w:r>
        <w:t>Biological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瞬时受体电位 melastatin 1 (TRPM1) 是一种 Ca2+ 渗透性非选择性阳离子通道，对于视网膜 ON 双极细胞信号传导和夜视至关重要，并与先天性夜盲症有关，但其结构和功能仍不清楚。在这里，我们报告了人类 TRPM1 的冷冻电子显微镜结构，揭示了虽然它组装为四聚体，但它采用了意想不到的顺时针结构域交换孔模块，其旋转几何形状与之前表征的 6-TM 四聚体通道中观察到的相反。这种倒置的拓扑结构伴随着 S5-P-S6 模块的广泛重塑、选择性过滤器的扩张、中央腔的扩张以及 S6 的张开以形成宽的细胞内门。我们的单通道记录揭示了与捕获的导电状态一致的本构活动。总之，这些发现揭示了四聚体通道中的 6-TM 折叠，并为理解 TRPM1 门控、疾病相关功能障碍和相关药理学提供了框架。</w:t>
      </w:r>
    </w:p>
    <w:p>
      <w:pPr>
        <w:spacing w:before="0" w:after="200" w:lineRule="auto" w:line="276"/>
      </w:pPr>
      <w:r>
        <w:rPr>
          <w:b/>
        </w:rPr>
        <w:t xml:space="preserve">Abstract (EN): </w:t>
      </w:r>
      <w:r>
        <w:t>Transient receptor potential melastatin 1 (TRPM1), a Ca²⁺-permeable nonselective cation channel essential for retinal ON bipolar cell signaling and night vision, and implicated in congenital night blindness, has remained structurally and functionally poorly characterized. Here we report the cryo–electron microscopy structure of human TRPM1, revealing that although it assembles as a tetramer, it adopts an unexpected clockwise domain-swapped pore module with rotational geometry inverse to that observed in previously characterized 6-TM tetrameric channels. This inverted topology is accompanied by extensive remodeling of the S5–P–S6 module, dilation of the selectivity filter, expansion of the central cavity, and splaying of S6 to form a wide intracellular gate. Our single-channel recordings reveal constitutive activity consistent with the conductive state captured. Together, these findings uncover a 6-TM fold in the tetrameric channel and provide a framework for understanding TRPM1 gating, disease-associated dysfunction, and associated pharmacology.</w:t>
      </w:r>
    </w:p>
    <w:p>
      <w:pPr>
        <w:spacing w:before="120" w:after="120"/>
      </w:pPr>
      <w:r>
        <w:rPr>
          <w:sz w:val="18"/>
        </w:rPr>
        <w:t>——————————————————————————————————————————————————————————————————————</w:t>
      </w:r>
    </w:p>
    <w:p>
      <w:pPr>
        <w:spacing w:before="160" w:after="40" w:line="240" w:lineRule="auto"/>
      </w:pPr>
      <w:r>
        <w:rPr>
          <w:b/>
        </w:rPr>
        <w:t xml:space="preserve">[27] </w:t>
      </w:r>
      <w:hyperlink r:id="rId634">
        <w:r>
          <w:rPr>
            <w:color w:val="1155CC"/>
            <w:u w:val="single"/>
          </w:rPr>
          <w:t>谷氨酰胺酰-tRNA合成酶QARS的核定位揭示了其在卵巢癌DNA损伤反应中的作用</w:t>
        </w:r>
      </w:hyperlink>
    </w:p>
    <w:p>
      <w:pPr>
        <w:spacing w:before="0" w:after="80"/>
      </w:pPr>
      <w:r>
        <w:rPr>
          <w:i/>
          <w:sz w:val="20"/>
        </w:rPr>
        <w:t>EN: Nuclear localization of the glutaminyl-tRNA synthetase QARS reveals its role in DNA damage response in ovarian cancer</w:t>
      </w:r>
    </w:p>
    <w:p>
      <w:pPr>
        <w:spacing w:before="0" w:after="120"/>
      </w:pPr>
      <w:r>
        <w:rPr>
          <w:b/>
        </w:rPr>
        <w:t xml:space="preserve">Source: </w:t>
      </w:r>
      <w:r>
        <w:t>Biological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揭示控制 DNA 损伤反应 (DDR) 的新机制对于更好地了解高级别浆液性卵巢癌 (HGSOC) 的分子特征至关重要，这仍然是一个临床挑战。在这里，我们证明谷氨酰胺酰-tRNA-合成酶 QARS 是 DDR 中的关键角色。我们发现 QARS 在翻译水平上受到 HGSOC 中 MAPK 通路的调节，并通过翻译独立机制控制同源重组（HR）。结合来自 HGSOC 患者群体和相关细胞模型的 RNA 测序、免疫组织化学、蛋白质组数据和功能测定的分析表明，QARS 通过 HR 途径促进 DNA 修复。有趣的是，我们发现 QARS 位于细胞核中，并且在 DNA 损伤时在染色质处富集。核 QARS 通过与核自身抗原 SP100 相互作用来控制 HR，SP100 是 PML 核体 (PML-NB) 的主要组成部分，是 DNA 修复蛋白的调节中心。我们的数据强调了 QARS 的核功能和机制，涉及 SP100、PML-NB 和 MRE11，可增强 HGSOC 中的 HR。</w:t>
      </w:r>
    </w:p>
    <w:p>
      <w:pPr>
        <w:spacing w:before="0" w:after="200" w:lineRule="auto" w:line="276"/>
      </w:pPr>
      <w:r>
        <w:rPr>
          <w:b/>
        </w:rPr>
        <w:t xml:space="preserve">Abstract (EN): </w:t>
      </w:r>
      <w:r>
        <w:t>Uncovering novel mechanisms controlling DNA damage response (DDR) is essential to better understand the molecular features of high-grade serous ovarian cancers (HGSOC), which remain a clinical challenge. Here, we demonstrate that the glutaminyl-tRNA-synthetase QARS is a key player in DDR. We show that QARS is regulated at translational level by the MAPK pathway in HGSOC and controls homologous recombination (HR) through a translation-independent mechanism. Analyses combining RNA sequencing, immunohistochemistry, proteomic data and functional assays from HGSOC patient cohorts and relevant cellular models reveal that QARS promotes DNA repair via the HR pathway. Interestingly, we uncover that QARS is located in the nucleus and is enriched at chromatin upon DNA damage. Nuclear QARS controls HR by interacting with the nuclear autoantigen SP100, a major component of PML-nuclear bodies (PML-NB), that are regulatory hubs for DNA repair proteins. Our data highlight nuclear functions and mechanisms for QARS involving SP100, PML-NB and MRE11 that enhance HR in HGSOC.</w:t>
      </w:r>
    </w:p>
    <w:p>
      <w:pPr>
        <w:spacing w:before="120" w:after="120"/>
      </w:pPr>
      <w:r>
        <w:rPr>
          <w:sz w:val="18"/>
        </w:rPr>
        <w:t>——————————————————————————————————————————————————————————————————————</w:t>
      </w:r>
    </w:p>
    <w:p>
      <w:pPr>
        <w:spacing w:before="160" w:after="40" w:line="240" w:lineRule="auto"/>
      </w:pPr>
      <w:r>
        <w:rPr>
          <w:b/>
        </w:rPr>
        <w:t xml:space="preserve">[28] </w:t>
      </w:r>
      <w:hyperlink r:id="rId635">
        <w:r>
          <w:rPr>
            <w:color w:val="1155CC"/>
            <w:u w:val="single"/>
          </w:rPr>
          <w:t>利用效应器网络工程设计减毒活细菌疫苗</w:t>
        </w:r>
      </w:hyperlink>
    </w:p>
    <w:p>
      <w:pPr>
        <w:spacing w:before="0" w:after="80"/>
      </w:pPr>
      <w:r>
        <w:rPr>
          <w:i/>
          <w:sz w:val="20"/>
        </w:rPr>
        <w:t>EN: Design of a live-attenuated bacterial vaccine using effector network engineering</w:t>
      </w:r>
    </w:p>
    <w:p>
      <w:pPr>
        <w:spacing w:before="0" w:after="120"/>
      </w:pPr>
      <w:r>
        <w:rPr>
          <w:b/>
        </w:rPr>
        <w:t xml:space="preserve">Source: </w:t>
      </w:r>
      <w:r>
        <w:t>Biological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肠致病性大肠杆菌 (EPEC) 和啮齿类柠檬酸杆菌 (CR) 分别是人类和小鼠的细胞外肠附着和消除 (A/E) 病原体。它们的毒力依赖于紧密的细菌附着和 III 型分泌系统效应器网络。在这里，通过系统地减少和重新设计 CR 中的效应器网络，我们开发了一种减毒株 CRV（CR 疫苗），编码十个效应器的子集。 CRV 在 C57BL/6 小鼠中的定植率比野生型 CR (CRWT) 低约 100 倍，但不会引起明显的发病机制。此外，死于 CRWT 感染的 C3H/HeN 小鼠能够在 CRV 攻击中存活下来。 CRV 疫苗接种可以为两种小鼠品系提供针对后续 CRWT 感染的保护。血清学分析揭示了一系列主要的 CR 抗原，包括 O 抗原、毒力因子 intimin、EspA 和 Tir 以及外膜蛋白 Lpp、OmpA、MetQ 和 CARC（一种 AIDA 样自转运蛋白）。我们发现 CRWT 和 CRV 免疫引起类似的 B 细胞和抗体反应，这取决于紧密的细菌附着。相应的 EPEC 菌株（大肠杆菌疫苗，ECV）可有效地在芯片肠道模型中定植上皮细胞。这些发现将效应网络最小化确立为合理细菌减毒和活减毒疫苗设计的通用策略。</w:t>
      </w:r>
    </w:p>
    <w:p>
      <w:pPr>
        <w:spacing w:before="0" w:after="200" w:lineRule="auto" w:line="276"/>
      </w:pPr>
      <w:r>
        <w:rPr>
          <w:b/>
        </w:rPr>
        <w:t xml:space="preserve">Abstract (EN): </w:t>
      </w:r>
      <w:r>
        <w:t>Enteropathogenic Escherichia coli (EPEC) and Citrobacter rodentium (CR) are extracellular enteric attaching and effacing (A/E) pathogens of humans and mice, respectively. Their virulence relies on intimate bacterial attachment and a network of type III secretion system effectors. Here, through systematic reduction and redesign of the effector network in CR, we develop an attenuated strain, CRV (CR Vaccine), encoding a subset of ten effectors. CRV colonises C57BL/6 mice ~100-fold lower than wild type CR (CRWT) without causing overt pathogenesis. Moreover, C3H/HeN mice, which succumb to CRWT infection, survive CRV challenge. Vaccination with CRV confers protection against subsequent CRWT infection in both mouse strains. Serological analysis reveals a repertoire of dominant CR antigens, including the O-antigen, the virulence factors intimin, EspA and Tir and the outer membrane proteins Lpp, OmpA, MetQ and CARC (an AIDA-like autotransporter). We show that CRWT and CRV immunisation elicits comparable B cell and antibody responses, which is contingent on intimate bacterial attachment. A corresponding EPEC strain (E. coli Vaccine, ECV) effectively colonises epithelial cells in a gut-on-chip model. These findings establish effector network minimisation as a generalisable strategy for rational bacterial attenuation and live-attenuated vaccine design.</w:t>
      </w:r>
    </w:p>
    <w:p>
      <w:pPr>
        <w:spacing w:before="120" w:after="120"/>
      </w:pPr>
      <w:r>
        <w:rPr>
          <w:sz w:val="18"/>
        </w:rPr>
        <w:t>——————————————————————————————————————————————————————————————————————</w:t>
      </w:r>
    </w:p>
    <w:p>
      <w:pPr>
        <w:spacing w:before="160" w:after="40" w:line="240" w:lineRule="auto"/>
      </w:pPr>
      <w:r>
        <w:rPr>
          <w:b/>
        </w:rPr>
        <w:t xml:space="preserve">[29] </w:t>
      </w:r>
      <w:hyperlink r:id="rId636">
        <w:r>
          <w:rPr>
            <w:color w:val="1155CC"/>
            <w:u w:val="single"/>
          </w:rPr>
          <w:t>能量感应激酶 OsSnRK1b 及其调节因子 OsCTK1 促进寒冷诱导的气孔关闭和耐冷性</w:t>
        </w:r>
      </w:hyperlink>
    </w:p>
    <w:p>
      <w:pPr>
        <w:spacing w:before="0" w:after="80"/>
      </w:pPr>
      <w:r>
        <w:rPr>
          <w:i/>
          <w:sz w:val="20"/>
        </w:rPr>
        <w:t>EN: Energy-sensing kinase OsSnRK1b and its regulator OsCTK1 promote chilling-induced stomatal closure and cold tolerance</w:t>
      </w:r>
    </w:p>
    <w:p>
      <w:pPr>
        <w:spacing w:before="0" w:after="120"/>
      </w:pPr>
      <w:r>
        <w:rPr>
          <w:b/>
        </w:rPr>
        <w:t xml:space="preserve">Source: </w:t>
      </w:r>
      <w:r>
        <w:t>Biological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低温会给植物生长和发育带来重大挑战。在这里，我们报告低能量反应和气孔关闭是植物耐寒性的两个重要反应。水稻 SNF1 相关激酶 1b (OsSnRK1b) 在低能量响应中具有进化保守的功能。其蛋白质丰度由耐冷调节剂耐冷激酶 1 (OsCTK1) 通过磷酸化进行正向调节。 OsCTK1和OsSnRK1b都促进冷诱导的气孔关闭和冷耐受性，而OsSnRK1b的过表达以OsCTK1依赖性方式增强气孔关闭和冷耐受性。此外，冷却会引起低能量响应，这在很大程度上取决于 OsSnRK1b。 OsCTK1 和 OsSnRK1b 都是诱导应激反应基因脱落酸不敏感 5 (OsABI5) 和抑制低温下生长相关过程所必需的。拟南芥和玉米中的 CTK1 同源物也正向调节耐冷性和冷诱导的气孔关闭，表明低能量响应和气孔孔径控制在植物耐冷性中的保守作用。</w:t>
      </w:r>
    </w:p>
    <w:p>
      <w:pPr>
        <w:spacing w:before="0" w:after="200" w:lineRule="auto" w:line="276"/>
      </w:pPr>
      <w:r>
        <w:rPr>
          <w:b/>
        </w:rPr>
        <w:t xml:space="preserve">Abstract (EN): </w:t>
      </w:r>
      <w:r>
        <w:t>Low temperatures can present a major challenge to plant growth and development. Here we report that low energy response and stomatal closure are two important responses for plant cold tolerance. The rice SNF1-Related Kinase 1b (OsSnRK1b) has an evolutionarily conserved function in low energy response. Its protein abundance is positively regulated by a cold tolerance regulator Chilling Tolerance Kinase 1 (OsCTK1) through phosphorylation. Both OsCTK1 and OsSnRK1b promote chilling-induced stomatal closure and chilling tolerance, while overexpression of OsSnRK1b enhances stomatal closure and chilling tolerance in an OsCTK1-dependent manner. In addition, chilling induces low energy response which is largely dependent on OsSnRK1b. Both OsCTK1 and OsSnRK1b are required for the induction of stress response gene Abscisic Acid Insensitive 5 (OsABI5) and the inhibition of growth-associated processes under chilling. CTK1 homologs in Arabidopsis and maize also positively regulate cold tolerance and cold induced stomatal closure, indicating a conserved role of low energy response and stomatal aperture control in plant cold tolerance.</w:t>
      </w:r>
    </w:p>
    <w:p>
      <w:pPr>
        <w:spacing w:before="120" w:after="120"/>
      </w:pPr>
      <w:r>
        <w:rPr>
          <w:sz w:val="18"/>
        </w:rPr>
        <w:t>——————————————————————————————————————————————————————————————————————</w:t>
      </w:r>
    </w:p>
    <w:p>
      <w:pPr>
        <w:spacing w:before="160" w:after="40" w:line="240" w:lineRule="auto"/>
      </w:pPr>
      <w:r>
        <w:rPr>
          <w:b/>
        </w:rPr>
        <w:t xml:space="preserve">[30] </w:t>
      </w:r>
      <w:hyperlink r:id="rId637">
        <w:r>
          <w:rPr>
            <w:color w:val="1155CC"/>
            <w:u w:val="single"/>
          </w:rPr>
          <w:t>转座子编码产品的功能图谱及其与宿主网络的集成</w:t>
        </w:r>
      </w:hyperlink>
    </w:p>
    <w:p>
      <w:pPr>
        <w:spacing w:before="0" w:after="80"/>
      </w:pPr>
      <w:r>
        <w:rPr>
          <w:i/>
          <w:sz w:val="20"/>
        </w:rPr>
        <w:t>EN: A functional atlas of transposon-encoded products and their integration into host networks</w:t>
      </w:r>
    </w:p>
    <w:p>
      <w:pPr>
        <w:spacing w:before="0" w:after="120"/>
      </w:pPr>
      <w:r>
        <w:rPr>
          <w:b/>
        </w:rPr>
        <w:t xml:space="preserve">Source: </w:t>
      </w:r>
      <w:r>
        <w:t>Biological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转座元件（TE）是普遍存在的基因组成分，通过自编码因子传播，但这些因子的性质、调控和功能在很大程度上仍未解决。在这里，我们整合了广泛的长读和短读转录组数据、调控网络分析、深层蛋白质组学和结构预测，构建了拟南芥中 TE 产品的综合图谱。我们发现 TE 表达嵌入宿主调节回路中，DNA 甲基化和转录因子共同塑造 TE 转录活性。蛋白质组学分析证实了一百多种高置信度 TE 编码蛋白质的产生，并且对转录本信息的 TE 蛋白质组进行结构引导分析，预测了以前未表征的结构折叠、多聚化能力和宿主蛋白质相互作用潜力。结构比对进一步揭示了 TE 编码的蛋白质和宿主因子之间的神秘同源性，包括驯化和共同选择的情况。总之，我们的研究揭示了 TE 在细胞通路中的功能整合，并强调了 TE 作为基因组功能和创新的积极驱动因素的作用。</w:t>
      </w:r>
    </w:p>
    <w:p>
      <w:pPr>
        <w:spacing w:before="0" w:after="200" w:lineRule="auto" w:line="276"/>
      </w:pPr>
      <w:r>
        <w:rPr>
          <w:b/>
        </w:rPr>
        <w:t xml:space="preserve">Abstract (EN): </w:t>
      </w:r>
      <w:r>
        <w:t>Transposable elements (TEs) are pervasive genomic components that propagate via self-encoded factors, yet the nature, regulation, and function of these factors remain largely unresolved. Here, we integrated extensive long- and short-read transcriptome data, regulatory network analyses, deep proteomics, and structural predictions to construct a comprehensive atlas of TE products in Arabidopsis. We show that TE expression is embedded within host regulatory circuits, with DNA methylation and transcription factors jointly shaping TE transcriptional activity. Proteomic analyses confirm the production of over a hundred of high-confidence TE-encoded proteins, and structure-guided analyses of the transcript-informed TE proteome predict previously uncharacterized structural folds, multimerization capacity, and host protein interaction potential. Structural alignments further uncover cryptic homologies between TE-encoded proteins and host factors, including cases of domestications and co-options. Together, our study reveals the functional integration of TEs into cellular pathways and underscores the role of TEs as active drivers of genome function and innovation.</w:t>
      </w:r>
    </w:p>
    <w:p>
      <w:pPr>
        <w:spacing w:before="120" w:after="120"/>
      </w:pPr>
      <w:r>
        <w:rPr>
          <w:sz w:val="18"/>
        </w:rPr>
        <w:t>——————————————————————————————————————————————————————————————————————</w:t>
      </w:r>
    </w:p>
    <w:p>
      <w:pPr>
        <w:spacing w:before="160" w:after="40" w:line="240" w:lineRule="auto"/>
      </w:pPr>
      <w:r>
        <w:rPr>
          <w:b/>
        </w:rPr>
        <w:t xml:space="preserve">[31] </w:t>
      </w:r>
      <w:hyperlink r:id="rId638">
        <w:r>
          <w:rPr>
            <w:color w:val="1155CC"/>
            <w:u w:val="single"/>
          </w:rPr>
          <w:t>缰核轴突末端的调节支持斑马鱼幼虫的行动结果关联</w:t>
        </w:r>
      </w:hyperlink>
    </w:p>
    <w:p>
      <w:pPr>
        <w:spacing w:before="0" w:after="80"/>
      </w:pPr>
      <w:r>
        <w:rPr>
          <w:i/>
          <w:sz w:val="20"/>
        </w:rPr>
        <w:t>EN: Modulation of habenula axon terminals supports action-outcome associations in larval zebrafish</w:t>
      </w:r>
    </w:p>
    <w:p>
      <w:pPr>
        <w:spacing w:before="0" w:after="120"/>
      </w:pPr>
      <w:r>
        <w:rPr>
          <w:b/>
        </w:rPr>
        <w:t xml:space="preserve">Source: </w:t>
      </w:r>
      <w:r>
        <w:t>Biological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改善行为绩效依赖于将决策与其积极和消极结果联系起来的能力。尽管已经在多个大脑区域中识别出将行为与其后果相关联的神经元，但这种整合背后的电路级机制仍然知之甚少。在这里，通过对斑马鱼幼虫进行操作性温度调节测定，我们发现背侧缰核-脚间核（dHb-IPN）途径对于将行为与随后的热奖励相关联是必要的。一群中间 IPN (iIPN) 神经元仅在导致奖励时才对动作进行编码，这表明它们在建立动作与结果关联中发挥着作用。这种集成在时间上是精确的，要求行为测定和 iIPN 响应中的操作及其结果在大约一秒内发生。然后，我们结合电路映射和轴突成像来表明，动作和奖励信号分别由 GABA 能前桥和谷氨酸能 dHb 神经元传递。最后，动作和奖励信号之间的整合依赖于突触前 GABAB 受体介导的桥前​​神经元对 dHb 轴突末端的调节。这些结果将自适应行为的关键计算与特定的电路机制联系起来。</w:t>
      </w:r>
    </w:p>
    <w:p>
      <w:pPr>
        <w:spacing w:before="0" w:after="200" w:lineRule="auto" w:line="276"/>
      </w:pPr>
      <w:r>
        <w:rPr>
          <w:b/>
        </w:rPr>
        <w:t xml:space="preserve">Abstract (EN): </w:t>
      </w:r>
      <w:r>
        <w:t>Improving behavioral performance relies on the ability to associate decisions with their positive and negative outcomes. Although neurons that associate actions with their consequences have been identified across multiple brain regions, the circuit-level mechanisms underlying this integration remain poorly understood. Here, using an operant thermoregulatory assay in larval zebrafish, we show that the dorsal habenula-interpeduncular nucleus (dHb-IPN) pathway is necessary for associating actions with subsequent thermal reward. A population of intermediate IPN (iIPN) neurons encodes actions only when they lead to reward, suggesting a role in establishing action-outcome associations. This integration is temporally precise, requiring actions and their outcomes to occur within approximately one second in both the behavioral assay and iIPN responses. We then combine circuit mapping and axon imaging to show that actions and reward signals are conveyed by GABAergic prepontine and glutamatergic dHb neurons, respectively. Finally, the integration between action and reward signals relies on presynaptic GABAB receptor-mediated modulation of dHb axon terminals by prepontine neurons. These results link a crucial computation for adaptive behavior to a specific circuit mechanism.</w:t>
      </w:r>
    </w:p>
    <w:p>
      <w:pPr>
        <w:spacing w:before="120" w:after="120"/>
      </w:pPr>
      <w:r>
        <w:rPr>
          <w:sz w:val="18"/>
        </w:rPr>
        <w:t>——————————————————————————————————————————————————————————————————————</w:t>
      </w:r>
    </w:p>
    <w:p>
      <w:pPr>
        <w:spacing w:before="160" w:after="40" w:line="240" w:lineRule="auto"/>
      </w:pPr>
      <w:r>
        <w:rPr>
          <w:b/>
        </w:rPr>
        <w:t xml:space="preserve">[32] </w:t>
      </w:r>
      <w:hyperlink r:id="rId639">
        <w:r>
          <w:rPr>
            <w:color w:val="1155CC"/>
            <w:u w:val="single"/>
          </w:rPr>
          <w:t>糖基化通过 Wnt-MUC13 信号传导协调造血干细胞的巨核细胞命运</w:t>
        </w:r>
      </w:hyperlink>
    </w:p>
    <w:p>
      <w:pPr>
        <w:spacing w:before="0" w:after="80"/>
      </w:pPr>
      <w:r>
        <w:rPr>
          <w:i/>
          <w:sz w:val="20"/>
        </w:rPr>
        <w:t>EN: Glycosylation orchestrates megakaryocytic fate of hematopoietic stem cells via Wnt-MUC13 signaling</w:t>
      </w:r>
    </w:p>
    <w:p>
      <w:pPr>
        <w:spacing w:before="0" w:after="120"/>
      </w:pPr>
      <w:r>
        <w:rPr>
          <w:b/>
        </w:rPr>
        <w:t xml:space="preserve">Source: </w:t>
      </w:r>
      <w:r>
        <w:t>Biological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造血干细胞和祖细胞 (HSPC) 通过严格调控的命运决定来维持血液生产。这种控制的破坏是骨髓增生异常综合征 (MDS)、骨髓增生性肿瘤 (MPN) 和遗传性血小板减少症等疾病的基础。虽然 HSPC 的转录和表观遗传调控已得到充分证实，但糖基化的贡献在很大程度上仍未得到探索。在这里，我们将糖基转移酶 B4GALT1 确定为造血的中央调节因子，它将外在的生态位线索与内在的转录程序整合在一起。 B4GALT1 通过生成支持 HSPC 功能的复杂聚糖生态位来塑造骨髓微环境。然而，它的缺陷会产生致癌聚糖特征，破坏 HSPC 生态位完整性，并诱导粘蛋白 13 (MUC13) 的异常表达。这些变化扩大了干细胞和祖细胞池，强制巨核细胞谱系偏向，并激活 Wnt-MUC13/β-连环蛋白信号轴，这是一条与增殖和恶性转化密切相关的途径。因此，B4GALT1 的缺失使增殖与自我更新脱钩，改变干细胞静止、谱系平衡和骨髓稳态的关键调节因子。我们的研究结果定义了一个以前未被认识的聚糖依赖性调节轴，该轴通过协调转录重编程、信号调节和生态位重塑来指导 HSPC 的命运。这项工作将异常糖基化确定为造血功能障碍的驱动因素，并强调 B4GALT1 作为干细胞驱动的血液疾病的潜在治疗靶点。</w:t>
      </w:r>
    </w:p>
    <w:p>
      <w:pPr>
        <w:spacing w:before="0" w:after="200" w:lineRule="auto" w:line="276"/>
      </w:pPr>
      <w:r>
        <w:rPr>
          <w:b/>
        </w:rPr>
        <w:t xml:space="preserve">Abstract (EN): </w:t>
      </w:r>
      <w:r>
        <w:t>Hematopoietic stem and progenitor cells (HSPCs) sustain blood production through tightly regulated fate decisions. Disruption of this control underlies disorders such as myelodysplastic syndromes (MDS), myeloproliferative neoplasms (MPN), and inherited thrombocytopenias. While transcriptional and epigenetic regulation of HSPCs is well established, the contribution of glycosylation has remained largely unexplored. Here, we identify the glycosyltransferase B4GALT1 as a central regulator of hematopoiesis that integrates extrinsic niche cues with intrinsic transcriptional programs. B4GALT1 shapes the bone marrow microenvironment by generating complex glycan niches that support HSPC function. However, its deficiency produces oncogenic glycan signatures, disrupts HSPC niche integrity, and induces aberrant expression of Mucin 13 (MUC13). These changes expand stem and progenitor pools, enforce megakaryocyte lineage bias, and activate the Wnt–MUC13/β-catenin signaling axis, a pathway tightly linked to proliferation and malignant transformation. Consequently, B4GALT1 loss uncouples proliferation from self-renewal, altering key regulators of stem cell quiescence, lineage balance, and marrow homeostasis. Our findings define a previously unrecognized glycan-dependent regulatory axis that directs HSPC fate through coordinated transcriptional reprogramming, signaling modulation, and niche remodeling. This work establishes aberrant glycosylation as a driver of hematopoietic dysfunction and highlights B4GALT1 as a potential therapeutic target in stem cell–driven blood disorders.</w:t>
      </w:r>
    </w:p>
    <w:p>
      <w:pPr>
        <w:spacing w:before="120" w:after="120"/>
      </w:pPr>
      <w:r>
        <w:rPr>
          <w:sz w:val="18"/>
        </w:rPr>
        <w:t>——————————————————————————————————————————————————————————————————————</w:t>
      </w:r>
    </w:p>
    <w:p>
      <w:pPr>
        <w:spacing w:before="160" w:after="40" w:line="240" w:lineRule="auto"/>
      </w:pPr>
      <w:r>
        <w:rPr>
          <w:b/>
        </w:rPr>
        <w:t xml:space="preserve">[33] </w:t>
      </w:r>
      <w:hyperlink r:id="rId640">
        <w:r>
          <w:rPr>
            <w:color w:val="1155CC"/>
            <w:u w:val="single"/>
          </w:rPr>
          <w:t>预组装顶端表面的大量输送启动上皮腔形成</w:t>
        </w:r>
      </w:hyperlink>
    </w:p>
    <w:p>
      <w:pPr>
        <w:spacing w:before="0" w:after="80"/>
      </w:pPr>
      <w:r>
        <w:rPr>
          <w:i/>
          <w:sz w:val="20"/>
        </w:rPr>
        <w:t>EN: Bulk delivery of a preassembled apical surface initiates epithelial lumen formation</w:t>
      </w:r>
    </w:p>
    <w:p>
      <w:pPr>
        <w:spacing w:before="0" w:after="120"/>
      </w:pPr>
      <w:r>
        <w:rPr>
          <w:b/>
        </w:rPr>
        <w:t xml:space="preserve">Source: </w:t>
      </w:r>
      <w:r>
        <w:t>Biological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在从头管腔生成过程中，上皮细胞通过将顶端货物引导至顶膜起始位点（AMIS）来建立管腔身份。尽管这一过程已被广泛研究，但控制 AMIS 形成及其进展为管腔前体的机制仍知之甚少。在这里，我们将定量光学和电子显微镜与邻近蛋白质组学结合起来，证明顶端货物在大型顶端前体细胞器（称为液泡顶端室（VAC））中被传递到 AMIS。 VAC 具有富含微绒毛的皮质，并在 AMIS 处进行胞吐融合以产生新生管腔。管腔起始与顶端细胞连接的组装和重排紧密协调，并且需要 Crumbs 复合蛋白 PatJ。总之，我们的结果表明 PatJ 是顶端-外侧界面的关键结构决定因素，并表明 VAC 作为专门的运输细胞器，将预组装的顶端表面传递到 AMIS，从而实现快速有效的管腔启动。</w:t>
      </w:r>
    </w:p>
    <w:p>
      <w:pPr>
        <w:spacing w:before="0" w:after="200" w:lineRule="auto" w:line="276"/>
      </w:pPr>
      <w:r>
        <w:rPr>
          <w:b/>
        </w:rPr>
        <w:t xml:space="preserve">Abstract (EN): </w:t>
      </w:r>
      <w:r>
        <w:t>During de novo lumenogenesis, epithelial cells establish luminal identity by directing apical cargo to an apical membrane initiation site (AMIS). Although this process has been widely studied, the mechanisms governing AMIS formation and its progression into a luminal precursor remain poorly understood. Here we combine quantitative light and electron microscopy with proximity proteomics to demonstrate that apical cargo is delivered to the AMIS in large apical precursor organelles, termed vacuolar apical compartments (VACs). VACs possess a microvilli-rich cortex and undergo exocytic fusion at the AMIS to generate a nascent lumen. Lumen initiation is tightly coordinated with the assembly and rearrangement of apical cell junctions and requires the Crumbs complex protein PatJ. Together, our results show that PatJ is a key structural determinant of the apical-lateral interface and indicate that VACs act as specialized transport organelles that deliver a preassembled apical surface to the AMIS, enabling rapid and efficient lumen initiation.</w:t>
      </w:r>
    </w:p>
    <w:p>
      <w:pPr>
        <w:spacing w:before="120" w:after="120"/>
      </w:pPr>
      <w:r>
        <w:rPr>
          <w:sz w:val="18"/>
        </w:rPr>
        <w:t>——————————————————————————————————————————————————————————————————————</w:t>
      </w:r>
    </w:p>
    <w:p>
      <w:pPr>
        <w:spacing w:before="160" w:after="40" w:line="240" w:lineRule="auto"/>
      </w:pPr>
      <w:r>
        <w:rPr>
          <w:b/>
        </w:rPr>
        <w:t xml:space="preserve">[34] </w:t>
      </w:r>
      <w:hyperlink r:id="rId641">
        <w:r>
          <w:rPr>
            <w:color w:val="1155CC"/>
            <w:u w:val="single"/>
          </w:rPr>
          <w:t>DNTTIP2 协调 RNA 外泌体活性以确保人类核糖体组装的保真度</w:t>
        </w:r>
      </w:hyperlink>
    </w:p>
    <w:p>
      <w:pPr>
        <w:spacing w:before="0" w:after="80"/>
      </w:pPr>
      <w:r>
        <w:rPr>
          <w:i/>
          <w:sz w:val="20"/>
        </w:rPr>
        <w:t>EN: DNTTIP2 coordinates RNA exosome activities to ensure fidelity of human ribosome assembly</w:t>
      </w:r>
    </w:p>
    <w:p>
      <w:pPr>
        <w:spacing w:before="0" w:after="120"/>
      </w:pPr>
      <w:r>
        <w:rPr>
          <w:b/>
        </w:rPr>
        <w:t xml:space="preserve">Source: </w:t>
      </w:r>
      <w:r>
        <w:t>Biological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RNA 外泌体相关解旋酶 Mtr4/MTR4（酵母/人）由带有 Arch 相互作用基序 (AIM) 的接头蛋白招募，选择性降解 RNA 底物。尽管外泌体靶向多种 RNA，但仅鉴定出少数接头。在这里，我们扩展了人类接头的库存，包括前 tRNA 剪接连接酶复合物成分、剪接体相关因子和 DNTTIP2，小核糖体亚基 (40S) 前体（90S 前核糖体）的组成部分。结构引导研究揭示了 DNTTIP2AIM 对接的持续性外泌体核心及其相关的分布式核酸外切酶 EXOSC10（接触 90S 前核糖体上的远处位点）如何合作降解部分 5'-外部转录间隔区 (5'-ETS)，这是协调早期 40S 组装的关键 RNA 支架。相比之下，90S 前核糖体内的高效前核糖体 RNA 修剪需要 EXOSC10，它可以防止 DNTTIP2AIM 对接的外泌体核心发生不受控制的持续降解。我们认为多价接触提供了一个机制框架，RNA 外泌体通过该框架协调其独特的酶活性，确保核糖核蛋白颗粒成熟过程中的选择性加工和监视。</w:t>
      </w:r>
    </w:p>
    <w:p>
      <w:pPr>
        <w:spacing w:before="0" w:after="200" w:lineRule="auto" w:line="276"/>
      </w:pPr>
      <w:r>
        <w:rPr>
          <w:b/>
        </w:rPr>
        <w:t xml:space="preserve">Abstract (EN): </w:t>
      </w:r>
      <w:r>
        <w:t>The RNA exosome-associated helicase Mtr4/MTR4 (yeast/human) is recruited by adaptor proteins bearing Arch-Interacting Motifs (AIMs) to selectively degrade RNA substrates. Although the exosome targets diverse RNAs, only a few adaptors have been identified. Here, we extend the inventory of human adaptors to include a pre-tRNA splicing-ligase complex component, a spliceosome-associated factor, and DNTTIP2, a constituent of the small ribosomal subunit (40S) precursor, the 90S pre-ribosome. Structure-guided studies reveal how the DNTTIP2AIM-docked processive exosome core and its associated distributive exonuclease EXOSC10, which contact distant sites on the 90S pre-ribosome, cooperate to degrade part of the 5′-external transcribed spacer (5’-ETS), a key RNA scaffold that coordinates early 40S assembly. By contrast, productive pre-ribosomal RNA trimming within the 90S pre-ribosome necessitates EXOSC10, which safeguards against uncontrolled processive degradation by the DNTTIP2AIM-docked exosome core. We propose that multivalent contacts provide a mechanistic framework by which the RNA exosome coordinates its distinct enzymatic activities, ensuring selective processing and surveillance during ribonucleoprotein particle maturation.</w:t>
      </w:r>
    </w:p>
    <w:p>
      <w:pPr>
        <w:spacing w:before="120" w:after="120"/>
      </w:pPr>
      <w:r>
        <w:rPr>
          <w:sz w:val="18"/>
        </w:rPr>
        <w:t>——————————————————————————————————————————————————————————————————————</w:t>
      </w:r>
    </w:p>
    <w:p>
      <w:pPr>
        <w:spacing w:before="160" w:after="40" w:line="240" w:lineRule="auto"/>
      </w:pPr>
      <w:r>
        <w:rPr>
          <w:b/>
        </w:rPr>
        <w:t xml:space="preserve">[35] </w:t>
      </w:r>
      <w:hyperlink r:id="rId642">
        <w:r>
          <w:rPr>
            <w:color w:val="1155CC"/>
            <w:u w:val="single"/>
          </w:rPr>
          <w:t>人类肠道微生物组生长相互作用的系统分析</w:t>
        </w:r>
      </w:hyperlink>
    </w:p>
    <w:p>
      <w:pPr>
        <w:spacing w:before="0" w:after="80"/>
      </w:pPr>
      <w:r>
        <w:rPr>
          <w:i/>
          <w:sz w:val="20"/>
        </w:rPr>
        <w:t>EN: Systematic profiling of growth interactions in human gut microbiome species</w:t>
      </w:r>
    </w:p>
    <w:p>
      <w:pPr>
        <w:spacing w:before="0" w:after="120"/>
      </w:pPr>
      <w:r>
        <w:rPr>
          <w:b/>
        </w:rPr>
        <w:t xml:space="preserve">Source: </w:t>
      </w:r>
      <w:r>
        <w:t>Biological sciences : Nature Communications subject feeds</w:t>
      </w:r>
      <w:r>
        <w:t xml:space="preserve">    </w:t>
      </w:r>
      <w:r>
        <w:rPr>
          <w:b/>
        </w:rPr>
        <w:t xml:space="preserve">Pub date: </w:t>
      </w:r>
      <w:r>
        <w:t>2026-08-07 00:00:00+00:00</w:t>
      </w:r>
    </w:p>
    <w:p>
      <w:pPr>
        <w:spacing w:before="0" w:after="120"/>
      </w:pPr>
      <w:r>
        <w:rPr>
          <w:b/>
        </w:rPr>
        <w:t xml:space="preserve">Notes: </w:t>
      </w:r>
      <w:r>
        <w:t>abstract_source=nature_html</w:t>
      </w:r>
    </w:p>
    <w:p>
      <w:pPr>
        <w:spacing w:before="0" w:after="80" w:lineRule="auto" w:line="276"/>
      </w:pPr>
      <w:r>
        <w:rPr>
          <w:b/>
        </w:rPr>
        <w:t xml:space="preserve">摘要（ZH）: </w:t>
      </w:r>
      <w:r>
        <w:t>微生物相互作用影响人类肠道微生物群的组成和稳定性。然而，很少有研究系统地研究物种与物种生长的相互作用及其背后的机制。在这里，我们发现，在 36 种代表性肠道细菌菌株中，当两个物种相互作用时，相互作用大多是抑制性的。为了提供对特定相互作用的生物学见解，我们进一步研究了积极相互作用的基础，结果表明产气荚膜梭菌通过细胞外囊泡促进地中海杆菌的生长。此外，我们将小韦荣球菌 (Veillonella parvula) 确定为一种能够调节环境 pH 值的物种，从而使副杆菌 (Parabacteroides merdae) 能够生长，这是一种对酸性条件高度敏感的菌株。这种增加 pH 值的作用可通过补充鸟嘌呤得到增强，并且在含有来自不同细菌门的不同 pH 降低菌株的多物种群落中持续存在。尽管小弧菌普遍存在于人类肠道微生物组中，但其含量通常较低。考虑到肠道细菌的空间组织，小弧菌对局部 pH 值的调节可能支持酸敏感菌株的生长。总的来说，这里提供的综合数据集和机制见解为通过整合生长相互作用来预测微生物组组成提供了一个起点。</w:t>
      </w:r>
    </w:p>
    <w:p>
      <w:pPr>
        <w:spacing w:before="0" w:after="200" w:lineRule="auto" w:line="276"/>
      </w:pPr>
      <w:r>
        <w:rPr>
          <w:b/>
        </w:rPr>
        <w:t xml:space="preserve">Abstract (EN): </w:t>
      </w:r>
      <w:r>
        <w:t>Microbial interactions shape the composition and stability of the human gut microbiome. Yet, few studies have systematically investigated species-species growth interactions and the mechanisms behind these. Here we show that among 36 representative gut bacterial strains, when two species interact, the interactions are mostly inhibitory. To provide biological insight into specific interactions, we further investigate the basis of a positive interaction, showing that Clostridium perfringens promotes the growth of Mediterraneibacter gnavus through extracellular vesicles. Additionally, we identify Veillonella parvula as a species capable of modulating environmental pH, thereby enabling the growth of Parabacteroides merdae, a strain highly sensitive to acidic conditions. This pH-increasing effect is enhanced by guanine supplementation and persists in multi-species communities containing different pH-lowering strains from diverse bacterial phyla. Although V. parvula is commonly present in human gut microbiomes, it is generally found at low levels. Given the spatial organization of bacteria in the gut, the local pH modulation by V. parvula might support the growth of acid-sensitive strains. Overall, the comprehensive dataset and mechanistic insights presented here provide a starting point to predict microbiome composition by integrating growth interactions.</w:t>
      </w:r>
    </w:p>
    <w:p>
      <w:pPr>
        <w:spacing w:before="120" w:after="120"/>
      </w:pPr>
      <w:r>
        <w:rPr>
          <w:sz w:val="18"/>
        </w:rPr>
        <w:t>——————————————————————————————————————————————————————————————————————</w:t>
      </w:r>
    </w:p>
    <w:p>
      <w:pPr>
        <w:spacing w:before="160" w:after="40" w:line="240" w:lineRule="auto"/>
      </w:pPr>
      <w:r>
        <w:rPr>
          <w:b/>
        </w:rPr>
        <w:t xml:space="preserve">[36] </w:t>
      </w:r>
      <w:hyperlink r:id="rId643">
        <w:r>
          <w:rPr>
            <w:color w:val="1155CC"/>
            <w:u w:val="single"/>
          </w:rPr>
          <w:t>通过结晶芳基卤代氢硼烷试剂合成较少取代的硼烯</w:t>
        </w:r>
      </w:hyperlink>
    </w:p>
    <w:p>
      <w:pPr>
        <w:spacing w:before="0" w:after="80"/>
      </w:pPr>
      <w:r>
        <w:rPr>
          <w:i/>
          <w:sz w:val="20"/>
        </w:rPr>
        <w:t>EN: Synthesis of Less-Substituted Borirenes Enabled by a Crystalline Arylhalohydroborane Reagent</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644">
        <w:r>
          <w:rPr>
            <w:color w:val="1155CC"/>
            <w:u w:val="single"/>
          </w:rPr>
          <w:t>10.1021/jacs.6c11149</w:t>
        </w:r>
      </w:hyperlink>
    </w:p>
    <w:p>
      <w:pPr>
        <w:spacing w:before="0" w:after="120"/>
      </w:pPr>
      <w:r>
        <w:rPr>
          <w:b/>
        </w:rPr>
        <w:t xml:space="preserve">Notes: </w:t>
      </w:r>
      <w:r>
        <w:t>abstract_source=crossref</w:t>
      </w:r>
    </w:p>
    <w:p>
      <w:pPr>
        <w:spacing w:before="0" w:after="80" w:lineRule="auto" w:line="276"/>
      </w:pPr>
      <w:r>
        <w:rPr>
          <w:b/>
        </w:rPr>
        <w:t xml:space="preserve">摘要（ZH）: </w:t>
      </w:r>
      <w:r>
        <w:t>摘要 硼杂环丙烯（boracyclopropene）是最小的含硼 Hückel 2π-芳环，与全碳环丙烯基阳离子等电子。然而，由于对动力学稳定性的严格要求和有限的合成方法，它们的结构多样性长期以来仅限于完全取代的支架，这阻碍了对其化学空间的探索。在此，我们报告了一种有效合成各种低取代硼烯的路线，该路线由具有 B-H 和 B-Cl 双官能团的结晶芳基氯氢硼烷试剂实现（芳基 = 2,6-(CF3)2 苯基，XylF）。该方案包括炔烃的选择性 1,1-硼氢化反应，然后是 NHC 和碱基促进的合作闭环。碳上的 π 供体基团和硼上的吸电子 XylF 基团引起​​的增强的“推拉”效应稳定了这些空间保护较少的芳香硼烯，从而促进了它们的分离和结构表征。因此，这些硼烯很容易通过多个异氰化物插入极性 C-B σ 键而扩环成五元和六元硼环。</w:t>
      </w:r>
    </w:p>
    <w:p>
      <w:pPr>
        <w:spacing w:before="0" w:after="200" w:lineRule="auto" w:line="276"/>
      </w:pPr>
      <w:r>
        <w:rPr>
          <w:b/>
        </w:rPr>
        <w:t xml:space="preserve">Abstract (EN): </w:t>
      </w:r>
      <w:r>
        <w:t>As the smallest boron-containing Hückel 2π-aromatic rings, borirenes (i.e., boracyclopropene) are isoelectronic with the all-carbon cyclopropenyl cation. However, their structural diversity has long been confined to fully substituted scaffolds due to the stringent requirement for kinetic stabilization and limited synthetic methods, which hampers the exploration of their chemical space. Herein, we report an efficient synthetic route to a variety of less-substituted borirenes, enabled by a crystalline arylchlorohydroborane reagent featuring dual B–H and B–Cl functionalities (aryl = 2,6-(CF3)2phenyl, XylF). The protocol comprises a selective 1,1-hydroboration of alkynes, followed by cooperative NHC- and base-promoted ring-closure. The enhanced “push–pull” effect induced by the π-donating group on carbon and the electron-withdrawing XylF group on boron stabilizes these less-sterically protected aromatic borirenes, facilitating their isolation and structural characterization. Consequently, these borirenes readily undergo ring expansion into five- and six-membered boracycles via multiple isocyanide insertions into the polar C–B σ bond.</w:t>
      </w:r>
    </w:p>
    <w:p>
      <w:pPr>
        <w:spacing w:before="120" w:after="120"/>
      </w:pPr>
      <w:r>
        <w:rPr>
          <w:sz w:val="18"/>
        </w:rPr>
        <w:t>——————————————————————————————————————————————————————————————————————</w:t>
      </w:r>
    </w:p>
    <w:p>
      <w:pPr>
        <w:spacing w:before="160" w:after="40" w:line="240" w:lineRule="auto"/>
      </w:pPr>
      <w:r>
        <w:rPr>
          <w:b/>
        </w:rPr>
        <w:t xml:space="preserve">[37] </w:t>
      </w:r>
      <w:hyperlink r:id="rId645">
        <w:r>
          <w:rPr>
            <w:color w:val="1155CC"/>
            <w:u w:val="single"/>
          </w:rPr>
          <w:t>ECLAR-Net：专家引导的对比学习和自适应推理网络，用于稳健的窃电检测</w:t>
        </w:r>
      </w:hyperlink>
    </w:p>
    <w:p>
      <w:pPr>
        <w:spacing w:before="0" w:after="80"/>
      </w:pPr>
      <w:r>
        <w:rPr>
          <w:i/>
          <w:sz w:val="20"/>
        </w:rPr>
        <w:t>EN: ECLAR-Net: An expert-guided contrastive learning and adaptive reasoning network for robust electricity theft detection</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646">
        <w:r>
          <w:rPr>
            <w:color w:val="1155CC"/>
            <w:u w:val="single"/>
          </w:rPr>
          <w:t>10.1016/j.apenergy.2026.128599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 </w:t>
      </w:r>
      <w:hyperlink r:id="rId647">
        <w:r>
          <w:rPr>
            <w:color w:val="1155CC"/>
            <w:u w:val="single"/>
          </w:rPr>
          <w:t>简讯：DNA修复是长寿的秘诀吗？鲸鱼和鼹鼠提供了诱人的暗示</w:t>
        </w:r>
      </w:hyperlink>
    </w:p>
    <w:p>
      <w:pPr>
        <w:spacing w:before="0" w:after="80"/>
      </w:pPr>
      <w:r>
        <w:rPr>
          <w:i/>
          <w:sz w:val="20"/>
        </w:rPr>
        <w:t>EN: Briefing Chat: Is DNA repair the secret to a long life? Whales and mole rats offer tantalizing hints</w:t>
      </w:r>
    </w:p>
    <w:p>
      <w:pPr>
        <w:spacing w:before="0" w:after="120"/>
      </w:pPr>
      <w:r>
        <w:rPr>
          <w:b/>
        </w:rPr>
        <w:t xml:space="preserve">Source: </w:t>
      </w:r>
      <w:r>
        <w:t>Nature</w:t>
      </w:r>
      <w:r>
        <w:t xml:space="preserve">    </w:t>
      </w:r>
      <w:r>
        <w:rPr>
          <w:b/>
        </w:rPr>
        <w:t xml:space="preserve">Pub date: </w:t>
      </w:r>
      <w:r>
        <w:t>2026-08-07 00:00:00+00:00</w:t>
      </w:r>
      <w:r>
        <w:t xml:space="preserve">    </w:t>
      </w:r>
      <w:r>
        <w:rPr>
          <w:b/>
        </w:rPr>
        <w:t xml:space="preserve">DOI: </w:t>
      </w:r>
      <w:hyperlink r:id="rId648">
        <w:r>
          <w:rPr>
            <w:color w:val="1155CC"/>
            <w:u w:val="single"/>
          </w:rPr>
          <w:t>10.1038/d41586-026-02488-3</w:t>
        </w:r>
      </w:hyperlink>
    </w:p>
    <w:p>
      <w:pPr>
        <w:spacing w:before="0" w:after="120"/>
      </w:pPr>
      <w:r>
        <w:rPr>
          <w:b/>
        </w:rPr>
        <w:t xml:space="preserve">Notes: </w:t>
      </w:r>
      <w:r>
        <w:t>abstract_source=rss_nature</w:t>
      </w:r>
    </w:p>
    <w:p>
      <w:pPr>
        <w:spacing w:before="0" w:after="80" w:lineRule="auto" w:line="276"/>
      </w:pPr>
      <w:r>
        <w:rPr>
          <w:b/>
        </w:rPr>
        <w:t xml:space="preserve">摘要（ZH）: </w:t>
      </w:r>
      <w:r>
        <w:t>Nature 工作人员讨论动物研究如何开始揭示 DNA 修复如何延长生命，以及 COVID-19 如何重新唤醒休眠病毒。</w:t>
      </w:r>
    </w:p>
    <w:p>
      <w:pPr>
        <w:spacing w:before="0" w:after="200" w:lineRule="auto" w:line="276"/>
      </w:pPr>
      <w:r>
        <w:rPr>
          <w:b/>
        </w:rPr>
        <w:t xml:space="preserve">Abstract (EN): </w:t>
      </w:r>
      <w:r>
        <w:t>Nature staff discuss how animal studies are starting to uncover how DNA repair could prolong life, and how COVID-19 can reawaken dormant viruses.</w:t>
      </w:r>
    </w:p>
    <w:p>
      <w:pPr>
        <w:spacing w:before="120" w:after="120"/>
      </w:pPr>
      <w:r>
        <w:rPr>
          <w:sz w:val="18"/>
        </w:rPr>
        <w:t>——————————————————————————————————————————————————————————————————————</w:t>
      </w:r>
    </w:p>
    <w:p>
      <w:pPr>
        <w:spacing w:before="160" w:after="40" w:line="240" w:lineRule="auto"/>
      </w:pPr>
      <w:r>
        <w:rPr>
          <w:b/>
        </w:rPr>
        <w:t xml:space="preserve">[39] </w:t>
      </w:r>
      <w:hyperlink r:id="rId649">
        <w:r>
          <w:rPr>
            <w:color w:val="1155CC"/>
            <w:u w:val="single"/>
          </w:rPr>
          <w:t>肺炎球菌疾病的通用疫苗更接近现实</w:t>
        </w:r>
      </w:hyperlink>
    </w:p>
    <w:p>
      <w:pPr>
        <w:spacing w:before="0" w:after="80"/>
      </w:pPr>
      <w:r>
        <w:rPr>
          <w:i/>
          <w:sz w:val="20"/>
        </w:rPr>
        <w:t>EN: Universal vaccine for pneumococcal disease moves closer to reality</w:t>
      </w:r>
    </w:p>
    <w:p>
      <w:pPr>
        <w:spacing w:before="0" w:after="120"/>
      </w:pPr>
      <w:r>
        <w:rPr>
          <w:b/>
        </w:rPr>
        <w:t xml:space="preserve">Source: </w:t>
      </w:r>
      <w:r>
        <w:t>Nature</w:t>
      </w:r>
      <w:r>
        <w:t xml:space="preserve">    </w:t>
      </w:r>
      <w:r>
        <w:rPr>
          <w:b/>
        </w:rPr>
        <w:t xml:space="preserve">Pub date: </w:t>
      </w:r>
      <w:r>
        <w:t>2026-08-07 00:00:00+00:00</w:t>
      </w:r>
      <w:r>
        <w:t xml:space="preserve">    </w:t>
      </w:r>
      <w:r>
        <w:rPr>
          <w:b/>
        </w:rPr>
        <w:t xml:space="preserve">DOI: </w:t>
      </w:r>
      <w:hyperlink r:id="rId650">
        <w:r>
          <w:rPr>
            <w:color w:val="1155CC"/>
            <w:u w:val="single"/>
          </w:rPr>
          <w:t>10.1038/d41586-026-02462-z</w:t>
        </w:r>
      </w:hyperlink>
    </w:p>
    <w:p>
      <w:pPr>
        <w:spacing w:before="0" w:after="120"/>
      </w:pPr>
      <w:r>
        <w:rPr>
          <w:b/>
        </w:rPr>
        <w:t xml:space="preserve">Notes: </w:t>
      </w:r>
      <w:r>
        <w:t>abstract_source=rss_nature</w:t>
      </w:r>
    </w:p>
    <w:p>
      <w:pPr>
        <w:spacing w:before="0" w:after="80" w:lineRule="auto" w:line="276"/>
      </w:pPr>
      <w:r>
        <w:rPr>
          <w:b/>
        </w:rPr>
        <w:t xml:space="preserve">摘要（ZH）: </w:t>
      </w:r>
      <w:r>
        <w:t>针对共享蛋白质可能有助于控制当前疫苗无法预防的细菌亚型。</w:t>
      </w:r>
    </w:p>
    <w:p>
      <w:pPr>
        <w:spacing w:before="0" w:after="200" w:lineRule="auto" w:line="276"/>
      </w:pPr>
      <w:r>
        <w:rPr>
          <w:b/>
        </w:rPr>
        <w:t xml:space="preserve">Abstract (EN): </w:t>
      </w:r>
      <w:r>
        <w:t>Targeting shared proteins could help to control bacterial subtypes that current vaccines do not protect against.</w:t>
      </w:r>
    </w:p>
    <w:p>
      <w:pPr>
        <w:spacing w:before="120" w:after="120"/>
      </w:pPr>
      <w:r>
        <w:rPr>
          <w:sz w:val="18"/>
        </w:rPr>
        <w:t>——————————————————————————————————————————————————————————————————————</w:t>
      </w:r>
    </w:p>
    <w:p>
      <w:pPr>
        <w:spacing w:before="160" w:after="40" w:line="240" w:lineRule="auto"/>
      </w:pPr>
      <w:r>
        <w:rPr>
          <w:b/>
        </w:rPr>
        <w:t xml:space="preserve">[40] </w:t>
      </w:r>
      <w:hyperlink r:id="rId651">
        <w:r>
          <w:rPr>
            <w:color w:val="1155CC"/>
            <w:u w:val="single"/>
          </w:rPr>
          <w:t>通过干转移光刻胶实现晶圆级亚波长准分子光刻</w:t>
        </w:r>
      </w:hyperlink>
    </w:p>
    <w:p>
      <w:pPr>
        <w:spacing w:before="0" w:after="80"/>
      </w:pPr>
      <w:r>
        <w:rPr>
          <w:i/>
          <w:sz w:val="20"/>
        </w:rPr>
        <w:t>EN: Wafer-scale subwavelength excimer lithography enabled by dry-transferable photoresist</w:t>
      </w:r>
    </w:p>
    <w:p>
      <w:pPr>
        <w:spacing w:before="0" w:after="120"/>
      </w:pPr>
      <w:r>
        <w:rPr>
          <w:b/>
        </w:rPr>
        <w:t xml:space="preserve">Source: </w:t>
      </w:r>
      <w:r>
        <w:t>National Science Review Advance Access</w:t>
      </w:r>
      <w:r>
        <w:t xml:space="preserve">    </w:t>
      </w:r>
      <w:r>
        <w:rPr>
          <w:b/>
        </w:rPr>
        <w:t xml:space="preserve">Pub date: </w:t>
      </w:r>
      <w:r>
        <w:t>2026-08-07 00:00:00+00:00</w:t>
      </w:r>
      <w:r>
        <w:t xml:space="preserve">    </w:t>
      </w:r>
      <w:r>
        <w:rPr>
          <w:b/>
        </w:rPr>
        <w:t xml:space="preserve">DOI: </w:t>
      </w:r>
      <w:hyperlink r:id="rId652">
        <w:r>
          <w:rPr>
            <w:color w:val="1155CC"/>
            <w:u w:val="single"/>
          </w:rPr>
          <w:t>10.1093/nsr/nwag477</w:t>
        </w:r>
      </w:hyperlink>
    </w:p>
    <w:p>
      <w:pPr>
        <w:spacing w:before="0" w:after="120"/>
      </w:pPr>
      <w:r>
        <w:rPr>
          <w:b/>
        </w:rPr>
        <w:t xml:space="preserve">Notes: </w:t>
      </w:r>
      <w:r>
        <w:t>abstract_source=rss_oup</w:t>
      </w:r>
    </w:p>
    <w:p>
      <w:pPr>
        <w:spacing w:before="0" w:after="80" w:lineRule="auto" w:line="276"/>
      </w:pPr>
      <w:r>
        <w:rPr>
          <w:b/>
        </w:rPr>
        <w:t xml:space="preserve">摘要（ZH）: </w:t>
      </w:r>
      <w:r>
        <w:t>微米级和纳米级器件的快速发展推动了对晶圆级、高分辨率纳米结构制造的需求，这对当前的纳米光刻技术仍然是一个挑战。在这里，我们开发了一种经济高效且高通量的光刻策略，用于在晶圆级区域上图案化亚波长纳米结构。该策略基于完美的保形接触光刻与 172 nm 真空紫外准分子照射相结合。使用经过特殊改性、可转移的聚甲基丙烯酸甲酯作为光致抗蚀剂，所得到的方法能够在刚性和柔性基板上实现高保真度、晶圆级（8英寸）复制和纳米级（100纳米）图案的制造。我们进一步开发了一种物理图案转移方法，可实现大面积高分辨率、无溶剂剥离，且产率 100%。通过在 4 cm2 面积上制造用于 MoS2 晶体管制造的 6560 个纳米间隙电极结构，证明了光刻和图案转移策略的适用性。结合展示开/关比约为 108 的 12 个代表性晶体管和可实现高质量长距离成像的大孔径 (10 cm) 超透镜，这些结果证实了所提出的光刻和图案转移策略在电子和光学器件中的适用性。</w:t>
      </w:r>
    </w:p>
    <w:p>
      <w:pPr>
        <w:spacing w:before="0" w:after="200" w:lineRule="auto" w:line="276"/>
      </w:pPr>
      <w:r>
        <w:rPr>
          <w:b/>
        </w:rPr>
        <w:t xml:space="preserve">Abstract (EN): </w:t>
      </w:r>
      <w:r>
        <w:t>The rapid development of micro- and nanoscale devices has driven demand for wafer-scale, high-resolution nanostructure fabrication, which remains challenging for current nanolithography technologies. Here, we develop a cost-effective and high-throughput lithographic strategy for patterning sub-wavelength nanostructures over wafer-scale areas. This strategy is based on perfect conformal contact lithography combined with vacuum ultraviolet excimer irradiation at 172 nm. Using specially modified, transferable polymethyl methacrylate as a photoresist, the resulting approach enables high-fidelity, wafer-scale (8 inch) replication and fabrication of nanoscale (100 nm) patterns on both rigid and flexible substrates. We further develop a physical pattern-transfer method enabling high-resolution, solvent-free lift-off over large areas with 100% yield. The applicability of the lithography and pattern transfer strategy is demonstrated by the fabrication of 6560 nano-gap electrode structures over an area of 4 cm2 for MoS₂ transistor fabrication. Together with the demonstration of 12 representative transistors exhibiting on/off ratios approximately 108 and a large-aperture (10 cm) metalens enabling high-quality long-distance imaging, these results confirm the applicability of the proposed lithography and pattern transfer strategy across both electronic and optical devices.</w:t>
      </w:r>
    </w:p>
    <w:p>
      <w:pPr>
        <w:spacing w:before="120" w:after="120"/>
      </w:pPr>
      <w:r>
        <w:rPr>
          <w:sz w:val="18"/>
        </w:rPr>
        <w:t>——————————————————————————————————————————————————————————————————————</w:t>
      </w:r>
    </w:p>
    <w:p>
      <w:pPr>
        <w:spacing w:before="160" w:after="40" w:line="240" w:lineRule="auto"/>
      </w:pPr>
      <w:r>
        <w:rPr>
          <w:b/>
        </w:rPr>
        <w:t xml:space="preserve">[41] </w:t>
      </w:r>
      <w:hyperlink r:id="rId653">
        <w:r>
          <w:rPr>
            <w:color w:val="1155CC"/>
            <w:u w:val="single"/>
          </w:rPr>
          <w:t>环己烯酯化还原工业规模环己酮生产的关键工程创新</w:t>
        </w:r>
      </w:hyperlink>
    </w:p>
    <w:p>
      <w:pPr>
        <w:spacing w:before="0" w:after="80"/>
      </w:pPr>
      <w:r>
        <w:rPr>
          <w:i/>
          <w:sz w:val="20"/>
        </w:rPr>
        <w:t>EN: Key engineering innovations in industrial-scale cyclohexanone production via cyclohexene esterification–reduction</w:t>
      </w:r>
    </w:p>
    <w:p>
      <w:pPr>
        <w:spacing w:before="0" w:after="120"/>
      </w:pPr>
      <w:r>
        <w:rPr>
          <w:b/>
        </w:rPr>
        <w:t xml:space="preserve">Source: </w:t>
      </w:r>
      <w:r>
        <w:t>National Science Review Advance Access</w:t>
      </w:r>
      <w:r>
        <w:t xml:space="preserve">    </w:t>
      </w:r>
      <w:r>
        <w:rPr>
          <w:b/>
        </w:rPr>
        <w:t xml:space="preserve">Pub date: </w:t>
      </w:r>
      <w:r>
        <w:t>2026-08-07 00:00:00+00:00</w:t>
      </w:r>
      <w:r>
        <w:t xml:space="preserve">    </w:t>
      </w:r>
      <w:r>
        <w:rPr>
          <w:b/>
        </w:rPr>
        <w:t xml:space="preserve">DOI: </w:t>
      </w:r>
      <w:hyperlink r:id="rId654">
        <w:r>
          <w:rPr>
            <w:color w:val="1155CC"/>
            <w:u w:val="single"/>
          </w:rPr>
          <w:t>10.1093/nsr/nwag465</w:t>
        </w:r>
      </w:hyperlink>
    </w:p>
    <w:p>
      <w:pPr>
        <w:spacing w:before="0" w:after="120"/>
      </w:pPr>
      <w:r>
        <w:rPr>
          <w:b/>
        </w:rPr>
        <w:t xml:space="preserve">Notes: </w:t>
      </w:r>
      <w:r>
        <w:t>abstract_source=rss_oup</w:t>
      </w:r>
    </w:p>
    <w:p>
      <w:pPr>
        <w:spacing w:before="0" w:after="80" w:lineRule="auto" w:line="276"/>
      </w:pPr>
      <w:r>
        <w:rPr>
          <w:b/>
        </w:rPr>
        <w:t xml:space="preserve">摘要（ZH）: </w:t>
      </w:r>
      <w:r>
        <w:t>环己酮生产的传统工业技术，ε 的关键前体</w:t>
      </w:r>
    </w:p>
    <w:p>
      <w:pPr>
        <w:spacing w:before="0" w:after="200" w:lineRule="auto" w:line="276"/>
      </w:pPr>
      <w:r>
        <w:rPr>
          <w:b/>
        </w:rPr>
        <w:t xml:space="preserve">Abstract (EN): </w:t>
      </w:r>
      <w:r>
        <w:t>Conventional industrial technologies for cyclohexanone production, a key precursor to ε</w:t>
      </w:r>
    </w:p>
    <w:p>
      <w:pPr>
        <w:spacing w:before="120" w:after="120"/>
      </w:pPr>
      <w:r>
        <w:rPr>
          <w:sz w:val="18"/>
        </w:rPr>
        <w:t>——————————————————————————————————————————————————————————————————————</w:t>
      </w:r>
    </w:p>
    <w:p>
      <w:pPr>
        <w:spacing w:before="160" w:after="40" w:line="240" w:lineRule="auto"/>
      </w:pPr>
      <w:r>
        <w:rPr>
          <w:b/>
        </w:rPr>
        <w:t xml:space="preserve">[42] </w:t>
      </w:r>
      <w:hyperlink r:id="rId655">
        <w:r>
          <w:rPr>
            <w:color w:val="1155CC"/>
            <w:u w:val="single"/>
          </w:rPr>
          <w:t>用于组合近红外触发光热和光动力癌症治疗的四苯胺工程镍分子框架</w:t>
        </w:r>
      </w:hyperlink>
    </w:p>
    <w:p>
      <w:pPr>
        <w:spacing w:before="0" w:after="80"/>
      </w:pPr>
      <w:r>
        <w:rPr>
          <w:i/>
          <w:sz w:val="20"/>
        </w:rPr>
        <w:t>EN: Tetraniline-Engineered Nickel Molecular Frameworks for Combinatorial NIR-Triggered Photothermal and Photodynamic Cancer Therapy</w:t>
      </w:r>
    </w:p>
    <w:p>
      <w:pPr>
        <w:spacing w:before="0" w:after="120"/>
      </w:pPr>
      <w:r>
        <w:rPr>
          <w:b/>
        </w:rPr>
        <w:t xml:space="preserve">Source: </w:t>
      </w:r>
      <w:r>
        <w:t>ACS Applied Materials &amp; Interfaces: Latest Articles (ACS Publications)</w:t>
      </w:r>
      <w:r>
        <w:t xml:space="preserve">    </w:t>
      </w:r>
      <w:r>
        <w:rPr>
          <w:b/>
        </w:rPr>
        <w:t xml:space="preserve">Pub date: </w:t>
      </w:r>
      <w:r>
        <w:t>2026-08-07 00:00:00+00:00</w:t>
      </w:r>
      <w:r>
        <w:t xml:space="preserve">    </w:t>
      </w:r>
      <w:r>
        <w:rPr>
          <w:b/>
        </w:rPr>
        <w:t xml:space="preserve">DOI: </w:t>
      </w:r>
      <w:hyperlink r:id="rId656">
        <w:r>
          <w:rPr>
            <w:color w:val="1155CC"/>
            <w:u w:val="single"/>
          </w:rPr>
          <w:t>10.1021/acsami.6c10789</w:t>
        </w:r>
      </w:hyperlink>
    </w:p>
    <w:p>
      <w:pPr>
        <w:spacing w:before="0" w:after="120"/>
      </w:pPr>
      <w:r>
        <w:rPr>
          <w:b/>
        </w:rPr>
        <w:t xml:space="preserve">Notes: </w:t>
      </w:r>
      <w:r>
        <w:t>abstract_source=crossref</w:t>
      </w:r>
    </w:p>
    <w:p>
      <w:pPr>
        <w:spacing w:before="0" w:after="80" w:lineRule="auto" w:line="276"/>
      </w:pPr>
      <w:r>
        <w:rPr>
          <w:b/>
        </w:rPr>
        <w:t xml:space="preserve">摘要（ZH）: </w:t>
      </w:r>
      <w:r>
        <w:t>摘要 近红外（NIR）响应纳米材料由于其卓越的组织穿透深度而对于生物医学应用至关重要。在此，我们提出了一种用于多模式癌症光治疗应用的近红外响应四苯胺（TANI）工程镍配位框架的合理设计。这些框架代表了一类先进的混合材料，结合了低聚苯胺的氧化还原活性和导电性以及镍基框架或相关配位聚合物的结构多功能性。据我们所知，这项工作代表了首次报道采用四苯胺作为有机连接体的镍四苯胺配位框架（NTF），从而形成具有近红外吸收特性的多孔水分散平台。在第一个生物窗口（650-950 nm）的近红外光激发下，NTF 表现出双模式治疗诊断功能，同时产生 ROS 并诱导有效的光热和光动力治疗效果。该框架还显示出可测量的磁弛豫率，并能够加载吲哚菁绿等荧光探针，突出了其在治疗诊断和多模态成像应用中的潜力。这种可扩展的策略提供了结构多功能的近红外响应组合治疗诊断纳米平台，为下一代生物医学应用带来了巨大的希望。</w:t>
      </w:r>
    </w:p>
    <w:p>
      <w:pPr>
        <w:spacing w:before="0" w:after="200" w:lineRule="auto" w:line="276"/>
      </w:pPr>
      <w:r>
        <w:rPr>
          <w:b/>
        </w:rPr>
        <w:t xml:space="preserve">Abstract (EN): </w:t>
      </w:r>
      <w:r>
        <w:t>Near-infrared (NIR)-responsive nanomaterials are of critical importance for biomedical applications owing to their superior tissue penetration depths. Herein, we present a rational design of NIR-responsive tetraniline (TANI)-engineered nickel coordination frameworks for multimodal cancer phototheranostic applications. These frameworks represent an advanced class of hybrid materials, combining the redox activity and electrical conductivity of oligomeric aniline along with the structural versatility of nickel-based frameworks or related coordination polymers. To the best of our knowledge, this work represents the first report of a nickel-tetraniline coordination framework (NTF) employing tetraniline as the organic linker, resulting in a porous and aqueous-dispersible platform with NIR absorption properties. Upon NIR light excitation in the first biological window (650–950 nm), NTFs demonstrate dual-mode theranostic functionality, simultaneously generating ROS and inducing potent photothermal and photodynamic therapeutic effects. The framework also displays measurable magnetic relaxivity and enables loading of fluorescent probes such as indocyanine green, highlighting its potential for theranostic and multimodal imaging applications. This scalable strategy offers a structurally versatile NIR-responsive combinatorial theranostic nanoplatform, holding significant promise for next-generation biomedical applications.</w:t>
      </w:r>
    </w:p>
    <w:p>
      <w:pPr>
        <w:spacing w:before="120" w:after="120"/>
      </w:pPr>
      <w:r>
        <w:rPr>
          <w:sz w:val="18"/>
        </w:rPr>
        <w:t>——————————————————————————————————————————————————————————————————————</w:t>
      </w:r>
    </w:p>
    <w:p>
      <w:pPr>
        <w:spacing w:before="160" w:after="40" w:line="240" w:lineRule="auto"/>
      </w:pPr>
      <w:r>
        <w:rPr>
          <w:b/>
        </w:rPr>
        <w:t xml:space="preserve">[43] </w:t>
      </w:r>
      <w:hyperlink r:id="rId657">
        <w:r>
          <w:rPr>
            <w:color w:val="1155CC"/>
            <w:u w:val="single"/>
          </w:rPr>
          <w:t>当多元化失败时：地缘政治蔓延和欧洲能源转型中隐藏的脆弱性</w:t>
        </w:r>
      </w:hyperlink>
    </w:p>
    <w:p>
      <w:pPr>
        <w:spacing w:before="0" w:after="80"/>
      </w:pPr>
      <w:r>
        <w:rPr>
          <w:i/>
          <w:sz w:val="20"/>
        </w:rPr>
        <w:t>EN: When diversification fails: Geopolitical contagion and hidden vulnerabilities in Europe’s energy transition</w:t>
      </w:r>
    </w:p>
    <w:p>
      <w:pPr>
        <w:spacing w:before="0" w:after="120"/>
      </w:pPr>
      <w:r>
        <w:rPr>
          <w:b/>
        </w:rPr>
        <w:t xml:space="preserve">Source: </w:t>
      </w:r>
      <w:r>
        <w:t>ScienceDirect Publication: Energy Policy</w:t>
      </w:r>
      <w:r>
        <w:t xml:space="preserve">    </w:t>
      </w:r>
      <w:r>
        <w:rPr>
          <w:b/>
        </w:rPr>
        <w:t xml:space="preserve">Pub date: </w:t>
      </w:r>
      <w:r>
        <w:t>2026-08-07 00:00:00+00:00</w:t>
      </w:r>
      <w:r>
        <w:t xml:space="preserve">    </w:t>
      </w:r>
      <w:r>
        <w:rPr>
          <w:b/>
        </w:rPr>
        <w:t xml:space="preserve">DOI: </w:t>
      </w:r>
      <w:hyperlink r:id="rId658">
        <w:r>
          <w:rPr>
            <w:color w:val="1155CC"/>
            <w:u w:val="single"/>
          </w:rPr>
          <w:t>10.1016/j.enpol.2026.115520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659">
        <w:r>
          <w:rPr>
            <w:color w:val="1155CC"/>
            <w:u w:val="single"/>
          </w:rPr>
          <w:t>一种用于连续抗炎、抗氧化和促再生糖尿病伤口治疗的粘性多功能水凝胶</w:t>
        </w:r>
      </w:hyperlink>
    </w:p>
    <w:p>
      <w:pPr>
        <w:spacing w:before="0" w:after="80"/>
      </w:pPr>
      <w:r>
        <w:rPr>
          <w:i/>
          <w:sz w:val="20"/>
        </w:rPr>
        <w:t>EN: An Adhesive Multifunctional Hydrogel for Sequential Anti-inflammatory, Antioxidant, and Pro-regenerative Diabetic Wound Therapy</w:t>
      </w:r>
    </w:p>
    <w:p>
      <w:pPr>
        <w:spacing w:before="0" w:after="120"/>
      </w:pPr>
      <w:r>
        <w:rPr>
          <w:b/>
        </w:rPr>
        <w:t xml:space="preserve">Source: </w:t>
      </w:r>
      <w:r>
        <w:t>ACS Applied Materials &amp; Interfaces: Latest Articles (ACS Publications)</w:t>
      </w:r>
      <w:r>
        <w:t xml:space="preserve">    </w:t>
      </w:r>
      <w:r>
        <w:rPr>
          <w:b/>
        </w:rPr>
        <w:t xml:space="preserve">Pub date: </w:t>
      </w:r>
      <w:r>
        <w:t>2026-08-07 00:00:00+00:00</w:t>
      </w:r>
      <w:r>
        <w:t xml:space="preserve">    </w:t>
      </w:r>
      <w:r>
        <w:rPr>
          <w:b/>
        </w:rPr>
        <w:t xml:space="preserve">DOI: </w:t>
      </w:r>
      <w:hyperlink r:id="rId660">
        <w:r>
          <w:rPr>
            <w:color w:val="1155CC"/>
            <w:u w:val="single"/>
          </w:rPr>
          <w:t>10.1021/acsami.6c09833</w:t>
        </w:r>
      </w:hyperlink>
    </w:p>
    <w:p>
      <w:pPr>
        <w:spacing w:before="0" w:after="120"/>
      </w:pPr>
      <w:r>
        <w:rPr>
          <w:b/>
        </w:rPr>
        <w:t xml:space="preserve">Notes: </w:t>
      </w:r>
      <w:r>
        <w:t>abstract_source=crossref</w:t>
      </w:r>
    </w:p>
    <w:p>
      <w:pPr>
        <w:spacing w:before="0" w:after="80" w:lineRule="auto" w:line="276"/>
      </w:pPr>
      <w:r>
        <w:rPr>
          <w:b/>
        </w:rPr>
        <w:t xml:space="preserve">摘要（ZH）: </w:t>
      </w:r>
      <w:r>
        <w:t>摘要 糖尿病伤口愈合AC：由于持续的炎症、氧化应激和巨噬细胞极化受损，仍然具有挑战性。在此，以羧甲基壳聚糖和氧化右旋糖酐作为动态网络构建了多功能水凝胶敷料，其中掺入了具有早期抗炎和抗氧化作用的CeO2纳米酶和负载黄芪甲苷IV的PLGA微球以实现持续的促再生。通过席夫碱交联，这种水凝胶在室温下快速自组装并紧密粘附在组织上。在体外，水凝胶表现出优异的生物相容性、有效的抗氧化和抗炎活性，并促进内皮细胞迁移和血管生成。在糖尿病大鼠全层伤口模型中，这种水凝胶敷料有效减少局部炎症，驱动巨噬细胞极化向M2表型，并增强新血管形成以加速伤口闭合。 RNA测序进一步揭示，当组织再生程序被激活时，包括TNF和IL-17信号传导在内的炎症通路受到抑制。这种逐步治疗策略为糖尿病伤口修复提供了一种有前途的替代方案。</w:t>
      </w:r>
    </w:p>
    <w:p>
      <w:pPr>
        <w:spacing w:before="0" w:after="200" w:lineRule="auto" w:line="276"/>
      </w:pPr>
      <w:r>
        <w:rPr>
          <w:b/>
        </w:rPr>
        <w:t xml:space="preserve">Abstract (EN): </w:t>
      </w:r>
      <w:r>
        <w:t>Diabetic wound healingAC: remains challenging due to persistent inflammation, oxidative stress, and impaired macrophage polarization. Herein, a multifunctional hydrogel dressing was constructed from carboxymethyl chitosan and oxidized dextran as the dynamic network, incorporating CeO2 nanozymes for early anti-inflammatory and antioxidant effects and PLGA microspheres loaded with astragaloside IV for sustained pro-regeneration. Via Schiff base crosslinking, this hydrogel self-assembled rapidly at room temperature and adhered tightly to tissue. In vitro, the hydrogel exhibited excellent biocompatibility, potent antioxidant and anti-inflammatory activities, and promoted endothelial cell migration and angiogenesis. In a diabetic rat full-thickness wound model, this hydrogel dressing effectively reduced local inflammation, drove macrophage polarization toward the M2 phenotype, and enhanced neovascularization to accelerate wound closure. RNA sequencing further revealed that inflammatory pathways, including TNF and IL-17 signaling, were suppressed while tissue regeneration programs were activated. This stepwise therapeutic strategy offers a promising alternative for diabetic wound repair.</w:t>
      </w:r>
    </w:p>
    <w:p>
      <w:pPr>
        <w:spacing w:before="120" w:after="120"/>
      </w:pPr>
      <w:r>
        <w:rPr>
          <w:sz w:val="18"/>
        </w:rPr>
        <w:t>——————————————————————————————————————————————————————————————————————</w:t>
      </w:r>
    </w:p>
    <w:p>
      <w:pPr>
        <w:spacing w:before="160" w:after="40" w:line="240" w:lineRule="auto"/>
      </w:pPr>
      <w:r>
        <w:rPr>
          <w:b/>
        </w:rPr>
        <w:t xml:space="preserve">[45] </w:t>
      </w:r>
      <w:hyperlink r:id="rId661">
        <w:r>
          <w:rPr>
            <w:color w:val="1155CC"/>
            <w:u w:val="single"/>
          </w:rPr>
          <w:t>用于多类农药指纹识别的机器学习增强型三通道 Cu-Pt 双金属纳米酶传感器阵列</w:t>
        </w:r>
      </w:hyperlink>
    </w:p>
    <w:p>
      <w:pPr>
        <w:spacing w:before="0" w:after="80"/>
      </w:pPr>
      <w:r>
        <w:rPr>
          <w:i/>
          <w:sz w:val="20"/>
        </w:rPr>
        <w:t>EN: Machine Learning-Enhanced Three-Channel Cu-Pt Bimetallic Nanozyme Sensor Array for Multi-Class Pesticide Fingerprint Discrimination</w:t>
      </w:r>
    </w:p>
    <w:p>
      <w:pPr>
        <w:spacing w:before="0" w:after="120"/>
      </w:pPr>
      <w:r>
        <w:rPr>
          <w:b/>
        </w:rPr>
        <w:t xml:space="preserve">Source: </w:t>
      </w:r>
      <w:r>
        <w:t>ACS Applied Materials &amp; Interfaces: Latest Articles (ACS Publications)</w:t>
      </w:r>
      <w:r>
        <w:t xml:space="preserve">    </w:t>
      </w:r>
      <w:r>
        <w:rPr>
          <w:b/>
        </w:rPr>
        <w:t xml:space="preserve">Pub date: </w:t>
      </w:r>
      <w:r>
        <w:t>2026-08-07 00:00:00+00:00</w:t>
      </w:r>
      <w:r>
        <w:t xml:space="preserve">    </w:t>
      </w:r>
      <w:r>
        <w:rPr>
          <w:b/>
        </w:rPr>
        <w:t xml:space="preserve">DOI: </w:t>
      </w:r>
      <w:hyperlink r:id="rId662">
        <w:r>
          <w:rPr>
            <w:color w:val="1155CC"/>
            <w:u w:val="single"/>
          </w:rPr>
          <w:t>10.1021/acsami.6c11910</w:t>
        </w:r>
      </w:hyperlink>
    </w:p>
    <w:p>
      <w:pPr>
        <w:spacing w:before="0" w:after="120"/>
      </w:pPr>
      <w:r>
        <w:rPr>
          <w:b/>
        </w:rPr>
        <w:t xml:space="preserve">Notes: </w:t>
      </w:r>
      <w:r>
        <w:t>abstract_source=crossref</w:t>
      </w:r>
    </w:p>
    <w:p>
      <w:pPr>
        <w:spacing w:before="0" w:after="80" w:lineRule="auto" w:line="276"/>
      </w:pPr>
      <w:r>
        <w:rPr>
          <w:b/>
        </w:rPr>
        <w:t xml:space="preserve">摘要（ZH）: </w:t>
      </w:r>
      <w:r>
        <w:t>摘要 具有不同毒性和协同效应的农药残留需要超越传统单一分析物测定的快速、多重鉴别方法。在这里，我们报告了一种基于 Cu-Pt 双金属纳米酶的机器学习增强型三通道比色传感器阵列，用于多类农药指纹识别。单个 CuPtBN 受体整合了氧化酶、漆酶和超氧化物歧化酶样活性，产生三个正交光学响应通道，捕获结构相似的农药的不同抑制和促进作用。通过将这些多维信号与“分类-回归”双环机器学习模型相结合，该平台实现了与浓度无关的定性识别和精确定量预测，对九种代表性农药具有100%的分类准确率，并对非线性响应分析物具有可靠的预测能力。在盲测和真实农业样品中，系统准确识别了农药种类，预测误差低于5%，回收率为85−105%。这项工作建立了一种简化但信息丰富的多通道纳米酶传感策略，突出了其在高通量食品安全筛查和智能农用化学品监测方面的前景。</w:t>
      </w:r>
    </w:p>
    <w:p>
      <w:pPr>
        <w:spacing w:before="0" w:after="200" w:lineRule="auto" w:line="276"/>
      </w:pPr>
      <w:r>
        <w:rPr>
          <w:b/>
        </w:rPr>
        <w:t xml:space="preserve">Abstract (EN): </w:t>
      </w:r>
      <w:r>
        <w:t>Pesticide residues with diverse toxicities and synergistic effects demand rapid, multiplexed discrimination methods beyond conventional single-analyte assays. Here, we report a machine-learning-enhanced three-channel colorimetric sensor array based on Cu-Pt bimetallic nanozymes for multi-class pesticide fingerprint recognition. The single CuPtBN receptor integrates oxidase-, laccase-, and superoxide dismutase-like activities, generating three orthogonal optical response channels that capture differential inhibition and promotion effects from structurally similar pesticides. By coupling these multidimensional signals with “classification-regression” dual-loop machine learning models, the platform achieves concentration-independent qualitative identification and precise quantitative prediction, with 100% classification accuracy for nine representative pesticides and reliable predictive capability for nonlinear-response analytes. In blind tests and real agricultural samples, the system accurately identified pesticide species with prediction errors below 5% and recoveries of 85−105%. This work establishes a simplified yet information-rich multichannel nanozyme sensing strategy, highlighting its promise for high-throughput food safety screening and intelligent agrochemical monitoring.</w:t>
      </w:r>
    </w:p>
    <w:p>
      <w:pPr>
        <w:spacing w:before="120" w:after="120"/>
      </w:pPr>
      <w:r>
        <w:rPr>
          <w:sz w:val="18"/>
        </w:rPr>
        <w:t>——————————————————————————————————————————————————————————————————————</w:t>
      </w:r>
    </w:p>
    <w:p>
      <w:pPr>
        <w:spacing w:before="160" w:after="40" w:line="240" w:lineRule="auto"/>
      </w:pPr>
      <w:r>
        <w:rPr>
          <w:b/>
        </w:rPr>
        <w:t xml:space="preserve">[46] </w:t>
      </w:r>
      <w:hyperlink r:id="rId663">
        <w:r>
          <w:rPr>
            <w:color w:val="1155CC"/>
            <w:u w:val="single"/>
          </w:rPr>
          <w:t>多糖纳米复合水凝胶通过基于乳酸氧化酶的乳酸消耗来防止β-葡聚糖激活的巨噬细胞的极性反转，以增强免疫治疗</w:t>
        </w:r>
      </w:hyperlink>
    </w:p>
    <w:p>
      <w:pPr>
        <w:spacing w:before="0" w:after="80"/>
      </w:pPr>
      <w:r>
        <w:rPr>
          <w:i/>
          <w:sz w:val="20"/>
        </w:rPr>
        <w:t>EN: Polysaccharide Nanocomposite Hydrogel Prevents the Polarity Reversal of β-Glucan-Activated Macrophages by Lactate Oxidase-Based Lactate Depletion for Enhanced Immunotherapy</w:t>
      </w:r>
    </w:p>
    <w:p>
      <w:pPr>
        <w:spacing w:before="0" w:after="120"/>
      </w:pPr>
      <w:r>
        <w:rPr>
          <w:b/>
        </w:rPr>
        <w:t xml:space="preserve">Source: </w:t>
      </w:r>
      <w:r>
        <w:t>ACS Applied Materials &amp; Interfaces: Latest Articles (ACS Publications)</w:t>
      </w:r>
      <w:r>
        <w:t xml:space="preserve">    </w:t>
      </w:r>
      <w:r>
        <w:rPr>
          <w:b/>
        </w:rPr>
        <w:t xml:space="preserve">Pub date: </w:t>
      </w:r>
      <w:r>
        <w:t>2026-08-07 00:00:00+00:00</w:t>
      </w:r>
      <w:r>
        <w:t xml:space="preserve">    </w:t>
      </w:r>
      <w:r>
        <w:rPr>
          <w:b/>
        </w:rPr>
        <w:t xml:space="preserve">DOI: </w:t>
      </w:r>
      <w:hyperlink r:id="rId664">
        <w:r>
          <w:rPr>
            <w:color w:val="1155CC"/>
            <w:u w:val="single"/>
          </w:rPr>
          <w:t>10.1021/acsami.6c04050</w:t>
        </w:r>
      </w:hyperlink>
    </w:p>
    <w:p>
      <w:pPr>
        <w:spacing w:before="0" w:after="120"/>
      </w:pPr>
      <w:r>
        <w:rPr>
          <w:b/>
        </w:rPr>
        <w:t xml:space="preserve">Notes: </w:t>
      </w:r>
      <w:r>
        <w:t>abstract_source=crossref</w:t>
      </w:r>
    </w:p>
    <w:p>
      <w:pPr>
        <w:spacing w:before="0" w:after="80" w:lineRule="auto" w:line="276"/>
      </w:pPr>
      <w:r>
        <w:rPr>
          <w:b/>
        </w:rPr>
        <w:t xml:space="preserve">摘要（ZH）: </w:t>
      </w:r>
      <w:r>
        <w:t>摘要 调节免疫抑制肿瘤微环境（TME）是改善癌症免疫治疗的一种有前景的策略。一个关键方法是将肿瘤相关巨噬细胞 (TAM) 从促肿瘤 M2 表型重新编程为抗肿瘤 M1 状态。然而，TME 中乳酸浓度升高不仅维持 M2 表型，而且还会损害治疗效果。为了应对这一挑战，我们开发了一种可原位注射的羧甲基壳聚糖/氧化海藻酸钠 (CMCS/OSA) 水凝胶，具有 pH 响应释放特性，并共同负载另一种纳米级活性多糖 β-葡聚糖和乳酸消耗剂乳酸氧化酶 (LOX)。在 TME 的酸性条件下，水凝胶基质内的希夫碱键解离，触发 β-葡聚糖纳米颗粒和 LOX 的受控释放。 β-葡聚糖纳米粒子通过树突状细胞相关的 C 型凝集素 1 (Dectin 1) 受体特异性靶向 TAM，促进其表型从 M2 转化为 M1。同时，释放的 LOX 不断降解乳酸，防止 TAM 回复到 M2 表型。总的来说，我们的结果表明，这种纳米复合多糖水凝胶系统通过免疫调节和代谢调节的协同作用，有效促进和维持TAM向M1表型的极化，最终增强肿瘤免疫治疗的疗效。</w:t>
      </w:r>
    </w:p>
    <w:p>
      <w:pPr>
        <w:spacing w:before="0" w:after="200" w:lineRule="auto" w:line="276"/>
      </w:pPr>
      <w:r>
        <w:rPr>
          <w:b/>
        </w:rPr>
        <w:t xml:space="preserve">Abstract (EN): </w:t>
      </w:r>
      <w:r>
        <w:t>Modulating the immunosuppressive tumor microenvironment (TME) represents a promising strategy for improving cancer immunotherapy. A key approach involves reprogramming tumor-associated macrophages (TAMs) from a protumorigenic M2 phenotype to an antitumorigenic M1 state. However, elevated lactate concentration in the TME not only sustains the M2 phenotype but also impairs therapeutic efficacy. To address this challenge, we developed an in situ injectable carboxymethyl chitosan/oxidized sodium alginate (CMCS/OSA) hydrogel with pH-responsive release properties, coloaded with another nanosized active polysaccharide β-glucan and a lactate-depleting agent lactate oxidase (LOX). Under the acidic conditions of the TME, Schiff base bonds within the hydrogel matrix dissociate, triggering the controlled release of β-glucan nanoparticles and LOX. The β-glucan nanoparticles specifically target TAMs via the dendritic cell-associated C-type lectin 1 (Dectin 1) receptor, facilitating their phenotypic conversion from M2 to M1. Simultaneously, the released LOX continuously degrades lactate, preventing the reversion of TAMs back to the M2 phenotype. Collectively, our results demonstrated that this nanocomposite polysaccharide hydrogel system effectively promoted and maintained TAM polarization toward the M1 phenotype through the synergistic effects of immune modulation and metabolic regulation, ultimately enhancing the efficacy of tumor immunotherapy.</w:t>
      </w:r>
    </w:p>
    <w:p>
      <w:pPr>
        <w:spacing w:before="120" w:after="120"/>
      </w:pPr>
      <w:r>
        <w:rPr>
          <w:sz w:val="18"/>
        </w:rPr>
        <w:t>——————————————————————————————————————————————————————————————————————</w:t>
      </w:r>
    </w:p>
    <w:p>
      <w:pPr>
        <w:spacing w:before="160" w:after="40" w:line="240" w:lineRule="auto"/>
      </w:pPr>
      <w:r>
        <w:rPr>
          <w:b/>
        </w:rPr>
        <w:t xml:space="preserve">[47] </w:t>
      </w:r>
      <w:hyperlink r:id="rId665">
        <w:r>
          <w:rPr>
            <w:color w:val="1155CC"/>
            <w:u w:val="single"/>
          </w:rPr>
          <w:t>一箭三鹰：保留抗菌活性的抗生素衍生纳米酶和用于潜在 ROS 调节的双过氧化物酶/过氧化氢酶样纳米酶</w:t>
        </w:r>
      </w:hyperlink>
    </w:p>
    <w:p>
      <w:pPr>
        <w:spacing w:before="0" w:after="80"/>
      </w:pPr>
      <w:r>
        <w:rPr>
          <w:i/>
          <w:sz w:val="20"/>
        </w:rPr>
        <w:t>EN: One-Arrow-Three Hawks: Antibiotic-Derived Nanozybiotics with Retained Antibacterial Activity and Dual Peroxidase-/Catalase-like Nanozyme for Potential ROS Modulation</w:t>
      </w:r>
    </w:p>
    <w:p>
      <w:pPr>
        <w:spacing w:before="0" w:after="120"/>
      </w:pPr>
      <w:r>
        <w:rPr>
          <w:b/>
        </w:rPr>
        <w:t xml:space="preserve">Source: </w:t>
      </w:r>
      <w:r>
        <w:t>ACS Applied Materials &amp; Interfaces: Latest Articles (ACS Publications)</w:t>
      </w:r>
      <w:r>
        <w:t xml:space="preserve">    </w:t>
      </w:r>
      <w:r>
        <w:rPr>
          <w:b/>
        </w:rPr>
        <w:t xml:space="preserve">Pub date: </w:t>
      </w:r>
      <w:r>
        <w:t>2026-08-07 00:00:00+00:00</w:t>
      </w:r>
      <w:r>
        <w:t xml:space="preserve">    </w:t>
      </w:r>
      <w:r>
        <w:rPr>
          <w:b/>
        </w:rPr>
        <w:t xml:space="preserve">DOI: </w:t>
      </w:r>
      <w:hyperlink r:id="rId666">
        <w:r>
          <w:rPr>
            <w:color w:val="1155CC"/>
            <w:u w:val="single"/>
          </w:rPr>
          <w:t>10.1021/acsami.6c05802</w:t>
        </w:r>
      </w:hyperlink>
    </w:p>
    <w:p>
      <w:pPr>
        <w:spacing w:before="0" w:after="120"/>
      </w:pPr>
      <w:r>
        <w:rPr>
          <w:b/>
        </w:rPr>
        <w:t xml:space="preserve">Notes: </w:t>
      </w:r>
      <w:r>
        <w:t>abstract_source=crossref</w:t>
      </w:r>
    </w:p>
    <w:p>
      <w:pPr>
        <w:spacing w:before="0" w:after="80" w:lineRule="auto" w:line="276"/>
      </w:pPr>
      <w:r>
        <w:rPr>
          <w:b/>
        </w:rPr>
        <w:t xml:space="preserve">摘要（ZH）: </w:t>
      </w:r>
      <w:r>
        <w:t>摘要 抗生素耐药性和氧化应激相关感染需要超越传统药物机制的下一代抗菌平台。在这里，我们提出了一种纳米酶系统，包含与 Cu/Ru 共掺杂的抗生素衍生多酶模拟碳量子点（Cu/Ru-Moxi CD）。该平台通过一步水热法设计，采用了“一箭三鹰”策略：(i) 保留莫西沙星的内在抗菌活性，(ii) 出现双过氧化物酶 (POD) 和过氧化氢酶 (CAT) 样纳米酶活性，以及​​ (iii) 对潜在活性氧 (ROS) 调节的 pH 依赖性催化响应。 Cu/Ru-Moxi CD 对 H2O2 表现出很强的 POD 和 CAT 催化活性（Km-TMB = 45.3 µM，Km-H2O2 = 555.3 µM）。纳米酶的行为进一步赋予了自由基清除能力和 pH 依赖性 POD 和 CAT 样活性，以实现潜在的 ROS 调节。生物学研究表明，保留了针对革兰氏阳性和革兰氏阴性细菌的抗菌活性，包括多重耐药 MRSA，甚至结核分枝杆菌 (M. tuberculosis) (H37Rv/H37Ra)。与测试的抗生素相比，Cu/Ru-Moxi CD 对 MRSA 的生物膜抑制作用增强。此外，Cu/Ru-Moxi CD 显示出良好的细胞相容性，CC50 &gt; 100 µg/mL。将前体衍生的抗生素功能与双金属催化中心相结合，提供杀菌作用、双纳米酶活性和 pH 依赖性催化响应，使 Cu/Ru-Moxi CD 成为一种有前景的多功能纳米材料。</w:t>
      </w:r>
    </w:p>
    <w:p>
      <w:pPr>
        <w:spacing w:before="0" w:after="200" w:lineRule="auto" w:line="276"/>
      </w:pPr>
      <w:r>
        <w:rPr>
          <w:b/>
        </w:rPr>
        <w:t xml:space="preserve">Abstract (EN): </w:t>
      </w:r>
      <w:r>
        <w:t>Antibiotic resistance and oxidative stress-associated infections demand next-generation antimicrobial platforms that move beyond conventional drug mechanisms. Here, we present a nanozybiotic system comprising antibiotic-derived multienzyme-mimic carbon quantum dots co-doped with Cu/Ru (Cu/Ru-Moxi CDs). Engineered through a one-step hydrothermal approach, this platform incorporates a “One-Arrow-Three Hawks” strategy: (i) the retention of intrinsic antibacterial activity from Moxifloxacin, (ii) the emergence of dual peroxidase- (POD)- and catalase (CAT)-like nanozyme activities, and (iii) a pH-dependent catalytic response for potential reactive oxygen species (ROS) modulation. Cu/Ru-Moxi CDs exhibit strong POD- and CAT-like catalytic activity toward H2O2 (Km-TMB = 45.3 µM, Km-H2O2 = 555.3 µM). The nanozyme behavior further confers free-radical scavenging capability and pH-dependent POD- and CAT-like activity toward potential ROS modulation. The biological studies show retained antimicrobial activity against Gram-positive and Gram-negative bacteria, including multidrug-resistant MRSA, and even Mycobacterium tuberculosis (M. tuberculosis) (H37Rv/H37Ra). The Cu/Ru-Moxi CDs show enhanced biofilm inhibition against MRSA as compared to tested antibiotics. Moreover, the Cu/Ru-Moxi CDs show good cytocompatibility with CC50 &amp;gt; 100 µg/mL. The integration of precursor-derived antibiotic functionality with bimetallic catalytic centers, provides bactericidal action, dual nanozyme activity, and pH-dependent catalytic response, making Cu/Ru-Moxi CDs a promising multifunctional nanozybiotic platform.</w:t>
      </w:r>
    </w:p>
    <w:p>
      <w:pPr>
        <w:spacing w:before="120" w:after="120"/>
      </w:pPr>
      <w:r>
        <w:rPr>
          <w:sz w:val="18"/>
        </w:rPr>
        <w:t>——————————————————————————————————————————————————————————————————————</w:t>
      </w:r>
    </w:p>
    <w:p>
      <w:pPr>
        <w:spacing w:before="160" w:after="40" w:line="240" w:lineRule="auto"/>
      </w:pPr>
      <w:r>
        <w:rPr>
          <w:b/>
        </w:rPr>
        <w:t xml:space="preserve">[48] </w:t>
      </w:r>
      <w:hyperlink r:id="rId667">
        <w:r>
          <w:rPr>
            <w:color w:val="1155CC"/>
            <w:u w:val="single"/>
          </w:rPr>
          <w:t>用于空间光学系统的超高、全向、具有空间服务能力的光吸收面</w:t>
        </w:r>
      </w:hyperlink>
    </w:p>
    <w:p>
      <w:pPr>
        <w:spacing w:before="0" w:after="80"/>
      </w:pPr>
      <w:r>
        <w:rPr>
          <w:i/>
          <w:sz w:val="20"/>
        </w:rPr>
        <w:t>EN: Ultra-high, Omnidirectional, and Space Service Capability Light-Absorption Surface for Space Optical Systems</w:t>
      </w:r>
    </w:p>
    <w:p>
      <w:pPr>
        <w:spacing w:before="0" w:after="120"/>
      </w:pPr>
      <w:r>
        <w:rPr>
          <w:b/>
        </w:rPr>
        <w:t xml:space="preserve">Source: </w:t>
      </w:r>
      <w:r>
        <w:t>ACS Applied Materials &amp; Interfaces: Latest Articles (ACS Publications)</w:t>
      </w:r>
      <w:r>
        <w:t xml:space="preserve">    </w:t>
      </w:r>
      <w:r>
        <w:rPr>
          <w:b/>
        </w:rPr>
        <w:t xml:space="preserve">Pub date: </w:t>
      </w:r>
      <w:r>
        <w:t>2026-08-07 00:00:00+00:00</w:t>
      </w:r>
      <w:r>
        <w:t xml:space="preserve">    </w:t>
      </w:r>
      <w:r>
        <w:rPr>
          <w:b/>
        </w:rPr>
        <w:t xml:space="preserve">DOI: </w:t>
      </w:r>
      <w:hyperlink r:id="rId668">
        <w:r>
          <w:rPr>
            <w:color w:val="1155CC"/>
            <w:u w:val="single"/>
          </w:rPr>
          <w:t>10.1021/acsami.6c07169</w:t>
        </w:r>
      </w:hyperlink>
    </w:p>
    <w:p>
      <w:pPr>
        <w:spacing w:before="0" w:after="120"/>
      </w:pPr>
      <w:r>
        <w:rPr>
          <w:b/>
        </w:rPr>
        <w:t xml:space="preserve">Notes: </w:t>
      </w:r>
      <w:r>
        <w:t>abstract_source=crossref</w:t>
      </w:r>
    </w:p>
    <w:p>
      <w:pPr>
        <w:spacing w:before="0" w:after="80" w:lineRule="auto" w:line="276"/>
      </w:pPr>
      <w:r>
        <w:rPr>
          <w:b/>
        </w:rPr>
        <w:t xml:space="preserve">摘要（ZH）: </w:t>
      </w:r>
      <w:r>
        <w:t>摘要 由于超黑表面具有极高的吸收率，因此在空间光学系统中用于杂散光抑制的需求不断增长。然而，开发满足太空服务环境苛刻要求的全向、高吸收性超黑表面仍然具有挑战性。这项工作提出了一种将光捕获微结构与碳纳米管（CNT）薄膜相结合的设计策略，其中薄膜的双向反射分布函数（BRDF）被视为微结构的表面散射特性，从而能够通过光线追踪进行微结构单元特征设计。模拟结果表明，在涂层的散射特性下，金字塔结构显着增强了光捕获能力，同时保持了良好的角度容差。此外，金字塔捕光微结构超黑（PLMU）表面采用超精密飞切（UPFC）和等离子体增强化学气相沉积（PECVD）技术制造，实现最大单面板面积200毫米×150毫米。该表面在可见光范围内表现出极低的平均半球反射率 (R &lt; 0.48%)，即使在 60° 入射角下，反射率也保持在 2% 以下。最后，除气测试、热循环和其他空间资格测试证实了出色的在轨性能。所提出的方法显示了实现航空航天应用高吸收性超黑表面的大面积制造的巨大潜力，为提高性能提供了巨大的希望。</w:t>
      </w:r>
    </w:p>
    <w:p>
      <w:pPr>
        <w:spacing w:before="0" w:after="200" w:lineRule="auto" w:line="276"/>
      </w:pPr>
      <w:r>
        <w:rPr>
          <w:b/>
        </w:rPr>
        <w:t xml:space="preserve">Abstract (EN): </w:t>
      </w:r>
      <w:r>
        <w:t>There is a growing demand for ultra-black surfaces for stray light suppression in space optical systems due to their extremely high absorptance. However, developing omnidirectional, high-absorption ultra-black surfaces that meet the harsh requirements of the space service environment remains challenging. This work proposes a design strategy combining light-trapping microstructures with carbon nanotube (CNT) films, in which the Bidirectional Reflectance Distribution Function (BRDF) of the films is treated as the surface scattering property of the microstructures, enabling microstructure unit feature design via ray tracing. Simulation results indicate that, under the scattering characteristics of the coating, the pyramid configuration significantly enhances light-trapping capability significantly while maintaining good angular tolerance. Furthermore, the pyramid light-trapping microstructure ultra-black (PLMU) surfaces are fabricated using ultra-precision fly-cutting (UPFC) and plasma-enhanced chemical vapor deposition (PECVD), achieving a maximum single-panel area of 200 mm × 150 mm. This surface exhibits an extremely low average hemispherical reflectance (R &amp;lt; 0.48%) in the visible range, with reflectance remaining below 2% even at a 60° incidence angle. Finally, outgassing tests, thermal cycling, and other space qualification tests confirm excellent in-orbit performance. The proposed method shows great potential for realizing large-area fabrication of highly absorptive ultra-black surfaces for aerospace applications, offering substantial promise for improving stray light suppression in space optical systems.</w:t>
      </w:r>
    </w:p>
    <w:p>
      <w:pPr>
        <w:spacing w:before="120" w:after="120"/>
      </w:pPr>
      <w:r>
        <w:rPr>
          <w:sz w:val="18"/>
        </w:rPr>
        <w:t>——————————————————————————————————————————————————————————————————————</w:t>
      </w:r>
    </w:p>
    <w:p>
      <w:pPr>
        <w:spacing w:before="160" w:after="40" w:line="240" w:lineRule="auto"/>
      </w:pPr>
      <w:r>
        <w:rPr>
          <w:b/>
        </w:rPr>
        <w:t xml:space="preserve">[49] </w:t>
      </w:r>
      <w:hyperlink r:id="rId669">
        <w:r>
          <w:rPr>
            <w:color w:val="1155CC"/>
            <w:u w:val="single"/>
          </w:rPr>
          <w:t>基于安全强化学习的能源系统鲁棒调度：实验验证和能源管理见解</w:t>
        </w:r>
      </w:hyperlink>
    </w:p>
    <w:p>
      <w:pPr>
        <w:spacing w:before="0" w:after="80"/>
      </w:pPr>
      <w:r>
        <w:rPr>
          <w:i/>
          <w:sz w:val="20"/>
        </w:rPr>
        <w:t>EN: Safe reinforcement learning-based robust scheduling for energy systems: Experimental validation and energy management insights</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670">
        <w:r>
          <w:rPr>
            <w:color w:val="1155CC"/>
            <w:u w:val="single"/>
          </w:rPr>
          <w:t>10.1016/j.apenergy.2026.128633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 </w:t>
      </w:r>
      <w:hyperlink r:id="rId671">
        <w:r>
          <w:rPr>
            <w:color w:val="1155CC"/>
            <w:u w:val="single"/>
          </w:rPr>
          <w:t>使用具有含有槲皮素簇的共轭聚合物层的有机场效应晶体管对活性氧进行皮摩尔传感</w:t>
        </w:r>
      </w:hyperlink>
    </w:p>
    <w:p>
      <w:pPr>
        <w:spacing w:before="0" w:after="80"/>
      </w:pPr>
      <w:r>
        <w:rPr>
          <w:i/>
          <w:sz w:val="20"/>
        </w:rPr>
        <w:t>EN: Pico-Molar Sensing of Reactive Oxygen Species Using Organic Field-Effect Transistors with Conjugated Polymer Layers Containing Quercetin Clusters</w:t>
      </w:r>
    </w:p>
    <w:p>
      <w:pPr>
        <w:spacing w:before="0" w:after="120"/>
      </w:pPr>
      <w:r>
        <w:rPr>
          <w:b/>
        </w:rPr>
        <w:t xml:space="preserve">Source: </w:t>
      </w:r>
      <w:r>
        <w:t>ACS Applied Materials &amp; Interfaces: Latest Articles (ACS Publications)</w:t>
      </w:r>
      <w:r>
        <w:t xml:space="preserve">    </w:t>
      </w:r>
      <w:r>
        <w:rPr>
          <w:b/>
        </w:rPr>
        <w:t xml:space="preserve">Pub date: </w:t>
      </w:r>
      <w:r>
        <w:t>2026-08-07 00:00:00+00:00</w:t>
      </w:r>
      <w:r>
        <w:t xml:space="preserve">    </w:t>
      </w:r>
      <w:r>
        <w:rPr>
          <w:b/>
        </w:rPr>
        <w:t xml:space="preserve">DOI: </w:t>
      </w:r>
      <w:hyperlink r:id="rId672">
        <w:r>
          <w:rPr>
            <w:color w:val="1155CC"/>
            <w:u w:val="single"/>
          </w:rPr>
          <w:t>10.1021/acsami.6c04069</w:t>
        </w:r>
      </w:hyperlink>
    </w:p>
    <w:p>
      <w:pPr>
        <w:spacing w:before="0" w:after="120"/>
      </w:pPr>
      <w:r>
        <w:rPr>
          <w:b/>
        </w:rPr>
        <w:t xml:space="preserve">Notes: </w:t>
      </w:r>
      <w:r>
        <w:t>abstract_source=crossref</w:t>
      </w:r>
    </w:p>
    <w:p>
      <w:pPr>
        <w:spacing w:before="0" w:after="80" w:lineRule="auto" w:line="276"/>
      </w:pPr>
      <w:r>
        <w:rPr>
          <w:b/>
        </w:rPr>
        <w:t xml:space="preserve">摘要（ZH）: </w:t>
      </w:r>
      <w:r>
        <w:t>摘要 活性氧 (ROS) 的简便检测对于早期诊断和疾病预测（包括癌症）至关重要。在此，研究证明槲皮素（QCT）是一种天然衍生的多酚，在共轭聚合物聚（3-己基噻吩）（P3HT）的基质内形成纳米级聚集体（簇），并充当有机场效应晶体管（OFET）中传感ROS的关键材料。为了研究 QCT 负载的影响，OFET 的 50 nm 厚 P3HT:QCT 传感通道层中的 QCT 含量从 0 到 70 wt% 变化。形态分析表明，P3HT:QCT 薄膜中形成了亚微米大小的 QCT 聚集体（最大~600 nm）。基本晶体管测试表明，在QCT = 30 wt%（缩写为QCT30-OFET）时可以实现最佳性能。在实现 ROS 溶液稳态流动的灌注测试中，QCT30-OFET 可以检测从 20 pM 到 1 mM 的各种 ROS 浓度。即使在连续重复注射 ROS 溶液的情况下，QCT30-OFET 也能够系统地检测 ROS。简单的跌落测试表明，目前的 QCT30-OFET 传感器可以轻松检测到 ROS 溶液的液滴，这支持了基于 QCT 的 ROS 传感概念的有效性和实用性。</w:t>
      </w:r>
    </w:p>
    <w:p>
      <w:pPr>
        <w:spacing w:before="0" w:after="200" w:lineRule="auto" w:line="276"/>
      </w:pPr>
      <w:r>
        <w:rPr>
          <w:b/>
        </w:rPr>
        <w:t xml:space="preserve">Abstract (EN): </w:t>
      </w:r>
      <w:r>
        <w:t>Facile detection of reactive oxygen species (ROS) is crucial for early-stage diagnosis and disease prediction, including cancer. Here, it is demonstrated that quercetin (QCT), a naturally derived polyphenol, forms nanoscale aggregates (clusters) within the matrix of the conjugated polymer, poly(3-hexylthiophene) (P3HT), and acts as a key material for sensing ROS in organic field-effect transistors (OFETs). To investigate the influence of QCT loading, the QCT content was varied from 0 to 70 wt % in the 50 nm-thick P3HT:QCT sensing channel layers for OFETs. Morphological analysis revealed that submicron-size QCT aggregates (up to ∼600 nm) were formed in the P3HT:QCT films. The basic transistor test showed that the best performance could be achieved at QCT = 30 wt % (abbreviated as QCT30-OFET). In the perfusion test that enables steady-state flow of ROS solutions, QCT30-OFETs could detect a wide range of ROS concentrations from 20 pM to 1 mM. The QCT30-OFETs were able to detect ROS systematically even under consecutive repeated injections of ROS solutions. A simple drop test demonstrated that droplets of ROS solutions could be easily detected by the present QCT30-OFET sensors, supporting the effectiveness and practicability of the QCT-based ROS sensing concept.</w:t>
      </w:r>
    </w:p>
    <w:p>
      <w:pPr>
        <w:spacing w:before="120" w:after="120"/>
      </w:pPr>
      <w:r>
        <w:rPr>
          <w:sz w:val="18"/>
        </w:rPr>
        <w:t>——————————————————————————————————————————————————————————————————————</w:t>
      </w:r>
    </w:p>
    <w:p>
      <w:pPr>
        <w:spacing w:before="160" w:after="40" w:line="240" w:lineRule="auto"/>
      </w:pPr>
      <w:r>
        <w:rPr>
          <w:b/>
        </w:rPr>
        <w:t xml:space="preserve">[51] </w:t>
      </w:r>
      <w:hyperlink r:id="rId673">
        <w:r>
          <w:rPr>
            <w:color w:val="1155CC"/>
            <w:u w:val="single"/>
          </w:rPr>
          <w:t>利用虚拟电厂对受台风影响的配电系统进行弹性量化和增强</w:t>
        </w:r>
      </w:hyperlink>
    </w:p>
    <w:p>
      <w:pPr>
        <w:spacing w:before="0" w:after="80"/>
      </w:pPr>
      <w:r>
        <w:rPr>
          <w:i/>
          <w:sz w:val="20"/>
        </w:rPr>
        <w:t>EN: Resilience quantification and enhancement of typhoon-affected distribution system with virtual power plant</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674">
        <w:r>
          <w:rPr>
            <w:color w:val="1155CC"/>
            <w:u w:val="single"/>
          </w:rPr>
          <w:t>10.1016/j.apenergy.2026.128603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 </w:t>
      </w:r>
      <w:hyperlink r:id="rId675">
        <w:r>
          <w:rPr>
            <w:color w:val="1155CC"/>
            <w:u w:val="single"/>
          </w:rPr>
          <w:t>基于联合优化政策的双代理模仿学习的两结算能源市场合作投标与运营策略</w:t>
        </w:r>
      </w:hyperlink>
    </w:p>
    <w:p>
      <w:pPr>
        <w:spacing w:before="0" w:after="80"/>
      </w:pPr>
      <w:r>
        <w:rPr>
          <w:i/>
          <w:sz w:val="20"/>
        </w:rPr>
        <w:t>EN: Cooperative bid and operation strategy in two-settlement energy market through dual-agent imitation learning on joint optimized policy</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676">
        <w:r>
          <w:rPr>
            <w:color w:val="1155CC"/>
            <w:u w:val="single"/>
          </w:rPr>
          <w:t>10.1016/j.apenergy.2026.128580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 </w:t>
      </w:r>
      <w:hyperlink r:id="rId677">
        <w:r>
          <w:rPr>
            <w:color w:val="1155CC"/>
            <w:u w:val="single"/>
          </w:rPr>
          <w:t>通过酶促卡宾插入形成对映异构碳磷键</w:t>
        </w:r>
      </w:hyperlink>
    </w:p>
    <w:p>
      <w:pPr>
        <w:spacing w:before="0" w:after="80"/>
      </w:pPr>
      <w:r>
        <w:rPr>
          <w:i/>
          <w:sz w:val="20"/>
        </w:rPr>
        <w:t>EN: Enantiodivergent Carbon–Phosphorus Bond Formation via Enzymatic Carbene Insertion</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678">
        <w:r>
          <w:rPr>
            <w:color w:val="1155CC"/>
            <w:u w:val="single"/>
          </w:rPr>
          <w:t>10.1021/jacs.6c10375</w:t>
        </w:r>
      </w:hyperlink>
    </w:p>
    <w:p>
      <w:pPr>
        <w:spacing w:before="0" w:after="120"/>
      </w:pPr>
      <w:r>
        <w:rPr>
          <w:b/>
        </w:rPr>
        <w:t xml:space="preserve">Notes: </w:t>
      </w:r>
      <w:r>
        <w:t>abstract_source=crossref</w:t>
      </w:r>
    </w:p>
    <w:p>
      <w:pPr>
        <w:spacing w:before="0" w:after="80" w:lineRule="auto" w:line="276"/>
      </w:pPr>
      <w:r>
        <w:rPr>
          <w:b/>
        </w:rPr>
        <w:t xml:space="preserve">摘要（ZH）: </w:t>
      </w:r>
      <w:r>
        <w:t>摘要 磷是生命的六种元素之一，但酶促碳磷（C-P）键的形成在自然界中极为罕见。鉴于磷立体异构 P(V) 支架在药物和农用化学品中的突出地位，其中磷的绝对构型通常直接控制生物活性，生物合成工具包中的这一差距尤其重要。尽管P-立体化合物的不对称合成取得了重大进展，但基于直接C-P键形成的通用酶平台尚未实现。在这里，我们描述了Aeropyrum pernix原珠蛋白（ApePgb）变体的发现和定向进化，该变体催化卡宾插入二级氧化膦和H-次膦酸盐的P-H键。机理研究表明卡宾 P-H 插入是通过立体保留动力学解析进行的。单个蛋白质支架的定向进化产生了一个对映体分歧酶平台，该平台可以在广泛的底物范围内选择性地提供具有高对映选择性的 P-构型。进化活动进一步揭示了氮宾 P-H 插入的潜在活性，通过未来的进化为 P-立体膦酰胺和膦酰胺开辟了一条道路。</w:t>
      </w:r>
    </w:p>
    <w:p>
      <w:pPr>
        <w:spacing w:before="0" w:after="200" w:lineRule="auto" w:line="276"/>
      </w:pPr>
      <w:r>
        <w:rPr>
          <w:b/>
        </w:rPr>
        <w:t xml:space="preserve">Abstract (EN): </w:t>
      </w:r>
      <w:r>
        <w:t>Phosphorus is one of the six elements of life, yet enzymatic carbon–phosphorus (C–P) bond formation is exceedingly rare in nature. This gap in the biosynthetic toolkit is particularly consequential, given the prominence of stereogenic-at-phosphorus P(V) scaffolds in pharmaceuticals and agrochemicals, where the absolute configuration at phosphorus often directly governs biological activity. Despite significant advances in the asymmetric synthesis of P-stereogenic compounds, a general enzymatic platform based on direct C–P bond formation has not been realized. Here, we describe the discovery and directed evolution of Aeropyrum pernix protoglobin (ApePgb) variants that catalyze carbene insertion into the P–H bonds of secondary phosphine oxides and H–phosphinates. Mechanistic investigations reveal that carbene P–H insertion proceeds through a stereoretentive kinetic resolution. Directed evolution of a single protein scaffold produced an enantiodivergent enzyme platform that selectively delivers either P-configuration with high enantioselectivity across a broad substrate scope. The evolution campaign further revealed latent activity for nitrene P–H insertion, opening a path toward P-stereogenic phosphinamides and phosphonamidates through future evolution.</w:t>
      </w:r>
    </w:p>
    <w:p>
      <w:pPr>
        <w:spacing w:before="120" w:after="120"/>
      </w:pPr>
      <w:r>
        <w:rPr>
          <w:sz w:val="18"/>
        </w:rPr>
        <w:t>——————————————————————————————————————————————————————————————————————</w:t>
      </w:r>
    </w:p>
    <w:p>
      <w:pPr>
        <w:spacing w:before="160" w:after="40" w:line="240" w:lineRule="auto"/>
      </w:pPr>
      <w:r>
        <w:rPr>
          <w:b/>
        </w:rPr>
        <w:t xml:space="preserve">[54] </w:t>
      </w:r>
      <w:hyperlink r:id="rId679">
        <w:r>
          <w:rPr>
            <w:color w:val="1155CC"/>
            <w:u w:val="single"/>
          </w:rPr>
          <w:t>具有内缘金属配位的扩展氮杂螺旋烯</w:t>
        </w:r>
      </w:hyperlink>
    </w:p>
    <w:p>
      <w:pPr>
        <w:spacing w:before="0" w:after="80"/>
      </w:pPr>
      <w:r>
        <w:rPr>
          <w:i/>
          <w:sz w:val="20"/>
        </w:rPr>
        <w:t>EN: Expanded Aza-Helicenes Featuring Inner Rim Metal Coordination</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680">
        <w:r>
          <w:rPr>
            <w:color w:val="1155CC"/>
            <w:u w:val="single"/>
          </w:rPr>
          <w:t>10.1021/jacs.6c11600</w:t>
        </w:r>
      </w:hyperlink>
    </w:p>
    <w:p>
      <w:pPr>
        <w:spacing w:before="0" w:after="120"/>
      </w:pPr>
      <w:r>
        <w:rPr>
          <w:b/>
        </w:rPr>
        <w:t xml:space="preserve">Notes: </w:t>
      </w:r>
      <w:r>
        <w:t>abstract_source=crossref</w:t>
      </w:r>
    </w:p>
    <w:p>
      <w:pPr>
        <w:spacing w:before="0" w:after="80" w:lineRule="auto" w:line="276"/>
      </w:pPr>
      <w:r>
        <w:rPr>
          <w:b/>
        </w:rPr>
        <w:t xml:space="preserve">摘要（ZH）: </w:t>
      </w:r>
      <w:r>
        <w:t>摘要 内缘带有杂原子的延伸稠合 1,10-菲咯啉衍生物，尤其是那些延伸成螺旋结构的衍生物，是金属-配体配位和主客体化学中非常有趣的分子。然而，这种全芳香配体很少被报道，可能是由于环张力、空间位阻和芳香环上氮原子的配位能力所带来的综合合成挑战。在此，我们报道了两种这样的衍生物：共面配体（4N7）和通过热力学驱动的多重闭环烯烃复分解合成的扩展氮杂杂烯（5N9）。它们的结构已通过核磁共振波谱、质谱和单晶 X 射线衍射明确证实。两种化合物都对过渡金属表现出很强的结合亲和力，其中 Ag(I) 配合物（Ag@4N7、Ag@5N9）表现出最高的稳定性，大大超过了非融合的柔性类似物 (5N-OP)。热力学分析表明，稠合配体中的结构预组织对金属络合产生了显着的熵贡献。这项工作建立了热力学驱动的闭环复分解作为获取具有合成挑战性的氮杂杂烯配体的强大方法，并强调了基于熵的设计原理以实现高效的金属结合。</w:t>
      </w:r>
    </w:p>
    <w:p>
      <w:pPr>
        <w:spacing w:before="0" w:after="200" w:lineRule="auto" w:line="276"/>
      </w:pPr>
      <w:r>
        <w:rPr>
          <w:b/>
        </w:rPr>
        <w:t xml:space="preserve">Abstract (EN): </w:t>
      </w:r>
      <w:r>
        <w:t>Extended fused 1,10-phenanthroline derivatives bearing heteroatoms at the inner rim, especially those extended into helical structures, are highly intriguing molecules for metal–ligand coordination and host–guest chemistry. However, such fully aromatic ligands have rarely been reported, possibly due to the combined synthetic challenges arising from ring strain, steric hindrance, and the coordination ability of nitrogen atoms on aromatic rings. Herein, we report two such derivatives: a coplanar ligand (4N7) and an expanded azahelicene (5N9) synthesized via thermodynamically driven multifold ring-closing olefin metathesis. Their structures were unambiguously confirmed by NMR spectroscopy, mass spectrometry, and single-crystal X-ray diffraction. Both compounds exhibited strong binding affinities toward transition metals, with the Ag(I) complexes (Ag@4N7, Ag@5N9) showing the highest stability─substantially exceeding that of a nonfused, flexible analog (5N-OP). Thermodynamic analysis revealed that structural preorganization in the fused ligands imparts a significant entropic contribution to metal complexation. This work establishes thermodynamically driven ring-closing metathesis as a powerful approach for accessing synthetically challenging azahelicene ligands and highlights an entropy-based design principle for achieving highly efficient metal binding.</w:t>
      </w:r>
    </w:p>
    <w:p>
      <w:pPr>
        <w:spacing w:before="120" w:after="120"/>
      </w:pPr>
      <w:r>
        <w:rPr>
          <w:sz w:val="18"/>
        </w:rPr>
        <w:t>——————————————————————————————————————————————————————————————————————</w:t>
      </w:r>
    </w:p>
    <w:p>
      <w:pPr>
        <w:spacing w:before="160" w:after="40" w:line="240" w:lineRule="auto"/>
      </w:pPr>
      <w:r>
        <w:rPr>
          <w:b/>
        </w:rPr>
        <w:t xml:space="preserve">[55] </w:t>
      </w:r>
      <w:hyperlink r:id="rId681">
        <w:r>
          <w:rPr>
            <w:color w:val="1155CC"/>
            <w:u w:val="single"/>
          </w:rPr>
          <w:t>通过空间分离的软夹层和刚性电荷转移内层进行压力选择磁开关</w:t>
        </w:r>
      </w:hyperlink>
    </w:p>
    <w:p>
      <w:pPr>
        <w:spacing w:before="0" w:after="80"/>
      </w:pPr>
      <w:r>
        <w:rPr>
          <w:i/>
          <w:sz w:val="20"/>
        </w:rPr>
        <w:t>EN: Pressure-Selective Magnetic Switching via Spatially Separated Soft Interlayer and Rigid Charge-Transfer Intralayer</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682">
        <w:r>
          <w:rPr>
            <w:color w:val="1155CC"/>
            <w:u w:val="single"/>
          </w:rPr>
          <w:t>10.1021/jacs.6c10267</w:t>
        </w:r>
      </w:hyperlink>
    </w:p>
    <w:p>
      <w:pPr>
        <w:spacing w:before="0" w:after="120"/>
      </w:pPr>
      <w:r>
        <w:rPr>
          <w:b/>
        </w:rPr>
        <w:t xml:space="preserve">Notes: </w:t>
      </w:r>
      <w:r>
        <w:t>abstract_source=crossref</w:t>
      </w:r>
    </w:p>
    <w:p>
      <w:pPr>
        <w:spacing w:before="0" w:after="80" w:lineRule="auto" w:line="276"/>
      </w:pPr>
      <w:r>
        <w:rPr>
          <w:b/>
        </w:rPr>
        <w:t xml:space="preserve">摘要（ZH）: </w:t>
      </w:r>
      <w:r>
        <w:t>摘要：我们报道了一种基于层状氰基桥联 Co-W 组件的压力响应分子磁体 [{CoII(4-phenoxypyridine)4}3{WV(CN)8}2]，表现出独特的压力选择性磁行为。该化合物形成二维电荷转移层，并由大体积配体诱导产生大的层间分离，从而在低温下实现磁化从二维到三维行为的维度交叉。施加高达 0.27 GPa 的中等压力可选择性地压缩各层，消除尺寸交叉并增强铁磁相互作用，从而提高居里温度和矫顽场。在进一步压缩时，层间距离达到极限，触发压力诱导的电荷转移相变，从高自旋CoII-WV状态到低自旋CoIII-WIV状态，这削弱了铁磁性，最终导致在较高压力下完全顺磁行为。软夹层区域和刚性电荷转移内层之间的可压缩性差异使得仅通过压力即可实现两步磁控制，这在分子磁体中是罕见的特征。高压 X 射线衍射和显微成像证实了层间区域的结构敏感性，并将压力引起的相变与连续压力引起的颜色变化相关联。这些发现表明，层间距离及其刚性层是设计压力响应磁性材料的关键参数，为可控分子磁提供了新策略</w:t>
      </w:r>
    </w:p>
    <w:p>
      <w:pPr>
        <w:spacing w:before="0" w:after="200" w:lineRule="auto" w:line="276"/>
      </w:pPr>
      <w:r>
        <w:rPr>
          <w:b/>
        </w:rPr>
        <w:t xml:space="preserve">Abstract (EN): </w:t>
      </w:r>
      <w:r>
        <w:t>We report a pressure-responsive molecule-based magnet featuring a layered cyanido-bridged Co–W assembly, [{CoII(4-phenoxypyridine)4}3{WV(CN)8}2], exhibiting a distinct pressure-selective magnetic behavior. The compound forms two-dimensional charge-transfer layers with large interlayer separation induced by bulky ligands, enabling a dimensional crossover of magnetization from two-dimensional to three-dimensional behavior at low temperatures. Applying moderate pressure up to 0.27 GPa selectively compresses the layers, eliminating the dimensional crossover and enhancing ferromagnetic interactions, increasing both the Curie temperature and coercive field. Upon further compression, the interlayer distance reaches a limit, triggering a pressure-induced charge-transfer phase transition from the high-spin CoII–WV to the low-spin CoIII–WIV state, which weakens ferromagnetism and eventually leads to complete paramagnetic behavior at higher pressures. The difference in the compressibility between the soft interlayer regions and the rigid charge-transfer intralayer enables two-step magnetic control solely by pressure, a rare feature in molecule-based magnets. High-pressure X-ray diffraction and microscopic imaging confirm the structural sensitivity of the interlayer regions and correlate the pressure-induced phase transitions with the sequential pressure-induced color changes. These findings demonstrate that the interlayer distance and its rigid layer are key parameters for designing pressure-responsive magnetic materials, offering a new strategy for controllable molecular magnetism via external stimuli.</w:t>
      </w:r>
    </w:p>
    <w:p>
      <w:pPr>
        <w:spacing w:before="120" w:after="120"/>
      </w:pPr>
      <w:r>
        <w:rPr>
          <w:sz w:val="18"/>
        </w:rPr>
        <w:t>——————————————————————————————————————————————————————————————————————</w:t>
      </w:r>
    </w:p>
    <w:p>
      <w:pPr>
        <w:spacing w:before="160" w:after="40" w:line="240" w:lineRule="auto"/>
      </w:pPr>
      <w:r>
        <w:rPr>
          <w:b/>
        </w:rPr>
        <w:t xml:space="preserve">[56] </w:t>
      </w:r>
      <w:hyperlink r:id="rId683">
        <w:r>
          <w:rPr>
            <w:color w:val="1155CC"/>
            <w:u w:val="single"/>
          </w:rPr>
          <w:t>液相三维电子衍射揭示金属有机框架的液体依赖性结构响应</w:t>
        </w:r>
      </w:hyperlink>
    </w:p>
    <w:p>
      <w:pPr>
        <w:spacing w:before="0" w:after="80"/>
      </w:pPr>
      <w:r>
        <w:rPr>
          <w:i/>
          <w:sz w:val="20"/>
        </w:rPr>
        <w:t>EN: Liquid-Dependent Structural Responses of a Metal–Organic Framework Revealed by Liquid-Phase Three-Dimensional Electron Diffraction</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684">
        <w:r>
          <w:rPr>
            <w:color w:val="1155CC"/>
            <w:u w:val="single"/>
          </w:rPr>
          <w:t>10.1021/jacs.6c10477</w:t>
        </w:r>
      </w:hyperlink>
    </w:p>
    <w:p>
      <w:pPr>
        <w:spacing w:before="0" w:after="120"/>
      </w:pPr>
      <w:r>
        <w:rPr>
          <w:b/>
        </w:rPr>
        <w:t xml:space="preserve">Notes: </w:t>
      </w:r>
      <w:r>
        <w:t>abstract_source=crossref</w:t>
      </w:r>
    </w:p>
    <w:p>
      <w:pPr>
        <w:spacing w:before="0" w:after="80" w:lineRule="auto" w:line="276"/>
      </w:pPr>
      <w:r>
        <w:rPr>
          <w:b/>
        </w:rPr>
        <w:t xml:space="preserve">摘要（ZH）: </w:t>
      </w:r>
      <w:r>
        <w:t>摘要 液体环境可以深刻影响晶体材料的形成、结构转变和功能响应，因此了解其在液体中的真实结构至关重要。然而，液体中的原子级结构分析极具挑战性，因为液体厚度过大、背景散射强和光束严重损坏会严重影响衍射数据质量。在这里，我们开发了一种基于超薄碳膜的液体电池平台。该平台在单个晶体周围限制了纳米级局部液体层，当与低剂量三维电子衍射 (3D ED) 相结合时，可以在液体条件下进行原子分辨率结构测定。利用这种方法，我们实现了各种液体中柔性金属有机骨架（MOF）Al-MIL-53的从头算结构测定，数据分辨率达到0.58 Å。这使得可以直接揭示乙二醇和 DMF 中两种先前未发现的溶剂依赖性呼吸结构，它们表现出大孔结构，与水中观察到的窄孔结构形成鲜明对比。该液体池平台可以将液相三维电子衍射（LP-3DED）作为一种有效且广泛使用的方法来探测液体环境中的原子级结构。</w:t>
      </w:r>
    </w:p>
    <w:p>
      <w:pPr>
        <w:spacing w:before="0" w:after="200" w:lineRule="auto" w:line="276"/>
      </w:pPr>
      <w:r>
        <w:rPr>
          <w:b/>
        </w:rPr>
        <w:t xml:space="preserve">Abstract (EN): </w:t>
      </w:r>
      <w:r>
        <w:t>Liquid environments can profoundly influence the formation, structural transformation, and functional response of crystalline materials, making it essential to access their genuine structures in liquids. However, atomic-level structure analysis in liquids is highly challenging, as excessive liquid thickness, strong background scattering, and severe beam damage can severely compromise diffraction data quality. Herein, we develop a liquid-cell platform based on ultrathin carbon films. This platform confines a nanoscale local liquid layer around individual crystals and, when combined with low-dose three-dimensional electron diffraction (3D ED), enables atomic-resolution structure determination under liquid conditions. Using this approach, we achieve ab initio structure determination of a flexible metal–organic framework (MOF) Al-MIL-53 in various liquids, with data resolution reaching 0.58 Å. This allows direct revealing of two previously undiscovered solvent-dependent breathing structures in ethylene glycol and DMF, which exhibit large pore structures in contrast to the narrow pore structure observed in water. This liquid-cell platform could establish liquid-phase three-dimensional electron diffraction (LP-3DED) as an effective and widely accessible method for probing atomic-level structures in liquid environments.</w:t>
      </w:r>
    </w:p>
    <w:p>
      <w:pPr>
        <w:spacing w:before="120" w:after="120"/>
      </w:pPr>
      <w:r>
        <w:rPr>
          <w:sz w:val="18"/>
        </w:rPr>
        <w:t>——————————————————————————————————————————————————————————————————————</w:t>
      </w:r>
    </w:p>
    <w:p>
      <w:pPr>
        <w:spacing w:before="160" w:after="40" w:line="240" w:lineRule="auto"/>
      </w:pPr>
      <w:r>
        <w:rPr>
          <w:b/>
        </w:rPr>
        <w:t xml:space="preserve">[57] </w:t>
      </w:r>
      <w:hyperlink r:id="rId685">
        <w:r>
          <w:rPr>
            <w:color w:val="1155CC"/>
            <w:u w:val="single"/>
          </w:rPr>
          <w:t>一氮化磷的水合和胺化</w:t>
        </w:r>
      </w:hyperlink>
    </w:p>
    <w:p>
      <w:pPr>
        <w:spacing w:before="0" w:after="80"/>
      </w:pPr>
      <w:r>
        <w:rPr>
          <w:i/>
          <w:sz w:val="20"/>
        </w:rPr>
        <w:t>EN: Hydration and Amination of Phosphorus Mononitride</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686">
        <w:r>
          <w:rPr>
            <w:color w:val="1155CC"/>
            <w:u w:val="single"/>
          </w:rPr>
          <w:t>10.1021/jacs.6c11351</w:t>
        </w:r>
      </w:hyperlink>
    </w:p>
    <w:p>
      <w:pPr>
        <w:spacing w:before="0" w:after="120"/>
      </w:pPr>
      <w:r>
        <w:rPr>
          <w:b/>
        </w:rPr>
        <w:t xml:space="preserve">Notes: </w:t>
      </w:r>
      <w:r>
        <w:t>abstract_source=crossref</w:t>
      </w:r>
    </w:p>
    <w:p>
      <w:pPr>
        <w:spacing w:before="0" w:after="80" w:lineRule="auto" w:line="276"/>
      </w:pPr>
      <w:r>
        <w:rPr>
          <w:b/>
        </w:rPr>
        <w:t xml:space="preserve">摘要（ZH）: </w:t>
      </w:r>
      <w:r>
        <w:t>摘要 一氮化磷（PN）作为分子氮（N2）的重类似物，是目前在地球上仅短暂存在的主要含磷星际物种。从化学角度来看，PN 的自发低聚反应表明其具有很强的反应性，然而，其对其他分子的反应性仍然很少被探索。在此，我们研究了 PN 与水 (H2O) 和氨 (NH3) 的反应。具体来说，PN在气相中与H2O反应生成氨基氧化膦H2NPO，它可以在10 K的Ar基体中通过光致氢迁移反应转化为不太稳定的异构体HNPOH和HP(O)NH。或者，这些带有PN的物质可以通过最不稳定的异构体H2PNO的光异构化产生，H2PNO可以通过气相中·PH2和·NO之间的自由基缔合反应合成。以此类推，PN 和 NH3 之间的反应以光解方式进行，产生 N-H 插入产物 H2NPNH。我们的结果展示了 PN 的新型 O/N-H 插入反应性，从而增进了我们对其在星际介质 (ISM) 中的天体化学演化的了解。</w:t>
      </w:r>
    </w:p>
    <w:p>
      <w:pPr>
        <w:spacing w:before="0" w:after="200" w:lineRule="auto" w:line="276"/>
      </w:pPr>
      <w:r>
        <w:rPr>
          <w:b/>
        </w:rPr>
        <w:t xml:space="preserve">Abstract (EN): </w:t>
      </w:r>
      <w:r>
        <w:t>As a heavy analogue of molecular nitrogen (N2), phosphorus mononitride (PN) is currently a major P-bearing interstellar species that only has fleeting existence on Earth. Chemically, PN is very reactive as demonstrated by its spontaneous oligomerization reactions, however, its reactivity toward other molecules remains scarcely explored. Herein, we present a study on the reactions of PN with water (H2O) and ammonia (NH3). Specifically, PN reacts with H2O in the gas phase to yield aminophosphinidene oxide H2NPO, which can be converted to the less stable isomers HNPOH and HP(O)NH via photoinduced hydrogen migration reactions in an Ar-matrix at 10 K. Alternatively, these PN-bearing species can be generated through photoisomerization of the least stable isomer H2PNO that can be synthesized by radical association reaction between •PH2 and •NO in the gas phase. By analogy, the reaction between PN and NH3 proceeds photolytically, yielding the N–H insertion product H2NPNH. Our results showcase the novel O/N–H insertion reactivity of PN, thereby advancing our knowledge about its astrochemical evolution in the interstellar medium (ISM).</w:t>
      </w:r>
    </w:p>
    <w:p>
      <w:pPr>
        <w:spacing w:before="120" w:after="120"/>
      </w:pPr>
      <w:r>
        <w:rPr>
          <w:sz w:val="18"/>
        </w:rPr>
        <w:t>——————————————————————————————————————————————————————————————————————</w:t>
      </w:r>
    </w:p>
    <w:p>
      <w:pPr>
        <w:spacing w:before="160" w:after="40" w:line="240" w:lineRule="auto"/>
      </w:pPr>
      <w:r>
        <w:rPr>
          <w:b/>
        </w:rPr>
        <w:t xml:space="preserve">[58] </w:t>
      </w:r>
      <w:hyperlink r:id="rId687">
        <w:r>
          <w:rPr>
            <w:color w:val="1155CC"/>
            <w:u w:val="single"/>
          </w:rPr>
          <w:t>用于共价有机框架中连接重编程的串联闭环/开环化学</w:t>
        </w:r>
      </w:hyperlink>
    </w:p>
    <w:p>
      <w:pPr>
        <w:spacing w:before="0" w:after="80"/>
      </w:pPr>
      <w:r>
        <w:rPr>
          <w:i/>
          <w:sz w:val="20"/>
        </w:rPr>
        <w:t>EN: Tandem Ring-Closing/Ring-Opening Chemistry for Linkage Reprogramming in Covalent 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688">
        <w:r>
          <w:rPr>
            <w:color w:val="1155CC"/>
            <w:u w:val="single"/>
          </w:rPr>
          <w:t>10.1021/jacs.6c02367</w:t>
        </w:r>
      </w:hyperlink>
    </w:p>
    <w:p>
      <w:pPr>
        <w:spacing w:before="0" w:after="120"/>
      </w:pPr>
      <w:r>
        <w:rPr>
          <w:b/>
        </w:rPr>
        <w:t xml:space="preserve">Notes: </w:t>
      </w:r>
      <w:r>
        <w:t>abstract_source=crossref</w:t>
      </w:r>
    </w:p>
    <w:p>
      <w:pPr>
        <w:spacing w:before="0" w:after="80" w:lineRule="auto" w:line="276"/>
      </w:pPr>
      <w:r>
        <w:rPr>
          <w:b/>
        </w:rPr>
        <w:t xml:space="preserve">摘要（ZH）: </w:t>
      </w:r>
      <w:r>
        <w:t>摘要 连接构件的连接在很大程度上决定了共价有机框架（COF）的可接近化学空间。然而，合成新的键通常依赖于需要不同单体对的键特异性缩合。在这里，我们提出了一种可控串联闭环/开环（RCRO）策略，该策略能够从单个亚胺连接的前体对 COF 进行连接重编程。通过涉及分子内氧化闭环和亲核开环的多米诺骨牌序列，亚胺键选择性地转化为苯并恶嗪酮和双苯甲酰胺连接的框架，同时保留长程结晶度。该 RCRO 过程允许不同程度地访问多个强大的连接，与扩展连接体兼容，并且能够在不改变前体化学的情况下系统地调节框架连接性和孔隙率。所得的 COF 表现出明显的键依赖性特性，包括双苯甲酰胺连接的框架中的快速碘蒸气吸附以及苯并恶嗪酮连接的 COF 中的高效光催化 H2O2 生产。通过建立串联 RCRO 反应作为扩展晶体框架中连接工程的可行模式，这项工作为有效和发散性探索 COF 结构和功能开辟了一条通用途径。</w:t>
      </w:r>
    </w:p>
    <w:p>
      <w:pPr>
        <w:spacing w:before="0" w:after="200" w:lineRule="auto" w:line="276"/>
      </w:pPr>
      <w:r>
        <w:rPr>
          <w:b/>
        </w:rPr>
        <w:t xml:space="preserve">Abstract (EN): </w:t>
      </w:r>
      <w:r>
        <w:t>The linkages connecting building blocks largely dictate the accessible chemical space of covalent organic frameworks (COFs). However, synthesizing new linkages typically relies on linkage-specific condensations that require distinct monomer pairs. Here, we present a controllable tandem ring-closing/ring-opening (RCRO) strategy that enables linkage reprogramming of COFs from a single imine-linked precursor. Through a domino sequence involving intramolecular oxidative ring-closing followed by nucleophilic ring-opening, imine linkages are selectively transformed into benzoxazinone- and bis-benzamide-linked frameworks while preserving long-range crystallinity. This RCRO process allows divergent access to multiple robust linkages, is compatible with extended linkers, and enables systematic modulation of framework connectivity and porosity without altering the precursor chemistry. The resulting COFs exhibit pronounced linkage-dependent properties, including rapid iodine vapor adsorption in bis-benzamide-linked frameworks and efficient photocatalytic H2O2 production in the benzoxazinone-linked COF. By establishing tandem RCRO reactions as a viable mode of linkage engineering in extended crystalline frameworks, this work opens a general pathway for efficient and divergent exploration of COF structures and functions.</w:t>
      </w:r>
    </w:p>
    <w:p>
      <w:pPr>
        <w:spacing w:before="120" w:after="120"/>
      </w:pPr>
      <w:r>
        <w:rPr>
          <w:sz w:val="18"/>
        </w:rPr>
        <w:t>——————————————————————————————————————————————————————————————————————</w:t>
      </w:r>
    </w:p>
    <w:p>
      <w:pPr>
        <w:spacing w:before="160" w:after="40" w:line="240" w:lineRule="auto"/>
      </w:pPr>
      <w:r>
        <w:rPr>
          <w:b/>
        </w:rPr>
        <w:t xml:space="preserve">[59] </w:t>
      </w:r>
      <w:hyperlink r:id="rId689">
        <w:r>
          <w:rPr>
            <w:color w:val="1155CC"/>
            <w:u w:val="single"/>
          </w:rPr>
          <w:t>用于交流最优潮流的自监督约束嵌入神经网络</w:t>
        </w:r>
      </w:hyperlink>
    </w:p>
    <w:p>
      <w:pPr>
        <w:spacing w:before="0" w:after="80"/>
      </w:pPr>
      <w:r>
        <w:rPr>
          <w:i/>
          <w:sz w:val="20"/>
        </w:rPr>
        <w:t>EN: A self-supervised constraint-embedded neural network for AC optimal power flow</w:t>
      </w:r>
    </w:p>
    <w:p>
      <w:pPr>
        <w:spacing w:before="0" w:after="120"/>
      </w:pPr>
      <w:r>
        <w:rPr>
          <w:b/>
        </w:rPr>
        <w:t xml:space="preserve">Source: </w:t>
      </w:r>
      <w:r>
        <w:t>ScienceDirect Publication: Applied Energy</w:t>
      </w:r>
      <w:r>
        <w:t xml:space="preserve">    </w:t>
      </w:r>
      <w:r>
        <w:rPr>
          <w:b/>
        </w:rPr>
        <w:t xml:space="preserve">Pub date: </w:t>
      </w:r>
      <w:r>
        <w:t>2026-08-07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 </w:t>
      </w:r>
      <w:hyperlink r:id="rId690">
        <w:r>
          <w:rPr>
            <w:color w:val="1155CC"/>
            <w:u w:val="single"/>
          </w:rPr>
          <w:t>基于 Huber-CVaR 的分布式鲁棒双层优化，用于集成异构灵活性资源的能源中心</w:t>
        </w:r>
      </w:hyperlink>
    </w:p>
    <w:p>
      <w:pPr>
        <w:spacing w:before="0" w:after="80"/>
      </w:pPr>
      <w:r>
        <w:rPr>
          <w:i/>
          <w:sz w:val="20"/>
        </w:rPr>
        <w:t>EN: Huber-CVaR-based distributionally robust bilevel optimization for energy hubs integrating heterogeneous flexibility resources</w:t>
      </w:r>
    </w:p>
    <w:p>
      <w:pPr>
        <w:spacing w:before="0" w:after="120"/>
      </w:pPr>
      <w:r>
        <w:rPr>
          <w:b/>
        </w:rPr>
        <w:t xml:space="preserve">Source: </w:t>
      </w:r>
      <w:r>
        <w:t>ScienceDirect Publication: Applied Energy</w:t>
      </w:r>
      <w:r>
        <w:t xml:space="preserve">    </w:t>
      </w:r>
      <w:r>
        <w:rPr>
          <w:b/>
        </w:rPr>
        <w:t xml:space="preserve">Pub date: </w:t>
      </w:r>
      <w:r>
        <w:t>2026-08-07 00:00:00+00:00</w:t>
      </w:r>
      <w:r>
        <w:t xml:space="preserve">    </w:t>
      </w:r>
      <w:r>
        <w:rPr>
          <w:b/>
        </w:rPr>
        <w:t xml:space="preserve">DOI: </w:t>
      </w:r>
      <w:hyperlink r:id="rId691">
        <w:r>
          <w:rPr>
            <w:color w:val="1155CC"/>
            <w:u w:val="single"/>
          </w:rPr>
          <w:t>10.1016/j.apenergy.2026.128587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 </w:t>
      </w:r>
      <w:hyperlink r:id="rId692">
        <w:r>
          <w:rPr>
            <w:color w:val="1155CC"/>
            <w:u w:val="single"/>
          </w:rPr>
          <w:t>地理而非地质：测试欧盟关键原材料法案的经验基础</w:t>
        </w:r>
      </w:hyperlink>
    </w:p>
    <w:p>
      <w:pPr>
        <w:spacing w:before="0" w:after="80"/>
      </w:pPr>
      <w:r>
        <w:rPr>
          <w:i/>
          <w:sz w:val="20"/>
        </w:rPr>
        <w:t>EN: Geography, not geology: Testing the empirical foundations of the EU critical raw materials act</w:t>
      </w:r>
    </w:p>
    <w:p>
      <w:pPr>
        <w:spacing w:before="0" w:after="120"/>
      </w:pPr>
      <w:r>
        <w:rPr>
          <w:b/>
        </w:rPr>
        <w:t xml:space="preserve">Source: </w:t>
      </w:r>
      <w:r>
        <w:t>ScienceDirect Publication: Energy Policy</w:t>
      </w:r>
      <w:r>
        <w:t xml:space="preserve">    </w:t>
      </w:r>
      <w:r>
        <w:rPr>
          <w:b/>
        </w:rPr>
        <w:t xml:space="preserve">Pub date: </w:t>
      </w:r>
      <w:r>
        <w:t>2026-08-07 00:00:00+00:00</w:t>
      </w:r>
      <w:r>
        <w:t xml:space="preserve">    </w:t>
      </w:r>
      <w:r>
        <w:rPr>
          <w:b/>
        </w:rPr>
        <w:t xml:space="preserve">DOI: </w:t>
      </w:r>
      <w:hyperlink r:id="rId693">
        <w:r>
          <w:rPr>
            <w:color w:val="1155CC"/>
            <w:u w:val="single"/>
          </w:rPr>
          <w:t>10.1016/j.enpol.2026.115533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[62] </w:t>
      </w:r>
      <w:hyperlink r:id="rId694">
        <w:r>
          <w:rPr>
            <w:color w:val="1155CC"/>
            <w:u w:val="single"/>
          </w:rPr>
          <w:t>霍尔木兹海峡中断、地缘政治争端强度和欧洲燃料市场基于布伦特原油的对冲有效性：来自 DCC-GARCH 方法的经验证据</w:t>
        </w:r>
      </w:hyperlink>
    </w:p>
    <w:p>
      <w:pPr>
        <w:spacing w:before="0" w:after="80"/>
      </w:pPr>
      <w:r>
        <w:rPr>
          <w:i/>
          <w:sz w:val="20"/>
        </w:rPr>
        <w:t>EN: Strait of Hormuz disruption, geopolitical dispute intensity and Brent-based hedging effectiveness in European fuel markets: Empirical evidence from DCC-GARCH approach</w:t>
      </w:r>
    </w:p>
    <w:p>
      <w:pPr>
        <w:spacing w:before="0" w:after="120"/>
      </w:pPr>
      <w:r>
        <w:rPr>
          <w:b/>
        </w:rPr>
        <w:t xml:space="preserve">Source: </w:t>
      </w:r>
      <w:r>
        <w:t>ScienceDirect Publication: Energy Policy</w:t>
      </w:r>
      <w:r>
        <w:t xml:space="preserve">    </w:t>
      </w:r>
      <w:r>
        <w:rPr>
          <w:b/>
        </w:rPr>
        <w:t xml:space="preserve">Pub date: </w:t>
      </w:r>
      <w:r>
        <w:t>2026-08-07 00:00:00+00:00</w:t>
      </w:r>
      <w:r>
        <w:t xml:space="preserve">    </w:t>
      </w:r>
      <w:r>
        <w:rPr>
          <w:b/>
        </w:rPr>
        <w:t xml:space="preserve">DOI: </w:t>
      </w:r>
      <w:hyperlink r:id="rId695">
        <w:r>
          <w:rPr>
            <w:color w:val="1155CC"/>
            <w:u w:val="single"/>
          </w:rPr>
          <w:t>10.1016/j.enpol.2026.115521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 </w:t>
      </w:r>
      <w:hyperlink r:id="rId696">
        <w:r>
          <w:rPr>
            <w:color w:val="1155CC"/>
            <w:u w:val="single"/>
          </w:rPr>
          <w:t>用于开发长效葡萄糖响应注射胰岛素晶体的受贻贝启发的膜封装策略</w:t>
        </w:r>
      </w:hyperlink>
    </w:p>
    <w:p>
      <w:pPr>
        <w:spacing w:before="0" w:after="80"/>
      </w:pPr>
      <w:r>
        <w:rPr>
          <w:i/>
          <w:sz w:val="20"/>
        </w:rPr>
        <w:t>EN: Mussel-Inspired Membrane Encapsulation Strategy for Developing Long-Acting Glucose-Responsive Injectable Insulin Crystals</w:t>
      </w:r>
    </w:p>
    <w:p>
      <w:pPr>
        <w:spacing w:before="0" w:after="120"/>
      </w:pPr>
      <w:r>
        <w:rPr>
          <w:b/>
        </w:rPr>
        <w:t xml:space="preserve">Source: </w:t>
      </w:r>
      <w:r>
        <w:t>Journal of the American Chemical Society: Latest Articles (ACS Publications)</w:t>
      </w:r>
      <w:r>
        <w:t xml:space="preserve">    </w:t>
      </w:r>
      <w:r>
        <w:rPr>
          <w:b/>
        </w:rPr>
        <w:t xml:space="preserve">Pub date: </w:t>
      </w:r>
      <w:r>
        <w:t>2026-08-07 00:00:00+00:00</w:t>
      </w:r>
      <w:r>
        <w:t xml:space="preserve">    </w:t>
      </w:r>
      <w:r>
        <w:rPr>
          <w:b/>
        </w:rPr>
        <w:t xml:space="preserve">DOI: </w:t>
      </w:r>
      <w:hyperlink r:id="rId697">
        <w:r>
          <w:rPr>
            <w:color w:val="1155CC"/>
            <w:u w:val="single"/>
          </w:rPr>
          <w:t>10.1021/jacs.6c07195</w:t>
        </w:r>
      </w:hyperlink>
    </w:p>
    <w:p>
      <w:pPr>
        <w:spacing w:before="0" w:after="120"/>
      </w:pPr>
      <w:r>
        <w:rPr>
          <w:b/>
        </w:rPr>
        <w:t xml:space="preserve">Notes: </w:t>
      </w:r>
      <w:r>
        <w:t>abstract_source=crossref</w:t>
      </w:r>
    </w:p>
    <w:p>
      <w:pPr>
        <w:spacing w:before="0" w:after="80" w:lineRule="auto" w:line="276"/>
      </w:pPr>
      <w:r>
        <w:rPr>
          <w:b/>
        </w:rPr>
        <w:t xml:space="preserve">摘要（ZH）: </w:t>
      </w:r>
      <w:r>
        <w:t>摘要 受儿茶酚-赖氨酸协同作用和贻贝粘附中氧化交联机制的启发，我们合成了用3,4-二羟基苯乙酸（DOPAC）修饰的聚-L-赖氨酸（PLL）来封装胰岛素晶体。氧化后，胰岛素晶体表面原位形成致密、稳定、均匀的纳米通道膜，实现高药物包封率、载药量和缓释性能。在用 4-羧基-3-氟苯基硼酸 (FPBA) 进一步功能化后，该膜可以以葡萄糖响应方式介导胰岛素释放。值得注意的是，除了葡萄糖和 FPBA 之间的结合引起的传统电荷转换之外，分子动力学模拟发现葡萄糖结合削弱了聚合物链之间的非共价相互作用并降低了膜的致密性，从而加速了胰岛素的释放。在 1 型糖尿病小鼠和小型猪模型中，单次注射封装胰岛素晶体可分别维持正常血糖长达 218 小时和 190 小时。该制剂还表现出体内葡萄糖响应性胰岛素释放、低血糖风险低、生物降解性和高生物相容性。这项研究提出了一种仿生膜封闭策略，用于开发亲水性药物的长效注射制剂。</w:t>
      </w:r>
    </w:p>
    <w:p>
      <w:pPr>
        <w:spacing w:before="0" w:after="200" w:lineRule="auto" w:line="276"/>
      </w:pPr>
      <w:r>
        <w:rPr>
          <w:b/>
        </w:rPr>
        <w:t xml:space="preserve">Abstract (EN): </w:t>
      </w:r>
      <w:r>
        <w:t>Inspired by the catechol-lysine synergy and oxidative cross-linking mechanisms in mussel adhesion, we have synthesized poly-l-lysine (PLL) modified with 3,4-dihydroxyphenylacetic acid (DOPAC) to encapsulate insulin crystals. Upon oxidation, a dense, stable, and uniform membrane with nanochannels is in situ formed on the surface of insulin crystals, achieving high drug encapsulation efficiency, loading content, and sustained release performance. After further functionalization with 4-carboxy-3-fluorophenylboronic acid (FPBA), the membrane can mediate insulin release in a glucose-responsive manner. Notably, beyond the conventional charge switch induced by the binding between glucose and FPBA, molecular dynamics simulation identifies that glucose binding weakens noncovalent interactions among polymer chains and reduces membrane compactness, thereby accelerating insulin release. A single injection of encapsulated insulin crystals maintains normoglycemia for up to 218 and 190 h, respectively, in type 1 diabetic mouse and minipig models. This formulation also exhibits in vivo glucose-responsive insulin release, low risk of hypoglycemia, biodegradability, and high biocompatibility. This study presents a bioinspired membrane-enclosed strategy for developing long-acting and injectable formulations for hydrophilic drugs.</w:t>
      </w:r>
    </w:p>
    <w:p>
      <w:pPr>
        <w:spacing w:before="120" w:after="120"/>
      </w:pPr>
      <w:r>
        <w:rPr>
          <w:sz w:val="18"/>
        </w:rPr>
        <w:t>——————————————————————————————————————————————————————————————————————</w:t>
      </w:r>
    </w:p>
    <w:p>
      <w:pPr>
        <w:spacing w:before="160" w:after="40" w:line="240" w:lineRule="auto"/>
      </w:pPr>
      <w:r>
        <w:rPr>
          <w:b/>
        </w:rPr>
        <w:t xml:space="preserve">[64] </w:t>
      </w:r>
      <w:hyperlink r:id="rId698">
        <w:r>
          <w:rPr>
            <w:color w:val="1155CC"/>
            <w:u w:val="single"/>
          </w:rPr>
          <w:t>交替磁体候选 H-FeS 的单轴应变调谐磁性</w:t>
        </w:r>
      </w:hyperlink>
    </w:p>
    <w:p>
      <w:pPr>
        <w:spacing w:before="0" w:after="80"/>
      </w:pPr>
      <w:r>
        <w:rPr>
          <w:i/>
          <w:sz w:val="20"/>
        </w:rPr>
        <w:t>EN: Uniaxial Strain Tuned Magnetism of the Altermagnet Candidate H‐FeS</w:t>
      </w:r>
    </w:p>
    <w:p>
      <w:pPr>
        <w:spacing w:before="0" w:after="120"/>
      </w:pPr>
      <w:r>
        <w:rPr>
          <w:b/>
        </w:rPr>
        <w:t xml:space="preserve">Source: </w:t>
      </w:r>
      <w:r>
        <w:t>Wiley: Advanced Materials: Table of Contents</w:t>
      </w:r>
      <w:r>
        <w:t xml:space="preserve">    </w:t>
      </w:r>
      <w:r>
        <w:rPr>
          <w:b/>
        </w:rPr>
        <w:t xml:space="preserve">Pub date: </w:t>
      </w:r>
      <w:r>
        <w:t>2026-08-07 01:36:45+00:00</w:t>
      </w:r>
      <w:r>
        <w:t xml:space="preserve">    </w:t>
      </w:r>
      <w:r>
        <w:rPr>
          <w:b/>
        </w:rPr>
        <w:t xml:space="preserve">DOI: </w:t>
      </w:r>
      <w:hyperlink r:id="rId699">
        <w:r>
          <w:rPr>
            <w:color w:val="1155CC"/>
            <w:u w:val="single"/>
          </w:rPr>
          <w:t>10.1002/adma.74398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交替磁体是一类新近被认可的磁性材料，其特征是补偿自旋配置，同时仍然打破时间反转对称性并表现出非常规的输运现象。六方 FeS (h-FeS) 是最近发现的一种候选交替磁体，它表现出自发的反常霍尔效应 (AHE)，并伴有微小的净磁化强度。在这里，我们证明自发 AHE 和磁化强度都可以被面内压缩应变有效抑制。由于中子衍射测量表明，施加的单轴应变仅改变面内磁畴布居，但不影响面内磁结构，因此施加应变的主要作用是调整小轴铁磁矩。我们的结果证明了 h-FeS 中微小的净磁化强度与自发 AHE 之间存在很强的相关性，并表明单轴应变提供了一个有效的旋钮来调整这种用于自旋电子应用的交替磁体候选物的两种特性。</w:t>
      </w:r>
    </w:p>
    <w:p>
      <w:pPr>
        <w:spacing w:before="0" w:after="200" w:lineRule="auto" w:line="276"/>
      </w:pPr>
      <w:r>
        <w:rPr>
          <w:b/>
        </w:rPr>
        <w:t xml:space="preserve">Abstract (EN): </w:t>
      </w:r>
      <w:r>
        <w:t>Altermagnets are a newly recognized class of magnetic materials characterized by compensated spin configurations while still breaking time‐reversal symmetry and exhibiting unconventional transport phenomena. Hexagonal FeS (h‐FeS) is a recently identified altermagnet candidate that shows a spontaneous anomalous Hall effect (AHE) accompanied by a tiny net magnetization. Here, we show that both the spontaneous AHE and magnetization can be effectively suppressed by an in‐plane compressive strain. Since neutron diffraction measurements show that the applied uniaxial strain only modifies the in‐plane domain population but does not affect the in‐plane magnetic structure, the major effect of the applied strain is to tune the small ‐axis ferromagnetic moment. Our results demonstrate a strong correlation between the tiny net magnetization and the spontaneous AHE in h‐FeS, and show that uniaxial strain provides an effective knob to tune both properties in this altermagnet candidate for spintronic applications.</w:t>
      </w:r>
    </w:p>
    <w:p>
      <w:pPr>
        <w:spacing w:before="120" w:after="120"/>
      </w:pPr>
      <w:r>
        <w:rPr>
          <w:sz w:val="18"/>
        </w:rPr>
        <w:t>——————————————————————————————————————————————————————————————————————</w:t>
      </w:r>
    </w:p>
    <w:p>
      <w:pPr>
        <w:spacing w:before="160" w:after="40" w:line="240" w:lineRule="auto"/>
      </w:pPr>
      <w:r>
        <w:rPr>
          <w:b/>
        </w:rPr>
        <w:t xml:space="preserve">[65] </w:t>
      </w:r>
      <w:hyperlink r:id="rId700">
        <w:r>
          <w:rPr>
            <w:color w:val="1155CC"/>
            <w:u w:val="single"/>
          </w:rPr>
          <w:t>单原子在生命物质中充当催化剂</w:t>
        </w:r>
      </w:hyperlink>
    </w:p>
    <w:p>
      <w:pPr>
        <w:spacing w:before="0" w:after="80"/>
      </w:pPr>
      <w:r>
        <w:rPr>
          <w:i/>
          <w:sz w:val="20"/>
        </w:rPr>
        <w:t>EN: Single Atoms Functioning as Catalysts Inside Living Matter</w:t>
      </w:r>
    </w:p>
    <w:p>
      <w:pPr>
        <w:spacing w:before="0" w:after="120"/>
      </w:pPr>
      <w:r>
        <w:rPr>
          <w:b/>
        </w:rPr>
        <w:t xml:space="preserve">Source: </w:t>
      </w:r>
      <w:r>
        <w:t>Wiley: Advanced Materials: Table of Contents</w:t>
      </w:r>
      <w:r>
        <w:t xml:space="preserve">    </w:t>
      </w:r>
      <w:r>
        <w:rPr>
          <w:b/>
        </w:rPr>
        <w:t xml:space="preserve">Pub date: </w:t>
      </w:r>
      <w:r>
        <w:t>2026-08-07 03:16:51+00:00</w:t>
      </w:r>
      <w:r>
        <w:t xml:space="preserve">    </w:t>
      </w:r>
      <w:r>
        <w:rPr>
          <w:b/>
        </w:rPr>
        <w:t xml:space="preserve">DOI: </w:t>
      </w:r>
      <w:hyperlink r:id="rId701">
        <w:r>
          <w:rPr>
            <w:color w:val="1155CC"/>
            <w:u w:val="single"/>
          </w:rPr>
          <w:t>10.1002/adma.74564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单原子催化剂代表了材料小型化的最终极限，但它们的功能仅限于明确的非生物环境。原子分散的金属中心是否可以在化学拥挤、动态调节的生命物质环境中保持催化特性仍然未知。在这里我们证明了 Fe-N</w:t>
      </w:r>
      <w:r>
        <w:t xml:space="preserve"> </w:t>
      </w:r>
      <w:r>
        <w:t>x</w:t>
      </w:r>
      <w:r>
        <w:t xml:space="preserve"> </w:t>
      </w:r>
      <w:r>
        <w:t>嵌入石墨烯量子点中的单个原子在细菌细胞质内充当催化实体。细胞内化后，这些孤立的位点建立了光驱动的细胞内氧化还原循环，加速 NADH 氧化，同时维持细胞活力。时间分辨荧光测量揭示了生物混合体中明显的激发态猝灭，支持细胞环境中的紧密材料-细胞耦合和光驱动的电荷消耗。由此产生的扰动通过内源生化网络传播，产生还原当量的可编程重新分配并增强琥珀酸生物合成，而无需基因改造。结构分析证实，Fe 中心的原子分散在生物条件下得以保留。这些发现表明，原子定义的材料可以在生命系统中发挥作用，同时保留结构完整性和催化活性，从而将单原子催化从非生物界面扩展到生物环境。因此，生命物质成为原子级材料的可行反应场，开启了</w:t>
      </w:r>
    </w:p>
    <w:p>
      <w:pPr>
        <w:spacing w:before="0" w:after="200" w:lineRule="auto" w:line="276"/>
      </w:pPr>
      <w:r>
        <w:rPr>
          <w:b/>
        </w:rPr>
        <w:t xml:space="preserve">Abstract (EN): </w:t>
      </w:r>
      <w:r>
        <w:t>Single‐atom catalysts represent the ultimate limit of materials miniaturization, yet their functionality has been confined to well‐defined abiotic environments. Whether atomically dispersed metal centers can preserve catalytic identity within the chemically crowded, dynamically regulated milieu of living matter remains unknown. Here we show that Fe–N</w:t>
      </w:r>
      <w:r>
        <w:t xml:space="preserve"> </w:t>
      </w:r>
      <w:r>
        <w:t>x</w:t>
      </w:r>
      <w:r>
        <w:t xml:space="preserve"> </w:t>
      </w:r>
      <w:r>
        <w:t>single atoms embedded in graphene quantum dots operate as catalytic entities inside the cytoplasm of bacteria. Following cellular internalization, these isolated sites establish a light‐driven intracellular redox cycle that accelerates NADH oxidation while maintaining cellular viability. Time‐resolved fluorescence measurements reveal pronounced excited‐state quenching in the biohybrid, supporting close material–cell coupling and light‐driven charge consumption within the cellular environment. The resulting perturbation propagates through endogenous biochemical networks, producing a programmable redistribution of reducing equivalents and enhanced succinate biosynthesis without genetic modification. Structural analyses confirm that atomic dispersion of Fe centers is preserved under biological conditions. These findings demonstrate that atomically defined materials can function within living systems while retaining both structural integrity and catalytic activity, thereby extending single‐atom catalysis from abiotic interfaces to biological environments. Living matter thus emerges as a viable reaction field for atomic‐scale materials, opening opportunities for designing functional materials capable of operating within complex biological settings.</w:t>
      </w:r>
    </w:p>
    <w:p>
      <w:pPr>
        <w:spacing w:before="120" w:after="120"/>
      </w:pPr>
      <w:r>
        <w:rPr>
          <w:sz w:val="18"/>
        </w:rPr>
        <w:t>——————————————————————————————————————————————————————————————————————</w:t>
      </w:r>
    </w:p>
    <w:p>
      <w:pPr>
        <w:spacing w:before="160" w:after="40" w:line="240" w:lineRule="auto"/>
      </w:pPr>
      <w:r>
        <w:rPr>
          <w:b/>
        </w:rPr>
        <w:t xml:space="preserve">[66] </w:t>
      </w:r>
      <w:hyperlink r:id="rId702">
        <w:r>
          <w:rPr>
            <w:color w:val="1155CC"/>
            <w:u w:val="single"/>
          </w:rPr>
          <w:t>富含电子的核使有机 C 形染料的发射峰值约为 1000 nm，OLED 中的 PLQY 为 14.3%，EQE &gt; 3%</w:t>
        </w:r>
      </w:hyperlink>
    </w:p>
    <w:p>
      <w:pPr>
        <w:spacing w:before="0" w:after="80"/>
      </w:pPr>
      <w:r>
        <w:rPr>
          <w:i/>
          <w:sz w:val="20"/>
        </w:rPr>
        <w:t>EN: Electron‐Rich Cores Empower Organic C‐Shaped Dyes With Emission Peaking Around 1000 nm, 14.3% PLQY, and &gt;3% EQE in OLEDs</w:t>
      </w:r>
    </w:p>
    <w:p>
      <w:pPr>
        <w:spacing w:before="0" w:after="120"/>
      </w:pPr>
      <w:r>
        <w:rPr>
          <w:b/>
        </w:rPr>
        <w:t xml:space="preserve">Source: </w:t>
      </w:r>
      <w:r>
        <w:t>Wiley: Advanced Materials: Table of Contents</w:t>
      </w:r>
      <w:r>
        <w:t xml:space="preserve">    </w:t>
      </w:r>
      <w:r>
        <w:rPr>
          <w:b/>
        </w:rPr>
        <w:t xml:space="preserve">Pub date: </w:t>
      </w:r>
      <w:r>
        <w:t>2026-08-07 04:00:34+00:00</w:t>
      </w:r>
      <w:r>
        <w:t xml:space="preserve">    </w:t>
      </w:r>
      <w:r>
        <w:rPr>
          <w:b/>
        </w:rPr>
        <w:t xml:space="preserve">DOI: </w:t>
      </w:r>
      <w:hyperlink r:id="rId703">
        <w:r>
          <w:rPr>
            <w:color w:val="1155CC"/>
            <w:u w:val="single"/>
          </w:rPr>
          <w:t>10.1002/adma.74534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通过将富电子的S,N-杂并苯核集成到C形结构中，提供CT-F，并通过掺入硒进一步扩展该框架，生成基于S,Se,N-杂并苯的CT-Se和CT-2Se，建立了高发射性、无金属有机近红外发射器的分子设计蓝图。这种分子结构协同增强分子内电荷转移（ICT），同时通过增加分子刚性抑制内部重组能。优化后的 CT-F 染料在 970 nm 处实现了 14.3% 的固态光致发光量子产率。将 CT-Se 融入采用转移印刷敏化剂和平衡电荷注入的超荧光 OLED 中，可在 1000 nm 处产生 3.07% 的外部量子效率 (EQE)，而引入额外的 PM6 缓冲层可实现中继型界面能量转移，将 995 nm 处的 EQE 提升至 3.56%。综合机理研究表明，富电子核心驱动的 ICT 调制、受控堆叠的分子刚性、不对称振动耦合调节和平衡本征电荷传输共同建立了全方位优化策略，以实现峰值在 1000 nm 左右并延伸到 NIR-II 区域的高效有机 OLED。</w:t>
      </w:r>
    </w:p>
    <w:p>
      <w:pPr>
        <w:spacing w:before="0" w:after="200" w:lineRule="auto" w:line="276"/>
      </w:pPr>
      <w:r>
        <w:rPr>
          <w:b/>
        </w:rPr>
        <w:t xml:space="preserve">Abstract (EN): </w:t>
      </w:r>
      <w:r>
        <w:t>We establish a molecular design blueprint for highly emissive, metal‐free organic NIR emitters by integrating an electron‐rich S,N‐heteroacene core into a C‐shaped architecture, affording CT‐F, and further extending this framework through selenium incorporation to generate the S,Se,N‐heteroacene‐based CT‐Se and CT‐2Se. This molecular architecture synergistically enhances intramolecular charge transfer (ICT) while suppressing internal reorganization energy through increased molecular rigidity. The optimized CT‐F dye achieves a solid‐state photoluminescence quantum yield of 14.3% at 970 nm. Incorporation of CT‐Se into a hyperfluorescent OLED employing a transfer‐printed sensitizer and balanced charge injection yields an external quantum efficiency (EQE) of 3.07% at 1000 nm, whereas introducing an additional PM6 buffer layer enables relay‐type interfacial energy transfer, elevating the EQE to 3.56% at 995 nm. Comprehensive mechanistic studies reveal that electron‐rich core–driven ICT modulation, molecular rigidification with controlled stacking, asymmetric vibronic coupling regulation, and balanced intrinsic charge transport cooperatively establish an omnidirectional optimization strategy for achieving high‐efficiency organic OLEDs peaking around 1000 nm and extending into the NIR‐II region.</w:t>
      </w:r>
    </w:p>
    <w:p>
      <w:pPr>
        <w:spacing w:before="120" w:after="120"/>
      </w:pPr>
      <w:r>
        <w:rPr>
          <w:sz w:val="18"/>
        </w:rPr>
        <w:t>——————————————————————————————————————————————————————————————————————</w:t>
      </w:r>
    </w:p>
    <w:p>
      <w:pPr>
        <w:spacing w:before="160" w:after="40" w:line="240" w:lineRule="auto"/>
      </w:pPr>
      <w:r>
        <w:rPr>
          <w:b/>
        </w:rPr>
        <w:t xml:space="preserve">[67] </w:t>
      </w:r>
      <w:hyperlink r:id="rId704">
        <w:r>
          <w:rPr>
            <w:color w:val="1155CC"/>
            <w:u w:val="single"/>
          </w:rPr>
          <w:t>通过窄带红色荧光粉转换发光二极管实现高质量光电体积描记信号，用于精确血压监测</w:t>
        </w:r>
      </w:hyperlink>
    </w:p>
    <w:p>
      <w:pPr>
        <w:spacing w:before="0" w:after="80"/>
      </w:pPr>
      <w:r>
        <w:rPr>
          <w:i/>
          <w:sz w:val="20"/>
        </w:rPr>
        <w:t>EN: High‐Quality Photoplethysmography Signal Enabled by Narrowband Red Phosphor Converted Light‐Emitting Diodes for Accurate Blood‐Pressure Monitoring</w:t>
      </w:r>
    </w:p>
    <w:p>
      <w:pPr>
        <w:spacing w:before="0" w:after="120"/>
      </w:pPr>
      <w:r>
        <w:rPr>
          <w:b/>
        </w:rPr>
        <w:t xml:space="preserve">Source: </w:t>
      </w:r>
      <w:r>
        <w:t>Wiley: Advanced Materials: Table of Contents</w:t>
      </w:r>
      <w:r>
        <w:t xml:space="preserve">    </w:t>
      </w:r>
      <w:r>
        <w:rPr>
          <w:b/>
        </w:rPr>
        <w:t xml:space="preserve">Pub date: </w:t>
      </w:r>
      <w:r>
        <w:t>2026-08-07 04:02:54+00:00</w:t>
      </w:r>
      <w:r>
        <w:t xml:space="preserve">    </w:t>
      </w:r>
      <w:r>
        <w:rPr>
          <w:b/>
        </w:rPr>
        <w:t xml:space="preserve">DOI: </w:t>
      </w:r>
      <w:hyperlink r:id="rId705">
        <w:r>
          <w:rPr>
            <w:color w:val="1155CC"/>
            <w:u w:val="single"/>
          </w:rPr>
          <w:t>10.1002/adma.202521971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光电体积描记法 (PPG) 广泛用于无创心血管监测，但原始信号质量通常受到传统红色 LED 的宽带发射和热光谱漂移的限制，增加了对复杂下游处理的依赖。在这里，我们通过集成 Rb 来开发红色光源</w:t>
      </w:r>
      <w:r>
        <w:rPr>
          <w:vertAlign w:val="subscript"/>
        </w:rPr>
        <w:t>2</w:t>
      </w:r>
      <w:r>
        <w:t>氟化镓锂</w:t>
      </w:r>
      <w:r>
        <w:rPr>
          <w:vertAlign w:val="subscript"/>
        </w:rPr>
        <w:t>6</w:t>
      </w:r>
      <w:r>
        <w:t>:锰</w:t>
      </w:r>
      <w:r>
        <w:t xml:space="preserve"> </w:t>
      </w:r>
      <w:r>
        <w:t>4+</w:t>
      </w:r>
      <w:r>
        <w:t xml:space="preserve"> </w:t>
      </w:r>
      <w:r>
        <w:t>(RLGF:锰</w:t>
      </w:r>
      <w:r>
        <w:t xml:space="preserve"> </w:t>
      </w:r>
      <w:r>
        <w:t>4+</w:t>
      </w:r>
      <w:r>
        <w:t xml:space="preserve"> </w:t>
      </w:r>
      <w:r>
        <w:t>）微晶荧光粉与蓝色 InGaN 芯片一起形成窄带荧光粉转换 LED（pc-LED，FWHM = 13.4 nm），作为商业红色模块的替代品。结晶 RLGF:Mn</w:t>
      </w:r>
      <w:r>
        <w:t xml:space="preserve"> </w:t>
      </w:r>
      <w:r>
        <w:t>4+</w:t>
      </w:r>
      <w:r>
        <w:t xml:space="preserve"> </w:t>
      </w:r>
      <w:r>
        <w:t>微晶具有高外量子效率（EQE = 52%），并通过实验解析的双位点 Mn 实现更清晰的结构-发射相关性</w:t>
      </w:r>
      <w:r>
        <w:t xml:space="preserve"> </w:t>
      </w:r>
      <w:r>
        <w:t>4+</w:t>
      </w:r>
      <w:r>
        <w:t xml:space="preserve"> </w:t>
      </w:r>
      <w:r>
        <w:t>排放。由此产生的 pc-LED 具有高电光效率 (η = 32.03%) 和最小的热光谱漂移（20°C–100°C 范围内峰值漂移 ≤ 0.3 nm）。在可穿戴 PPG 原型中使用这种窄带热稳定光源，我们定量地证明了与商用红色模块相比，信号质量得到了改善，VPG/APG 特征定位更加稳定。最后，我们通过轻微训练基本卷积神经网络来提供血压估计的概念验证演示，在独立测试中实现 SBP 平均绝对误差为 2.86 mmHg，DBP 平均绝对误差为 2.40 mmHg</w:t>
      </w:r>
    </w:p>
    <w:p>
      <w:pPr>
        <w:spacing w:before="0" w:after="200" w:lineRule="auto" w:line="276"/>
      </w:pPr>
      <w:r>
        <w:rPr>
          <w:b/>
        </w:rPr>
        <w:t xml:space="preserve">Abstract (EN): </w:t>
      </w:r>
      <w:r>
        <w:t>Photoplethysmography (PPG) is widely used for noninvasive cardiovascular monitoring, yet raw‐signal quality is often limited by the broadband emission and thermal spectral drift of conventional red LEDs, increasing reliance on complex downstream processing. Here, we develop a red light source by integrating an Rb</w:t>
      </w:r>
      <w:r>
        <w:rPr>
          <w:vertAlign w:val="subscript"/>
        </w:rPr>
        <w:t>2</w:t>
      </w:r>
      <w:r>
        <w:t>LiGaF</w:t>
      </w:r>
      <w:r>
        <w:rPr>
          <w:vertAlign w:val="subscript"/>
        </w:rPr>
        <w:t>6</w:t>
      </w:r>
      <w:r>
        <w:t>:Mn</w:t>
      </w:r>
      <w:r>
        <w:t xml:space="preserve"> </w:t>
      </w:r>
      <w:r>
        <w:t>4+</w:t>
      </w:r>
      <w:r>
        <w:t xml:space="preserve"> </w:t>
      </w:r>
      <w:r>
        <w:t>(RLGF:Mn</w:t>
      </w:r>
      <w:r>
        <w:t xml:space="preserve"> </w:t>
      </w:r>
      <w:r>
        <w:t>4+</w:t>
      </w:r>
      <w:r>
        <w:t xml:space="preserve"> </w:t>
      </w:r>
      <w:r>
        <w:t>) microcrystal phosphor with a blue InGaN chip to form a narrowband phosphor‐converted LED (pc‐LED, FWHM = 13.4 nm) as a replacement for a commercial red module. The crystallized RLGF:Mn</w:t>
      </w:r>
      <w:r>
        <w:t xml:space="preserve"> </w:t>
      </w:r>
      <w:r>
        <w:t>4+</w:t>
      </w:r>
      <w:r>
        <w:t xml:space="preserve"> </w:t>
      </w:r>
      <w:r>
        <w:t>microcrystals deliver a high external quantum efficiency (EQE = 52%) and enable clearer structure–emission correlation via experimentally resolved dual‐site Mn</w:t>
      </w:r>
      <w:r>
        <w:t xml:space="preserve"> </w:t>
      </w:r>
      <w:r>
        <w:t>4+</w:t>
      </w:r>
      <w:r>
        <w:t xml:space="preserve"> </w:t>
      </w:r>
      <w:r>
        <w:t>emission. The resulting pc‐LED exhibits high electro‐optical efficiency (η = 32.03%) and minimal thermal spectral drift (peak shift ≤ 0.3 nm from 20°C–100°C). Using this narrowband, thermally stable light source in a wearable PPG prototype, we quantitatively demonstrate improved signal quality and more stable VPG/APG feature localization compared with a commercial red module. Finally, we provide a proof‐of‐concept demonstration of blood‐pressure estimation by lightly training a basic convolutional neural network, achieving mean absolute errors of 2.86 mmHg for SBP and 2.40 mmHg for DBP on an independent test set. This work establishes a materials‐to‐device pathway for improving PPG quality through optical spectral engineering.</w:t>
      </w:r>
    </w:p>
    <w:p>
      <w:pPr>
        <w:spacing w:before="120" w:after="120"/>
      </w:pPr>
      <w:r>
        <w:rPr>
          <w:sz w:val="18"/>
        </w:rPr>
        <w:t>——————————————————————————————————————————————————————————————————————</w:t>
      </w:r>
    </w:p>
    <w:p>
      <w:pPr>
        <w:spacing w:before="160" w:after="40" w:line="240" w:lineRule="auto"/>
      </w:pPr>
      <w:r>
        <w:rPr>
          <w:b/>
        </w:rPr>
        <w:t xml:space="preserve">[68] </w:t>
      </w:r>
      <w:hyperlink r:id="rId706">
        <w:r>
          <w:rPr>
            <w:color w:val="1155CC"/>
            <w:u w:val="single"/>
          </w:rPr>
          <w:t>卤素在晶体 TADF 闪烁体中的特定位置可通过自旋轨道耦合的振动调制实现高效的三线态收获</w:t>
        </w:r>
      </w:hyperlink>
    </w:p>
    <w:p>
      <w:pPr>
        <w:spacing w:before="0" w:after="80"/>
      </w:pPr>
      <w:r>
        <w:rPr>
          <w:i/>
          <w:sz w:val="20"/>
        </w:rPr>
        <w:t>EN: Specific Position of Halogen in Crystalline TADF Scintillators Enables Efficient Triplet Harvesting Through Vibrational Modulation of Spin–Orbit Coupling</w:t>
      </w:r>
    </w:p>
    <w:p>
      <w:pPr>
        <w:spacing w:before="0" w:after="120"/>
      </w:pPr>
      <w:r>
        <w:rPr>
          <w:b/>
        </w:rPr>
        <w:t xml:space="preserve">Source: </w:t>
      </w:r>
      <w:r>
        <w:t>Wiley: Advanced Materials: Table of Contents</w:t>
      </w:r>
      <w:r>
        <w:t xml:space="preserve">    </w:t>
      </w:r>
      <w:r>
        <w:rPr>
          <w:b/>
        </w:rPr>
        <w:t xml:space="preserve">Pub date: </w:t>
      </w:r>
      <w:r>
        <w:t>2026-08-07 04:04:10+00:00</w:t>
      </w:r>
      <w:r>
        <w:t xml:space="preserve">    </w:t>
      </w:r>
      <w:r>
        <w:rPr>
          <w:b/>
        </w:rPr>
        <w:t xml:space="preserve">DOI: </w:t>
      </w:r>
      <w:hyperlink r:id="rId707">
        <w:r>
          <w:rPr>
            <w:color w:val="1155CC"/>
            <w:u w:val="single"/>
          </w:rPr>
          <w:t>10.1002/adma.74520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热激活延迟荧光（TADF）为在有机闪烁体中捕获三重态激子提供了一种强大的途径，但在刚性分子晶体中同时实现小的单重态-三重态间隙和高效的自旋轨道耦合（SOC）仍然是一个基本挑战。在这里，我们证明了有针对性的卤素取代可以激活振动辅助的自旋翻转通道，从而显着增强晶体供体-受体发射器中的三线态收获，从而使它们适合具有更高光产量和更快响应时间的闪烁体。使用</w:t>
      </w:r>
      <w:r>
        <w:t xml:space="preserve"> </w:t>
      </w:r>
      <w:r>
        <w:t>DMAC-TRZ</w:t>
      </w:r>
      <w:r>
        <w:t xml:space="preserve"> </w:t>
      </w:r>
      <w:r>
        <w:t>为了揭示带有氟或氯取代基的衍生物，我们结合单晶结构分析、温度分辨光致发光、放射发光光谱和量子化学计算来揭示卤素化学的微妙变化如何控制激发态动力学。氟化将 rISC 激活势垒降低至 7.1 meV，与几乎简并的发射单重态-三重态流形一致，而氯还引入了由晶格内 Cl 原子振动介导的动态 SOC 增强。因此，氯化晶体表现出非常小的</w:t>
      </w:r>
      <w:r>
        <w:t xml:space="preserve"> </w:t>
      </w:r>
      <w:r>
        <w:t>乙</w:t>
      </w:r>
      <w:r>
        <w:t xml:space="preserve"> </w:t>
      </w:r>
      <w:r>
        <w:t>一个</w:t>
      </w:r>
      <w:r>
        <w:t xml:space="preserve"> </w:t>
      </w:r>
      <w:r>
        <w:t>3.9 meV，（亚）微秒级延迟荧光，闪烁产量为 26 000 个光子 MeV</w:t>
      </w:r>
      <w:r>
        <w:t xml:space="preserve"> </w:t>
      </w:r>
      <w:r>
        <w:t>−1</w:t>
      </w:r>
      <w:r>
        <w:t xml:space="preserve"> </w:t>
      </w:r>
      <w:r>
        <w:t>。这些结果揭示了一种强大的、有针对性的方法来实现接近 S</w:t>
      </w:r>
      <w:r>
        <w:rPr>
          <w:vertAlign w:val="subscript"/>
        </w:rPr>
        <w:t>1</w:t>
      </w:r>
    </w:p>
    <w:p>
      <w:pPr>
        <w:spacing w:before="0" w:after="200" w:lineRule="auto" w:line="276"/>
      </w:pPr>
      <w:r>
        <w:rPr>
          <w:b/>
        </w:rPr>
        <w:t xml:space="preserve">Abstract (EN): </w:t>
      </w:r>
      <w:r>
        <w:t>Thermally activated delayed fluorescence (TADF) offers a powerful route for harvesting triplet excitons in organic scintillators, yet achieving simultaneously small singlet–triplet gaps and efficient spin–orbit coupling (SOC) in rigid molecular crystals remains a fundamental challenge. Here we demonstrate that targeted halogen substitution can activate vibrationally assisted spin‐flip channels that dramatically enhance triplet harvesting in crystalline donor‐acceptor emitters, tailoring them for scintillators with higher light yield and faster response times. Using</w:t>
      </w:r>
      <w:r>
        <w:t xml:space="preserve"> </w:t>
      </w:r>
      <w:r>
        <w:t>DMAC‐TRZ</w:t>
      </w:r>
      <w:r>
        <w:t xml:space="preserve"> </w:t>
      </w:r>
      <w:r>
        <w:t>derivatives bearing fluorine or chlorine substituents, we combine single‐crystal structural analysis, temperature‐resolved photoluminescence, radioluminescence spectroscopy, and quantum‐chemical calculations to reveal how subtle changes in halogen chemistry control excited‐state dynamics. Fluorination lowers the rISC activation barrier to 7.1 meV, consistent with an almost degenerate emissive singlet–triplet manifold, whereas chlorine additionally introduces dynamic SOC enhancement mediated by Cl‐atom vibrations within the crystal lattice. As a result, the chlorinated crystal exhibits an exceptionally small</w:t>
      </w:r>
      <w:r>
        <w:t xml:space="preserve"> </w:t>
      </w:r>
      <w:r>
        <w:t>E</w:t>
      </w:r>
      <w:r>
        <w:t xml:space="preserve"> </w:t>
      </w:r>
      <w:r>
        <w:t>a</w:t>
      </w:r>
      <w:r>
        <w:t xml:space="preserve"> </w:t>
      </w:r>
      <w:r>
        <w:t>of 3.9 meV, (sub)microsecond‐scale delayed fluorescence, and a scintillation yield of 26 000 photons MeV</w:t>
      </w:r>
      <w:r>
        <w:t xml:space="preserve"> </w:t>
      </w:r>
      <w:r>
        <w:t>−1</w:t>
      </w:r>
      <w:r>
        <w:t xml:space="preserve"> </w:t>
      </w:r>
      <w:r>
        <w:t>. These results reveal a powerful, targeted approach to achieving near S</w:t>
      </w:r>
      <w:r>
        <w:rPr>
          <w:vertAlign w:val="subscript"/>
        </w:rPr>
        <w:t>1</w:t>
      </w:r>
      <w:r>
        <w:t>‐T</w:t>
      </w:r>
      <w:r>
        <w:rPr>
          <w:vertAlign w:val="subscript"/>
        </w:rPr>
        <w:t>1</w:t>
      </w:r>
      <w:r>
        <w:t>degeneracy combined with vibrationally activated heavy‐atom effects, enabling high‐performance TADF scintillators in organic crystals.</w:t>
      </w:r>
    </w:p>
    <w:p>
      <w:pPr>
        <w:spacing w:before="120" w:after="120"/>
      </w:pPr>
      <w:r>
        <w:rPr>
          <w:sz w:val="18"/>
        </w:rPr>
        <w:t>——————————————————————————————————————————————————————————————————————</w:t>
      </w:r>
    </w:p>
    <w:p>
      <w:pPr>
        <w:spacing w:before="160" w:after="40" w:line="240" w:lineRule="auto"/>
      </w:pPr>
      <w:r>
        <w:rPr>
          <w:b/>
        </w:rPr>
        <w:t xml:space="preserve">[69] </w:t>
      </w:r>
      <w:hyperlink r:id="rId708">
        <w:r>
          <w:rPr>
            <w:color w:val="1155CC"/>
            <w:u w:val="single"/>
          </w:rPr>
          <w:t>二硫化锆中的远红外双曲声子极化子</w:t>
        </w:r>
      </w:hyperlink>
    </w:p>
    <w:p>
      <w:pPr>
        <w:spacing w:before="0" w:after="80"/>
      </w:pPr>
      <w:r>
        <w:rPr>
          <w:i/>
          <w:sz w:val="20"/>
        </w:rPr>
        <w:t>EN: Far‐Infrared Hyperbolic Phonon–Polaritons in Zirconium Disulfide</w:t>
      </w:r>
    </w:p>
    <w:p>
      <w:pPr>
        <w:spacing w:before="0" w:after="120"/>
      </w:pPr>
      <w:r>
        <w:rPr>
          <w:b/>
        </w:rPr>
        <w:t xml:space="preserve">Source: </w:t>
      </w:r>
      <w:r>
        <w:t>Wiley: Advanced Materials: Table of Contents</w:t>
      </w:r>
      <w:r>
        <w:t xml:space="preserve">    </w:t>
      </w:r>
      <w:r>
        <w:rPr>
          <w:b/>
        </w:rPr>
        <w:t xml:space="preserve">Pub date: </w:t>
      </w:r>
      <w:r>
        <w:t>2026-08-07 04:42:16+00:00</w:t>
      </w:r>
      <w:r>
        <w:t xml:space="preserve">    </w:t>
      </w:r>
      <w:r>
        <w:rPr>
          <w:b/>
        </w:rPr>
        <w:t xml:space="preserve">DOI: </w:t>
      </w:r>
      <w:hyperlink r:id="rId709">
        <w:r>
          <w:rPr>
            <w:color w:val="1155CC"/>
            <w:u w:val="single"/>
          </w:rPr>
          <w:t>10.1002/adma.74154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IVB族过渡金属二硫属化物（TMD）最近已成为一种有前景的极端光限制材料平台，其中铪基化合物在远红外区域表现出超过两个数量级的限制因子。作为该材料家族的补充锆基成员，二硫化锆 () 将相对较宽的第一 Reststrahlen 能带与半导体电子特性相结合，为声子主导的远红外双曲极化子提供了宽光谱窗口。在这里，我们报告了使用谐振器辅助远场光谱平台在 IVB 族 TMD 中远红外双曲声子极化激元的首次实验演示。与金属带阵列集成的无图案薄片形成声子极化子谐振器，能够实现声子极化子的有效远场激发，同时抑制外在散射损耗。这种高耦合效率使得能够对基本分支之外的多个极化子共振进行远场观察。较大的归一化光-物质耦合强度可实现超高面内动量，有效折射率高达 223。尽管有这种极端的限制，线宽分析表明，测量的阻尼主要受固有传播损耗控制，对应于亚皮秒极化子寿命。这些结果为超限域远红外声子极化子建立了范德华双曲材料平台，并凸显了 IVB 族 TMD 在紧凑远红外纳米光子学方面的潜力</w:t>
      </w:r>
    </w:p>
    <w:p>
      <w:pPr>
        <w:spacing w:before="0" w:after="200" w:lineRule="auto" w:line="276"/>
      </w:pPr>
      <w:r>
        <w:rPr>
          <w:b/>
        </w:rPr>
        <w:t xml:space="preserve">Abstract (EN): </w:t>
      </w:r>
      <w:r>
        <w:t>Group‐IVB transition‐metal dichalcogenides (TMDs) have recently emerged as a promising material platform for extreme light confinement, with Hf‐based compounds demonstrating confinement factors exceeding two orders of magnitude in the far‐infrared. As a complementary Zr‐based member of this material family, zirconium disulfide () combines a comparably broad first Reststrahlen band with semiconducting electronic character, providing a wide spectral window for phonon‐dominated far‐infrared hyperbolic polaritonics. Here, we report the first experimental demonstration of far‐infrared hyperbolic phonon polaritons in the group‐IVB TMD  using a resonator‐assisted far‐field spectroscopy platform. An unpatterned  flake integrated with a metallic ribbon array forms a phonon polariton resonator, enabling efficient far‐field excitation of phonon polaritons while suppressing extrinsic scattering losses. This high coupling efficiency enables far‐field observation of multiple polaritonic resonances beyond the fundamental branch. The large normalized light–matter coupling strength of  enables ultrahigh in‐plane momenta, with effective refractive indices as high as 223. Despite this extreme confinement, linewidth analysis indicates that the measured damping is primarily governed by intrinsic propagation loss, corresponding to a sub‐picosecond polariton lifetime. These results establish  as a van der Waals hyperbolic material platform for ultraconfined far‐infrared phonon polaritons and highlight the potential of group‐IVB TMDs for compact far‐infrared nanophotonic and thermal photonic applications.</w:t>
      </w:r>
    </w:p>
    <w:p>
      <w:pPr>
        <w:spacing w:before="120" w:after="120"/>
      </w:pPr>
      <w:r>
        <w:rPr>
          <w:sz w:val="18"/>
        </w:rPr>
        <w:t>——————————————————————————————————————————————————————————————————————</w:t>
      </w:r>
    </w:p>
    <w:p>
      <w:pPr>
        <w:spacing w:before="160" w:after="40" w:line="240" w:lineRule="auto"/>
      </w:pPr>
      <w:r>
        <w:rPr>
          <w:b/>
        </w:rPr>
        <w:t xml:space="preserve">[70] </w:t>
      </w:r>
      <w:hyperlink r:id="rId710">
        <w:r>
          <w:rPr>
            <w:color w:val="1155CC"/>
            <w:u w:val="single"/>
          </w:rPr>
          <w:t>通过催化转化 DNA 立方体直接观察 RNA 病毒并评估活细胞中的药物效果</w:t>
        </w:r>
      </w:hyperlink>
    </w:p>
    <w:p>
      <w:pPr>
        <w:spacing w:before="0" w:after="80"/>
      </w:pPr>
      <w:r>
        <w:rPr>
          <w:i/>
          <w:sz w:val="20"/>
        </w:rPr>
        <w:t>EN: Direct visualization of RNA virus and evaluation of drug effect in living cells by catalytically transformable DNA cube</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11">
        <w:r>
          <w:rPr>
            <w:color w:val="1155CC"/>
            <w:u w:val="single"/>
          </w:rPr>
          <w:t>10.1126/sciadv.aee2515</w:t>
        </w:r>
      </w:hyperlink>
    </w:p>
    <w:p>
      <w:pPr>
        <w:spacing w:before="0" w:after="120"/>
      </w:pPr>
      <w:r>
        <w:rPr>
          <w:b/>
        </w:rPr>
        <w:t xml:space="preserve">Notes: </w:t>
      </w:r>
      <w:r>
        <w:t>abstract_source=crossref</w:t>
      </w:r>
    </w:p>
    <w:p>
      <w:pPr>
        <w:spacing w:before="0" w:after="80" w:lineRule="auto" w:line="276"/>
      </w:pPr>
      <w:r>
        <w:rPr>
          <w:b/>
        </w:rPr>
        <w:t xml:space="preserve">摘要（ZH）: </w:t>
      </w:r>
      <w:r>
        <w:t>活细胞中病毒RNA的原位可视化对于了解感染动态和评估抗病毒反应至关重要，但聚合酶链反应等离线方法与实时分析不兼容。在这里，催化转化 DNA 立方体 (CAT-Cube) 是一种结构稳定且可自主细胞渗透的 DNA 纳米结构，用于活细胞中的实时病毒 RNA 成像。通过在刚性支架内空间限制催化发夹，CAT-Cube 增加了局部反应浓度并增强了对病毒 RNA 的敏感性，同时在转化后释放 RNA 而不是消耗它。该探针产生明亮、光稳定的信号，支持在感染复数低至 0.1 的情况下连续跟踪具有转录和复制能力的严重急性呼吸综合征冠状病毒 2 病毒样颗粒。该系统还能够评估抗病毒药物，包括血管紧张素转换酶 2 (ACE2) 抑制剂、DNA 适体和天然化合物千金藤素，并揭示涉及 ACE2 和刺突结合的机制。因此，CAT-Cube 为实时病毒 RNA 成像和活细胞抗病毒效果的动态评估提供了一种通用方法。</w:t>
      </w:r>
    </w:p>
    <w:p>
      <w:pPr>
        <w:spacing w:before="0" w:after="200" w:lineRule="auto" w:line="276"/>
      </w:pPr>
      <w:r>
        <w:rPr>
          <w:b/>
        </w:rPr>
        <w:t xml:space="preserve">Abstract (EN): </w:t>
      </w:r>
      <w:r>
        <w:t>In situ visualization of viral RNA in living cells is critical for understanding infection dynamics and evaluating antiviral responses, yet offline methods such as polymerase chain reaction are incompatible with real-time analysis. Here, a CAtalytically Transformable DNA Cube (CAT-Cube) is presented as a structurally stable and autonomously cell-permeable DNA nanostructure for real-time viral RNA imaging in living cells. By spatially confining catalytic hairpins within a rigid scaffold, CAT-Cube increases the local reaction concentration and enhances sensitivity toward viral RNA while releasing the RNA after transformation rather than consuming it. The probe produces bright, photostable signals that support continuous tracking of transcription- and replication-competent severe acute respiratory syndrome coronavirus 2 virus-like particles at a multiplicity of infection as low as 0.1. This system also enables evaluation of antiviral agents, including angiotensin-converting enzyme 2 (ACE2) inhibitors, DNA aptamers, and the natural compound cepharanthine, and reveals mechanisms involving ACE2 and spike binding. CAT-Cube therefore provides a generalizable approach for real-time viral RNA imaging and dynamic assessment of antiviral effects in living cells.</w:t>
      </w:r>
    </w:p>
    <w:p>
      <w:pPr>
        <w:spacing w:before="120" w:after="120"/>
      </w:pPr>
      <w:r>
        <w:rPr>
          <w:sz w:val="18"/>
        </w:rPr>
        <w:t>——————————————————————————————————————————————————————————————————————</w:t>
      </w:r>
    </w:p>
    <w:p>
      <w:pPr>
        <w:spacing w:before="160" w:after="40" w:line="240" w:lineRule="auto"/>
      </w:pPr>
      <w:r>
        <w:rPr>
          <w:b/>
        </w:rPr>
        <w:t xml:space="preserve">[71] </w:t>
      </w:r>
      <w:hyperlink r:id="rId712">
        <w:r>
          <w:rPr>
            <w:color w:val="1155CC"/>
            <w:u w:val="single"/>
          </w:rPr>
          <w:t>在硅光子平台上使用 MoS2/WSe2 莫尔超晶格的片上波导集成光源</w:t>
        </w:r>
      </w:hyperlink>
    </w:p>
    <w:p>
      <w:pPr>
        <w:spacing w:before="0" w:after="80"/>
      </w:pPr>
      <w:r>
        <w:rPr>
          <w:i/>
          <w:sz w:val="20"/>
        </w:rPr>
        <w:t>EN: On-chip waveguide-integrated light sources using MoS2/WSe2 moiré superlattices on a silicon photonic platform</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13">
        <w:r>
          <w:rPr>
            <w:color w:val="1155CC"/>
            <w:u w:val="single"/>
          </w:rPr>
          <w:t>10.1126/sciadv.aef5518</w:t>
        </w:r>
      </w:hyperlink>
    </w:p>
    <w:p>
      <w:pPr>
        <w:spacing w:before="0" w:after="120"/>
      </w:pPr>
      <w:r>
        <w:rPr>
          <w:b/>
        </w:rPr>
        <w:t xml:space="preserve">Notes: </w:t>
      </w:r>
      <w:r>
        <w:t>abstract_source=crossref</w:t>
      </w:r>
    </w:p>
    <w:p>
      <w:pPr>
        <w:spacing w:before="0" w:after="80" w:lineRule="auto" w:line="276"/>
      </w:pPr>
      <w:r>
        <w:rPr>
          <w:b/>
        </w:rPr>
        <w:t xml:space="preserve">摘要（ZH）: </w:t>
      </w:r>
      <w:r>
        <w:t>莫尔超晶格作为研究奇异物理的独特平台已被广泛探索，但其在集成光子学中的潜在应用仍未得到探索。在这项工作中，我们展示了一种在电信波长下工作的波导集成光源，具有高时间相干性，由二硫化钼（MoS2）实现</w:t>
      </w:r>
      <w:r>
        <w:rPr>
          <w:vertAlign w:val="subscript"/>
        </w:rPr>
        <w:t>2</w:t>
      </w:r>
      <w:r>
        <w:t>)/二硒化钨 (WSe</w:t>
      </w:r>
      <w:r>
        <w:rPr>
          <w:vertAlign w:val="subscript"/>
        </w:rPr>
        <w:t>2</w:t>
      </w:r>
      <w:r>
        <w:t>）莫尔超晶格耦合到硅光子纳米束腔。我们的结果表明，在室温下，MoS2 中的摩尔纹势</w:t>
      </w:r>
      <w:r>
        <w:rPr>
          <w:vertAlign w:val="subscript"/>
        </w:rPr>
        <w:t>2</w:t>
      </w:r>
      <w:r>
        <w:t>/硒化钨</w:t>
      </w:r>
      <w:r>
        <w:rPr>
          <w:vertAlign w:val="subscript"/>
        </w:rPr>
        <w:t>2</w:t>
      </w:r>
      <w:r>
        <w:t>超晶格极大地提高了发光强度，延长了层间激子寿命，并使发射波长红移。我们演示的设备显示出出色的相干性，具有接近统一的干涉可见度和约 3.8 毫米的相干长度，大大超过了之前报道的二维材料光源的性能。此外，这些器件在环境条件下表现出稳定的性能，在光纤通信 O 频段内运行。这项工作为利用莫尔超晶格作为光子集成电路的有前途的材料铺平了道路，突出了它们增强光物质相互作用和扩展片上光子技术能力的潜力。</w:t>
      </w:r>
    </w:p>
    <w:p>
      <w:pPr>
        <w:spacing w:before="0" w:after="200" w:lineRule="auto" w:line="276"/>
      </w:pPr>
      <w:r>
        <w:rPr>
          <w:b/>
        </w:rPr>
        <w:t xml:space="preserve">Abstract (EN): </w:t>
      </w:r>
      <w:r>
        <w:t>Moiré superlattices have been widely explored as a unique platform for investigating exotic physics, but their potential applications in integrated photonics remain unexplored. In this work, we demonstrate a waveguide-integrated light source operating at telecom wavelengths with high temporal coherence, enabled by molybdenum disulfide (MoS</w:t>
      </w:r>
      <w:r>
        <w:rPr>
          <w:vertAlign w:val="subscript"/>
        </w:rPr>
        <w:t>2</w:t>
      </w:r>
      <w:r>
        <w:t>)/tungsten diselenide (WSe</w:t>
      </w:r>
      <w:r>
        <w:rPr>
          <w:vertAlign w:val="subscript"/>
        </w:rPr>
        <w:t>2</w:t>
      </w:r>
      <w:r>
        <w:t>) moiré superlattices coupled to a silicon photonic nanobeam cavity. Our results reveal that, at room temperature, the moiré potential in MoS</w:t>
      </w:r>
      <w:r>
        <w:rPr>
          <w:vertAlign w:val="subscript"/>
        </w:rPr>
        <w:t>2</w:t>
      </w:r>
      <w:r>
        <w:t>/WSe</w:t>
      </w:r>
      <w:r>
        <w:rPr>
          <w:vertAlign w:val="subscript"/>
        </w:rPr>
        <w:t>2</w:t>
      </w:r>
      <w:r>
        <w:t>superlattices strongly boosts light-emission intensity, extends interlayer-exciton lifetime, and redshifts the emission wavelength. Our demonstrated device shows excellent coherence properties with near-unity interference visibility and a coherence length of about 3.8 millimeters, substantially exceeding the performance of previously reported two-dimensional–material light sources. Moreover, these devices exhibit stable performance under ambient conditions, operating within the fiber communication O-band. This work paves the way for leveraging moiré superlattices as a promising material for photonic integrated circuits, highlighting their potential to enhance light-matter interactions and expand the capabilities of on-chip photonic technologies.</w:t>
      </w:r>
    </w:p>
    <w:p>
      <w:pPr>
        <w:spacing w:before="120" w:after="120"/>
      </w:pPr>
      <w:r>
        <w:rPr>
          <w:sz w:val="18"/>
        </w:rPr>
        <w:t>——————————————————————————————————————————————————————————————————————</w:t>
      </w:r>
    </w:p>
    <w:p>
      <w:pPr>
        <w:spacing w:before="160" w:after="40" w:line="240" w:lineRule="auto"/>
      </w:pPr>
      <w:r>
        <w:rPr>
          <w:b/>
        </w:rPr>
        <w:t xml:space="preserve">[72] </w:t>
      </w:r>
      <w:hyperlink r:id="rId714">
        <w:r>
          <w:rPr>
            <w:color w:val="1155CC"/>
            <w:u w:val="single"/>
          </w:rPr>
          <w:t>光子量子开关中贝尔式因果不等式的实验违反</w:t>
        </w:r>
      </w:hyperlink>
    </w:p>
    <w:p>
      <w:pPr>
        <w:spacing w:before="0" w:after="80"/>
      </w:pPr>
      <w:r>
        <w:rPr>
          <w:i/>
          <w:sz w:val="20"/>
        </w:rPr>
        <w:t>EN: Experimental violation of a Bell-like causal inequality in a photonic quantum switch</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15">
        <w:r>
          <w:rPr>
            <w:color w:val="1155CC"/>
            <w:u w:val="single"/>
          </w:rPr>
          <w:t>10.1126/sciadv.aee9271</w:t>
        </w:r>
      </w:hyperlink>
    </w:p>
    <w:p>
      <w:pPr>
        <w:spacing w:before="0" w:after="120"/>
      </w:pPr>
      <w:r>
        <w:rPr>
          <w:b/>
        </w:rPr>
        <w:t xml:space="preserve">Notes: </w:t>
      </w:r>
      <w:r>
        <w:t>abstract_source=crossref</w:t>
      </w:r>
    </w:p>
    <w:p>
      <w:pPr>
        <w:spacing w:before="0" w:after="80" w:lineRule="auto" w:line="276"/>
      </w:pPr>
      <w:r>
        <w:rPr>
          <w:b/>
        </w:rPr>
        <w:t xml:space="preserve">摘要（ZH）: </w:t>
      </w:r>
      <w:r>
        <w:t>量子开关可以实现不确定的因果顺序，但迄今为止其实验认证依赖于有关设备的假设。对不确定因果顺序的独立于设备的验证将表明，仅从观察到的相关性并且不依赖于设备的详细模型，它们与基于固定因果顺序的任何经典描述都不兼容。在这里，我们在独立于设备的场景中实现了光子量子开关，并使用纠缠光子测试了类贝尔因果不等式。一个光子充当量子开关的控制量子位，而另一个光子则由远程方通过快速且独立选择的设置进行测量。我们观察到违反因果不等式的情况有 24 个标准差。这些结果为不确定因果顺序提供了实验证据，尽管存在剩余漏洞，并标志着朝着完全无漏洞、独立于设备验证量子过程中因果不确定性迈出了重要一步。</w:t>
      </w:r>
    </w:p>
    <w:p>
      <w:pPr>
        <w:spacing w:before="0" w:after="200" w:lineRule="auto" w:line="276"/>
      </w:pPr>
      <w:r>
        <w:rPr>
          <w:b/>
        </w:rPr>
        <w:t xml:space="preserve">Abstract (EN): </w:t>
      </w:r>
      <w:r>
        <w:t>Indefinite causal order can be realized by a quantum switch, yet its experimental certification has so far relied on assumptions about the devices. A device-independent verification of indefinite causal order would show, from the observed correlations alone and without relying on a detailed model of the devices, that they are incompatible with any classical description based on a fixed causal order. Here, we implement a photonic quantum switch in a device-independent scenario and test a Bell-like causal inequality using entangled photons. One photon serves as the control qubit of the quantum switch, while the other is measured by a distant party with rapidly and independently chosen settings. We observe a violation of the causal inequality by 24 standard deviations. These results provide experimental evidence for indefinite causal order, albeit in the presence of remaining loopholes, and mark an important step toward a fully loophole-free device-independent verification of causal indefiniteness in quantum processes.</w:t>
      </w:r>
    </w:p>
    <w:p>
      <w:pPr>
        <w:spacing w:before="120" w:after="120"/>
      </w:pPr>
      <w:r>
        <w:rPr>
          <w:sz w:val="18"/>
        </w:rPr>
        <w:t>——————————————————————————————————————————————————————————————————————</w:t>
      </w:r>
    </w:p>
    <w:p>
      <w:pPr>
        <w:spacing w:before="160" w:after="40" w:line="240" w:lineRule="auto"/>
      </w:pPr>
      <w:r>
        <w:rPr>
          <w:b/>
        </w:rPr>
        <w:t xml:space="preserve">[73] </w:t>
      </w:r>
      <w:hyperlink r:id="rId716">
        <w:r>
          <w:rPr>
            <w:color w:val="1155CC"/>
            <w:u w:val="single"/>
          </w:rPr>
          <w:t>冰川退缩影响了整个湖泊演替过程中有机养分的可用性</w:t>
        </w:r>
      </w:hyperlink>
    </w:p>
    <w:p>
      <w:pPr>
        <w:spacing w:before="0" w:after="80"/>
      </w:pPr>
      <w:r>
        <w:rPr>
          <w:i/>
          <w:sz w:val="20"/>
        </w:rPr>
        <w:t>EN: Glacier retreat shapes organic nutrient availability across lake succession</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17">
        <w:r>
          <w:rPr>
            <w:color w:val="1155CC"/>
            <w:u w:val="single"/>
          </w:rPr>
          <w:t>10.1126/sciadv.aef3201</w:t>
        </w:r>
      </w:hyperlink>
    </w:p>
    <w:p>
      <w:pPr>
        <w:spacing w:before="0" w:after="120"/>
      </w:pPr>
      <w:r>
        <w:rPr>
          <w:b/>
        </w:rPr>
        <w:t xml:space="preserve">Notes: </w:t>
      </w:r>
      <w:r>
        <w:t>abstract_source=crossref</w:t>
      </w:r>
    </w:p>
    <w:p>
      <w:pPr>
        <w:spacing w:before="0" w:after="80" w:lineRule="auto" w:line="276"/>
      </w:pPr>
      <w:r>
        <w:rPr>
          <w:b/>
        </w:rPr>
        <w:t xml:space="preserve">摘要（ZH）: </w:t>
      </w:r>
      <w:r>
        <w:t>冰川退缩正在迅速改变地貌，创造出数以千计的新湖泊，成为生态演替的天然实验室。在这些新形成的生态系统中，殖民动物必须满足其对必需有机营养素的需求，例如长链多不饱和脂肪酸（LC-PUFA）。在这里，我们将氨基酸的化合物特异性稳定同位素分析与脂肪酸分析相结合，以追踪格陵兰岛南部冰川到湖泊序列中有机营养物质的起源和向鱼类（北极红点鲑）的转移。通过湖泊演替，营养物质的主要来源发生了变化，同时个体鱼类中的 LC-PUFA 浓度增加了 60%。在冰期早期，北极红点似乎可以通过二十二碳六烯酸的内源生物合成来补偿低LC-PUFA的可用性，并且当与峡湾相连时，通过卵同类相吸收来自海洋的营养物质。总的来说，我们的研究结果表明，冰川退缩不仅重塑了自然景观，还重塑了有机养分的可用性，对动物生理学、生态系统连通性和潜在的长期进化轨迹产生了连锁反应。</w:t>
      </w:r>
    </w:p>
    <w:p>
      <w:pPr>
        <w:spacing w:before="0" w:after="200" w:lineRule="auto" w:line="276"/>
      </w:pPr>
      <w:r>
        <w:rPr>
          <w:b/>
        </w:rPr>
        <w:t xml:space="preserve">Abstract (EN): </w:t>
      </w:r>
      <w:r>
        <w:t>Glacier retreat is rapidly transforming landscapes, creating thousands of new lakes that act as natural laboratories of ecological succession. In these newly formed ecosystems, colonizing animals must meet their requirements for essential organic nutrients, such as long-chain polyunsaturated fatty acids (LC-PUFAs). Here, we combined compound-specific stable isotope analyses of amino acids with fatty acid analysis to trace the origins and transfer of organic nutrients to fish (Arctic char) across a glacial-to-lacustrine lake succession in southern Greenland. Through lake succession, primary sources of nutrients shifted, coinciding with a 60% increase in LC-PUFA concentration in individual fish. In early glacial stages, Arctic char appeared to compensate for low LC-PUFA availability through endogenous biosynthesis of docosahexaenoic acid and, when connected to the fjord, by assimilating marine-derived nutrients via egg cannibalism. Overall, our results demonstrate that glacier retreat reshapes not only physical landscapes but also organic nutrient availability, with cascading consequences for animal physiology, ecosystem connectivity, and potentially long-term evolutionary trajectories.</w:t>
      </w:r>
    </w:p>
    <w:p>
      <w:pPr>
        <w:spacing w:before="120" w:after="120"/>
      </w:pPr>
      <w:r>
        <w:rPr>
          <w:sz w:val="18"/>
        </w:rPr>
        <w:t>——————————————————————————————————————————————————————————————————————</w:t>
      </w:r>
    </w:p>
    <w:p>
      <w:pPr>
        <w:spacing w:before="160" w:after="40" w:line="240" w:lineRule="auto"/>
      </w:pPr>
      <w:r>
        <w:rPr>
          <w:b/>
        </w:rPr>
        <w:t xml:space="preserve">[74] </w:t>
      </w:r>
      <w:hyperlink r:id="rId718">
        <w:r>
          <w:rPr>
            <w:color w:val="1155CC"/>
            <w:u w:val="single"/>
          </w:rPr>
          <w:t>超表面控制的高速可调谐外腔激光器</w:t>
        </w:r>
      </w:hyperlink>
    </w:p>
    <w:p>
      <w:pPr>
        <w:spacing w:before="0" w:after="80"/>
      </w:pPr>
      <w:r>
        <w:rPr>
          <w:i/>
          <w:sz w:val="20"/>
        </w:rPr>
        <w:t>EN: Metasurface-controlled high-speed tunable external cavity lasers</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19">
        <w:r>
          <w:rPr>
            <w:color w:val="1155CC"/>
            <w:u w:val="single"/>
          </w:rPr>
          <w:t>10.1126/sciadv.aee1791</w:t>
        </w:r>
      </w:hyperlink>
    </w:p>
    <w:p>
      <w:pPr>
        <w:spacing w:before="0" w:after="120"/>
      </w:pPr>
      <w:r>
        <w:rPr>
          <w:b/>
        </w:rPr>
        <w:t xml:space="preserve">Notes: </w:t>
      </w:r>
      <w:r>
        <w:t>abstract_source=crossref</w:t>
      </w:r>
    </w:p>
    <w:p>
      <w:pPr>
        <w:spacing w:before="0" w:after="80" w:lineRule="auto" w:line="276"/>
      </w:pPr>
      <w:r>
        <w:rPr>
          <w:b/>
        </w:rPr>
        <w:t xml:space="preserve">摘要（ZH）: </w:t>
      </w:r>
      <w:r>
        <w:t>可调谐激光器对于光通信、光谱学和精密传感至关重要，这些领域需要快速稳定的波长控制。传统的调谐方法依赖于电流或温度调谐、机械致动或庞大的外部调制器，从而限制了速度、稳定性或集成。在这里，我们推出了一种外腔半导体激光器，采用谐振电光超表面作为外镜，可在紧凑、无运动的平台内实现超快频率和振幅控制。超表面提供窄带反馈，确​​保单模操作和宽电流范围内的电压控制调谐。我们演示了无跳模线性频率调谐，在 10 伏峰值射频驱动下，速率高达 180 太赫兹，频率偏移达到 110 兆赫兹。通过将激光器偏置到接近阈值，我们进一步实现了在 4 伏电压下超过 100% 的强度调制效率。这些结果确立了电光超表面作为实现紧凑、高速、无跳模可调谐激光器的强大途径，用于自由空间通信、测距和高分辨率光谱。</w:t>
      </w:r>
    </w:p>
    <w:p>
      <w:pPr>
        <w:spacing w:before="0" w:after="200" w:lineRule="auto" w:line="276"/>
      </w:pPr>
      <w:r>
        <w:rPr>
          <w:b/>
        </w:rPr>
        <w:t xml:space="preserve">Abstract (EN): </w:t>
      </w:r>
      <w:r>
        <w:t>Tunable lasers are essential for optical communication, spectroscopy, and precision sensing, where fast and stable wavelength control is required. Conventional tuning approaches rely on either current or temperature tuning, mechanical actuation, or bulky external modulators, limiting speed, stability, or integration. Here, we introduce an external cavity semiconductor laser incorporating a resonant electro-optic metasurface as the external mirror, enabling ultrafast frequency and amplitude control within a compact, motion-free platform. The metasurface provides narrowband feedback that ensures single-mode operation and voltage-controlled tuning across a wide current range. We demonstrate mode-hop-free linear frequency tuning with rates up to 180 terahertz per second and frequency excursions reaching 110 megahertz under a 10-volt peak radio-frequency drive. By biasing the laser near threshold, we further achieve intensity modulation efficiencies exceeding 100% at 4 volts. These results establish electro-optic metasurfaces as a powerful route toward compact, high-speed, mode-hop-free tunable lasers for free-space communication, ranging, and high-resolution spectroscopy.</w:t>
      </w:r>
    </w:p>
    <w:p>
      <w:pPr>
        <w:spacing w:before="120" w:after="120"/>
      </w:pPr>
      <w:r>
        <w:rPr>
          <w:sz w:val="18"/>
        </w:rPr>
        <w:t>——————————————————————————————————————————————————————————————————————</w:t>
      </w:r>
    </w:p>
    <w:p>
      <w:pPr>
        <w:spacing w:before="160" w:after="40" w:line="240" w:lineRule="auto"/>
      </w:pPr>
      <w:r>
        <w:rPr>
          <w:b/>
        </w:rPr>
        <w:t xml:space="preserve">[75] </w:t>
      </w:r>
      <w:hyperlink r:id="rId720">
        <w:r>
          <w:rPr>
            <w:color w:val="1155CC"/>
            <w:u w:val="single"/>
          </w:rPr>
          <w:t>微环境决定通过 HSF1 介导的代谢进行糖免疫监视</w:t>
        </w:r>
      </w:hyperlink>
    </w:p>
    <w:p>
      <w:pPr>
        <w:spacing w:before="0" w:after="80"/>
      </w:pPr>
      <w:r>
        <w:rPr>
          <w:i/>
          <w:sz w:val="20"/>
        </w:rPr>
        <w:t>EN: The microenvironment dictates glyco-immune surveillance via HSF1-mediated metabolism</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21">
        <w:r>
          <w:rPr>
            <w:color w:val="1155CC"/>
            <w:u w:val="single"/>
          </w:rPr>
          <w:t>10.1126/sciadv.aeb1136</w:t>
        </w:r>
      </w:hyperlink>
    </w:p>
    <w:p>
      <w:pPr>
        <w:spacing w:before="0" w:after="120"/>
      </w:pPr>
      <w:r>
        <w:rPr>
          <w:b/>
        </w:rPr>
        <w:t xml:space="preserve">Notes: </w:t>
      </w:r>
      <w:r>
        <w:t>abstract_source=crossref</w:t>
      </w:r>
    </w:p>
    <w:p>
      <w:pPr>
        <w:spacing w:before="0" w:after="80" w:lineRule="auto" w:line="276"/>
      </w:pPr>
      <w:r>
        <w:rPr>
          <w:b/>
        </w:rPr>
        <w:t xml:space="preserve">摘要（ZH）: </w:t>
      </w:r>
      <w:r>
        <w:t>葡萄糖代谢的改变是实体瘤的一个有利特征，但它是肿瘤细胞的固有特性还是对肿瘤微环境的代谢适应？使用在模拟健康或癌组织物理特性的条件下在生理培养基中培养的正常上皮细胞，我们在微环境的生化和物理特性及其对改变的葡萄糖代谢的生物合成输出的影响之间建立了多组学关系。我们发现微环境特性，例如高血糖，可以部分通过与热休克因子 1 (HSF1) 相关的机械敏感应激反应的活性来影响上皮糖萼的组成和厚度。由于糖萼厚度改变了上皮源肿瘤细胞的免疫监视，因此我们研究了人类乳腺肿瘤中 HSF1-高血糖轴之间的关系，并验证其作为可药物脆弱性以许可自然杀伤细胞对癌细胞的杀伤力。</w:t>
      </w:r>
    </w:p>
    <w:p>
      <w:pPr>
        <w:spacing w:before="0" w:after="200" w:lineRule="auto" w:line="276"/>
      </w:pPr>
      <w:r>
        <w:rPr>
          <w:b/>
        </w:rPr>
        <w:t xml:space="preserve">Abstract (EN): </w:t>
      </w:r>
      <w:r>
        <w:t>Altered glucose metabolism is an auspicious feature of solid tumors, but is it an intrinsic property of tumor cells or a metabolic adaptation to the tumor microenvironment? Using normal epithelial cells cultured in a physiological culture medium under conditions that mimic the physical properties of healthy or cancerous tissues, we establish multiomics relationships between the biochemical and physical properties of the microenvironment and its impact on biosynthetic outputs of altered glucose metabolism. We find that microenvironmental properties, such as hyperglycemia, can affect the composition and thickness of the epithelial glycocalyx, in part through the activity of mechanosensitive stress responses associated with Heat Shock Factor 1 (HSF1). Because glycocalyx thickness alters immune surveillance of epithelial-origin tumor cells, we examined the relationship between the HSF1-hyperglycemia axis in human breast tumors and validate it as a druggable vulnerability to license natural killer cell lethality against cancer cells.</w:t>
      </w:r>
    </w:p>
    <w:p>
      <w:pPr>
        <w:spacing w:before="120" w:after="120"/>
      </w:pPr>
      <w:r>
        <w:rPr>
          <w:sz w:val="18"/>
        </w:rPr>
        <w:t>——————————————————————————————————————————————————————————————————————</w:t>
      </w:r>
    </w:p>
    <w:p>
      <w:pPr>
        <w:spacing w:before="160" w:after="40" w:line="240" w:lineRule="auto"/>
      </w:pPr>
      <w:r>
        <w:rPr>
          <w:b/>
        </w:rPr>
        <w:t xml:space="preserve">[76] </w:t>
      </w:r>
      <w:hyperlink r:id="rId722">
        <w:r>
          <w:rPr>
            <w:color w:val="1155CC"/>
            <w:u w:val="single"/>
          </w:rPr>
          <w:t>TRIM29 依赖性 AKR1B10 降解可改善 MASH</w:t>
        </w:r>
      </w:hyperlink>
    </w:p>
    <w:p>
      <w:pPr>
        <w:spacing w:before="0" w:after="80"/>
      </w:pPr>
      <w:r>
        <w:rPr>
          <w:i/>
          <w:sz w:val="20"/>
        </w:rPr>
        <w:t>EN: TRIM29-dependent AKR1B10 degradation ameliorates MASH</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23">
        <w:r>
          <w:rPr>
            <w:color w:val="1155CC"/>
            <w:u w:val="single"/>
          </w:rPr>
          <w:t>10.1126/sciadv.aeb9309</w:t>
        </w:r>
      </w:hyperlink>
    </w:p>
    <w:p>
      <w:pPr>
        <w:spacing w:before="0" w:after="120"/>
      </w:pPr>
      <w:r>
        <w:rPr>
          <w:b/>
        </w:rPr>
        <w:t xml:space="preserve">Notes: </w:t>
      </w:r>
      <w:r>
        <w:t>abstract_source=crossref</w:t>
      </w:r>
    </w:p>
    <w:p>
      <w:pPr>
        <w:spacing w:before="0" w:after="80" w:lineRule="auto" w:line="276"/>
      </w:pPr>
      <w:r>
        <w:rPr>
          <w:b/>
        </w:rPr>
        <w:t xml:space="preserve">摘要（ZH）: </w:t>
      </w:r>
      <w:r>
        <w:t>代谢功能障碍相关脂肪性肝炎（MASH）是一种普遍存在且危及生命的肝脏疾病，有效的治疗方法有限，因此迫切需要识别以前未识别的分子靶点和有效的药物。这项研究将醛酮还原酶家族 1 成员 B10 (AKR1B10) 确定为 MASH 标志，显示患者组织和血清中表达升高，与疾病严重程度密切相关。基因消融</w:t>
      </w:r>
      <w:r>
        <w:t xml:space="preserve"> </w:t>
      </w:r>
      <w:r>
        <w:t>Akr1b10</w:t>
      </w:r>
      <w:r>
        <w:t xml:space="preserve"> </w:t>
      </w:r>
      <w:r>
        <w:t>在小鼠中显着减轻高脂肪/高胆固醇（HFHC）饮食引起的脂肪变性、炎症和纤维化。从机制上讲，我们发现三联基序蛋白 29 (TRIM29) 作为 E3 泛素连接酶直接结合 AKR1B10，促进其泛素化和蛋白酶体降解，从而改善 MASH 进展。此外，天然化合物黄连碱 (COP) 以变构方式促进 TRIM29-AKR1B10 相互作用，加速 AKR1B10 降解，并在 MASH 小鼠中显示出改善的功效。而且，</w:t>
      </w:r>
      <w:r>
        <w:t xml:space="preserve"> </w:t>
      </w:r>
      <w:r>
        <w:t>修剪29</w:t>
      </w:r>
      <w:r>
        <w:t xml:space="preserve"> </w:t>
      </w:r>
      <w:r>
        <w:t>过度表达可增强 COP 介导的症状缓解。我们的研究结果将 TRIM29/AKR1B10 轴描述为可药物信号通路，并将 COP 确定为 MASH 的有前途的治疗候选者。</w:t>
      </w:r>
    </w:p>
    <w:p>
      <w:pPr>
        <w:spacing w:before="0" w:after="200" w:lineRule="auto" w:line="276"/>
      </w:pPr>
      <w:r>
        <w:rPr>
          <w:b/>
        </w:rPr>
        <w:t xml:space="preserve">Abstract (EN): </w:t>
      </w:r>
      <w:r>
        <w:t>Metabolic dysfunction–associated steatohepatitis (MASH) is a prevalent and life-threatening liver disease with limited effective therapies, necessitating the urgent identification of previously unidentified molecular targets and effective pharmacologic agents. This study identifies aldo-keto reductase family 1 member B10 (AKR1B10) as the MASH hallmark, showing elevated expression in patient tissues and serum, correlating strongly with disease severity. Genetic ablation of</w:t>
      </w:r>
      <w:r>
        <w:t xml:space="preserve"> </w:t>
      </w:r>
      <w:r>
        <w:t>Akr1b10</w:t>
      </w:r>
      <w:r>
        <w:t xml:space="preserve"> </w:t>
      </w:r>
      <w:r>
        <w:t>in mice significantly attenuated high-fat/high-cholesterol (HFHC) diet–induced steatosis, inflammation, and fibrosis. Mechanistically, we found that tripartite motif protein 29 (TRIM29) functions as an E3 ubiquitin ligase that directly binds AKR1B10, promoting its ubiquitination and proteasomal degradation, which ameliorates MASH progressions. Furthermore, the natural compound coptisine (COP) allosterically facilitated TRIM29-AKR1B10 interaction, accelerating AKR1B10 degradation and showing improved efficacy in MASH mice. Moreover,</w:t>
      </w:r>
      <w:r>
        <w:t xml:space="preserve"> </w:t>
      </w:r>
      <w:r>
        <w:t>Trim29</w:t>
      </w:r>
      <w:r>
        <w:t xml:space="preserve"> </w:t>
      </w:r>
      <w:r>
        <w:t>overexpression enhances COP-mediated symptoms alleviation. Our findings delineate the TRIM29/AKR1B10 axis as a druggable signaling pathway and identify COP as a promising therapeutic candidate for MASH.</w:t>
      </w:r>
    </w:p>
    <w:p>
      <w:pPr>
        <w:spacing w:before="120" w:after="120"/>
      </w:pPr>
      <w:r>
        <w:rPr>
          <w:sz w:val="18"/>
        </w:rPr>
        <w:t>——————————————————————————————————————————————————————————————————————</w:t>
      </w:r>
    </w:p>
    <w:p>
      <w:pPr>
        <w:spacing w:before="160" w:after="40" w:line="240" w:lineRule="auto"/>
      </w:pPr>
      <w:r>
        <w:rPr>
          <w:b/>
        </w:rPr>
        <w:t xml:space="preserve">[77] </w:t>
      </w:r>
      <w:hyperlink r:id="rId724">
        <w:r>
          <w:rPr>
            <w:color w:val="1155CC"/>
            <w:u w:val="single"/>
          </w:rPr>
          <w:t>Ly6d 表达描绘了两种假定的出生后胸腺上皮祖细胞，它们受衰老的影响不同</w:t>
        </w:r>
      </w:hyperlink>
    </w:p>
    <w:p>
      <w:pPr>
        <w:spacing w:before="0" w:after="80"/>
      </w:pPr>
      <w:r>
        <w:rPr>
          <w:i/>
          <w:sz w:val="20"/>
        </w:rPr>
        <w:t>EN: Ly6d expression delineates two putative postnatal thymus epithelial progenitor cells that are differentially affected by aging</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25">
        <w:r>
          <w:rPr>
            <w:color w:val="1155CC"/>
            <w:u w:val="single"/>
          </w:rPr>
          <w:t>10.1126/sciadv.aec2253</w:t>
        </w:r>
      </w:hyperlink>
    </w:p>
    <w:p>
      <w:pPr>
        <w:spacing w:before="0" w:after="120"/>
      </w:pPr>
      <w:r>
        <w:rPr>
          <w:b/>
        </w:rPr>
        <w:t xml:space="preserve">Notes: </w:t>
      </w:r>
      <w:r>
        <w:t>abstract_source=crossref</w:t>
      </w:r>
    </w:p>
    <w:p>
      <w:pPr>
        <w:spacing w:before="0" w:after="80" w:lineRule="auto" w:line="276"/>
      </w:pPr>
      <w:r>
        <w:rPr>
          <w:b/>
        </w:rPr>
        <w:t xml:space="preserve">摘要（ZH）: </w:t>
      </w:r>
      <w:r>
        <w:t>迄今为止，出生后胸腺上皮祖细胞 (TEPC) 的身份和维持仍不清楚，出生后双能 TEPC 的持续存在或谱系限制祖细胞是否独立维持单独的 TEC 区室也是如此。使用基于胸腺蛋白酶体蛋白 β5t（在胚胎和出生后 TEPC 的子集中表达）表达的诱导谱系追踪系统，我们探索了胸腺上皮细胞 (TEC) 祖细胞及其后代之间关系的早期动态。我们的结果确定了两个潜在的谱系偏向祖亚群，其特征在于</w:t>
      </w:r>
      <w:r>
        <w:t xml:space="preserve"> </w:t>
      </w:r>
      <w:r>
        <w:t>ly6d</w:t>
      </w:r>
      <w:r>
        <w:t xml:space="preserve"> </w:t>
      </w:r>
      <w:r>
        <w:t>表达。此外，我们观察到衰老不成比例地影响</w:t>
      </w:r>
      <w:r>
        <w:t xml:space="preserve"> </w:t>
      </w:r>
      <w:r>
        <w:t>ly6d</w:t>
      </w:r>
      <w:r>
        <w:t xml:space="preserve"> </w:t>
      </w:r>
      <w:r>
        <w:t>-</w:t>
      </w:r>
      <w:r>
        <w:t>相比于</w:t>
      </w:r>
      <w:r>
        <w:t xml:space="preserve"> </w:t>
      </w:r>
      <w:r>
        <w:t>ly6d</w:t>
      </w:r>
      <w:r>
        <w:t xml:space="preserve"> </w:t>
      </w:r>
      <w:r>
        <w:t>+</w:t>
      </w:r>
      <w:r>
        <w:t xml:space="preserve"> </w:t>
      </w:r>
      <w:r>
        <w:t>TEPC，对老化胸腺上皮的复兴具有影响。这项研究提供了对 TEC 谱系的发育途径及其维持的见解，有助于制定增强衰老和疾病中胸腺功能的策略。</w:t>
      </w:r>
    </w:p>
    <w:p>
      <w:pPr>
        <w:spacing w:before="0" w:after="200" w:lineRule="auto" w:line="276"/>
      </w:pPr>
      <w:r>
        <w:rPr>
          <w:b/>
        </w:rPr>
        <w:t xml:space="preserve">Abstract (EN): </w:t>
      </w:r>
      <w:r>
        <w:t>To date, the identity and maintenance of postnatal thymic epithelial progenitor cells (TEPCs) remain unclear, as does the persistence of bipotent TEPCs after birth or whether lineage-restricted progenitors independently maintain separate TEC compartments. Using an inducible lineage-tracing system based on expression of the thymoproteasomal protein β5t, which is expressed in embryonic and a subset of postnatal TEPCs, we explored the early dynamics of the relationships between thymic epithelial cell (TEC) progenitors and their progeny. Our results identified two potential lineage-biased progenitor subpopulations, distinguished by</w:t>
      </w:r>
      <w:r>
        <w:t xml:space="preserve"> </w:t>
      </w:r>
      <w:r>
        <w:t>Ly6d</w:t>
      </w:r>
      <w:r>
        <w:t xml:space="preserve"> </w:t>
      </w:r>
      <w:r>
        <w:t>expression. Additionally, we observed that aging disproportionately affects</w:t>
      </w:r>
      <w:r>
        <w:t xml:space="preserve"> </w:t>
      </w:r>
      <w:r>
        <w:t>Ly6d</w:t>
      </w:r>
      <w:r>
        <w:t xml:space="preserve"> </w:t>
      </w:r>
      <w:r>
        <w:t>−</w:t>
      </w:r>
      <w:r>
        <w:t>compared to</w:t>
      </w:r>
      <w:r>
        <w:t xml:space="preserve"> </w:t>
      </w:r>
      <w:r>
        <w:t>Ly6d</w:t>
      </w:r>
      <w:r>
        <w:t xml:space="preserve"> </w:t>
      </w:r>
      <w:r>
        <w:t>+</w:t>
      </w:r>
      <w:r>
        <w:t xml:space="preserve"> </w:t>
      </w:r>
      <w:r>
        <w:t>TEPCs, with implications for rejuvenation of aging thymic epithelia. This study provides insights into the developmental pathways of TEC lineages and their maintenance, contributing to strategies for enhancing thymic function in aging and disease.</w:t>
      </w:r>
    </w:p>
    <w:p>
      <w:pPr>
        <w:spacing w:before="120" w:after="120"/>
      </w:pPr>
      <w:r>
        <w:rPr>
          <w:sz w:val="18"/>
        </w:rPr>
        <w:t>——————————————————————————————————————————————————————————————————————</w:t>
      </w:r>
    </w:p>
    <w:p>
      <w:pPr>
        <w:spacing w:before="160" w:after="40" w:line="240" w:lineRule="auto"/>
      </w:pPr>
      <w:r>
        <w:rPr>
          <w:b/>
        </w:rPr>
        <w:t xml:space="preserve">[78] </w:t>
      </w:r>
      <w:hyperlink r:id="rId726">
        <w:r>
          <w:rPr>
            <w:color w:val="1155CC"/>
            <w:u w:val="single"/>
          </w:rPr>
          <w:t>MBNL1 劫持结构化单链远端 DNA 元件以维持 KMT2A 重排白血病中的 FLT3 表达</w:t>
        </w:r>
      </w:hyperlink>
    </w:p>
    <w:p>
      <w:pPr>
        <w:spacing w:before="0" w:after="80"/>
      </w:pPr>
      <w:r>
        <w:rPr>
          <w:i/>
          <w:sz w:val="20"/>
        </w:rPr>
        <w:t>EN: MBNL1 hijacks a structured single-stranded distal DNA element to sustain FLT3 expression in KMT2A-rearranged leukemias</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27">
        <w:r>
          <w:rPr>
            <w:color w:val="1155CC"/>
            <w:u w:val="single"/>
          </w:rPr>
          <w:t>10.1126/sciadv.aec2331</w:t>
        </w:r>
      </w:hyperlink>
    </w:p>
    <w:p>
      <w:pPr>
        <w:spacing w:before="0" w:after="120"/>
      </w:pPr>
      <w:r>
        <w:rPr>
          <w:b/>
        </w:rPr>
        <w:t xml:space="preserve">Notes: </w:t>
      </w:r>
      <w:r>
        <w:t>abstract_source=crossref</w:t>
      </w:r>
    </w:p>
    <w:p>
      <w:pPr>
        <w:spacing w:before="0" w:after="80" w:lineRule="auto" w:line="276"/>
      </w:pPr>
      <w:r>
        <w:rPr>
          <w:b/>
        </w:rPr>
        <w:t xml:space="preserve">摘要（ZH）: </w:t>
      </w:r>
      <w:r>
        <w:t>KMT2A重排（KMT2A-r）白血病维持致癌性的分子机制</w:t>
      </w:r>
      <w:r>
        <w:t xml:space="preserve"> </w:t>
      </w:r>
      <w:r>
        <w:t>FLT3</w:t>
      </w:r>
      <w:r>
        <w:t xml:space="preserve"> </w:t>
      </w:r>
      <w:r>
        <w:t>表达在很大程度上仍不清楚，限制了治疗机会。在这里，我们将 RNA 结合蛋白 MBNL1 鉴定为意想不到的正调节因子</w:t>
      </w:r>
      <w:r>
        <w:t xml:space="preserve"> </w:t>
      </w:r>
      <w:r>
        <w:t>FLT3</w:t>
      </w:r>
      <w:r>
        <w:t xml:space="preserve"> </w:t>
      </w:r>
      <w:r>
        <w:t>通过 DepMap 数据集探索和组合 CRISPR 筛选。 MBNL1 通过维持细胞系和原发性肿瘤中的白血病细胞存活</w:t>
      </w:r>
      <w:r>
        <w:t xml:space="preserve"> </w:t>
      </w:r>
      <w:r>
        <w:t>FLT3</w:t>
      </w:r>
      <w:r>
        <w:t xml:space="preserve"> </w:t>
      </w:r>
      <w:r>
        <w:t>以 KMT2A-r 上下文相关方式表达。从机制上讲，我们发现 MBNL1 识别结构单链 DNA (ssDNA) 元件，其中包含五个连续的鸟嘌呤。</w:t>
      </w:r>
      <w:r>
        <w:t xml:space="preserve"> </w:t>
      </w:r>
      <w:r>
        <w:t>FLT3</w:t>
      </w:r>
      <w:r>
        <w:t xml:space="preserve"> </w:t>
      </w:r>
      <w:r>
        <w:t>增强子，通过 MBNL1 的锌指结构域和羧基末端非结构化区域。使用 ChIP-seq 和 KAS-seq，这种 MBNL1 蛋白/ssDNA 相互作用在 KMT2A-r 白血病中很明显。 MBNL1 ssDNA 结合表面的关键氨基酸或 ssDNA 中的关键鸟嘌呤的突变显着消除了蛋白质-ssDNA 相互作用。这些发现表明 MBNL1 是一种独特的</w:t>
      </w:r>
      <w:r>
        <w:t xml:space="preserve"> </w:t>
      </w:r>
      <w:r>
        <w:t>FLT3</w:t>
      </w:r>
      <w:r>
        <w:t xml:space="preserve"> </w:t>
      </w:r>
      <w:r>
        <w:t>通过识别结构化增强子 ssDNA 元件来激活激活剂，强调了 RNA 结合蛋白通过直接 ssDNA 识别在转录调节中发挥的意想不到的作用。</w:t>
      </w:r>
    </w:p>
    <w:p>
      <w:pPr>
        <w:spacing w:before="0" w:after="200" w:lineRule="auto" w:line="276"/>
      </w:pPr>
      <w:r>
        <w:rPr>
          <w:b/>
        </w:rPr>
        <w:t xml:space="preserve">Abstract (EN): </w:t>
      </w:r>
      <w:r>
        <w:t>The molecular mechanisms by which KMT2A-rearranged (KMT2A-r) leukemias maintain the oncogenic</w:t>
      </w:r>
      <w:r>
        <w:t xml:space="preserve"> </w:t>
      </w:r>
      <w:r>
        <w:t>FLT3</w:t>
      </w:r>
      <w:r>
        <w:t xml:space="preserve"> </w:t>
      </w:r>
      <w:r>
        <w:t>expression remain largely unclear, limiting therapeutic opportunities. Here, we identify the RNA binding protein MBNL1 as an unexpected positive regulator of</w:t>
      </w:r>
      <w:r>
        <w:t xml:space="preserve"> </w:t>
      </w:r>
      <w:r>
        <w:t>FLT3</w:t>
      </w:r>
      <w:r>
        <w:t xml:space="preserve"> </w:t>
      </w:r>
      <w:r>
        <w:t>by DepMap dataset exploration and combinatorial CRISPR screens. MBNL1 promotes leukemia cell survival in cell lines and primary tumors by sustaining</w:t>
      </w:r>
      <w:r>
        <w:t xml:space="preserve"> </w:t>
      </w:r>
      <w:r>
        <w:t>FLT3</w:t>
      </w:r>
      <w:r>
        <w:t xml:space="preserve"> </w:t>
      </w:r>
      <w:r>
        <w:t>expression in a KMT2A-r context-dependent manner. Mechanistically, we discover that MBNL1 recognizes a structured single-stranded DNA (ssDNA) element containing five consecutive guanines within the</w:t>
      </w:r>
      <w:r>
        <w:t xml:space="preserve"> </w:t>
      </w:r>
      <w:r>
        <w:t>FLT3</w:t>
      </w:r>
      <w:r>
        <w:t xml:space="preserve"> </w:t>
      </w:r>
      <w:r>
        <w:t>enhancer, through MBNL1’s zinc finger domains and the carboxyl-terminal unstructured region. Such MBNL1 protein/ssDNA interaction was evident in KMT2A-r leukemia using ChIP-seq and KAS-seq. Mutations of key amino acids of MBNL1’s ssDNA binding surface or the critical guanines in ssDNA markedly abrogate the protein-ssDNA interactions. These findings implicate MBNL1 as a distinct</w:t>
      </w:r>
      <w:r>
        <w:t xml:space="preserve"> </w:t>
      </w:r>
      <w:r>
        <w:t>FLT3</w:t>
      </w:r>
      <w:r>
        <w:t xml:space="preserve"> </w:t>
      </w:r>
      <w:r>
        <w:t>activator by recognizing a structured enhancer ssDNA element, highlighting an unexpected role for RNA binding proteins in transcriptional regulation through direct ssDNA recognition.</w:t>
      </w:r>
    </w:p>
    <w:p>
      <w:pPr>
        <w:spacing w:before="120" w:after="120"/>
      </w:pPr>
      <w:r>
        <w:rPr>
          <w:sz w:val="18"/>
        </w:rPr>
        <w:t>——————————————————————————————————————————————————————————————————————</w:t>
      </w:r>
    </w:p>
    <w:p>
      <w:pPr>
        <w:spacing w:before="160" w:after="40" w:line="240" w:lineRule="auto"/>
      </w:pPr>
      <w:r>
        <w:rPr>
          <w:b/>
        </w:rPr>
        <w:t xml:space="preserve">[79] </w:t>
      </w:r>
      <w:hyperlink r:id="rId728">
        <w:r>
          <w:rPr>
            <w:color w:val="1155CC"/>
            <w:u w:val="single"/>
          </w:rPr>
          <w:t>单片集成极化掺杂 InGaN p-FET 和 GaN n-FET，用于互补逻辑电路</w:t>
        </w:r>
      </w:hyperlink>
    </w:p>
    <w:p>
      <w:pPr>
        <w:spacing w:before="0" w:after="80"/>
      </w:pPr>
      <w:r>
        <w:rPr>
          <w:i/>
          <w:sz w:val="20"/>
        </w:rPr>
        <w:t>EN: Monolithically integrating polarization-doped InGaN p-FET and GaN n-FET for complementary logic circuitry</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29">
        <w:r>
          <w:rPr>
            <w:color w:val="1155CC"/>
            <w:u w:val="single"/>
          </w:rPr>
          <w:t>10.1126/sciadv.aec4563</w:t>
        </w:r>
      </w:hyperlink>
    </w:p>
    <w:p>
      <w:pPr>
        <w:spacing w:before="0" w:after="120"/>
      </w:pPr>
      <w:r>
        <w:rPr>
          <w:b/>
        </w:rPr>
        <w:t xml:space="preserve">Notes: </w:t>
      </w:r>
      <w:r>
        <w:t>abstract_source=crossref</w:t>
      </w:r>
    </w:p>
    <w:p>
      <w:pPr>
        <w:spacing w:before="0" w:after="80" w:lineRule="auto" w:line="276"/>
      </w:pPr>
      <w:r>
        <w:rPr>
          <w:b/>
        </w:rPr>
        <w:t xml:space="preserve">摘要（ZH）: </w:t>
      </w:r>
      <w:r>
        <w:t>低效 p 型杂质掺杂长期以来一直阻碍宽带隙半导体在集成电路 (IC) 中的实际应用。在宽带隙 III 族氮化物半导体中，固有的极化效应提供了另一种设计电性能的方法。在这里，我们报告了用于互补逻辑 (CL) 电路的偏振掺杂 InGaN p 沟道 FET 与偏振掺杂 GaN n 沟道 FET 的单片集成。增强型（E 型）InGaN p-FET 可实现超过 20 mA/mm 的高电流密度。我们构建了一系列 III 族氮化物 CL 构建模块，包括反相器、环形振荡器 (RO)、NAND、NOR、RS 锁存器和 6T-SRAM。该逆变器具有 154.1 V/V 的高最大电压增益，RO 实现了创纪录的每级 10.4 ns 的短传播延迟。此外，我们还演示了 CL 缓冲器与高压 GaN 功率晶体管的单片集成。这些结果使偏振掺杂 III 族氮化物 CL 平台成为高频电源管理 IC 和恶劣环境电子产品的有前景的解决方案。</w:t>
      </w:r>
    </w:p>
    <w:p>
      <w:pPr>
        <w:spacing w:before="0" w:after="200" w:lineRule="auto" w:line="276"/>
      </w:pPr>
      <w:r>
        <w:rPr>
          <w:b/>
        </w:rPr>
        <w:t xml:space="preserve">Abstract (EN): </w:t>
      </w:r>
      <w:r>
        <w:t>Low-efficiency p-type impurity doping has long impeded the practical adoption of wide-bandgap semiconductors in integrated circuits (ICs). In wide-bandgap III-nitride semiconductors, the inherent polarization effects provide an alternative approach to engineering electrical properties. Here, we report the monolithic integration of polarization-doped InGaN p-channel FETs with polarization-doped GaN n-channel FETs for complementary logic (CL) circuitry. The enhancement-mode (E-mode) InGaN p-FET achieves a high current density exceeding 20 mA/mm. We construct a series of III-nitride CL building blocks, including inverter, ring oscillator (RO), NAND, NOR, RS latch, and 6T-SRAM. The inverter exhibits a high maximum voltage gain of 154.1 V/V, and the RO achieves a record short propagation delay per stage of 10.4 ns. Additionally, we demonstrate the monolithic integration of CL buffers with high-voltage GaN power transistors. These results establish the polarization-doped III-nitride CL platform as a promising solution for high-frequency power management ICs and harsh-environment electronics.</w:t>
      </w:r>
    </w:p>
    <w:p>
      <w:pPr>
        <w:spacing w:before="120" w:after="120"/>
      </w:pPr>
      <w:r>
        <w:rPr>
          <w:sz w:val="18"/>
        </w:rPr>
        <w:t>——————————————————————————————————————————————————————————————————————</w:t>
      </w:r>
    </w:p>
    <w:p>
      <w:pPr>
        <w:spacing w:before="160" w:after="40" w:line="240" w:lineRule="auto"/>
      </w:pPr>
      <w:r>
        <w:rPr>
          <w:b/>
        </w:rPr>
        <w:t xml:space="preserve">[80] </w:t>
      </w:r>
      <w:hyperlink r:id="rId730">
        <w:r>
          <w:rPr>
            <w:color w:val="1155CC"/>
            <w:u w:val="single"/>
          </w:rPr>
          <w:t>使用芯片上的量子频率转换进行光隔离和循环</w:t>
        </w:r>
      </w:hyperlink>
    </w:p>
    <w:p>
      <w:pPr>
        <w:spacing w:before="0" w:after="80"/>
      </w:pPr>
      <w:r>
        <w:rPr>
          <w:i/>
          <w:sz w:val="20"/>
        </w:rPr>
        <w:t>EN: Optical isolation and circulation using quantum frequency conversion on a chip</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31">
        <w:r>
          <w:rPr>
            <w:color w:val="1155CC"/>
            <w:u w:val="single"/>
          </w:rPr>
          <w:t>10.1126/sciadv.aef0501</w:t>
        </w:r>
      </w:hyperlink>
    </w:p>
    <w:p>
      <w:pPr>
        <w:spacing w:before="0" w:after="120"/>
      </w:pPr>
      <w:r>
        <w:rPr>
          <w:b/>
        </w:rPr>
        <w:t xml:space="preserve">Notes: </w:t>
      </w:r>
      <w:r>
        <w:t>abstract_source=crossref</w:t>
      </w:r>
    </w:p>
    <w:p>
      <w:pPr>
        <w:spacing w:before="0" w:after="80" w:lineRule="auto" w:line="276"/>
      </w:pPr>
      <w:r>
        <w:rPr>
          <w:b/>
        </w:rPr>
        <w:t xml:space="preserve">摘要（ZH）: </w:t>
      </w:r>
      <w:r>
        <w:t>打破电磁互易性可以实现光的定向控制，这对于经典光子系统和量子光子系统都至关重要。然而，实现同时结合低损耗、宽带宽和与光量子态兼容性的集成光学非互易性仍然是一个重大挑战。在这里，我们在集成中演示了基于量子频率转换的光学非互易性</w:t>
      </w:r>
      <w:r>
        <w:t xml:space="preserve"> </w:t>
      </w:r>
      <w:r>
        <w:t>χ</w:t>
      </w:r>
      <w:r>
        <w:t xml:space="preserve"> </w:t>
      </w:r>
      <w:r>
        <w:t>（</w:t>
      </w:r>
      <w:r>
        <w:rPr>
          <w:vertAlign w:val="subscript"/>
        </w:rPr>
        <w:t>2</w:t>
      </w:r>
      <w:r>
        <w:t>）</w:t>
      </w:r>
      <w:r>
        <w:t xml:space="preserve"> </w:t>
      </w:r>
      <w:r>
        <w:t>非线性波导。该器件的工作范围从经典功率水平到单光子水平，可保持输入光子的量子相干性和纠缠性。我们实现了 34 分贝的隔离度、0.8 分贝的低片上插入损耗和较宽的隔离带宽，同时四端口环行器的工作保真度高达 0.97。我们的结果将参数频率转换确立为一种可扩展且量子兼容的途径，用于集成非互易光子器件，用于量子通信和抗噪声光子网络中的应用。</w:t>
      </w:r>
    </w:p>
    <w:p>
      <w:pPr>
        <w:spacing w:before="0" w:after="200" w:lineRule="auto" w:line="276"/>
      </w:pPr>
      <w:r>
        <w:rPr>
          <w:b/>
        </w:rPr>
        <w:t xml:space="preserve">Abstract (EN): </w:t>
      </w:r>
      <w:r>
        <w:t>Breaking electromagnetic reciprocity enables directional control of light and is essential for both classical and quantum photonic systems. However, realizing integrated optical nonreciprocity that simultaneously combines low loss, broad bandwidth, and compatibility with quantum states of light remains a major challenge. Here, we demonstrate optical nonreciprocity based on quantum frequency conversion in an integrated</w:t>
      </w:r>
      <w:r>
        <w:t xml:space="preserve"> </w:t>
      </w:r>
      <w:r>
        <w:t>χ</w:t>
      </w:r>
      <w:r>
        <w:t xml:space="preserve"> </w:t>
      </w:r>
      <w:r>
        <w:t>(</w:t>
      </w:r>
      <w:r>
        <w:rPr>
          <w:vertAlign w:val="subscript"/>
        </w:rPr>
        <w:t>2</w:t>
      </w:r>
      <w:r>
        <w:t>)</w:t>
      </w:r>
      <w:r>
        <w:t xml:space="preserve"> </w:t>
      </w:r>
      <w:r>
        <w:t>nonlinear waveguide. Operating from classical power levels down to the single-photon level, the device preserves quantum coherence and entanglement of the input photons. We achieve an isolation of 34 decibels with a low on-chip insertion loss of 0.8 decibels and a broad isolation bandwidth, together with a four-port circulator exhibiting an operational fidelity of up to 0.97. Our results establish parametric frequency conversion as a scalable and quantum-compatible route toward integrated nonreciprocal photonic devices for applications in quantum communication and noise-resilient photonic networks.</w:t>
      </w:r>
    </w:p>
    <w:p>
      <w:pPr>
        <w:spacing w:before="120" w:after="120"/>
      </w:pPr>
      <w:r>
        <w:rPr>
          <w:sz w:val="18"/>
        </w:rPr>
        <w:t>——————————————————————————————————————————————————————————————————————</w:t>
      </w:r>
    </w:p>
    <w:p>
      <w:pPr>
        <w:spacing w:before="160" w:after="40" w:line="240" w:lineRule="auto"/>
      </w:pPr>
      <w:r>
        <w:rPr>
          <w:b/>
        </w:rPr>
        <w:t xml:space="preserve">[81] </w:t>
      </w:r>
      <w:hyperlink r:id="rId732">
        <w:r>
          <w:rPr>
            <w:color w:val="1155CC"/>
            <w:u w:val="single"/>
          </w:rPr>
          <w:t>与黑潮延伸变异相关的两种截然不同的大气环流模式</w:t>
        </w:r>
      </w:hyperlink>
    </w:p>
    <w:p>
      <w:pPr>
        <w:spacing w:before="0" w:after="80"/>
      </w:pPr>
      <w:r>
        <w:rPr>
          <w:i/>
          <w:sz w:val="20"/>
        </w:rPr>
        <w:t>EN: Two contrasting atmospheric circulation patterns linked to Kuroshio Extension variability</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33">
        <w:r>
          <w:rPr>
            <w:color w:val="1155CC"/>
            <w:u w:val="single"/>
          </w:rPr>
          <w:t>10.1126/sciadv.aee9489</w:t>
        </w:r>
      </w:hyperlink>
    </w:p>
    <w:p>
      <w:pPr>
        <w:spacing w:before="0" w:after="120"/>
      </w:pPr>
      <w:r>
        <w:rPr>
          <w:b/>
        </w:rPr>
        <w:t xml:space="preserve">Notes: </w:t>
      </w:r>
      <w:r>
        <w:t>abstract_source=crossref</w:t>
      </w:r>
    </w:p>
    <w:p>
      <w:pPr>
        <w:spacing w:before="0" w:after="80" w:lineRule="auto" w:line="276"/>
      </w:pPr>
      <w:r>
        <w:rPr>
          <w:b/>
        </w:rPr>
        <w:t xml:space="preserve">摘要（ZH）: </w:t>
      </w:r>
      <w:r>
        <w:t>高分辨率观测和模型越来越认识到黑潮延伸（KE）变化对北太平洋大气环流的影响。虽然精细尺度的海气相互作用的作用已经得到强调，但 KE 大气影响背后的动力学仍然难以捉摸。在这里，基于观测分析和一系列模型模拟，我们报告了两种截然不同的大气环流模式，这些模式是由于大气中 KE 边界强迫的时间变化而产生的。 20世纪末（1979-1999），正KE位相以及黑潮海温锋向北移动，将太平洋风暴路径锚定到更远的极地，并伴随着异常的反气旋环流。相比之下，在21世纪初（2000-2022年），KE变率与中部热带太平洋海温表现出更强的联系，驱动风暴路径南移并伴有异常的气旋环流，并因黑潮潜热释放的增强而进一步放大。我们的研究结果表明，考虑 KE 海温边界强迫的年代际变化对于准确表示 KE 下游影响至关重要。</w:t>
      </w:r>
    </w:p>
    <w:p>
      <w:pPr>
        <w:spacing w:before="0" w:after="200" w:lineRule="auto" w:line="276"/>
      </w:pPr>
      <w:r>
        <w:rPr>
          <w:b/>
        </w:rPr>
        <w:t xml:space="preserve">Abstract (EN): </w:t>
      </w:r>
      <w:r>
        <w:t>The influence of Kuroshio Extension (KE) variability on North Pacific atmospheric circulation has been increasingly recognized in high-resolution observations and models. While the role of fine-scale air-sea interactions has been highlighted, the dynamics underlying KE atmospheric impacts remain elusive. Here, based on observational analyses and a suite of model simulations, we report two contrasting atmospheric circulation patterns that arise from temporal variations in KE boundary forcing on the atmosphere. During the late 20th century (1979–1999), the positive KE phase, along with a northward shifted Kuroshio SST front, anchors the Pacific storm track farther poleward accompanied by an anomalous anticyclonic circulation. In contrast, during the early 21st century (2000–2022), KE variability exhibits stronger linkages with central tropical Pacific SST that drives a southward shift of the storm track with an anomalous cyclonic circulation, further amplified by enhanced Kuroshio latent heat release. Our findings suggest that accounting for decadal shifts in KE SST boundary forcing is critical for accurately representing KE downstream impacts.</w:t>
      </w:r>
    </w:p>
    <w:p>
      <w:pPr>
        <w:spacing w:before="120" w:after="120"/>
      </w:pPr>
      <w:r>
        <w:rPr>
          <w:sz w:val="18"/>
        </w:rPr>
        <w:t>——————————————————————————————————————————————————————————————————————</w:t>
      </w:r>
    </w:p>
    <w:p>
      <w:pPr>
        <w:spacing w:before="160" w:after="40" w:line="240" w:lineRule="auto"/>
      </w:pPr>
      <w:r>
        <w:rPr>
          <w:b/>
        </w:rPr>
        <w:t xml:space="preserve">[82] </w:t>
      </w:r>
      <w:hyperlink r:id="rId734">
        <w:r>
          <w:rPr>
            <w:color w:val="1155CC"/>
            <w:u w:val="single"/>
          </w:rPr>
          <w:t>甲状腺激素信号的环境调节驱动发育可塑性</w:t>
        </w:r>
      </w:hyperlink>
    </w:p>
    <w:p>
      <w:pPr>
        <w:spacing w:before="0" w:after="80"/>
      </w:pPr>
      <w:r>
        <w:rPr>
          <w:i/>
          <w:sz w:val="20"/>
        </w:rPr>
        <w:t>EN: Environmental tuning of thyroid hormone signaling drives developmental plasticity</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35">
        <w:r>
          <w:rPr>
            <w:color w:val="1155CC"/>
            <w:u w:val="single"/>
          </w:rPr>
          <w:t>10.1126/sciadv.aec5359</w:t>
        </w:r>
      </w:hyperlink>
    </w:p>
    <w:p>
      <w:pPr>
        <w:spacing w:before="0" w:after="120"/>
      </w:pPr>
      <w:r>
        <w:rPr>
          <w:b/>
        </w:rPr>
        <w:t xml:space="preserve">Notes: </w:t>
      </w:r>
      <w:r>
        <w:t>abstract_source=crossref</w:t>
      </w:r>
    </w:p>
    <w:p>
      <w:pPr>
        <w:spacing w:before="0" w:after="80" w:lineRule="auto" w:line="276"/>
      </w:pPr>
      <w:r>
        <w:rPr>
          <w:b/>
        </w:rPr>
        <w:t xml:space="preserve">摘要（ZH）: </w:t>
      </w:r>
      <w:r>
        <w:t>脊椎动物的发育转变是在因全球变化而日益改变的环境中展开的。甲状腺激素是一个高度保守的内分泌轴，可协调胚胎后的转化，但自然生态变化对这种信号传导的影响在很大程度上仍未被探索——尽管它们具有塑造发育可塑性和适应当地环境的潜力。为了解决这个问题，我们研究了一种常见的珊瑚鱼（</w:t>
      </w:r>
      <w:r>
        <w:t xml:space="preserve"> </w:t>
      </w:r>
      <w:r>
        <w:t>三板刺棘鱼</w:t>
      </w:r>
      <w:r>
        <w:t xml:space="preserve"> </w:t>
      </w:r>
      <w:r>
        <w:t>），在定居到沿海苗圃期间经历甲状腺依赖性变态。通过结合不同自然栖息地的转录组、激素和代谢分析，我们发现定居引发了能量代谢的深刻重新编程，与甲状腺信号传导紧密结合。引人注目的是，甲状腺激素调节的幅度和方向随栖息地的不同而变化，从而产生不同的代谢和生理状态。这些结果表明，甲状腺激素不仅充当发育计时器，而且充当环境和生理学的动态整合器。更广泛地说，它们揭示了脊椎动物发育可塑性的保守机制，强调内分泌灵活性是快速环境变化下种群恢复力的潜在缓冲。</w:t>
      </w:r>
    </w:p>
    <w:p>
      <w:pPr>
        <w:spacing w:before="0" w:after="200" w:lineRule="auto" w:line="276"/>
      </w:pPr>
      <w:r>
        <w:rPr>
          <w:b/>
        </w:rPr>
        <w:t xml:space="preserve">Abstract (EN): </w:t>
      </w:r>
      <w:r>
        <w:t>Vertebrate developmental transitions unfold in environments increasingly altered by global change. Thyroid hormones, a deeply conserved endocrine axis, coordinate post-embryonic transformations, yet the effects of natural ecological variation on this signaling remain largely unexplored—despite their potential to shape developmental plasticity and acclimation to local environments. To address this, we investigated a common reef fish (</w:t>
      </w:r>
      <w:r>
        <w:t xml:space="preserve"> </w:t>
      </w:r>
      <w:r>
        <w:t>Acanthurus triostegus</w:t>
      </w:r>
      <w:r>
        <w:t xml:space="preserve"> </w:t>
      </w:r>
      <w:r>
        <w:t>), which undergoes a thyroid-dependent metamorphosis during settlement into coastal nurseries. By combining transcriptomic, hormonal, and metabolic profiling across distinct natural habitats, we show that settlement triggers a profound reprogramming of energy metabolism, tightly coupled to thyroid signaling. Strikingly, the magnitude and direction of thyroid hormone regulation varied with habitat, producing divergent metabolic and physiological states. These results demonstrate that thyroid hormones act not only as a developmental timer but as a dynamic integrator of environment and physiology. More broadly, they reveal a conserved mechanism of vertebrate developmental plasticity, highlighting endocrine flexibility as a potential buffer of population resilience under rapid environmental change.</w:t>
      </w:r>
    </w:p>
    <w:p>
      <w:pPr>
        <w:spacing w:before="120" w:after="120"/>
      </w:pPr>
      <w:r>
        <w:rPr>
          <w:sz w:val="18"/>
        </w:rPr>
        <w:t>——————————————————————————————————————————————————————————————————————</w:t>
      </w:r>
    </w:p>
    <w:p>
      <w:pPr>
        <w:spacing w:before="160" w:after="40" w:line="240" w:lineRule="auto"/>
      </w:pPr>
      <w:r>
        <w:rPr>
          <w:b/>
        </w:rPr>
        <w:t xml:space="preserve">[83] </w:t>
      </w:r>
      <w:hyperlink r:id="rId736">
        <w:r>
          <w:rPr>
            <w:color w:val="1155CC"/>
            <w:u w:val="single"/>
          </w:rPr>
          <w:t>T 细胞固有的 AIM2 加剧了 OVA-LPS 和 HDM 诱导的哮喘模型中的肺部炎症</w:t>
        </w:r>
      </w:hyperlink>
    </w:p>
    <w:p>
      <w:pPr>
        <w:spacing w:before="0" w:after="80"/>
      </w:pPr>
      <w:r>
        <w:rPr>
          <w:i/>
          <w:sz w:val="20"/>
        </w:rPr>
        <w:t>EN: T cell–intrinsic AIM2 exacerbates lung inflammation in OVA-LPS- and HDM-induced asthma models</w:t>
      </w:r>
    </w:p>
    <w:p>
      <w:pPr>
        <w:spacing w:before="0" w:after="120"/>
      </w:pPr>
      <w:r>
        <w:rPr>
          <w:b/>
        </w:rPr>
        <w:t xml:space="preserve">Source: </w:t>
      </w:r>
      <w:r>
        <w:t>Proceedings of the National Academy of Sciences: Keyword search for query</w:t>
      </w:r>
      <w:r>
        <w:t xml:space="preserve">    </w:t>
      </w:r>
      <w:r>
        <w:rPr>
          <w:b/>
        </w:rPr>
        <w:t xml:space="preserve">Pub date: </w:t>
      </w:r>
      <w:r>
        <w:t>2026-08-07 07:00:00+00:00</w:t>
      </w:r>
      <w:r>
        <w:t xml:space="preserve">    </w:t>
      </w:r>
      <w:r>
        <w:rPr>
          <w:b/>
        </w:rPr>
        <w:t xml:space="preserve">DOI: </w:t>
      </w:r>
      <w:hyperlink r:id="rId737">
        <w:r>
          <w:rPr>
            <w:color w:val="1155CC"/>
            <w:u w:val="single"/>
          </w:rPr>
          <w:t>10.1073/pnas.2520215123</w:t>
        </w:r>
      </w:hyperlink>
    </w:p>
    <w:p>
      <w:pPr>
        <w:spacing w:before="0" w:after="120"/>
      </w:pPr>
      <w:r>
        <w:rPr>
          <w:b/>
        </w:rPr>
        <w:t xml:space="preserve">Notes: </w:t>
      </w:r>
      <w:r>
        <w:t>abstract_source=crossref</w:t>
      </w:r>
    </w:p>
    <w:p>
      <w:pPr>
        <w:spacing w:before="0" w:after="80" w:lineRule="auto" w:line="276"/>
      </w:pPr>
      <w:r>
        <w:rPr>
          <w:b/>
        </w:rPr>
        <w:t xml:space="preserve">摘要（ZH）: </w:t>
      </w:r>
      <w:r>
        <w:t>哮喘是一种异质性炎症性气道疾病，其特征是免疫失调、气道高反应性 (AHR) 和过度免疫激活。尽管 NLRP3（含热蛋白结构域的 NOD 样受体家族 3）已在哮喘中得到广泛研究，但其作用仍存在争议，并且 DNA 传感器 AIM2（黑色素瘤 2 中不存在）的贡献尚不明确。为了评估 AIM2 在哮喘中的相关性，我们分析了公共人类数据集，发现增加</w:t>
      </w:r>
      <w:r>
        <w:t xml:space="preserve"> </w:t>
      </w:r>
      <w:r>
        <w:t>目标2</w:t>
      </w:r>
      <w:r>
        <w:t xml:space="preserve"> </w:t>
      </w:r>
      <w:r>
        <w:t>，但不是</w:t>
      </w:r>
      <w:r>
        <w:t xml:space="preserve"> </w:t>
      </w:r>
      <w:r>
        <w:t>NLRP3</w:t>
      </w:r>
      <w:r>
        <w:t xml:space="preserve"> </w:t>
      </w:r>
      <w:r>
        <w:t>，与少粒细胞性哮喘相比，在严重哮喘和中性粒细胞性哮喘中表达。在卵清蛋白 (OVA)-脂多糖 (LPS) 或屋尘螨 (HDM) 诱导的过敏性哮喘模型中，肺匀浆和支气管肺泡灌洗液细胞中 AIM2 表达增加。对来自 HDM 模型的已发表的单细胞 RNA-seq 数据集的分析进一步表明</w:t>
      </w:r>
      <w:r>
        <w:t xml:space="preserve"> </w:t>
      </w:r>
      <w:r>
        <w:t>目标2</w:t>
      </w:r>
      <w:r>
        <w:t xml:space="preserve"> </w:t>
      </w:r>
      <w:r>
        <w:t>，但不是</w:t>
      </w:r>
      <w:r>
        <w:t xml:space="preserve"> </w:t>
      </w:r>
      <w:r>
        <w:t>NLRP3</w:t>
      </w:r>
      <w:r>
        <w:t xml:space="preserve"> </w:t>
      </w:r>
      <w:r>
        <w:t>，在 T 辅助细胞中表达，大多数</w:t>
      </w:r>
      <w:r>
        <w:t xml:space="preserve"> </w:t>
      </w:r>
      <w:r>
        <w:t>目标2</w:t>
      </w:r>
      <w:r>
        <w:t xml:space="preserve"> </w:t>
      </w:r>
      <w:r>
        <w:t>- 共表达细胞</w:t>
      </w:r>
      <w:r>
        <w:t xml:space="preserve"> </w:t>
      </w:r>
      <w:r>
        <w:t>加塔3</w:t>
      </w:r>
      <w:r>
        <w:t xml:space="preserve"> </w:t>
      </w:r>
      <w:r>
        <w:t>。在 OVA-LPS 模型中，全身</w:t>
      </w:r>
      <w:r>
        <w:t xml:space="preserve"> </w:t>
      </w:r>
      <w:r>
        <w:t>目标2</w:t>
      </w:r>
      <w:r>
        <w:t xml:space="preserve"> </w:t>
      </w:r>
      <w:r>
        <w:t>缺乏会减少 AHR、炎症细胞因子的产生、气道平滑肌肌动蛋白和 γH2A.X，这与气道重塑和组织应激的减少一致。出乎意料的是，CD4 特异性，但不是 Treg 或骨髓特异性，</w:t>
      </w:r>
      <w:r>
        <w:t xml:space="preserve"> </w:t>
      </w:r>
      <w:r>
        <w:t>目标2</w:t>
      </w:r>
      <w:r>
        <w:t xml:space="preserve"> </w:t>
      </w:r>
      <w:r>
        <w:t>删除显着注意</w:t>
      </w:r>
    </w:p>
    <w:p>
      <w:pPr>
        <w:spacing w:before="0" w:after="200" w:lineRule="auto" w:line="276"/>
      </w:pPr>
      <w:r>
        <w:rPr>
          <w:b/>
        </w:rPr>
        <w:t xml:space="preserve">Abstract (EN): </w:t>
      </w:r>
      <w:r>
        <w:t>Asthma is a heterogeneous inflammatory airway disease characterized by immune dysregulation, airway hyperresponsiveness (AHR), and excessive immune activation. Although NLRP3 (NOD-like receptor family pyrin domain-containing 3) has been extensively studied in asthma, its role remains controversial, and the contribution of DNA sensor AIM2 (Absent in Melanoma 2) is less well defined. To assess AIM2’s relevance in asthma, we analyzed public human datasets and found increased</w:t>
      </w:r>
      <w:r>
        <w:t xml:space="preserve"> </w:t>
      </w:r>
      <w:r>
        <w:t>AIM2</w:t>
      </w:r>
      <w:r>
        <w:t xml:space="preserve"> </w:t>
      </w:r>
      <w:r>
        <w:t>, but not</w:t>
      </w:r>
      <w:r>
        <w:t xml:space="preserve"> </w:t>
      </w:r>
      <w:r>
        <w:t>NLRP3</w:t>
      </w:r>
      <w:r>
        <w:t xml:space="preserve"> </w:t>
      </w:r>
      <w:r>
        <w:t>, expression in severe asthma and in neutrophilic compared with paucigranulocytic asthma. In allergic asthma models induced by ovalbumin (OVA)-lipopolysaccharide (LPS) or house dust mite (HDM), AIM2 expression was increased in lung homogenates and bronchoalveolar lavage fluid cells. Analysis of a published single-cell RNA-seq dataset from the HDM model further showed increased</w:t>
      </w:r>
      <w:r>
        <w:t xml:space="preserve"> </w:t>
      </w:r>
      <w:r>
        <w:t>Aim2</w:t>
      </w:r>
      <w:r>
        <w:t xml:space="preserve"> </w:t>
      </w:r>
      <w:r>
        <w:t>, but not</w:t>
      </w:r>
      <w:r>
        <w:t xml:space="preserve"> </w:t>
      </w:r>
      <w:r>
        <w:t>Nlrp3</w:t>
      </w:r>
      <w:r>
        <w:t xml:space="preserve"> </w:t>
      </w:r>
      <w:r>
        <w:t>, expression in T helper cells, with most</w:t>
      </w:r>
      <w:r>
        <w:t xml:space="preserve"> </w:t>
      </w:r>
      <w:r>
        <w:t>Aim2</w:t>
      </w:r>
      <w:r>
        <w:t xml:space="preserve"> </w:t>
      </w:r>
      <w:r>
        <w:t>-expressing cells coexpressing</w:t>
      </w:r>
      <w:r>
        <w:t xml:space="preserve"> </w:t>
      </w:r>
      <w:r>
        <w:t>Gata3</w:t>
      </w:r>
      <w:r>
        <w:t xml:space="preserve"> </w:t>
      </w:r>
      <w:r>
        <w:t>. In the OVA-LPS model, whole-body</w:t>
      </w:r>
      <w:r>
        <w:t xml:space="preserve"> </w:t>
      </w:r>
      <w:r>
        <w:t>Aim2</w:t>
      </w:r>
      <w:r>
        <w:t xml:space="preserve"> </w:t>
      </w:r>
      <w:r>
        <w:t>deficiency reduced AHR, inflammatory cytokine production, airway smooth muscle actin, and γH2A.X, consistent with decreased airway remodeling and tissue stress. Unexpectedly, CD4-specific, but not Treg- or myeloid-specific,</w:t>
      </w:r>
      <w:r>
        <w:t xml:space="preserve"> </w:t>
      </w:r>
      <w:r>
        <w:t>Aim2</w:t>
      </w:r>
      <w:r>
        <w:t xml:space="preserve"> </w:t>
      </w:r>
      <w:r>
        <w:t>deletion significantly attenuated disease, identifying AIM2 in CD4</w:t>
      </w:r>
      <w:r>
        <w:t xml:space="preserve"> </w:t>
      </w:r>
      <w:r>
        <w:t>+</w:t>
      </w:r>
      <w:r>
        <w:t xml:space="preserve"> </w:t>
      </w:r>
      <w:r>
        <w:t>T cells as a major driver of pathogenesis. In the HDM model,</w:t>
      </w:r>
      <w:r>
        <w:t xml:space="preserve"> </w:t>
      </w:r>
      <w:r>
        <w:t>Aim2</w:t>
      </w:r>
      <w:r>
        <w:t xml:space="preserve"> </w:t>
      </w:r>
      <w:r>
        <w:t>deficiency similarly reduced AHR. Cell-specific deletion showed that AIM2 in CD4</w:t>
      </w:r>
      <w:r>
        <w:t xml:space="preserve"> </w:t>
      </w:r>
      <w:r>
        <w:t>+</w:t>
      </w:r>
      <w:r>
        <w:t xml:space="preserve"> </w:t>
      </w:r>
      <w:r>
        <w:t>T cells promotes AHR and cytokine production, whereas AIM2 in myeloid cells modulates IgG1, IL-13-producing CD4</w:t>
      </w:r>
      <w:r>
        <w:t xml:space="preserve"> </w:t>
      </w:r>
      <w:r>
        <w:t>+</w:t>
      </w:r>
      <w:r>
        <w:t xml:space="preserve"> </w:t>
      </w:r>
      <w:r>
        <w:t>T cells, and alveolar macrophages. These findings identify AIM2 as a regulator of allergic asthma acting predominantly through T cells, with an additional context-dependent contribution from myeloid cells.</w:t>
      </w:r>
    </w:p>
    <w:p>
      <w:pPr>
        <w:spacing w:before="120" w:after="120"/>
      </w:pPr>
      <w:r>
        <w:rPr>
          <w:sz w:val="18"/>
        </w:rPr>
        <w:t>——————————————————————————————————————————————————————————————————————</w:t>
      </w:r>
    </w:p>
    <w:p>
      <w:pPr>
        <w:spacing w:before="160" w:after="40" w:line="240" w:lineRule="auto"/>
      </w:pPr>
      <w:r>
        <w:rPr>
          <w:b/>
        </w:rPr>
        <w:t xml:space="preserve">[84] </w:t>
      </w:r>
      <w:hyperlink r:id="rId738">
        <w:r>
          <w:rPr>
            <w:color w:val="1155CC"/>
            <w:u w:val="single"/>
          </w:rPr>
          <w:t>睡眠不足后保护情景记忆：通过不同的神经贡献，锻炼和小睡具有类似的好处</w:t>
        </w:r>
      </w:hyperlink>
    </w:p>
    <w:p>
      <w:pPr>
        <w:spacing w:before="0" w:after="80"/>
      </w:pPr>
      <w:r>
        <w:rPr>
          <w:i/>
          <w:sz w:val="20"/>
        </w:rPr>
        <w:t>EN: Protecting episodic memory after sleep loss: Similar benefits of exercise and naps via distinct neural contributions</w:t>
      </w:r>
    </w:p>
    <w:p>
      <w:pPr>
        <w:spacing w:before="0" w:after="120"/>
      </w:pPr>
      <w:r>
        <w:rPr>
          <w:b/>
        </w:rPr>
        <w:t xml:space="preserve">Source: </w:t>
      </w:r>
      <w:r>
        <w:t>Proceedings of the National Academy of Sciences: Keyword search for query</w:t>
      </w:r>
      <w:r>
        <w:t xml:space="preserve">    </w:t>
      </w:r>
      <w:r>
        <w:rPr>
          <w:b/>
        </w:rPr>
        <w:t xml:space="preserve">Pub date: </w:t>
      </w:r>
      <w:r>
        <w:t>2026-08-07 07:00:00+00:00</w:t>
      </w:r>
      <w:r>
        <w:t xml:space="preserve">    </w:t>
      </w:r>
      <w:r>
        <w:rPr>
          <w:b/>
        </w:rPr>
        <w:t xml:space="preserve">DOI: </w:t>
      </w:r>
      <w:hyperlink r:id="rId739">
        <w:r>
          <w:rPr>
            <w:color w:val="1155CC"/>
            <w:u w:val="single"/>
          </w:rPr>
          <w:t>10.1073/pnas.2528246123</w:t>
        </w:r>
      </w:hyperlink>
    </w:p>
    <w:p>
      <w:pPr>
        <w:spacing w:before="0" w:after="120"/>
      </w:pPr>
      <w:r>
        <w:rPr>
          <w:b/>
        </w:rPr>
        <w:t xml:space="preserve">Notes: </w:t>
      </w:r>
      <w:r>
        <w:t>abstract_source=crossref</w:t>
      </w:r>
    </w:p>
    <w:p>
      <w:pPr>
        <w:spacing w:before="0" w:after="80" w:lineRule="auto" w:line="276"/>
      </w:pPr>
      <w:r>
        <w:rPr>
          <w:b/>
        </w:rPr>
        <w:t xml:space="preserve">摘要（ZH）: </w:t>
      </w:r>
      <w:r>
        <w:t>睡眠不足是一个公共健康问题，需要广泛使用且具有成本效益的干预措施来抵消其造成的认知和大脑健康损害。睡眠不足会损害大脑形成新情景记忆的能力，而这对于日常认知、未来规划和决策至关重要。在这项研究中，我们比较了 20 分钟运动和 90 分钟小睡与无干预控制条件对 30 小时不间断清醒后编码情景记忆能力的保护作用，并使用脑电图检查了潜在的神经机制。睡眠不足后，运动和小睡都能保留情景记忆，记忆表现比对照条件平均高出 22%。脑电图揭示了干预组内不同的神经机制，这对记忆表现有显着贡献。午睡后，神经疲劳和睡眠压力的大脑状态标记比情景记忆标记更能决定记忆表现，而运动后，只有情景记忆标记对记忆表现有显着贡献。相反，在对照组中，这些标记都不能解释记忆表现。相反，这些标记物与疲劳有关，表明神经系统有代偿性作用。与神经退化原理相一致，即不同的大脑机制可以产生相似的结果，睡眠不足后，锻炼可以促进有效的神经处理，而小睡则可以使大脑状态有利于新的学习。这些结果值得实施研究</w:t>
      </w:r>
    </w:p>
    <w:p>
      <w:pPr>
        <w:spacing w:before="0" w:after="200" w:lineRule="auto" w:line="276"/>
      </w:pPr>
      <w:r>
        <w:rPr>
          <w:b/>
        </w:rPr>
        <w:t xml:space="preserve">Abstract (EN): </w:t>
      </w:r>
      <w:r>
        <w:t>Sleep loss is a public health concern requiring widely accessible cost-effective interventions to counteract the cognitive and brain health impairments caused by it. Sleep loss impairs the brain’s capacity to form new episodic memories, which is critical for everyday cognition, future planning, and decision-making. In this study, we compared the protective effect of a 20-min exercise and a 90-min nap against a no-intervention control condition on the capacity to encode episodic memory after 30 h of uninterrupted wakefulness and examined underlying neural mechanisms using electroencephalography. Both exercise and nap preserved episodic memory after sleep loss, with an average of 22% higher memory performance than the control condition. Electroencephalography revealed distinct neural mechanisms within the intervention groups, which significantly contributed to memory performance. After napping, the brain-state markers of neural fatigue and sleep pressure determined memory performance more than episodic memory markers and after exercise, only episodic memory markers significantly contributed to memory performance. In contrast, in the control group, none of these markers explained memory performance. Instead, those markers were associated with fatigue, suggesting compensatory neural efforts. Consistent with the principle of neural degeneracy, in which different brain mechanisms can yield similar outcomes, after sleep loss exercise facilitates efficient neural processing while napping makes the brain state conducive to new learning. These results warrant implementation studies within safety-critical occupations such as healthcare, shiftwork, mining, and transportation, where implementing sleep hygiene recommendations to counteract sleep loss is not effective or practical, but preserving brain and cognitive health is of global importance.</w:t>
      </w:r>
    </w:p>
    <w:p>
      <w:pPr>
        <w:spacing w:before="120" w:after="120"/>
      </w:pPr>
      <w:r>
        <w:rPr>
          <w:sz w:val="18"/>
        </w:rPr>
        <w:t>——————————————————————————————————————————————————————————————————————</w:t>
      </w:r>
    </w:p>
    <w:p>
      <w:pPr>
        <w:spacing w:before="160" w:after="40" w:line="240" w:lineRule="auto"/>
      </w:pPr>
      <w:r>
        <w:rPr>
          <w:b/>
        </w:rPr>
        <w:t xml:space="preserve">[85] </w:t>
      </w:r>
      <w:hyperlink r:id="rId740">
        <w:r>
          <w:rPr>
            <w:color w:val="1155CC"/>
            <w:u w:val="single"/>
          </w:rPr>
          <w:t>后生动物和社会性昆虫进化的统一框架，两个主要的进化转变</w:t>
        </w:r>
      </w:hyperlink>
    </w:p>
    <w:p>
      <w:pPr>
        <w:spacing w:before="0" w:after="80"/>
      </w:pPr>
      <w:r>
        <w:rPr>
          <w:i/>
          <w:sz w:val="20"/>
        </w:rPr>
        <w:t>EN: A unifying framework for the evolution of metazoa and social insects, two major evolutionary transitions</w:t>
      </w:r>
    </w:p>
    <w:p>
      <w:pPr>
        <w:spacing w:before="0" w:after="120"/>
      </w:pPr>
      <w:r>
        <w:rPr>
          <w:b/>
        </w:rPr>
        <w:t xml:space="preserve">Source: </w:t>
      </w:r>
      <w:r>
        <w:t>Proceedings of the National Academy of Sciences: Keyword search for query</w:t>
      </w:r>
      <w:r>
        <w:t xml:space="preserve">    </w:t>
      </w:r>
      <w:r>
        <w:rPr>
          <w:b/>
        </w:rPr>
        <w:t xml:space="preserve">Pub date: </w:t>
      </w:r>
      <w:r>
        <w:t>2026-08-07 07:00:00+00:00</w:t>
      </w:r>
      <w:r>
        <w:t xml:space="preserve">    </w:t>
      </w:r>
      <w:r>
        <w:rPr>
          <w:b/>
        </w:rPr>
        <w:t xml:space="preserve">DOI: </w:t>
      </w:r>
      <w:hyperlink r:id="rId741">
        <w:r>
          <w:rPr>
            <w:color w:val="1155CC"/>
            <w:u w:val="single"/>
          </w:rPr>
          <w:t>10.1073/pnas.2530125123</w:t>
        </w:r>
      </w:hyperlink>
    </w:p>
    <w:p>
      <w:pPr>
        <w:spacing w:before="0" w:after="120"/>
      </w:pPr>
      <w:r>
        <w:rPr>
          <w:b/>
        </w:rPr>
        <w:t xml:space="preserve">Notes: </w:t>
      </w:r>
      <w:r>
        <w:t>abstract_source=crossref</w:t>
      </w:r>
    </w:p>
    <w:p>
      <w:pPr>
        <w:spacing w:before="0" w:after="80" w:lineRule="auto" w:line="276"/>
      </w:pPr>
      <w:r>
        <w:rPr>
          <w:b/>
        </w:rPr>
        <w:t xml:space="preserve">摘要（ZH）: </w:t>
      </w:r>
      <w:r>
        <w:t>生命进化的特点是重大转变，即新选择目标的进化（例如原核生物、真核生物、多细胞生物、社会性昆虫群体）。当先前存在的较低级别单位合作并放弃繁殖能力时，它们就出现了，以便在新的、联合的、较高级别的单位中实现繁殖成功。目前，人们对进化重大转变（MTE）的认识越来越模糊，阻碍了这一基础研究领域的进展。误解的产生部分是由于进化论推理的不充分。此外，最近的关键工作表明后生动物和社会昆虫系统的生物性具有相当大的多样性，这使得明确区分转变变得更加困难，并挑战了我们对 MTE 的经典理解。应用进化推理，我们开发了所有后生动物和社会昆虫系统都可以分为三个类别。这些类别是由利他级别单位的繁殖潜力及其实现方式（即通过作为分散繁殖体的独立繁殖或仅通过较高级别单位内的繁殖）来定义的。这些类别捕捉了有机体多样性的变化，这在分析潜在的重大转变时至关重要，但这总是很难掌握。这个统一的概念框架增进了我们对 MTE 的理解。它将支持 MTE 内部以及跨 MTE 的比较分析，以回答有关生命进化的基本问题。</w:t>
      </w:r>
    </w:p>
    <w:p>
      <w:pPr>
        <w:spacing w:before="0" w:after="200" w:lineRule="auto" w:line="276"/>
      </w:pPr>
      <w:r>
        <w:rPr>
          <w:b/>
        </w:rPr>
        <w:t xml:space="preserve">Abstract (EN): </w:t>
      </w:r>
      <w:r>
        <w:t>The evolution of life is characterized by major transitions, i.e., the evolution of new targets of selection (e.g., prokaryotes, eukaryotes, multicellular organisms, social insect colonies). They arose when preexisting lower-level units cooperated and gave up the capability to reproduce so that reproductive success is now achieved at the new, joint, higher unit. Currently, increasing confusion exists about major transition in evolution (MTE) that hampers progress in this fundamental research field. Misconceptions partly arose due to inadequate evolutionary reasoning. In addition, pivotal recent work shows considerable diversity in organismality in metazoan and social insect systems that makes clear-cut distinctions of transitions more difficult and that challenges our classical understanding of MTEs. Applying evolutionary reasoning, we develop three categories that all metazoan and social insect systems can be grouped into. The categories are defined by the reproductive potential of altruistic level units and how they can realize it (i.e., via independent reproduction as dispersing propagules or only through reproduction within the higher-level unit). These categories capture the variation in diversity in organismality that is crucial when analyzing potential major transitions, but that was always hard to grasp. This unifying conceptual framework advances our understanding of MTEs. It will enable comparative analyses within as well as across MTEs, to answer fundamental questions about the evolution of life.</w:t>
      </w:r>
    </w:p>
    <w:p>
      <w:pPr>
        <w:spacing w:before="120" w:after="120"/>
      </w:pPr>
      <w:r>
        <w:rPr>
          <w:sz w:val="18"/>
        </w:rPr>
        <w:t>——————————————————————————————————————————————————————————————————————</w:t>
      </w:r>
    </w:p>
    <w:p>
      <w:pPr>
        <w:spacing w:before="160" w:after="40" w:line="240" w:lineRule="auto"/>
      </w:pPr>
      <w:r>
        <w:rPr>
          <w:b/>
        </w:rPr>
        <w:t xml:space="preserve">[86] </w:t>
      </w:r>
      <w:hyperlink r:id="rId742">
        <w:r>
          <w:rPr>
            <w:color w:val="1155CC"/>
            <w:u w:val="single"/>
          </w:rPr>
          <w:t>风车调度密度阈值猜想的证明</w:t>
        </w:r>
      </w:hyperlink>
    </w:p>
    <w:p>
      <w:pPr>
        <w:spacing w:before="0" w:after="80"/>
      </w:pPr>
      <w:r>
        <w:rPr>
          <w:i/>
          <w:sz w:val="20"/>
        </w:rPr>
        <w:t>EN: Proof of the density threshold conjecture for pinwheel scheduling</w:t>
      </w:r>
    </w:p>
    <w:p>
      <w:pPr>
        <w:spacing w:before="0" w:after="120"/>
      </w:pPr>
      <w:r>
        <w:rPr>
          <w:b/>
        </w:rPr>
        <w:t xml:space="preserve">Source: </w:t>
      </w:r>
      <w:r>
        <w:t>Proceedings of the National Academy of Sciences: Keyword search for query</w:t>
      </w:r>
      <w:r>
        <w:t xml:space="preserve">    </w:t>
      </w:r>
      <w:r>
        <w:rPr>
          <w:b/>
        </w:rPr>
        <w:t xml:space="preserve">Pub date: </w:t>
      </w:r>
      <w:r>
        <w:t>2026-08-07 07:00:00+00:00</w:t>
      </w:r>
      <w:r>
        <w:t xml:space="preserve">    </w:t>
      </w:r>
      <w:r>
        <w:rPr>
          <w:b/>
        </w:rPr>
        <w:t xml:space="preserve">DOI: </w:t>
      </w:r>
      <w:hyperlink r:id="rId743">
        <w:r>
          <w:rPr>
            <w:color w:val="1155CC"/>
            <w:u w:val="single"/>
          </w:rPr>
          <w:t>10.1073/pnas.2530214123</w:t>
        </w:r>
      </w:hyperlink>
    </w:p>
    <w:p>
      <w:pPr>
        <w:spacing w:before="0" w:after="120"/>
      </w:pPr>
      <w:r>
        <w:rPr>
          <w:b/>
        </w:rPr>
        <w:t xml:space="preserve">Notes: </w:t>
      </w:r>
      <w:r>
        <w:t>abstract_source=crossref</w:t>
      </w:r>
    </w:p>
    <w:p>
      <w:pPr>
        <w:spacing w:before="0" w:after="80" w:lineRule="auto" w:line="276"/>
      </w:pPr>
      <w:r>
        <w:rPr>
          <w:b/>
        </w:rPr>
        <w:t xml:space="preserve">摘要（ZH）: </w:t>
      </w:r>
      <w:r>
        <w:t>在风车调度问题中，每个任务</w:t>
      </w:r>
      <w:r>
        <w:t xml:space="preserve"> </w:t>
      </w:r>
      <w:r>
        <w:t>我</w:t>
      </w:r>
      <w:r>
        <w:t xml:space="preserve"> </w:t>
      </w:r>
      <w:r>
        <w:t>与一个正整数相关联</w:t>
      </w:r>
      <w:r>
        <w:t xml:space="preserve"> </w:t>
      </w:r>
      <w:r>
        <w:t>一个</w:t>
      </w:r>
      <w:r>
        <w:t xml:space="preserve"> </w:t>
      </w:r>
      <w:r>
        <w:t>我</w:t>
      </w:r>
      <w:r>
        <w:t xml:space="preserve"> </w:t>
      </w:r>
      <w:r>
        <w:t>称为它的周期，我们希望（永久）每天安排一项任务，以便每项任务</w:t>
      </w:r>
      <w:r>
        <w:t xml:space="preserve"> </w:t>
      </w:r>
      <w:r>
        <w:t>我</w:t>
      </w:r>
      <w:r>
        <w:t xml:space="preserve"> </w:t>
      </w:r>
      <w:r>
        <w:t>至少执行一次</w:t>
      </w:r>
      <w:r>
        <w:t xml:space="preserve"> </w:t>
      </w:r>
      <w:r>
        <w:t>一个</w:t>
      </w:r>
      <w:r>
        <w:t xml:space="preserve"> </w:t>
      </w:r>
      <w:r>
        <w:t>我</w:t>
      </w:r>
      <w:r>
        <w:t xml:space="preserve"> </w:t>
      </w:r>
      <w:r>
        <w:t>天。可调度性的一个明显的必要条件是密度，定义为执行率之和 1/</w:t>
      </w:r>
      <w:r>
        <w:t>一个</w:t>
      </w:r>
      <w:r>
        <w:t xml:space="preserve"> </w:t>
      </w:r>
      <w:r>
        <w:t>我</w:t>
      </w:r>
      <w:r>
        <w:t xml:space="preserve"> </w:t>
      </w:r>
      <w:r>
        <w:t>，不超过 1。我们证明密度不超过 5/6 的所有实例都是可调度的，正如 Chan 和 Chin 在 1993 年猜想的那样。与该猜想的一些已知的部分进展一样，我们的证明涉及计算机搜索大量但有限的实例集的调度。我们简化为这些有限情况的一个关键思想是以适当的方式将问题推广到小数（非整数）周期。作为我们想法的副产品，我们获得了一个简单的证明，证明每个具有两个不同周期且密度最多为 1 的实例都是可调度的，以及近似比率为 4/3 的竹园修剪问题的快速算法。</w:t>
      </w:r>
    </w:p>
    <w:p>
      <w:pPr>
        <w:spacing w:before="0" w:after="200" w:lineRule="auto" w:line="276"/>
      </w:pPr>
      <w:r>
        <w:rPr>
          <w:b/>
        </w:rPr>
        <w:t xml:space="preserve">Abstract (EN): </w:t>
      </w:r>
      <w:r>
        <w:t>In the pinwheel scheduling problem, each task</w:t>
      </w:r>
      <w:r>
        <w:t xml:space="preserve"> </w:t>
      </w:r>
      <w:r>
        <w:t>i</w:t>
      </w:r>
      <w:r>
        <w:t xml:space="preserve"> </w:t>
      </w:r>
      <w:r>
        <w:t>is associated with a positive integer</w:t>
      </w:r>
      <w:r>
        <w:t xml:space="preserve"> </w:t>
      </w:r>
      <w:r>
        <w:t>a</w:t>
      </w:r>
      <w:r>
        <w:t xml:space="preserve"> </w:t>
      </w:r>
      <w:r>
        <w:t>i</w:t>
      </w:r>
      <w:r>
        <w:t xml:space="preserve"> </w:t>
      </w:r>
      <w:r>
        <w:t>called its period, and we want to (perpetually) schedule one task per day so that each task</w:t>
      </w:r>
      <w:r>
        <w:t xml:space="preserve"> </w:t>
      </w:r>
      <w:r>
        <w:t>i</w:t>
      </w:r>
      <w:r>
        <w:t xml:space="preserve"> </w:t>
      </w:r>
      <w:r>
        <w:t>is performed at least once every</w:t>
      </w:r>
      <w:r>
        <w:t xml:space="preserve"> </w:t>
      </w:r>
      <w:r>
        <w:t>a</w:t>
      </w:r>
      <w:r>
        <w:t xml:space="preserve"> </w:t>
      </w:r>
      <w:r>
        <w:t>i</w:t>
      </w:r>
      <w:r>
        <w:t xml:space="preserve"> </w:t>
      </w:r>
      <w:r>
        <w:t>days. An obvious necessary condition for schedulability is that the density, defined as the sum of execution rates 1/</w:t>
      </w:r>
      <w:r>
        <w:t>a</w:t>
      </w:r>
      <w:r>
        <w:t xml:space="preserve"> </w:t>
      </w:r>
      <w:r>
        <w:t>i</w:t>
      </w:r>
      <w:r>
        <w:t xml:space="preserve"> </w:t>
      </w:r>
      <w:r>
        <w:t>, does not exceed 1. We prove that all instances with density not exceeding 5/6 are schedulable, as was conjectured by Chan and Chin in 1993. Like some of the known partial progress toward the conjecture, our proof involves computer search for schedules for a large but finite set of instances. A key idea in our reduction to these finite cases is to generalize the problem to fractional (noninteger) periods in an appropriate way. As byproducts of our ideas, we obtain a simple proof that every instance with two distinct periods and density at most 1 is schedulable, as well as a fast algorithm for the bamboo garden trimming problem with approximation ratio 4/3.</w:t>
      </w:r>
    </w:p>
    <w:p>
      <w:pPr>
        <w:spacing w:before="120" w:after="120"/>
      </w:pPr>
      <w:r>
        <w:rPr>
          <w:sz w:val="18"/>
        </w:rPr>
        <w:t>——————————————————————————————————————————————————————————————————————</w:t>
      </w:r>
    </w:p>
    <w:p>
      <w:pPr>
        <w:spacing w:before="160" w:after="40" w:line="240" w:lineRule="auto"/>
      </w:pPr>
      <w:r>
        <w:rPr>
          <w:b/>
        </w:rPr>
        <w:t xml:space="preserve">[87] </w:t>
      </w:r>
      <w:hyperlink r:id="rId744">
        <w:r>
          <w:rPr>
            <w:color w:val="1155CC"/>
            <w:u w:val="single"/>
          </w:rPr>
          <w:t>眼球运动揭示了语言理解中的预测与结构处理困难之间的分离</w:t>
        </w:r>
      </w:hyperlink>
    </w:p>
    <w:p>
      <w:pPr>
        <w:spacing w:before="0" w:after="80"/>
      </w:pPr>
      <w:r>
        <w:rPr>
          <w:i/>
          <w:sz w:val="20"/>
        </w:rPr>
        <w:t>EN: Eye movements reveal a dissociation between prediction and structural processing difficulty in language comprehension</w:t>
      </w:r>
    </w:p>
    <w:p>
      <w:pPr>
        <w:spacing w:before="0" w:after="120"/>
      </w:pPr>
      <w:r>
        <w:rPr>
          <w:b/>
        </w:rPr>
        <w:t xml:space="preserve">Source: </w:t>
      </w:r>
      <w:r>
        <w:t>Proceedings of the National Academy of Sciences: Keyword search for query</w:t>
      </w:r>
      <w:r>
        <w:t xml:space="preserve">    </w:t>
      </w:r>
      <w:r>
        <w:rPr>
          <w:b/>
        </w:rPr>
        <w:t xml:space="preserve">Pub date: </w:t>
      </w:r>
      <w:r>
        <w:t>2026-08-07 07:00:00+00:00</w:t>
      </w:r>
      <w:r>
        <w:t xml:space="preserve">    </w:t>
      </w:r>
      <w:r>
        <w:rPr>
          <w:b/>
        </w:rPr>
        <w:t xml:space="preserve">DOI: </w:t>
      </w:r>
      <w:hyperlink r:id="rId745">
        <w:r>
          <w:rPr>
            <w:color w:val="1155CC"/>
            <w:u w:val="single"/>
          </w:rPr>
          <w:t>10.1073/pnas.2532230123</w:t>
        </w:r>
      </w:hyperlink>
    </w:p>
    <w:p>
      <w:pPr>
        <w:spacing w:before="0" w:after="120"/>
      </w:pPr>
      <w:r>
        <w:rPr>
          <w:b/>
        </w:rPr>
        <w:t xml:space="preserve">Notes: </w:t>
      </w:r>
      <w:r>
        <w:t>abstract_source=crossref</w:t>
      </w:r>
    </w:p>
    <w:p>
      <w:pPr>
        <w:spacing w:before="0" w:after="80" w:lineRule="auto" w:line="276"/>
      </w:pPr>
      <w:r>
        <w:rPr>
          <w:b/>
        </w:rPr>
        <w:t xml:space="preserve">摘要（ZH）: </w:t>
      </w:r>
      <w:r>
        <w:t>在从文本中提取含义的过程中，我们的眼睛会更多地停留在某些单词上，而不是其他单词上，并且我们经常重读文本的前面部分。这些对阅读过程的干扰在语法歧义的句子中尤其常见。如何解释这些句子所带来的困难？一个著名的假设将其解释为单词的可预测性（通过惊讶来操作）对处理单词的难度的影响的特殊情况。这与将这些破坏归因于结构构建过程中的错误的理论形成鲜明对比。早期解决这一争论的尝试并没有得出结论，因为参与者数量较少，对阅读过程的粗略测量不适合理清这些相互竞争的观点，而且令人惊讶的估计范围有限。在这里，我们进行了一项大规模研究（</w:t>
      </w:r>
      <w:r>
        <w:t xml:space="preserve"> </w:t>
      </w:r>
      <w:r>
        <w:t>n</w:t>
      </w:r>
      <w:r>
        <w:t xml:space="preserve"> </w:t>
      </w:r>
      <w:r>
        <w:t>=</w:t>
      </w:r>
      <w:r>
        <w:t xml:space="preserve"> </w:t>
      </w:r>
      <w:r>
        <w:t>第368章</w:t>
      </w:r>
      <w:r>
        <w:t xml:space="preserve"> </w:t>
      </w:r>
      <w:r>
        <w:t>）使用来自具有多种架构和训练设置的语言模型的 409 种意外估计来检查阅读具有语法挑战性的句子时的眼球运动。我们发现了明显的分离：句法消歧的早期效果可以很好地通过语言模型惊奇来近似，但是句法消歧会产生显着的额外成本，这反映在重读的增加上，而重读的增加并不能用语言模型惊奇来解释</w:t>
      </w:r>
    </w:p>
    <w:p>
      <w:pPr>
        <w:spacing w:before="0" w:after="200" w:lineRule="auto" w:line="276"/>
      </w:pPr>
      <w:r>
        <w:rPr>
          <w:b/>
        </w:rPr>
        <w:t xml:space="preserve">Abstract (EN): </w:t>
      </w:r>
      <w:r>
        <w:t>In the process of extracting a meaning from a text, our eyes linger much more on some words than others, and we often reread earlier portions of the text. These disruptions to the reading process are particularly common in syntactically ambiguous sentences. What explains the difficulty presented by these sentences? One prominent hypothesis explains it as a special case of the impact of a word’s predictability (operationalized via surprisal) on the difficulty of processing the word. This contrasts with theories that attribute these disruptions to errors in the structure-building process. Earlier attempts to address this debate have been inconclusive because of small numbers of participants, coarse measurements of the reading process that are ill-suited to disentangling these competing views, and a limited range of surprisal estimates. Here, we conduct a large-scale study (</w:t>
      </w:r>
      <w:r>
        <w:t xml:space="preserve"> </w:t>
      </w:r>
      <w:r>
        <w:t>n</w:t>
      </w:r>
      <w:r>
        <w:t xml:space="preserve"> </w:t>
      </w:r>
      <w:r>
        <w:t>=</w:t>
      </w:r>
      <w:r>
        <w:rPr>
          <w:vertAlign w:val="subscript"/>
        </w:rPr>
        <w:t>368</w:t>
      </w:r>
      <w:r>
        <w:t xml:space="preserve"> </w:t>
      </w:r>
      <w:r>
        <w:t>) examining eye movements during the reading of syntactically challenging sentences, using 409 types of surprisal estimates from language models with multiple architectures and training settings. We find a stark dissociation: Early effects of syntactic disambiguation are well-approximated by language model surprisal, but syntactic disambiguation incurs a significant additional cost, reflected in an increase in rereading that is not explained by language model surprisal. We conclude that surprisal can capture routine structure-building, but not the cost of detecting or correcting errors in the structure-building process.</w:t>
      </w:r>
    </w:p>
    <w:p>
      <w:pPr>
        <w:spacing w:before="120" w:after="120"/>
      </w:pPr>
      <w:r>
        <w:rPr>
          <w:sz w:val="18"/>
        </w:rPr>
        <w:t>——————————————————————————————————————————————————————————————————————</w:t>
      </w:r>
    </w:p>
    <w:p>
      <w:pPr>
        <w:spacing w:before="160" w:after="40" w:line="240" w:lineRule="auto"/>
      </w:pPr>
      <w:r>
        <w:rPr>
          <w:b/>
        </w:rPr>
        <w:t xml:space="preserve">[88] </w:t>
      </w:r>
      <w:hyperlink r:id="rId746">
        <w:r>
          <w:rPr>
            <w:color w:val="1155CC"/>
            <w:u w:val="single"/>
          </w:rPr>
          <w:t>用于多参数和定量脑功能成像的大视场、双区域、双光子荧光寿命成像显微镜 (LD-2P-FLIM)</w:t>
        </w:r>
      </w:hyperlink>
    </w:p>
    <w:p>
      <w:pPr>
        <w:spacing w:before="0" w:after="80"/>
      </w:pPr>
      <w:r>
        <w:rPr>
          <w:i/>
          <w:sz w:val="20"/>
        </w:rPr>
        <w:t>EN: Large-FOV, dual-region, two-photon fluorescence lifetime imaging microscopy (LD-2P-FLIM) for multiparameter and quantitative brain function imaging</w:t>
      </w:r>
    </w:p>
    <w:p>
      <w:pPr>
        <w:spacing w:before="0" w:after="120"/>
      </w:pPr>
      <w:r>
        <w:rPr>
          <w:b/>
        </w:rPr>
        <w:t xml:space="preserve">Source: </w:t>
      </w:r>
      <w:r>
        <w:t>Proceedings of the National Academy of Sciences: Keyword search for query</w:t>
      </w:r>
      <w:r>
        <w:t xml:space="preserve">    </w:t>
      </w:r>
      <w:r>
        <w:rPr>
          <w:b/>
        </w:rPr>
        <w:t xml:space="preserve">Pub date: </w:t>
      </w:r>
      <w:r>
        <w:t>2026-08-07 07:00:00+00:00</w:t>
      </w:r>
      <w:r>
        <w:t xml:space="preserve">    </w:t>
      </w:r>
      <w:r>
        <w:rPr>
          <w:b/>
        </w:rPr>
        <w:t xml:space="preserve">DOI: </w:t>
      </w:r>
      <w:hyperlink r:id="rId747">
        <w:r>
          <w:rPr>
            <w:color w:val="1155CC"/>
            <w:u w:val="single"/>
          </w:rPr>
          <w:t>10.1073/pnas.2536213123</w:t>
        </w:r>
      </w:hyperlink>
    </w:p>
    <w:p>
      <w:pPr>
        <w:spacing w:before="0" w:after="120"/>
      </w:pPr>
      <w:r>
        <w:rPr>
          <w:b/>
        </w:rPr>
        <w:t xml:space="preserve">Notes: </w:t>
      </w:r>
      <w:r>
        <w:t>abstract_source=crossref</w:t>
      </w:r>
    </w:p>
    <w:p>
      <w:pPr>
        <w:spacing w:before="0" w:after="80" w:lineRule="auto" w:line="276"/>
      </w:pPr>
      <w:r>
        <w:rPr>
          <w:b/>
        </w:rPr>
        <w:t xml:space="preserve">摘要（ZH）: </w:t>
      </w:r>
      <w:r>
        <w:t>具有高时空分辨率的多种动态行为和定量神经化学浓度的大规模成像对于理解复杂的大脑功能至关重要。双光子显微镜 (TPM) 因其高分辨率和深层组织穿透性而非常适合体内脑功能成像。然而，传统的TPM受到有限的视场（FOV）、成像区域和时间分辨率之间固有的权衡以及仅使用强度记录获得的信息量不足的限制。在这里，我们提出了大视场、双区域、双光子荧光寿命成像显微镜（LD-2P-FLIM），用于多参数和定量脑功能成像，具有 3 × 3 mm</w:t>
      </w:r>
      <w:r>
        <w:rPr>
          <w:vertAlign w:val="subscript"/>
        </w:rPr>
        <w:t>2</w:t>
      </w:r>
      <w:r>
        <w:t>FOV、0.7 μm 的统一横向分辨率以及高达 15.73 兆像素/秒的 FLIM 吞吐量（512 × 512 像素，30 Hz，两个区域）。我们通过有效的自适应光学策略突破商业目标的限制来扩展视场。为了减轻成像区域和时间分辨率之间的权衡，我们使用时间复用系统，可以在大视场内同时灵活地进行两区域成像。此外，我们开发了一种现场可编程门阵列模块，用于解复用来自不同区域的荧光信号并执行高通量、两区域 FLIM。我们通过同时监测多个皮质区域的神经活动，同步记录生理和心理状态下的神经血管耦合，展示了 LD-2P-FLIM 的优越性能。</w:t>
      </w:r>
    </w:p>
    <w:p>
      <w:pPr>
        <w:spacing w:before="0" w:after="200" w:lineRule="auto" w:line="276"/>
      </w:pPr>
      <w:r>
        <w:rPr>
          <w:b/>
        </w:rPr>
        <w:t xml:space="preserve">Abstract (EN): </w:t>
      </w:r>
      <w:r>
        <w:t>Large-scale imaging of multiple dynamic behaviors and quantitative neurochemical concentrations with high spatiotemporal resolution is essential for understanding complex brain functions. Two-photon microscopy (TPM) is ideally suited for in vivo brain function imaging because of its high resolution and deep tissue penetration. However, conventional TPM is limited by a restricted field-of-view (FOV), an inherent trade-off between the imaging area and temporal resolution, and an insufficient amount of information obtained using only intensity recording. Here, we propose large-FOV, dual-region, two-photon fluorescence lifetime imaging microscopy (LD-2P-FLIM) for multiparameter and quantitative brain function imaging, with a 3 × 3 mm</w:t>
      </w:r>
      <w:r>
        <w:rPr>
          <w:vertAlign w:val="subscript"/>
        </w:rPr>
        <w:t>2</w:t>
      </w:r>
      <w:r>
        <w:t>FOV, a uniform lateral resolution of 0.7 μm, and a FLIM throughput of up to 15.73 megapixels/s (512 × 512 pixels, 30 Hz, two regions). We extend the FOV by breaking the limit of commercial objectives with an effective adaptive optics strategy. To alleviate the trade-off between the imaging area and temporal resolution, we use a temporal multiplexing system that enables simultaneous and flexible two-region imaging across the large FOV. Furthermore, we develop a field programmable gate array module to demultiplex fluorescence signals from different regions and perform high-throughput, two-region FLIM. We demonstrate the superior performance of LD-2P-FLIM by simultaneous monitoring of neural activities across multiple cortical areas, synchronous recording of neurovascular coupling under both physiological and pathological conditions, long-term observation of the microglial response to local neuron injury, and quantitative imaging of calcium concentrations across a large neuronal population in vivo.</w:t>
      </w:r>
    </w:p>
    <w:p>
      <w:pPr>
        <w:spacing w:before="120" w:after="120"/>
      </w:pPr>
      <w:r>
        <w:rPr>
          <w:sz w:val="18"/>
        </w:rPr>
        <w:t>——————————————————————————————————————————————————————————————————————</w:t>
      </w:r>
    </w:p>
    <w:p>
      <w:pPr>
        <w:spacing w:before="160" w:after="40" w:line="240" w:lineRule="auto"/>
      </w:pPr>
      <w:r>
        <w:rPr>
          <w:b/>
        </w:rPr>
        <w:t xml:space="preserve">[89] </w:t>
      </w:r>
      <w:hyperlink r:id="rId748">
        <w:r>
          <w:rPr>
            <w:color w:val="1155CC"/>
            <w:u w:val="single"/>
          </w:rPr>
          <w:t>细胞外基质完整性的经验依赖性调节支持感知技能学习和记忆</w:t>
        </w:r>
      </w:hyperlink>
    </w:p>
    <w:p>
      <w:pPr>
        <w:spacing w:before="0" w:after="80"/>
      </w:pPr>
      <w:r>
        <w:rPr>
          <w:i/>
          <w:sz w:val="20"/>
        </w:rPr>
        <w:t>EN: Experience-dependent modulation of extracellular matrix integrity supports perceptual skill learning and memory</w:t>
      </w:r>
    </w:p>
    <w:p>
      <w:pPr>
        <w:spacing w:before="0" w:after="120"/>
      </w:pPr>
      <w:r>
        <w:rPr>
          <w:b/>
        </w:rPr>
        <w:t xml:space="preserve">Source: </w:t>
      </w:r>
      <w:r>
        <w:t>Proceedings of the National Academy of Sciences: Keyword search for query</w:t>
      </w:r>
      <w:r>
        <w:t xml:space="preserve">    </w:t>
      </w:r>
      <w:r>
        <w:rPr>
          <w:b/>
        </w:rPr>
        <w:t xml:space="preserve">Pub date: </w:t>
      </w:r>
      <w:r>
        <w:t>2026-08-07 07:00:00+00:00</w:t>
      </w:r>
      <w:r>
        <w:t xml:space="preserve">    </w:t>
      </w:r>
      <w:r>
        <w:rPr>
          <w:b/>
        </w:rPr>
        <w:t xml:space="preserve">DOI: </w:t>
      </w:r>
      <w:hyperlink r:id="rId749">
        <w:r>
          <w:rPr>
            <w:color w:val="1155CC"/>
            <w:u w:val="single"/>
          </w:rPr>
          <w:t>10.1073/pnas.2601801123</w:t>
        </w:r>
      </w:hyperlink>
    </w:p>
    <w:p>
      <w:pPr>
        <w:spacing w:before="0" w:after="120"/>
      </w:pPr>
      <w:r>
        <w:rPr>
          <w:b/>
        </w:rPr>
        <w:t xml:space="preserve">Notes: </w:t>
      </w:r>
      <w:r>
        <w:t>abstract_source=crossref</w:t>
      </w:r>
    </w:p>
    <w:p>
      <w:pPr>
        <w:spacing w:before="0" w:after="80" w:lineRule="auto" w:line="276"/>
      </w:pPr>
      <w:r>
        <w:rPr>
          <w:b/>
        </w:rPr>
        <w:t xml:space="preserve">摘要（ZH）: </w:t>
      </w:r>
      <w:r>
        <w:t>感知学习可以提高感官能力，但需要大量训练，限制了其对现实世界的影响。了解其神经机制可以加速技能的获取。 The extracellular matrix (ECM) has been proposed to regulate learning by degrading to enable synaptic plasticity, and reaccumulating over several days to stabilize the changes. However, this time course does not align with the temporal dynamics of many forms of learning, including perceptual learning, which involves daily performance gains that consolidate between training sessions.为了解决这种差异，我们在感知学习过程中跟踪和操纵蒙古沙鼠的听觉皮层 ECM 完整性。我们发现 ECM 会经历训练引起的快速变化，在每次训练后 24 小时内退化并恢复到基线。随着持续训练，这种循环的强度逐渐减弱，随着表现趋于稳定，这种循环最终消失。 Enzymatic digestion of the ECM with chondroitinase ABC (chABC) impaired perceptual learning, and postlearning chABC treatment destabilized the acquired skill memory. These findings identify the ECM as a key regulator of perceptual learning and support a framework in which an experience-dependent decrease in ECM degradation constrains further plasticity, preserving learned representations against interference from new input.</w:t>
      </w:r>
    </w:p>
    <w:p>
      <w:pPr>
        <w:spacing w:before="0" w:after="200" w:lineRule="auto" w:line="276"/>
      </w:pPr>
      <w:r>
        <w:rPr>
          <w:b/>
        </w:rPr>
        <w:t xml:space="preserve">Abstract (EN): </w:t>
      </w:r>
      <w:r>
        <w:t>Perceptual learning refines sensory abilities but requires extensive training, limiting its real-world impact. Understanding its neural mechanisms could accelerate skill acquisition. The extracellular matrix (ECM) has been proposed to regulate learning by degrading to enable synaptic plasticity, and reaccumulating over several days to stabilize the changes. However, this time course does not align with the temporal dynamics of many forms of learning, including perceptual learning, which involves daily performance gains that consolidate between training sessions. To resolve this discrepancy, we tracked and manipulated auditory cortical ECM integrity in Mongolian gerbils during perceptual learning. We found that the ECM undergoes rapid training-induced changes, degrading and returning to baseline within 24 h of each session. The magnitude of this cycle diminished with continued training, and the cycle ultimately disappeared as performance plateaued. Enzymatic digestion of the ECM with chondroitinase ABC (chABC) impaired perceptual learning, and postlearning chABC treatment destabilized the acquired skill memory. These findings identify the ECM as a key regulator of perceptual learning and support a framework in which an experience-dependent decrease in ECM degradation constrains further plasticity, preserving learned representations against interference from new input.</w:t>
      </w:r>
    </w:p>
    <w:p>
      <w:pPr>
        <w:spacing w:before="120" w:after="120"/>
      </w:pPr>
      <w:r>
        <w:rPr>
          <w:sz w:val="18"/>
        </w:rPr>
        <w:t>——————————————————————————————————————————————————————————————————————</w:t>
      </w:r>
    </w:p>
    <w:p>
      <w:pPr>
        <w:spacing w:before="160" w:after="40" w:line="240" w:lineRule="auto"/>
      </w:pPr>
      <w:r>
        <w:rPr>
          <w:b/>
        </w:rPr>
        <w:t xml:space="preserve">[90] </w:t>
      </w:r>
      <w:hyperlink r:id="rId750">
        <w:r>
          <w:rPr>
            <w:color w:val="1155CC"/>
            <w:u w:val="single"/>
          </w:rPr>
          <w:t>铜绿假单胞菌 RND 外排泵复合物 MexJK 揭示的底物易位途径的结构见解</w:t>
        </w:r>
      </w:hyperlink>
    </w:p>
    <w:p>
      <w:pPr>
        <w:spacing w:before="0" w:after="80"/>
      </w:pPr>
      <w:r>
        <w:rPr>
          <w:i/>
          <w:sz w:val="20"/>
        </w:rPr>
        <w:t>EN: Structural insights into a substrate translocation pathway revealed by the RND efflux pump complex MexJK from Pseudomonas aeruginosa</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51">
        <w:r>
          <w:rPr>
            <w:color w:val="1155CC"/>
            <w:u w:val="single"/>
          </w:rPr>
          <w:t>10.1126/sciadv.aee7036</w:t>
        </w:r>
      </w:hyperlink>
    </w:p>
    <w:p>
      <w:pPr>
        <w:spacing w:before="0" w:after="120"/>
      </w:pPr>
      <w:r>
        <w:rPr>
          <w:b/>
        </w:rPr>
        <w:t xml:space="preserve">Notes: </w:t>
      </w:r>
      <w:r>
        <w:t>abstract_source=crossref</w:t>
      </w:r>
    </w:p>
    <w:p>
      <w:pPr>
        <w:spacing w:before="0" w:after="80" w:lineRule="auto" w:line="276"/>
      </w:pPr>
      <w:r>
        <w:rPr>
          <w:b/>
        </w:rPr>
        <w:t xml:space="preserve">摘要（ZH）: </w:t>
      </w:r>
      <w:r>
        <w:t>耐药-结瘤-细胞分裂（RND）外排泵是多药耐药的主要原因</w:t>
      </w:r>
      <w:r>
        <w:t xml:space="preserve"> </w:t>
      </w:r>
      <w:r>
        <w:t>铜绿假单胞菌</w:t>
      </w:r>
      <w:r>
        <w:t xml:space="preserve"> </w:t>
      </w:r>
      <w:r>
        <w:t>。内膜蛋白 MexK</w:t>
      </w:r>
      <w:r>
        <w:t xml:space="preserve"> </w:t>
      </w:r>
      <w:r>
        <w:t>铜绿假单胞菌</w:t>
      </w:r>
      <w:r>
        <w:t xml:space="preserve"> </w:t>
      </w:r>
      <w:r>
        <w:t>是一种窄谱 RND 转运蛋白。它与膜融合蛋白 MexJ 和外膜蛋白组装形成三联外排复合物，可有效输出三氯生等药物。在这里，我们以 3.4 埃分辨率解析了 apo-MexK 的冷冻电镜结构，并以 2.6 埃分辨率解析了三氯生结合的 MexJK 复合物。除了 MexK 独特的结构特征外，我们的结构数据还揭示了 MexK 原聚体跨膜域内的三氯生结合口袋，与其他 RND 转运蛋白中已知的底物结合位点不同。利用分子动力学模拟和诱变，我们阐明了以前未表征的三氯生穿过内膜并具有细胞溶质通道的转运通道。进一步表明，三氯生流出的关键残基对于 MexK 的其他两种潜在底物（氯霉素和乙胺嘧啶）至关重要。我们的结果为 RND 外排泵中不寻常的毒品贩运途径提供了分子基础。</w:t>
      </w:r>
    </w:p>
    <w:p>
      <w:pPr>
        <w:spacing w:before="0" w:after="200" w:lineRule="auto" w:line="276"/>
      </w:pPr>
      <w:r>
        <w:rPr>
          <w:b/>
        </w:rPr>
        <w:t xml:space="preserve">Abstract (EN): </w:t>
      </w:r>
      <w:r>
        <w:t>Resistance–nodulation–cell division (RND) efflux pumps are the major cause of multidrug resistance in</w:t>
      </w:r>
      <w:r>
        <w:t xml:space="preserve"> </w:t>
      </w:r>
      <w:r>
        <w:t>Pseudomonas aeruginosa</w:t>
      </w:r>
      <w:r>
        <w:t xml:space="preserve"> </w:t>
      </w:r>
      <w:r>
        <w:t>. The inner membrane protein MexK from</w:t>
      </w:r>
      <w:r>
        <w:t xml:space="preserve"> </w:t>
      </w:r>
      <w:r>
        <w:t>P. aeruginosa</w:t>
      </w:r>
      <w:r>
        <w:t xml:space="preserve"> </w:t>
      </w:r>
      <w:r>
        <w:t>is a narrow-spectrum RND transporter. It assembles with membrane fusion protein MexJ and outer membrane proteins to form a tripartite efflux complex that efficiently exports drugs like triclosan. Here, we resolve the cryo-EM structures of apo-MexK at 3.4-angstrom resolution and the triclosan-bound MexJK complex at 2.6-angstrom resolution. Besides the unique architectural features of MexK, our structural data reveal a triclosan-binding pocket within the transmembrane domain of MexK protomers, distinct from known substrate-binding sites in other RND transporters. Using molecular dynamics simulations and mutagenesis, we elucidate a previously uncharacterized triclosan transport tunnel across the inner membrane with cytosolic access. The key residues for triclosan efflux are further shown essential for two other potential substrates of MexK, chloramphenicol and pyrimethamine. Our results provide the molecular basis for an unusual drug trafficking pathway in RND efflux pumps.</w:t>
      </w:r>
    </w:p>
    <w:p>
      <w:pPr>
        <w:spacing w:before="120" w:after="120"/>
      </w:pPr>
      <w:r>
        <w:rPr>
          <w:sz w:val="18"/>
        </w:rPr>
        <w:t>——————————————————————————————————————————————————————————————————————</w:t>
      </w:r>
    </w:p>
    <w:p>
      <w:pPr>
        <w:spacing w:before="160" w:after="40" w:line="240" w:lineRule="auto"/>
      </w:pPr>
      <w:r>
        <w:rPr>
          <w:b/>
        </w:rPr>
        <w:t xml:space="preserve">[91] </w:t>
      </w:r>
      <w:hyperlink r:id="rId752">
        <w:r>
          <w:rPr>
            <w:color w:val="1155CC"/>
            <w:u w:val="single"/>
          </w:rPr>
          <w:t>分布式突发发射介导自然自运动的优化皮质编码</w:t>
        </w:r>
      </w:hyperlink>
    </w:p>
    <w:p>
      <w:pPr>
        <w:spacing w:before="0" w:after="80"/>
      </w:pPr>
      <w:r>
        <w:rPr>
          <w:i/>
          <w:sz w:val="20"/>
        </w:rPr>
        <w:t>EN: Distributed burst firing mediates optimized cortical encoding of natural self-motion</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53">
        <w:r>
          <w:rPr>
            <w:color w:val="1155CC"/>
            <w:u w:val="single"/>
          </w:rPr>
          <w:t>10.1126/sciadv.aee8327</w:t>
        </w:r>
      </w:hyperlink>
    </w:p>
    <w:p>
      <w:pPr>
        <w:spacing w:before="0" w:after="120"/>
      </w:pPr>
      <w:r>
        <w:rPr>
          <w:b/>
        </w:rPr>
        <w:t xml:space="preserve">Notes: </w:t>
      </w:r>
      <w:r>
        <w:t>abstract_source=crossref</w:t>
      </w:r>
    </w:p>
    <w:p>
      <w:pPr>
        <w:spacing w:before="0" w:after="80" w:lineRule="auto" w:line="276"/>
      </w:pPr>
      <w:r>
        <w:rPr>
          <w:b/>
        </w:rPr>
        <w:t xml:space="preserve">摘要（ZH）: </w:t>
      </w:r>
      <w:r>
        <w:t>对自我运动的准确感知需要将前庭输入转化为适合整合多感官线索以指导行动的神经表征。在这里，我们证明前庭皮质神经元以与通常使用的人工自我运动刺激完全不同的方式代表日常活动中遇到的自我运动刺激。使用其波形再现自然行为中遇到的头部动态的刺激，我们发现神经活动不再通过分级放电率变化来跟踪刺激速度，如在人工正弦刺激期间观察到的那样，而是通过突发放电可靠地编码不同的运动特征。在群体层面，这些突发形成了分布式代码，通过减少冗余来增强信息传输。这种转变仅在自然刺激期间出现，并且在前庭丘脑中不存在。总之，我们的结果表明，前庭皮层构建了一种分布式的、基于特征的自然自我运动表示，从根本上重塑了我们对皮层电路如何编码前庭信号以介导感知的理解。</w:t>
      </w:r>
    </w:p>
    <w:p>
      <w:pPr>
        <w:spacing w:before="0" w:after="200" w:lineRule="auto" w:line="276"/>
      </w:pPr>
      <w:r>
        <w:rPr>
          <w:b/>
        </w:rPr>
        <w:t xml:space="preserve">Abstract (EN): </w:t>
      </w:r>
      <w:r>
        <w:t>Accurate perception of self-motion requires that vestibular input be transformed into neural representations suitable for integrating multisensory cues to guide action. Here, we demonstrate that vestibular cortical neurons represent the self-motion stimuli encountered during everyday activities in a fundamentally different manner than the artificial self-motion stimuli typically used. Using stimuli whose waveforms reproduce the head dynamics encountered in natural behavior, we found that neural activity no longer tracked stimulus velocity through graded firing-rate changes, as observed during artificial sinusoidal stimulation, but instead reliably encoded distinct motion features through burst firing. At the population level, these bursts formed a distributed code that enhanced information transmission by reducing redundancy. This transformation emerged only during natural stimulation and was absent in the vestibular thalamus. Together, our results demonstrate that the vestibular cortex constructs a distributed, feature-based representation of natural self-motion, fundamentally reshaping our understanding of how cortical circuits encode vestibular signals to mediate perception.</w:t>
      </w:r>
    </w:p>
    <w:p>
      <w:pPr>
        <w:spacing w:before="120" w:after="120"/>
      </w:pPr>
      <w:r>
        <w:rPr>
          <w:sz w:val="18"/>
        </w:rPr>
        <w:t>——————————————————————————————————————————————————————————————————————</w:t>
      </w:r>
    </w:p>
    <w:p>
      <w:pPr>
        <w:spacing w:before="160" w:after="40" w:line="240" w:lineRule="auto"/>
      </w:pPr>
      <w:r>
        <w:rPr>
          <w:b/>
        </w:rPr>
        <w:t xml:space="preserve">[92] </w:t>
      </w:r>
      <w:hyperlink r:id="rId754">
        <w:r>
          <w:rPr>
            <w:color w:val="1155CC"/>
            <w:u w:val="single"/>
          </w:rPr>
          <w:t>胚胎基因组激活的高分辨率图谱揭示了转录激活与早熟 H3K4me3 去除的解耦</w:t>
        </w:r>
      </w:hyperlink>
    </w:p>
    <w:p>
      <w:pPr>
        <w:spacing w:before="0" w:after="80"/>
      </w:pPr>
      <w:r>
        <w:rPr>
          <w:i/>
          <w:sz w:val="20"/>
        </w:rPr>
        <w:t>EN: High-resolution mapping of embryonic genome activation unveils a decoupling of transcription activation from precocious H3K4me3 removal</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55">
        <w:r>
          <w:rPr>
            <w:color w:val="1155CC"/>
            <w:u w:val="single"/>
          </w:rPr>
          <w:t>10.1126/sciadv.aec9545</w:t>
        </w:r>
      </w:hyperlink>
    </w:p>
    <w:p>
      <w:pPr>
        <w:spacing w:before="0" w:after="120"/>
      </w:pPr>
      <w:r>
        <w:rPr>
          <w:b/>
        </w:rPr>
        <w:t xml:space="preserve">Notes: </w:t>
      </w:r>
      <w:r>
        <w:t>abstract_source=crossref</w:t>
      </w:r>
    </w:p>
    <w:p>
      <w:pPr>
        <w:spacing w:before="0" w:after="80" w:lineRule="auto" w:line="276"/>
      </w:pPr>
      <w:r>
        <w:rPr>
          <w:b/>
        </w:rPr>
        <w:t xml:space="preserve">摘要（ZH）: </w:t>
      </w:r>
      <w:r>
        <w:t>哺乳动物胚胎基因组激活（EGA）过程中转录组数据缺乏时间分辨率，阻碍了对控制该过程的各种基因调控机制之间功能关系的全面理解。在这里，我们利用精密体外受精 (IVF) 结合单胚胎 RNA 测序，精细剖析了小鼠 EGA 的转录动力学。我们的高度时间分辨率的数据集揭示了胚胎信使 RNA 景观的广泛、逐步的重塑，在 9 小时的时间范围内影响了总可检测转录本的~30%。我们捕获了从母体信使 RNA 到胚胎信使 RNA 的逐渐转变，成功鉴定了核糖体生物发生和翻译作为 EGA 的标志，并发现了以前未识别的基因表达动态。我们进一步在最早上调的 EGA 基因中发现了一组八种组蛋白去甲基化酶，并利用我们的精准 IVF 来剖析受精后组蛋白 H3 赖氨酸 4 三甲基化 (H3K4me3) 重塑的转录与发育影响。我们的结果表明，从胚胎染色质中提前去除 H3K4me3 仅适度影响胚胎转录，而不会干扰 EGA 时间，这反对受精后母系遗传 H3K4me3 的提前重塑对基因组激活的主要指导作用。高分辨率转录组作图与功能扰动相结合，使我们能够区分直接基因表达效应和对发育时间的一般影响，为进一步研究开辟了途径</w:t>
      </w:r>
    </w:p>
    <w:p>
      <w:pPr>
        <w:spacing w:before="0" w:after="200" w:lineRule="auto" w:line="276"/>
      </w:pPr>
      <w:r>
        <w:rPr>
          <w:b/>
        </w:rPr>
        <w:t xml:space="preserve">Abstract (EN): </w:t>
      </w:r>
      <w:r>
        <w:t>The lack of temporal resolution in transcriptomic data during mammalian embryonic genome activation (EGA) has precluded the comprehensive understanding of the functional relationships between the various gene regulatory mechanisms governing this process. Here, we finely dissect the transcriptional dynamics of mouse EGA using precision in vitro fertilization (IVF) coupled with single-embryo RNA sequencing. Our highly temporally resolved dataset uncovers an extensive, step-wise remodeling of the embryonic messenger RNA landscape, affecting ∼30% of the total detectable transcripts over a 9-hour time frame. We capture the gradual shift from maternal to embryonic messenger RNAs, successfully identify ribosome biogenesis and translation as hallmarks of EGA, and find previously unidentified gene expression dynamics. We further uncover a set of eight histone demethylating enzymes among the earliest up-regulated EGA genes and leverage our precision-IVF to dissect the transcriptional versus developmental impact of histone H3 lysine-4 trimethylation (H3K4me3) remodeling after fertilization. Our results indicate that precocious removal of H3K4me3 from embryonic chromatin only modestly affects embryonic transcription without perturbing EGA timing, arguing against a major instructive role of precocious remodeling of maternally inherited H3K4me3 after fertilization on genome activation. High-resolution transcriptome mapping coupled with functional perturbations allows us to distinguish direct gene expression effects from general impacts on developmental timing, opening avenues for further quantitative characterization of the impact of epigenome remodeling on embryonic transcription.</w:t>
      </w:r>
    </w:p>
    <w:p>
      <w:pPr>
        <w:spacing w:before="120" w:after="120"/>
      </w:pPr>
      <w:r>
        <w:rPr>
          <w:sz w:val="18"/>
        </w:rPr>
        <w:t>——————————————————————————————————————————————————————————————————————</w:t>
      </w:r>
    </w:p>
    <w:p>
      <w:pPr>
        <w:spacing w:before="160" w:after="40" w:line="240" w:lineRule="auto"/>
      </w:pPr>
      <w:r>
        <w:rPr>
          <w:b/>
        </w:rPr>
        <w:t xml:space="preserve">[93] </w:t>
      </w:r>
      <w:hyperlink r:id="rId756">
        <w:r>
          <w:rPr>
            <w:color w:val="1155CC"/>
            <w:u w:val="single"/>
          </w:rPr>
          <w:t>对 Pranger 等人的修正，用主要特征检查了五年的季节性浮游植物演替——一种将组成与功能联系起来的方法</w:t>
        </w:r>
      </w:hyperlink>
    </w:p>
    <w:p>
      <w:pPr>
        <w:spacing w:before="0" w:after="80"/>
      </w:pPr>
      <w:r>
        <w:rPr>
          <w:i/>
          <w:sz w:val="20"/>
        </w:rPr>
        <w:t>EN: Correction for Pranger et al., Five decades of seasonal phytoplankton succession examined with principal traits—An approach linking composition to function</w:t>
      </w:r>
    </w:p>
    <w:p>
      <w:pPr>
        <w:spacing w:before="0" w:after="120"/>
      </w:pPr>
      <w:r>
        <w:rPr>
          <w:b/>
        </w:rPr>
        <w:t xml:space="preserve">Source: </w:t>
      </w:r>
      <w:r>
        <w:t>Proceedings of the National Academy of Sciences: Keyword search for query</w:t>
      </w:r>
      <w:r>
        <w:t xml:space="preserve">    </w:t>
      </w:r>
      <w:r>
        <w:rPr>
          <w:b/>
        </w:rPr>
        <w:t xml:space="preserve">Pub date: </w:t>
      </w:r>
      <w:r>
        <w:t>2026-08-07 07:00:00+00:00</w:t>
      </w:r>
      <w:r>
        <w:t xml:space="preserve">    </w:t>
      </w:r>
      <w:r>
        <w:rPr>
          <w:b/>
        </w:rPr>
        <w:t xml:space="preserve">DOI: </w:t>
      </w:r>
      <w:hyperlink r:id="rId757">
        <w:r>
          <w:rPr>
            <w:color w:val="1155CC"/>
            <w:u w:val="single"/>
          </w:rPr>
          <w:t>10.1073/pnas.2624722123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 </w:t>
      </w:r>
      <w:hyperlink r:id="rId758">
        <w:r>
          <w:rPr>
            <w:color w:val="1155CC"/>
            <w:u w:val="single"/>
          </w:rPr>
          <w:t>APOE+巨噬细胞和POSTN+CAF形成免疫排斥生态位，驱动透明细胞肾癌的免疫治疗耐药性</w:t>
        </w:r>
      </w:hyperlink>
    </w:p>
    <w:p>
      <w:pPr>
        <w:spacing w:before="0" w:after="80"/>
      </w:pPr>
      <w:r>
        <w:rPr>
          <w:i/>
          <w:sz w:val="20"/>
        </w:rPr>
        <w:t>EN: APOE+ macrophages and POSTN+CAFs form immune-exclusion niche driving immunotherapy resistance in clear-cell renal carcinoma</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59">
        <w:r>
          <w:rPr>
            <w:color w:val="1155CC"/>
            <w:u w:val="single"/>
          </w:rPr>
          <w:t>10.1126/sciadv.aed0733</w:t>
        </w:r>
      </w:hyperlink>
    </w:p>
    <w:p>
      <w:pPr>
        <w:spacing w:before="0" w:after="120"/>
      </w:pPr>
      <w:r>
        <w:rPr>
          <w:b/>
        </w:rPr>
        <w:t xml:space="preserve">Notes: </w:t>
      </w:r>
      <w:r>
        <w:t>abstract_source=crossref</w:t>
      </w:r>
    </w:p>
    <w:p>
      <w:pPr>
        <w:spacing w:before="0" w:after="80" w:lineRule="auto" w:line="276"/>
      </w:pPr>
      <w:r>
        <w:rPr>
          <w:b/>
        </w:rPr>
        <w:t xml:space="preserve">摘要（ZH）: </w:t>
      </w:r>
      <w:r>
        <w:t>肿瘤免疫屏障（TIB）是空间组织的基质免疫生态位，限制淋巴细胞进入。为了解释透明细胞肾细胞癌 (ccRCC) 中持续的免疫检查点阻断 (ICB) 抵抗，我们绘制了 TIB 并定义了从 POSTN 构建的瘤周变异</w:t>
      </w:r>
      <w:r>
        <w:t xml:space="preserve"> </w:t>
      </w:r>
      <w:r>
        <w:t>+</w:t>
      </w:r>
      <w:r>
        <w:t xml:space="preserve"> </w:t>
      </w:r>
      <w:r>
        <w:t>与 APOE 交错的癌症相关成纤维细胞 (CAF)</w:t>
      </w:r>
      <w:r>
        <w:t xml:space="preserve"> </w:t>
      </w:r>
      <w:r>
        <w:t>+</w:t>
      </w:r>
      <w:r>
        <w:t xml:space="preserve"> </w:t>
      </w:r>
      <w:r>
        <w:t>肿瘤相关巨噬细胞（TAM）。这个利基市场排除了 CD8</w:t>
      </w:r>
      <w:r>
        <w:t xml:space="preserve"> </w:t>
      </w:r>
      <w:r>
        <w:t>+</w:t>
      </w:r>
      <w:r>
        <w:t xml:space="preserve"> </w:t>
      </w:r>
      <w:r>
        <w:t>T 细胞来自肿瘤核心，在预后不良、ICB 难治性患者中富集。空间转录组学和单细胞分析显示 TIB 区域富含细胞外基质重塑、免疫抑制配体受体回路和代谢重编程。从机制上讲，肿瘤源性 TGF-β1 通过 SMAD 信号传导激活 CAF，诱导 POSTN 并募集 APOE</w:t>
      </w:r>
      <w:r>
        <w:t xml:space="preserve"> </w:t>
      </w:r>
      <w:r>
        <w:t>+</w:t>
      </w:r>
      <w:r>
        <w:t xml:space="preserve"> </w:t>
      </w:r>
      <w:r>
        <w:t>TAM 通过整合素和趋化因子轴。 TAM 分泌 TGF-β1 和 VEGFA，放大基质程序并维持排斥。阻断 POSTN 重编程巨噬细胞，减少基质介导的抑制并恢复 CD8</w:t>
      </w:r>
      <w:r>
        <w:t xml:space="preserve"> </w:t>
      </w:r>
      <w:r>
        <w:t>+</w:t>
      </w:r>
      <w:r>
        <w:t xml:space="preserve"> </w:t>
      </w:r>
      <w:r>
        <w:t>渗透。在体内，POSTN 抑制与 ICB 相结合可增强抗肿瘤免疫力，减轻肿瘤负荷并逆转免疫抑制浸润，从而提名 POSTN 导向的策略来增强 ICB。</w:t>
      </w:r>
    </w:p>
    <w:p>
      <w:pPr>
        <w:spacing w:before="0" w:after="200" w:lineRule="auto" w:line="276"/>
      </w:pPr>
      <w:r>
        <w:rPr>
          <w:b/>
        </w:rPr>
        <w:t xml:space="preserve">Abstract (EN): </w:t>
      </w:r>
      <w:r>
        <w:t>Tumor immune barriers (TIBs) are spatially organized stromal-immune niches that restrict lymphocyte entry. To explain persistent immune-checkpoint blockade (ICB) resistance in clear cell renal cell carcinoma (ccRCC), we mapped TIBs and defined a peritumoral variant built from POSTN</w:t>
      </w:r>
      <w:r>
        <w:t xml:space="preserve"> </w:t>
      </w:r>
      <w:r>
        <w:t>+</w:t>
      </w:r>
      <w:r>
        <w:t xml:space="preserve"> </w:t>
      </w:r>
      <w:r>
        <w:t>cancer-associated fibroblasts (CAFs) interlaced with APOE</w:t>
      </w:r>
      <w:r>
        <w:t xml:space="preserve"> </w:t>
      </w:r>
      <w:r>
        <w:t>+</w:t>
      </w:r>
      <w:r>
        <w:t xml:space="preserve"> </w:t>
      </w:r>
      <w:r>
        <w:t>tumor-associated macrophages (TAMs). This niche excluded CD8</w:t>
      </w:r>
      <w:r>
        <w:t xml:space="preserve"> </w:t>
      </w:r>
      <w:r>
        <w:t>+</w:t>
      </w:r>
      <w:r>
        <w:t xml:space="preserve"> </w:t>
      </w:r>
      <w:r>
        <w:t>T cells from tumor cores, and was enriched in poor-prognosis, ICB-refractory patients. Spatial transcriptomics and single-cell profiling showed TIB regions enriched for extracellular-matrix remodeling, immunosuppressive ligand-receptor circuits, and metabolic reprogramming. Mechanistically, tumor-derived TGF-β1 activated CAFs via SMAD signaling, inducing POSTN and recruiting APOE</w:t>
      </w:r>
      <w:r>
        <w:t xml:space="preserve"> </w:t>
      </w:r>
      <w:r>
        <w:t>+</w:t>
      </w:r>
      <w:r>
        <w:t xml:space="preserve"> </w:t>
      </w:r>
      <w:r>
        <w:t>TAMs through integrin and chemokine axes. TAMs secreted TGF-β1 and VEGFA, amplifying stromal programs and sustaining exclusion. Blocking POSTN reprogrammed macrophages, reduced matrix-mediated suppression, and restored CD8</w:t>
      </w:r>
      <w:r>
        <w:t xml:space="preserve"> </w:t>
      </w:r>
      <w:r>
        <w:t>+</w:t>
      </w:r>
      <w:r>
        <w:t xml:space="preserve"> </w:t>
      </w:r>
      <w:r>
        <w:t>infiltration. In vivo, POSTN inhibition combined with ICB boosted antitumor immunity, reduced tumor burden, and reversed immunosuppressive infiltration, nominating POSTN-directed strategies to potentiate ICB.</w:t>
      </w:r>
    </w:p>
    <w:p>
      <w:pPr>
        <w:spacing w:before="120" w:after="120"/>
      </w:pPr>
      <w:r>
        <w:rPr>
          <w:sz w:val="18"/>
        </w:rPr>
        <w:t>——————————————————————————————————————————————————————————————————————</w:t>
      </w:r>
    </w:p>
    <w:p>
      <w:pPr>
        <w:spacing w:before="160" w:after="40" w:line="240" w:lineRule="auto"/>
      </w:pPr>
      <w:r>
        <w:rPr>
          <w:b/>
        </w:rPr>
        <w:t xml:space="preserve">[95] </w:t>
      </w:r>
      <w:hyperlink r:id="rId760">
        <w:r>
          <w:rPr>
            <w:color w:val="1155CC"/>
            <w:u w:val="single"/>
          </w:rPr>
          <w:t>学习信号中出现类似语言的统计结构：来自鸟鸣的证据</w:t>
        </w:r>
      </w:hyperlink>
    </w:p>
    <w:p>
      <w:pPr>
        <w:spacing w:before="0" w:after="80"/>
      </w:pPr>
      <w:r>
        <w:rPr>
          <w:i/>
          <w:sz w:val="20"/>
        </w:rPr>
        <w:t>EN: Language-like statistical structure arises in learned signaling: evidence from birdsong</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61">
        <w:r>
          <w:rPr>
            <w:color w:val="1155CC"/>
            <w:u w:val="single"/>
          </w:rPr>
          <w:t>10.1126/sciadv.aea3015</w:t>
        </w:r>
      </w:hyperlink>
    </w:p>
    <w:p>
      <w:pPr>
        <w:spacing w:before="0" w:after="120"/>
      </w:pPr>
      <w:r>
        <w:rPr>
          <w:b/>
        </w:rPr>
        <w:t xml:space="preserve">Notes: </w:t>
      </w:r>
      <w:r>
        <w:t>abstract_source=crossref</w:t>
      </w:r>
    </w:p>
    <w:p>
      <w:pPr>
        <w:spacing w:before="0" w:after="80" w:lineRule="auto" w:line="276"/>
      </w:pPr>
      <w:r>
        <w:rPr>
          <w:b/>
        </w:rPr>
        <w:t xml:space="preserve">摘要（ZH）: </w:t>
      </w:r>
      <w:r>
        <w:t>所有语言都具有统计上一致的子序列（例如单词），其频率分布遵循幂律。这些特性促进了人类的语言学习，使它们成为通过文化传播产生的良好候选者，从而帮助代际间的忠实传播。最近，在鲸鱼的歌声中发现了这两种特性，鲸鱼的歌声也是通过文化传播的，因此人们强烈预测，只要复杂的顺序信号通过文化传播，它们就应该被发现。在这里，我们使用与分析人类数据和鲸鱼鸣叫相同的工具来揭示文化传播的孟加拉雀鸣声也具有统计上一致的子序列，其分布遵循幂律。我们还表明，统计一致性随着发展而增加，但幂律始终存在，这表明它反映了学习表征的基本原则。发现进化上距离较远的物种之间的这些相似之处说明了文化传播在塑造交流方面的重要性，并表明语言的核心特性是通过趋同进化产生的。</w:t>
      </w:r>
    </w:p>
    <w:p>
      <w:pPr>
        <w:spacing w:before="0" w:after="200" w:lineRule="auto" w:line="276"/>
      </w:pPr>
      <w:r>
        <w:rPr>
          <w:b/>
        </w:rPr>
        <w:t xml:space="preserve">Abstract (EN): </w:t>
      </w:r>
      <w:r>
        <w:t>All languages have statistically coherent subsequences (e.g., words) whose frequency distribution follows a power law. These properties facilitate language learning in humans, making them good candidates for arising through cultural transmission as a way to help faithful transmission across generations. Recently, both properties were found in whale song, which is also culturally transmitted, leading to the strong prediction that they should be found wherever complex sequential signaling is culturally transmitted. Here, we use the same tools used to analyze human data and whale song to reveal that culturally transmitted Bengalese finch song also has statistically coherent subsequences whose distribution follows a power law. We additionally show that statistical coherence increases over development, but the power law is present throughout, suggesting that it reflects a fundamental principle of learned representations. Finding these parallels between evolutionarily distant species illustrates the importance of cultural transmission in shaping communication and suggests that core properties of language arise through convergent evolution.</w:t>
      </w:r>
    </w:p>
    <w:p>
      <w:pPr>
        <w:spacing w:before="120" w:after="120"/>
      </w:pPr>
      <w:r>
        <w:rPr>
          <w:sz w:val="18"/>
        </w:rPr>
        <w:t>——————————————————————————————————————————————————————————————————————</w:t>
      </w:r>
    </w:p>
    <w:p>
      <w:pPr>
        <w:spacing w:before="160" w:after="40" w:line="240" w:lineRule="auto"/>
      </w:pPr>
      <w:r>
        <w:rPr>
          <w:b/>
        </w:rPr>
        <w:t xml:space="preserve">[96] </w:t>
      </w:r>
      <w:hyperlink r:id="rId762">
        <w:r>
          <w:rPr>
            <w:color w:val="1155CC"/>
            <w:u w:val="single"/>
          </w:rPr>
          <w:t>超图社区检测中的高阶权衡</w:t>
        </w:r>
      </w:hyperlink>
    </w:p>
    <w:p>
      <w:pPr>
        <w:spacing w:before="0" w:after="80"/>
      </w:pPr>
      <w:r>
        <w:rPr>
          <w:i/>
          <w:sz w:val="20"/>
        </w:rPr>
        <w:t>EN: Higher-order trade-offs in hypergraph community detection</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63">
        <w:r>
          <w:rPr>
            <w:color w:val="1155CC"/>
            <w:u w:val="single"/>
          </w:rPr>
          <w:t>10.1126/sciadv.aef2184</w:t>
        </w:r>
      </w:hyperlink>
    </w:p>
    <w:p>
      <w:pPr>
        <w:spacing w:before="0" w:after="120"/>
      </w:pPr>
      <w:r>
        <w:rPr>
          <w:b/>
        </w:rPr>
        <w:t xml:space="preserve">Notes: </w:t>
      </w:r>
      <w:r>
        <w:t>abstract_source=crossref</w:t>
      </w:r>
    </w:p>
    <w:p>
      <w:pPr>
        <w:spacing w:before="0" w:after="80" w:lineRule="auto" w:line="276"/>
      </w:pPr>
      <w:r>
        <w:rPr>
          <w:b/>
        </w:rPr>
        <w:t xml:space="preserve">摘要（ZH）: </w:t>
      </w:r>
      <w:r>
        <w:t>将社区检测从成对网络扩展到超图带来了基本的理论挑战。超图表现出结构异质性，没有直接的图模拟：不同阶的超边可以以不同的配置连接跨社区的节点。至关重要的是，这意味着任何超图社区检测算法都必须在分区期间选择维持或分割超边的顺序或平衡。我们通过在超图随机块模型下开发一个用于非均匀超图中社区检测的统一框架来解决这些挑战。我们引入了通用的信噪比，可以对高阶网络特有的权衡进行定量分析，例如我们选择在社区之间划分哪些超边缘以及我们选择如何划分它们。在此框架的基础上，我们推导了用于非均匀超图的 Bethe Hessian 算子，该算子通过有原则的模型选择提供高效的谱聚类。我们描述了所得的光谱可检测性阈值并将其与置信传播极限进行比较，表明这些方法对于均匀超图是一致的，但在非均匀设置中有所不同。综合实验证实了我们的分析预测，并揭示了保留高阶和平衡形状超边的系统偏差。经验数据的应用证明了这些高阶可检测性权衡在现实世界系统中的实际相关性。</w:t>
      </w:r>
    </w:p>
    <w:p>
      <w:pPr>
        <w:spacing w:before="0" w:after="200" w:lineRule="auto" w:line="276"/>
      </w:pPr>
      <w:r>
        <w:rPr>
          <w:b/>
        </w:rPr>
        <w:t xml:space="preserve">Abstract (EN): </w:t>
      </w:r>
      <w:r>
        <w:t>Extending community detection from pairwise networks to hypergraphs introduces fundamental theoretical challenges. Hypergraphs exhibit structural heterogeneity with no direct graph analog: Hyperedges of varying orders can connect nodes across communities in diverse configurations. Crucially, this means that any hypergraph community detection algorithm must make a choice regarding which order or balance of hyperedges it prefers to maintain or split during partitioning. We address these challenges by developing a unified framework for community detection in nonuniform hypergraphs under the hypergraph stochastic block model. We introduce a general signal-to-noise ratio that enables a quantitative analysis of trade-offs unique to higher-order networks, such as which hypergedges we choose to split across communities and how we choose to split them. Building on this framework, we derive a Bethe Hessian operator for nonuniform hypergraphs that provides efficient spectral clustering with principled model selection. We characterize the resulting spectral detectability threshold and compare it to belief propagation limits, showing the methods coincide for uniform hypergraphs but diverge in nonuniform settings. Synthetic experiments confirm our analytical predictions and reveal systematic biases toward preserving higher-order and balanced shape hyperedges. Application to empirical data demonstrates the practical relevance of these higher-order detectability trade-offs in real-world systems.</w:t>
      </w:r>
    </w:p>
    <w:p>
      <w:pPr>
        <w:spacing w:before="120" w:after="120"/>
      </w:pPr>
      <w:r>
        <w:rPr>
          <w:sz w:val="18"/>
        </w:rPr>
        <w:t>——————————————————————————————————————————————————————————————————————</w:t>
      </w:r>
    </w:p>
    <w:p>
      <w:pPr>
        <w:spacing w:before="160" w:after="40" w:line="240" w:lineRule="auto"/>
      </w:pPr>
      <w:r>
        <w:rPr>
          <w:b/>
        </w:rPr>
        <w:t xml:space="preserve">[97] </w:t>
      </w:r>
      <w:hyperlink r:id="rId764">
        <w:r>
          <w:rPr>
            <w:color w:val="1155CC"/>
            <w:u w:val="single"/>
          </w:rPr>
          <w:t>Fe5GeTe2 中相互作用驱动的平带和电荷顺序</w:t>
        </w:r>
      </w:hyperlink>
    </w:p>
    <w:p>
      <w:pPr>
        <w:spacing w:before="0" w:after="80"/>
      </w:pPr>
      <w:r>
        <w:rPr>
          <w:i/>
          <w:sz w:val="20"/>
        </w:rPr>
        <w:t>EN: Interaction-driven flat band and charge order in Fe5GeTe2</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65">
        <w:r>
          <w:rPr>
            <w:color w:val="1155CC"/>
            <w:u w:val="single"/>
          </w:rPr>
          <w:t>10.1126/sciadv.aeg5930</w:t>
        </w:r>
      </w:hyperlink>
    </w:p>
    <w:p>
      <w:pPr>
        <w:spacing w:before="0" w:after="120"/>
      </w:pPr>
      <w:r>
        <w:rPr>
          <w:b/>
        </w:rPr>
        <w:t xml:space="preserve">Notes: </w:t>
      </w:r>
      <w:r>
        <w:t>abstract_source=crossref</w:t>
      </w:r>
    </w:p>
    <w:p>
      <w:pPr>
        <w:spacing w:before="0" w:after="80" w:lineRule="auto" w:line="276"/>
      </w:pPr>
      <w:r>
        <w:rPr>
          <w:b/>
        </w:rPr>
        <w:t xml:space="preserve">摘要（ZH）: </w:t>
      </w:r>
      <w:r>
        <w:t>平坦的电子能带使超导和电荷有序等令人着迷的新兴现象成为可能。实现平带的一种流行方法是在扭曲或类似 kagome 的材料中设计晶格几何约束。另一种方法是利用纯粹的电子相互作用驱动的平坦带，但一个根本的挑战是极端平坦需要超强的相互作用强度，这通常会导致不相干的状态。在这里，我们演示了费米能级上相互作用驱动的平带的同时形成和</w:t>
      </w:r>
      <w:r>
        <w:t xml:space="preserve"> </w:t>
      </w:r>
      <w:r>
        <w:rPr>
          <w:vertAlign w:val="subscript"/>
        </w:rPr>
        <w:t>3</w:t>
      </w:r>
      <w:r>
        <w:t xml:space="preserve"> </w:t>
      </w:r>
      <w:r>
        <w:t>×</w:t>
      </w:r>
      <w:r>
        <w:t xml:space="preserve"> </w:t>
      </w:r>
      <w:r>
        <w:rPr>
          <w:vertAlign w:val="subscript"/>
        </w:rPr>
        <w:t>3</w:t>
      </w:r>
      <w:r>
        <w:t xml:space="preserve"> </w:t>
      </w:r>
      <w:r>
        <w:t>右</w:t>
      </w:r>
      <w:r>
        <w:rPr>
          <w:vertAlign w:val="subscript"/>
        </w:rPr>
        <w:t>30</w:t>
      </w:r>
      <w:r>
        <w:t>°</w:t>
      </w:r>
      <w:r>
        <w:t xml:space="preserve"> </w:t>
      </w:r>
      <w:r>
        <w:t>范德华磁铁 Fe 中的电荷顺序</w:t>
      </w:r>
      <w:r>
        <w:rPr>
          <w:vertAlign w:val="subscript"/>
        </w:rPr>
        <w:t>5</w:t>
      </w:r>
      <w:r>
        <w:t>锗碲</w:t>
      </w:r>
      <w:r>
        <w:rPr>
          <w:vertAlign w:val="subscript"/>
        </w:rPr>
        <w:t>2</w:t>
      </w:r>
      <w:r>
        <w:t>使用高分辨率角分辨光电子能谱。这种电荷顺序表现为费米能级以下 30 meV 内的能带折叠，其嵌套由平带驱动。整个布里渊区中存在的这个平带及其光谱权重的对数温度依赖性表明，现象学上类似近藤的相干费米液体是从强相关性中出现的。我们的工作建立了一个范例，其中交互驱动</w:t>
      </w:r>
    </w:p>
    <w:p>
      <w:pPr>
        <w:spacing w:before="0" w:after="200" w:lineRule="auto" w:line="276"/>
      </w:pPr>
      <w:r>
        <w:rPr>
          <w:b/>
        </w:rPr>
        <w:t xml:space="preserve">Abstract (EN): </w:t>
      </w:r>
      <w:r>
        <w:t>Flat electronic bands enable fascinating emergent phenomena such as superconductivity and charge orders. A prevailing approach to realizing flat bands is to engineer lattice geometric constraints in twisted or kagome-like materials. An alternative approach is to utilize purely electronic-interaction-driven flat bands, yet a fundamental challenge is that extreme flatness requires ultrastrong interaction strength, which often leads to incoherent states. Here we demonstrate the concurrent formation of an interaction-driven flat band at the Fermi level and a</w:t>
      </w:r>
      <w:r>
        <w:t xml:space="preserve"> </w:t>
      </w:r>
      <w:r>
        <w:rPr>
          <w:vertAlign w:val="subscript"/>
        </w:rPr>
        <w:t>3</w:t>
      </w:r>
      <w:r>
        <w:t xml:space="preserve"> </w:t>
      </w:r>
      <w:r>
        <w:t>×</w:t>
      </w:r>
      <w:r>
        <w:t xml:space="preserve"> </w:t>
      </w:r>
      <w:r>
        <w:rPr>
          <w:vertAlign w:val="subscript"/>
        </w:rPr>
        <w:t>3</w:t>
      </w:r>
      <w:r>
        <w:t xml:space="preserve"> </w:t>
      </w:r>
      <w:r>
        <w:t>R</w:t>
      </w:r>
      <w:r>
        <w:rPr>
          <w:vertAlign w:val="subscript"/>
        </w:rPr>
        <w:t>30</w:t>
      </w:r>
      <w:r>
        <w:t>°</w:t>
      </w:r>
      <w:r>
        <w:t xml:space="preserve"> </w:t>
      </w:r>
      <w:r>
        <w:t>charge order in a van der Waals magnet Fe</w:t>
      </w:r>
      <w:r>
        <w:rPr>
          <w:vertAlign w:val="subscript"/>
        </w:rPr>
        <w:t>5</w:t>
      </w:r>
      <w:r>
        <w:t>GeTe</w:t>
      </w:r>
      <w:r>
        <w:rPr>
          <w:vertAlign w:val="subscript"/>
        </w:rPr>
        <w:t>2</w:t>
      </w:r>
      <w:r>
        <w:t>using high-resolution angle-resolved photoemission spectroscopy. This charge order is manifested by band folding within 30 meV below the Fermi level, with its nesting driven by flat bands. The presence of this flat band throughout the Brillouin zone and the logarithmic temperature dependence of its spectral weight suggest a phenomenological Kondo-like, coherent Fermi liquid emerging from strong correlations. Our work establishes a paradigm where an interaction-driven flat band promotes large-scale electronic ordering.</w:t>
      </w:r>
    </w:p>
    <w:p>
      <w:pPr>
        <w:spacing w:before="120" w:after="120"/>
      </w:pPr>
      <w:r>
        <w:rPr>
          <w:sz w:val="18"/>
        </w:rPr>
        <w:t>——————————————————————————————————————————————————————————————————————</w:t>
      </w:r>
    </w:p>
    <w:p>
      <w:pPr>
        <w:spacing w:before="160" w:after="40" w:line="240" w:lineRule="auto"/>
      </w:pPr>
      <w:r>
        <w:rPr>
          <w:b/>
        </w:rPr>
        <w:t xml:space="preserve">[98] </w:t>
      </w:r>
      <w:hyperlink r:id="rId766">
        <w:r>
          <w:rPr>
            <w:color w:val="1155CC"/>
            <w:u w:val="single"/>
          </w:rPr>
          <w:t>前额叶和听觉皮层之间的神经竞争限制了新的声音策略学习</w:t>
        </w:r>
      </w:hyperlink>
    </w:p>
    <w:p>
      <w:pPr>
        <w:spacing w:before="0" w:after="80"/>
      </w:pPr>
      <w:r>
        <w:rPr>
          <w:i/>
          <w:sz w:val="20"/>
        </w:rPr>
        <w:t>EN: Neural competition between prefrontal and auditory cortex constrains novel sound strategy learning</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67">
        <w:r>
          <w:rPr>
            <w:color w:val="1155CC"/>
            <w:u w:val="single"/>
          </w:rPr>
          <w:t>10.1126/sciadv.aeb3005</w:t>
        </w:r>
      </w:hyperlink>
    </w:p>
    <w:p>
      <w:pPr>
        <w:spacing w:before="0" w:after="120"/>
      </w:pPr>
      <w:r>
        <w:rPr>
          <w:b/>
        </w:rPr>
        <w:t xml:space="preserve">Notes: </w:t>
      </w:r>
      <w:r>
        <w:t>abstract_source=crossref</w:t>
      </w:r>
    </w:p>
    <w:p>
      <w:pPr>
        <w:spacing w:before="0" w:after="80" w:lineRule="auto" w:line="276"/>
      </w:pPr>
      <w:r>
        <w:rPr>
          <w:b/>
        </w:rPr>
        <w:t xml:space="preserve">摘要（ZH）: </w:t>
      </w:r>
      <w:r>
        <w:t>在自然界中，动物学会用新的策略取代预先形成的行为，但这些转变的神经限制尚不清楚。通过对小鼠进行行为学搜索任务，我们揭示了内侧前额叶皮层（mPFC）与预先获胜策略的神经相关性，当动物学会遵循更可靠的听觉线索时，这种策略就会减弱。即使在训练的第一天，听觉皮层 (ACx) 活动也能预测正确的逐次试验声音引导搜索。这种预后编码随着学习的进行而增强，并从抑制的尖峰中出现，在横向调节到提示频谱的神经元中最为明显。化学遗传学破坏揭示了 ACx 对提高性能的贡献。出乎意料的是，mPFC 的整体沉默加速了声音追踪的成功使用，这与其在灵活或刺激依赖行为中的典型作用相反。相反，分散的多专家竞争模型可以最好地预测行为和因果扰动。这些发现表明，mPFC 实施了基于先验知识的默认策略，这积极阻碍了更有效策略的表达。</w:t>
      </w:r>
    </w:p>
    <w:p>
      <w:pPr>
        <w:spacing w:before="0" w:after="200" w:lineRule="auto" w:line="276"/>
      </w:pPr>
      <w:r>
        <w:rPr>
          <w:b/>
        </w:rPr>
        <w:t xml:space="preserve">Abstract (EN): </w:t>
      </w:r>
      <w:r>
        <w:t>In nature, animals learn to replace predisposed behaviors with new strategies, yet the neural constraints on these transitions are unclear. Using an ethological search task in mice, we reveal medial prefrontal cortical (mPFC) neural correlates of a predisposed win-stay strategy that decays as animals learn to follow a more reliable auditory cue. Auditory cortex (ACx) activity predicts correct trial-by-trial sound-guided search, even on day one of training. This prognostic coding strengthens with learning and emerges from suppressed spiking, most pronounced in neurons tuned laterally to the cue’s spectrum. Chemogenetic disruption reveals ACx contributions to improving performance. Unexpectedly, the global silencing of mPFC accelerates successful usage of sound-tracking, contrary to its canonical role in flexible or stimulus-dependent behavior. Instead, a decentralized multiexpert competition model best predicts behavior and causal perturbations. These findings suggest that mPFC implements a default strategy based on prior knowledge, which actively hinders the expression of more efficient strategies.</w:t>
      </w:r>
    </w:p>
    <w:p>
      <w:pPr>
        <w:spacing w:before="120" w:after="120"/>
      </w:pPr>
      <w:r>
        <w:rPr>
          <w:sz w:val="18"/>
        </w:rPr>
        <w:t>——————————————————————————————————————————————————————————————————————</w:t>
      </w:r>
    </w:p>
    <w:p>
      <w:pPr>
        <w:spacing w:before="160" w:after="40" w:line="240" w:lineRule="auto"/>
      </w:pPr>
      <w:r>
        <w:rPr>
          <w:b/>
        </w:rPr>
        <w:t xml:space="preserve">[99] </w:t>
      </w:r>
      <w:hyperlink r:id="rId768">
        <w:r>
          <w:rPr>
            <w:color w:val="1155CC"/>
            <w:u w:val="single"/>
          </w:rPr>
          <w:t>C.Y. 研究文章“预测归因揭示了不列颠哥伦比亚省热浪中气候变化导致的热死亡率增加”的勘误表沙普兰等人。</w:t>
        </w:r>
      </w:hyperlink>
    </w:p>
    <w:p>
      <w:pPr>
        <w:spacing w:before="0" w:after="80"/>
      </w:pPr>
      <w:r>
        <w:rPr>
          <w:i/>
          <w:sz w:val="20"/>
        </w:rPr>
        <w:t>EN: Erratum for the Research Article “Forecast attribution reveals enhanced heat mortality from climate change in British Columbia heatwave” by C.Y. Shapland et al.</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69">
        <w:r>
          <w:rPr>
            <w:color w:val="1155CC"/>
            <w:u w:val="single"/>
          </w:rPr>
          <w:t>10.1126/sciadv.aej3478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[100] </w:t>
      </w:r>
      <w:hyperlink r:id="rId770">
        <w:r>
          <w:rPr>
            <w:color w:val="1155CC"/>
            <w:u w:val="single"/>
          </w:rPr>
          <w:t>组织再生中的 3D 基因组组织涉及长程染色质环</w:t>
        </w:r>
      </w:hyperlink>
    </w:p>
    <w:p>
      <w:pPr>
        <w:spacing w:before="0" w:after="80"/>
      </w:pPr>
      <w:r>
        <w:rPr>
          <w:i/>
          <w:sz w:val="20"/>
        </w:rPr>
        <w:t>EN: 3D genome organization in tissue regeneration involves long-range chromatin loops</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71">
        <w:r>
          <w:rPr>
            <w:color w:val="1155CC"/>
            <w:u w:val="single"/>
          </w:rPr>
          <w:t>10.1126/sciadv.aea8281</w:t>
        </w:r>
      </w:hyperlink>
    </w:p>
    <w:p>
      <w:pPr>
        <w:spacing w:before="0" w:after="120"/>
      </w:pPr>
      <w:r>
        <w:rPr>
          <w:b/>
        </w:rPr>
        <w:t xml:space="preserve">Notes: </w:t>
      </w:r>
      <w:r>
        <w:t>abstract_source=crossref</w:t>
      </w:r>
    </w:p>
    <w:p>
      <w:pPr>
        <w:spacing w:before="0" w:after="80" w:lineRule="auto" w:line="276"/>
      </w:pPr>
      <w:r>
        <w:rPr>
          <w:b/>
        </w:rPr>
        <w:t xml:space="preserve">摘要（ZH）: </w:t>
      </w:r>
      <w:r>
        <w:t>基因组的三维 (3D) 组织在基因表达调控中发挥着重要作用，但基因组结构的变化如何影响组织再生过程中的转录反应仍知之甚少。在这里，我们使用 Hi-C 来分析 3D 染色质构象</w:t>
      </w:r>
      <w:r>
        <w:t xml:space="preserve"> </w:t>
      </w:r>
      <w:r>
        <w:t>果蝇</w:t>
      </w:r>
      <w:r>
        <w:t xml:space="preserve"> </w:t>
      </w:r>
      <w:r>
        <w:t>翼成虫盘再生。我们发现，尽管隔室和拓扑关联域（TAD）在很大程度上得到维持，但再生伴随着隔室化和边界绝缘的减少。我们确定了再生过程中接触频率增加的三个长程染色质环。有针对性地删除它们的锚表明，这些环对于椎间盘的正确再生至关重要，但对于正常的翅膀发育来说却是可有可无的。此外，任何这些环的破坏都会导致基因表达和 H3K4me1 3D 环境的收敛变化，表明它们在再生过程中协调活动。这些发现提供了 3D 基因组结构积极促进再生过程的功能证据。</w:t>
      </w:r>
    </w:p>
    <w:p>
      <w:pPr>
        <w:spacing w:before="0" w:after="200" w:lineRule="auto" w:line="276"/>
      </w:pPr>
      <w:r>
        <w:rPr>
          <w:b/>
        </w:rPr>
        <w:t xml:space="preserve">Abstract (EN): </w:t>
      </w:r>
      <w:r>
        <w:t>The three-dimensional (3D) organization of the genome plays a fundamental role in gene expression regulation, yet how changes in genome architecture influence transcriptional responses during tissue regeneration remains poorly understood. Here, we used Hi-C to profile 3D chromatin conformation during</w:t>
      </w:r>
      <w:r>
        <w:t xml:space="preserve"> </w:t>
      </w:r>
      <w:r>
        <w:t>Drosophila</w:t>
      </w:r>
      <w:r>
        <w:t xml:space="preserve"> </w:t>
      </w:r>
      <w:r>
        <w:t>wing imaginal disc regeneration. We found that, although compartments and topologically associating domains (TADs) are largely maintained, regeneration is accompanied by reduced compartmentalization and decreased boundary insulation. We identified three long-range chromatin loops with increased contact frequency during regeneration. Targeted deletion of their anchors revealed that these loops are essential for proper disc regeneration but dispensable for normal wing development. Furthermore, disruption of any of these loops resulted in convergent changes in both gene expression and H3K4me1 3D environment, suggesting their coordinated activity during regeneration. These findings provide functional evidence that 3D genome architecture actively contributes to the regenerative process.</w:t>
      </w:r>
    </w:p>
    <w:p>
      <w:pPr>
        <w:spacing w:before="120" w:after="120"/>
      </w:pPr>
      <w:r>
        <w:rPr>
          <w:sz w:val="18"/>
        </w:rPr>
        <w:t>——————————————————————————————————————————————————————————————————————</w:t>
      </w:r>
    </w:p>
    <w:p>
      <w:pPr>
        <w:spacing w:before="160" w:after="40" w:line="240" w:lineRule="auto"/>
      </w:pPr>
      <w:r>
        <w:rPr>
          <w:b/>
        </w:rPr>
        <w:t xml:space="preserve">[101] </w:t>
      </w:r>
      <w:hyperlink r:id="rId772">
        <w:r>
          <w:rPr>
            <w:color w:val="1155CC"/>
            <w:u w:val="single"/>
          </w:rPr>
          <w:t>可喷发流纹岩浆的亚千年时间尺度：来自日本姫良火山口的汇聚证据</w:t>
        </w:r>
      </w:hyperlink>
    </w:p>
    <w:p>
      <w:pPr>
        <w:spacing w:before="0" w:after="80"/>
      </w:pPr>
      <w:r>
        <w:rPr>
          <w:i/>
          <w:sz w:val="20"/>
        </w:rPr>
        <w:t>EN: Submillennial timescales of eruptible rhyolite magma: Converging evidence from Aira Caldera, Japan</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73">
        <w:r>
          <w:rPr>
            <w:color w:val="1155CC"/>
            <w:u w:val="single"/>
          </w:rPr>
          <w:t>10.1126/sciadv.aea2075</w:t>
        </w:r>
      </w:hyperlink>
    </w:p>
    <w:p>
      <w:pPr>
        <w:spacing w:before="0" w:after="120"/>
      </w:pPr>
      <w:r>
        <w:rPr>
          <w:b/>
        </w:rPr>
        <w:t xml:space="preserve">Notes: </w:t>
      </w:r>
      <w:r>
        <w:t>abstract_source=crossref</w:t>
      </w:r>
    </w:p>
    <w:p>
      <w:pPr>
        <w:spacing w:before="0" w:after="80" w:lineRule="auto" w:line="276"/>
      </w:pPr>
      <w:r>
        <w:rPr>
          <w:b/>
        </w:rPr>
        <w:t xml:space="preserve">摘要（ZH）: </w:t>
      </w:r>
      <w:r>
        <w:t>最近的研究争论的是，形成火山口的硅质岩浆是否主要以贫晶体、可喷发的状态储存&gt;100,000年（kyr）（“热储存”），还是以富含晶体的“糊状物”存在，解冻事件导致短暂（&lt;1 kyr）的喷发（“冷储存”）。为了解决这个问题，我们研究了Aira Caldera（日本），在400立方公里的Aira-Tanzawa (AT)喷发（30,000年前）之前，发生了三次超过3.5 kyr的较小喷发。所有喷发均由大致相似的高硅流纹岩组成，储存在相当的深度（75 至 175 兆帕）。石英和斜长石的扩散模型是一致的，并且所有喷发的停留时间都很短（&lt;1 至 2.5 kyr），没有逐渐增加的上断面。 AT喷发还显示出更热、演化程度更低的岩浆和更高的锂浓度的迹象，这可能表明由于更热的富含流体的补给而导致了更大的糊状再生。我们认为，400 立方公里的 AT 岩浆喷发时间不到 1 kyr，这与硅质岩浆主要保存在冷库中并具有短暂喷发期的假设一致。</w:t>
      </w:r>
    </w:p>
    <w:p>
      <w:pPr>
        <w:spacing w:before="0" w:after="200" w:lineRule="auto" w:line="276"/>
      </w:pPr>
      <w:r>
        <w:rPr>
          <w:b/>
        </w:rPr>
        <w:t xml:space="preserve">Abstract (EN): </w:t>
      </w:r>
      <w:r>
        <w:t>Recent studies debate whether caldera-forming silicic magma is primarily stored in a crystal-poor, eruptible state for &amp;gt;100,000 years (kyr) (“warm storage”) or exists as a crystal-rich “mush” with defrosting events causing brief periods (&amp;lt;1 kyr) of eruptibility (“cold storage”). To address this, we examined Aira Caldera (Japan), where the 400–cubic kilometer Aira-Tanzawa (AT) eruption (30,000 years ago) was preceded by three smaller eruptions over 3.5 kyr. All eruptions consist of roughly similar high-silica rhyolite stored at comparable depths (75 to 175 megapascals). Diffusion modeling in quartz and plagioclase is consistent and gives short residence times (&amp;lt;1 to 2.5 kyr) for all eruptions with no progressive increase up-section. The AT eruption also shows signs of hotter, less evolved magma and higher lithium concentrations, possibly indicating greater mush rejuvenation by a hotter fluid-rich recharge. We suggest that the 400–cubic kilometer AT magma was eruptible for less than 1 kyr, consistent with the hypothesis that silicic magmas are primarily held in cold storage with brief periods of eruptibility.</w:t>
      </w:r>
    </w:p>
    <w:p>
      <w:pPr>
        <w:spacing w:before="120" w:after="120"/>
      </w:pPr>
      <w:r>
        <w:rPr>
          <w:sz w:val="18"/>
        </w:rPr>
        <w:t>——————————————————————————————————————————————————————————————————————</w:t>
      </w:r>
    </w:p>
    <w:p>
      <w:pPr>
        <w:spacing w:before="160" w:after="40" w:line="240" w:lineRule="auto"/>
      </w:pPr>
      <w:r>
        <w:rPr>
          <w:b/>
        </w:rPr>
        <w:t xml:space="preserve">[102] </w:t>
      </w:r>
      <w:hyperlink r:id="rId774">
        <w:r>
          <w:rPr>
            <w:color w:val="1155CC"/>
            <w:u w:val="single"/>
          </w:rPr>
          <w:t>气态液氮辅助冷冻打印策略挑战体积各向异性组织制造</w:t>
        </w:r>
      </w:hyperlink>
    </w:p>
    <w:p>
      <w:pPr>
        <w:spacing w:before="0" w:after="80"/>
      </w:pPr>
      <w:r>
        <w:rPr>
          <w:i/>
          <w:sz w:val="20"/>
        </w:rPr>
        <w:t>EN: Gaseous liquid nitrogen–assisted cryo-printing strategies for challenging volumetric anisotropic tissues fabrication</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75">
        <w:r>
          <w:rPr>
            <w:color w:val="1155CC"/>
            <w:u w:val="single"/>
          </w:rPr>
          <w:t>10.1126/sciadv.adz1325</w:t>
        </w:r>
      </w:hyperlink>
    </w:p>
    <w:p>
      <w:pPr>
        <w:spacing w:before="0" w:after="120"/>
      </w:pPr>
      <w:r>
        <w:rPr>
          <w:b/>
        </w:rPr>
        <w:t xml:space="preserve">Notes: </w:t>
      </w:r>
      <w:r>
        <w:t>abstract_source=crossref</w:t>
      </w:r>
    </w:p>
    <w:p>
      <w:pPr>
        <w:spacing w:before="0" w:after="80" w:lineRule="auto" w:line="276"/>
      </w:pPr>
      <w:r>
        <w:rPr>
          <w:b/>
        </w:rPr>
        <w:t xml:space="preserve">摘要（ZH）: </w:t>
      </w:r>
      <w:r>
        <w:t>由于在复杂几何形状中复制天然结构线索的局限性，设计生理相关的各向异性组织仍然是一个重大挑战。在这里，我们开发了一种低温挤出生物打印平台，通过精确引导冰晶生长来实现厘米级的各向异性结构，甚至使用超软、低粘度墨水（2%重量/体积的 GelMA）。这种方法能够制造解剖学上匹配的、具有可调各向异性的患者特异性结构，包括骨移植替代品和骨质疏松疾病模型。为了克服冷冻打印的高度限制，我们进一步开发了冷冻组装和乐高组装策略，允许集成各向异性单元，同时保持连续的内部对齐。伤口愈合、颅骨缺损和股骨缺损模型的体内研究证实，这些各向异性信号驱动空间引导的细胞迁移、细胞外基质 (ECM) 重塑和组织部位特异性再生，如 ECM 沉积所证明的那样。我们的平台为工程结构和功能相关组织提供了可扩展、临床适应性强的解决方案，重新定义了各向异性软组织制造的边界。</w:t>
      </w:r>
    </w:p>
    <w:p>
      <w:pPr>
        <w:spacing w:before="0" w:after="200" w:lineRule="auto" w:line="276"/>
      </w:pPr>
      <w:r>
        <w:rPr>
          <w:b/>
        </w:rPr>
        <w:t xml:space="preserve">Abstract (EN): </w:t>
      </w:r>
      <w:r>
        <w:t>Engineering physiologically relevant anisotropic tissues remains a major challenge due to limitations in replicating native structural cues across complex geometries. Here, we developed a cryogenic extrusion bioprinting platform by precisely guiding ice crystal growth to achieve centimeter-scale anisotropic constructs, even with ultrasoft, low-viscosity inks (2% weight/volume GelMA). This approach enables the fabrication of anatomically matched, patient-specific constructs with tunable anisotropy, including bone graft substitutes and osteoporotic disease models. To overcome the height constraints of cryo-printing, we further developed cryo-assembly and LEGO-assembly strategies that allow integration of anisotropic units while maintaining continuous internal alignment. In vivo studies across wound healing, cranial defect, and femoral defect models validated that these anisotropic cues drive spatially guided cell migration, extracellular matrix (ECM) remodeling, and tissue site-specific regeneration, as evidenced by the ECM deposition. Our platform offers a scalable, clinically adaptable solution for engineering structurally and functionally relevant tissues, redefining the boundaries of anisotropic soft tissue fabrication.</w:t>
      </w:r>
    </w:p>
    <w:p>
      <w:pPr>
        <w:spacing w:before="120" w:after="120"/>
      </w:pPr>
      <w:r>
        <w:rPr>
          <w:sz w:val="18"/>
        </w:rPr>
        <w:t>——————————————————————————————————————————————————————————————————————</w:t>
      </w:r>
    </w:p>
    <w:p>
      <w:pPr>
        <w:spacing w:before="160" w:after="40" w:line="240" w:lineRule="auto"/>
      </w:pPr>
      <w:r>
        <w:rPr>
          <w:b/>
        </w:rPr>
        <w:t xml:space="preserve">[103] </w:t>
      </w:r>
      <w:hyperlink r:id="rId776">
        <w:r>
          <w:rPr>
            <w:color w:val="1155CC"/>
            <w:u w:val="single"/>
          </w:rPr>
          <w:t>背外侧纹状体对运动启动和执行的持续贡献</w:t>
        </w:r>
      </w:hyperlink>
    </w:p>
    <w:p>
      <w:pPr>
        <w:spacing w:before="0" w:after="80"/>
      </w:pPr>
      <w:r>
        <w:rPr>
          <w:i/>
          <w:sz w:val="20"/>
        </w:rPr>
        <w:t>EN: Continuous contributions of the dorsolateral striatum to movement initiation and execution</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77">
        <w:r>
          <w:rPr>
            <w:color w:val="1155CC"/>
            <w:u w:val="single"/>
          </w:rPr>
          <w:t>10.1126/sciadv.adt2097</w:t>
        </w:r>
      </w:hyperlink>
    </w:p>
    <w:p>
      <w:pPr>
        <w:spacing w:before="0" w:after="120"/>
      </w:pPr>
      <w:r>
        <w:rPr>
          <w:b/>
        </w:rPr>
        <w:t xml:space="preserve">Notes: </w:t>
      </w:r>
      <w:r>
        <w:t>abstract_source=crossref</w:t>
      </w:r>
    </w:p>
    <w:p>
      <w:pPr>
        <w:spacing w:before="0" w:after="80" w:lineRule="auto" w:line="276"/>
      </w:pPr>
      <w:r>
        <w:rPr>
          <w:b/>
        </w:rPr>
        <w:t xml:space="preserve">摘要（ZH）: </w:t>
      </w:r>
      <w:r>
        <w:t>基底神经节（BG）背外侧纹状体（DLS）中的尖峰与前肢和全身运动相关，但它们对运动的贡献程度仍不清楚。在执行杠杆释放反应时间任务的大鼠中使用行为定时光遗传学抑制，我们发现 DLS 光抑制延迟了前肢到达和杠杆释放的启动；当在持续到达期间传递时，它也会中断执行。奖励检索过程中的抑制会损害运动，尤其是转弯，降低运动速度并导致轨迹效率降低。相比之下，尽管之前有大量的 DLS 活动，但在奖励触发鼻子戳之前进行抑制几乎没有效果。这些效应伴随着黑质网状部（BG 输出核）放电率的双向变化，并且当背内侧纹状体受到干扰时，这些效应要弱得多。总之，这些发现表明，许多（但不是全部）习得的运动模式的执行持续依赖于 DLS 活动。</w:t>
      </w:r>
    </w:p>
    <w:p>
      <w:pPr>
        <w:spacing w:before="0" w:after="200" w:lineRule="auto" w:line="276"/>
      </w:pPr>
      <w:r>
        <w:rPr>
          <w:b/>
        </w:rPr>
        <w:t xml:space="preserve">Abstract (EN): </w:t>
      </w:r>
      <w:r>
        <w:t>Spikes in the dorsolateral striatum (DLS) of the basal ganglia (BG) correlate with forelimb and whole-body movements, but the extent to which they contribute to movement remains unclear. Using behavior-timed optogenetic inhibition in rats performing a lever-release reaction-time task, we found that DLS photoinhibition delayed the initiation of forelimb reaching and lever release; when delivered during ongoing reaching, it also interrupted execution. Inhibition during reward retrieval impaired locomotion, especially turning, reducing movement speed and resulting in less efficient trajectories. By contrast, inhibition before the reward-triggering nose poke had little effect despite substantial preceding DLS activity. These effects were accompanied by bidirectional changes in firing rates in the substantia nigra pars reticulata, a BG output nucleus, and were much weaker when the dorsomedial striatum was perturbed. Together, these findings suggest that execution of many, but not all, learned movement patterns depends continuously on DLS activity.</w:t>
      </w:r>
    </w:p>
    <w:p>
      <w:pPr>
        <w:spacing w:before="120" w:after="120"/>
      </w:pPr>
      <w:r>
        <w:rPr>
          <w:sz w:val="18"/>
        </w:rPr>
        <w:t>——————————————————————————————————————————————————————————————————————</w:t>
      </w:r>
    </w:p>
    <w:p>
      <w:pPr>
        <w:spacing w:before="160" w:after="40" w:line="240" w:lineRule="auto"/>
      </w:pPr>
      <w:r>
        <w:rPr>
          <w:b/>
        </w:rPr>
        <w:t xml:space="preserve">[104] </w:t>
      </w:r>
      <w:hyperlink r:id="rId778">
        <w:r>
          <w:rPr>
            <w:color w:val="1155CC"/>
            <w:u w:val="single"/>
          </w:rPr>
          <w:t>仿生分层异质性赋予层状纳米复合材料优异的机械和电绝缘性能</w:t>
        </w:r>
      </w:hyperlink>
    </w:p>
    <w:p>
      <w:pPr>
        <w:spacing w:before="0" w:after="80"/>
      </w:pPr>
      <w:r>
        <w:rPr>
          <w:i/>
          <w:sz w:val="20"/>
        </w:rPr>
        <w:t>EN: Biomimetic hierarchical heterogeneity endows layered nanocomposite with excellent mechanical and electrical insulating properties</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79">
        <w:r>
          <w:rPr>
            <w:color w:val="1155CC"/>
            <w:u w:val="single"/>
          </w:rPr>
          <w:t>10.1126/sciadv.aec6963</w:t>
        </w:r>
      </w:hyperlink>
    </w:p>
    <w:p>
      <w:pPr>
        <w:spacing w:before="0" w:after="120"/>
      </w:pPr>
      <w:r>
        <w:rPr>
          <w:b/>
        </w:rPr>
        <w:t xml:space="preserve">Notes: </w:t>
      </w:r>
      <w:r>
        <w:t>abstract_source=crossref</w:t>
      </w:r>
    </w:p>
    <w:p>
      <w:pPr>
        <w:spacing w:before="0" w:after="80" w:lineRule="auto" w:line="276"/>
      </w:pPr>
      <w:r>
        <w:rPr>
          <w:b/>
        </w:rPr>
        <w:t xml:space="preserve">摘要（ZH）: </w:t>
      </w:r>
      <w:r>
        <w:t>具有高机械和电绝缘性能以及高温稳定性的芳纶基纳米纸是电气安全迫切需要的，但其构建具有挑战性。值得注意的是，生物材料可以采用不同的纳米级构建块并调节其空间分布来构建分层异质结构以优化整体性能。在此，受生物分层异质性的启发，集成二维累托石纳米片（RNS）和一维芳纶纳米纤维（ANF）的构建块，我们构建了具有富含RNS的双边子层和富含ANF的内子层的分层异质结构纳米纸。通过系统调控获得的厚度为20微米的5-10-5异质结构纳米纸表现出令人印象深刻的击穿强度（171千伏/毫米）、耐电晕性能（18.3小时）和机械性能，超越了同质结构RNS-ANF纳米纸。耐电晕增强效率比报道的绝缘纸高出几个数量级。在实时温度（高达 150°C）下，击穿强度和耐电晕性可以保持在较高值。这些特性使我们的仿生分层异质结构纳米纸在应用中极具竞争力。</w:t>
      </w:r>
    </w:p>
    <w:p>
      <w:pPr>
        <w:spacing w:before="0" w:after="200" w:lineRule="auto" w:line="276"/>
      </w:pPr>
      <w:r>
        <w:rPr>
          <w:b/>
        </w:rPr>
        <w:t xml:space="preserve">Abstract (EN): </w:t>
      </w:r>
      <w:r>
        <w:t>Aramid-based nanopapers with high mechanical and electrical insulating properties, together with high-temperature stability, are urgently desired for electrical safety but are challenging to be constructed. Notably, biological materials can adopt different nanoscale building blocks and regulate their spatial distribution to construct hierarchical heterostructure for overall performance optimization. Herein, inspired by biological hierarchical heterogeneity, integrating building blocks of two-dimensional rectorite nanosheet (RNS) and one-dimensional aramid nanofiber (ANF), we construct hierarchically heterostructured nanopapers with RNS-enriched bilateral sublayers and the ANF-enriched inner sublayer. The obtained 5-10-5 heterostructured nanopaper with 20-micrometer thickness through systematic regulation exhibits an impressive combination of breakdown strength (171 kilovolts per millimeter), corona resistance (18.3 hours), and mechanical properties, surpassing homostructured RNS-ANF nanopapers. The enhancement efficiency of corona resistance is orders of magnitude higher than that of reported insulating papers. The breakdown strength and corona resistance can be retained at high values in real-time temperature (up to 150°C). These properties make our biomimetic hierarchically heterostructured nanopaper highly competitive for applications.</w:t>
      </w:r>
    </w:p>
    <w:p>
      <w:pPr>
        <w:spacing w:before="120" w:after="120"/>
      </w:pPr>
      <w:r>
        <w:rPr>
          <w:sz w:val="18"/>
        </w:rPr>
        <w:t>——————————————————————————————————————————————————————————————————————</w:t>
      </w:r>
    </w:p>
    <w:p>
      <w:pPr>
        <w:spacing w:before="160" w:after="40" w:line="240" w:lineRule="auto"/>
      </w:pPr>
      <w:r>
        <w:rPr>
          <w:b/>
        </w:rPr>
        <w:t xml:space="preserve">[105] </w:t>
      </w:r>
      <w:hyperlink r:id="rId780">
        <w:r>
          <w:rPr>
            <w:color w:val="1155CC"/>
            <w:u w:val="single"/>
          </w:rPr>
          <w:t>T 细胞-纳米药物缀合物同步实体瘤治疗的血管正常化和免疫激活</w:t>
        </w:r>
      </w:hyperlink>
    </w:p>
    <w:p>
      <w:pPr>
        <w:spacing w:before="0" w:after="80"/>
      </w:pPr>
      <w:r>
        <w:rPr>
          <w:i/>
          <w:sz w:val="20"/>
        </w:rPr>
        <w:t>EN: T cell–nanodrug conjugates synchronize vascular normalization and immune activation for solid tumor therapy</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81">
        <w:r>
          <w:rPr>
            <w:color w:val="1155CC"/>
            <w:u w:val="single"/>
          </w:rPr>
          <w:t>10.1126/sciadv.adp2955</w:t>
        </w:r>
      </w:hyperlink>
    </w:p>
    <w:p>
      <w:pPr>
        <w:spacing w:before="0" w:after="120"/>
      </w:pPr>
      <w:r>
        <w:rPr>
          <w:b/>
        </w:rPr>
        <w:t xml:space="preserve">Notes: </w:t>
      </w:r>
      <w:r>
        <w:t>abstract_source=crossref</w:t>
      </w:r>
    </w:p>
    <w:p>
      <w:pPr>
        <w:spacing w:before="0" w:after="80" w:lineRule="auto" w:line="276"/>
      </w:pPr>
      <w:r>
        <w:rPr>
          <w:b/>
        </w:rPr>
        <w:t xml:space="preserve">摘要（ZH）: </w:t>
      </w:r>
      <w:r>
        <w:t>过继性 T 细胞疗法需要 T 细胞浸润血管组织并保持免疫功能。然而，在实体瘤治疗中，周围的微环境会产生异常的脉管系统，阻碍 T 细胞浸润。一种能够同时实现血管正常化和增强过继性 T 细胞功能的方法对于有效治疗至关重要，但尚未见报道。在这里，我们报告使用乐伐替尼 (LEN) 诱导短暂的血管正常化，从而促进 T 细胞浸润。此外，LEN 通过促进 T 细胞向记忆表型分化来增强 T 细胞的持久性。我们的结果表明，分化是通过抑制 PI3K-AKT-mTOR 通路（该通路驱动效应器分化）和激活 FOXO1（一种促进记忆形成的转录因子）实现的。为了协调瞬时血管正常化和 T 细胞增强，我们通过酸不稳定的点击化学将负载 LEN 的 PD-L1 阻断胶束与 T 细胞连接起来，形成 pH 响应性 T 细胞纳米药物缀合物。缀合物同步 LEN 和 PD-L1 拮抗剂肽 OPBP-1 的瘤内释放，从而协调血管正常化、T 细胞分化和检查点阻断。在体内，缀合物增加了瘤内 CD8</w:t>
      </w:r>
      <w:r>
        <w:t xml:space="preserve"> </w:t>
      </w:r>
      <w:r>
        <w:t>+</w:t>
      </w:r>
      <w:r>
        <w:t xml:space="preserve"> </w:t>
      </w:r>
      <w:r>
        <w:t>B16-OVA 肿瘤中的 T 细胞和脾记忆 T 细胞增加了六倍以上，并且在 MC38-OVA 肿瘤的子集中实现了完全消退，且没有全身毒性，为实体瘤免疫治疗提供了一种有前景的策略。</w:t>
      </w:r>
    </w:p>
    <w:p>
      <w:pPr>
        <w:spacing w:before="0" w:after="200" w:lineRule="auto" w:line="276"/>
      </w:pPr>
      <w:r>
        <w:rPr>
          <w:b/>
        </w:rPr>
        <w:t xml:space="preserve">Abstract (EN): </w:t>
      </w:r>
      <w:r>
        <w:t>Adoptive T cell therapy requires T cells to infiltrate vascular tissues and preserve immune function. In solid tumor treatment, however, the surrounding microenvironment produces abnormal vasculature that impedes T cell infiltration. An approach that enables vascular normalization and enhances adoptive T cell function in parallel is essential for effective therapy but has not been reported. Here, we report the use of lenvatinib (LEN) to induce transient vascular normalization, thereby facilitating T cell infiltration. Moreover, LEN enhances T cell persistence by promoting the differentiation of T cells toward a memory phenotype. Our results indicate that the differentiation is by suppressing the PI3K–AKT–mTOR pathway, which drives effector differentiation, and by activating FOXO1, a transcription factor that promotes memory formation. To coordinate the transient vascular normalization and T cell enhancement, we link LEN-loaded, PD-L1–blocking micelles to T cells through acid-labile click chemistry, forming pH-responsive T cell–nanodrug conjugates. The conjugates synchronize the intratumoral release of LEN and the PD-L1 antagonist peptide OPBP-1, thereby coordinating vascular normalization, T cell differentiation, and checkpoint blockade. In vivo, the conjugates increased intratumoral CD8</w:t>
      </w:r>
      <w:r>
        <w:t xml:space="preserve"> </w:t>
      </w:r>
      <w:r>
        <w:t>+</w:t>
      </w:r>
      <w:r>
        <w:t xml:space="preserve"> </w:t>
      </w:r>
      <w:r>
        <w:t>T cells and splenic memory T cells by over sixfold in B16-OVA tumors and achieved complete regression in a subset of MC38-OVA tumors without systemic toxicity, providing a promising strategy for solid tumor immunotherapy.</w:t>
      </w:r>
    </w:p>
    <w:p>
      <w:pPr>
        <w:spacing w:before="120" w:after="120"/>
      </w:pPr>
      <w:r>
        <w:rPr>
          <w:sz w:val="18"/>
        </w:rPr>
        <w:t>——————————————————————————————————————————————————————————————————————</w:t>
      </w:r>
    </w:p>
    <w:p>
      <w:pPr>
        <w:spacing w:before="160" w:after="40" w:line="240" w:lineRule="auto"/>
      </w:pPr>
      <w:r>
        <w:rPr>
          <w:b/>
        </w:rPr>
        <w:t xml:space="preserve">[106] </w:t>
      </w:r>
      <w:hyperlink r:id="rId782">
        <w:r>
          <w:rPr>
            <w:color w:val="1155CC"/>
            <w:u w:val="single"/>
          </w:rPr>
          <w:t>由细胞器隔离驱动的新兴代谢寄生</w:t>
        </w:r>
      </w:hyperlink>
    </w:p>
    <w:p>
      <w:pPr>
        <w:spacing w:before="0" w:after="80"/>
      </w:pPr>
      <w:r>
        <w:rPr>
          <w:i/>
          <w:sz w:val="20"/>
        </w:rPr>
        <w:t>EN: Emergent metabolic parasitism driven by organelle sequestration</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83">
        <w:r>
          <w:rPr>
            <w:color w:val="1155CC"/>
            <w:u w:val="single"/>
          </w:rPr>
          <w:t>10.1126/sciadv.adx9022</w:t>
        </w:r>
      </w:hyperlink>
    </w:p>
    <w:p>
      <w:pPr>
        <w:spacing w:before="0" w:after="120"/>
      </w:pPr>
      <w:r>
        <w:rPr>
          <w:b/>
        </w:rPr>
        <w:t xml:space="preserve">Notes: </w:t>
      </w:r>
      <w:r>
        <w:t>abstract_source=crossref</w:t>
      </w:r>
    </w:p>
    <w:p>
      <w:pPr>
        <w:spacing w:before="0" w:after="80" w:lineRule="auto" w:line="276"/>
      </w:pPr>
      <w:r>
        <w:rPr>
          <w:b/>
        </w:rPr>
        <w:t xml:space="preserve">摘要（ZH）: </w:t>
      </w:r>
      <w:r>
        <w:t>代谢的稳定获得，例如真核叶绿体的内共生掺入，被认为是通过增加宿主遗传库并允许新代谢垂直整合的机制进行的。在这里，我们使用窃取叶绿体的海洋纤毛虫属来测试这些预测</w:t>
      </w:r>
      <w:r>
        <w:t xml:space="preserve"> </w:t>
      </w:r>
      <w:r>
        <w:t>中钠盐</w:t>
      </w:r>
      <w:r>
        <w:t xml:space="preserve"> </w:t>
      </w:r>
      <w:r>
        <w:t>通过比较代表从完全异养到几乎完全光养的物种的转录组。我们发现，随着对后天光合作用的依赖增加，代谢自主性显着减弱。光合作用强，赤潮形成</w:t>
      </w:r>
      <w:r>
        <w:t xml:space="preserve"> </w:t>
      </w:r>
      <w:r>
        <w:t>红色中藻</w:t>
      </w:r>
      <w:r>
        <w:t xml:space="preserve"> </w:t>
      </w:r>
      <w:r>
        <w:t>似乎已经失去了合成氨基酸、代谢脂肪酸和产生过氧化物酶体的能力。我们的研究结果描绘了一种代谢寄生虫，伪装成自由生活的纤毛虫，但无法满足其大部分基本合成代谢需求，并为理解从异养到光养的进化转变提供了另一种模型。</w:t>
      </w:r>
    </w:p>
    <w:p>
      <w:pPr>
        <w:spacing w:before="0" w:after="200" w:lineRule="auto" w:line="276"/>
      </w:pPr>
      <w:r>
        <w:rPr>
          <w:b/>
        </w:rPr>
        <w:t xml:space="preserve">Abstract (EN): </w:t>
      </w:r>
      <w:r>
        <w:t>Stable acquisitions of metabolism, such as the endosymbiotic incorporation of eukaryotic chloroplasts, are thought to proceed through mechanisms that increase the genetic repertoire of the host and allow for vertical integration of new metabolism. Here, we test these predictions using the chloroplast-stealing marine ciliate genus</w:t>
      </w:r>
      <w:r>
        <w:t xml:space="preserve"> </w:t>
      </w:r>
      <w:r>
        <w:t>Mesodinium</w:t>
      </w:r>
      <w:r>
        <w:t xml:space="preserve"> </w:t>
      </w:r>
      <w:r>
        <w:t>by comparing transcriptomes from species that represent a spectrum from full heterotrophy to nearly full phototrophy. We find a notable divestment in metabolic autonomy with increased reliance on acquired photosynthesis. The highly photosynthetic, red tide-forming</w:t>
      </w:r>
      <w:r>
        <w:t xml:space="preserve"> </w:t>
      </w:r>
      <w:r>
        <w:t>Mesodinium rubrum</w:t>
      </w:r>
      <w:r>
        <w:t xml:space="preserve"> </w:t>
      </w:r>
      <w:r>
        <w:t>appears to have lost the capacity to synthesize amino acids, metabolize fatty acids, and produce peroxisomes. Our results portray a metabolic parasite, masquerading as a free-living ciliate that is nonetheless incapable of satisfying most of its basic anabolic needs and which provides an alternate model for understanding evolutionary transitions from heterotrophy to phototrophy.</w:t>
      </w:r>
    </w:p>
    <w:p>
      <w:pPr>
        <w:spacing w:before="120" w:after="120"/>
      </w:pPr>
      <w:r>
        <w:rPr>
          <w:sz w:val="18"/>
        </w:rPr>
        <w:t>——————————————————————————————————————————————————————————————————————</w:t>
      </w:r>
    </w:p>
    <w:p>
      <w:pPr>
        <w:spacing w:before="160" w:after="40" w:line="240" w:lineRule="auto"/>
      </w:pPr>
      <w:r>
        <w:rPr>
          <w:b/>
        </w:rPr>
        <w:t xml:space="preserve">[107] </w:t>
      </w:r>
      <w:hyperlink r:id="rId784">
        <w:r>
          <w:rPr>
            <w:color w:val="1155CC"/>
            <w:u w:val="single"/>
          </w:rPr>
          <w:t>一个全面且可访问的有颌脊椎动物物种数据库</w:t>
        </w:r>
      </w:hyperlink>
    </w:p>
    <w:p>
      <w:pPr>
        <w:spacing w:before="0" w:after="80"/>
      </w:pPr>
      <w:r>
        <w:rPr>
          <w:i/>
          <w:sz w:val="20"/>
        </w:rPr>
        <w:t>EN: A comprehensive and accessible database of jawed-vertebrate ohnologs</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85">
        <w:r>
          <w:rPr>
            <w:color w:val="1155CC"/>
            <w:u w:val="single"/>
          </w:rPr>
          <w:t>10.1126/sciadv.adz8270</w:t>
        </w:r>
      </w:hyperlink>
    </w:p>
    <w:p>
      <w:pPr>
        <w:spacing w:before="0" w:after="120"/>
      </w:pPr>
      <w:r>
        <w:rPr>
          <w:b/>
        </w:rPr>
        <w:t xml:space="preserve">Notes: </w:t>
      </w:r>
      <w:r>
        <w:t>abstract_source=crossref</w:t>
      </w:r>
    </w:p>
    <w:p>
      <w:pPr>
        <w:spacing w:before="0" w:after="80" w:lineRule="auto" w:line="276"/>
      </w:pPr>
      <w:r>
        <w:rPr>
          <w:b/>
        </w:rPr>
        <w:t xml:space="preserve">摘要（ZH）: </w:t>
      </w:r>
      <w:r>
        <w:t>全基因组复制（WGD）深刻影响了早期脊椎动物的进化。从这些事件中保留的一组旁系同源物（“ohnologs”）对基因组结构和功能（包括疾病基因富集）产生了持久影响。尽管如此，我们仍然缺乏黄金标准的 ohnolog 数据库。在这里，我们利用祖先基因组重建以及系统发育和同线性信息来生成强大的 ohnolog 数据集，其中包括有关证据的性质和质量的详细信息以及用户友好的界面。我们已经能够解析大量病例的 1R 与 2R 起源，并包括以前难以检测的 ohnologs。我们发现 1R 保留的 ohnologs 参与细胞运输，而 1R 和 2R 后保留的 ohnologs 偏向于信号传导功能，尤其是神经元信号传导。这些发现表明，在最初适应多倍体的细胞负担后，WGD 扩大了细胞间通讯的机会。</w:t>
      </w:r>
    </w:p>
    <w:p>
      <w:pPr>
        <w:spacing w:before="0" w:after="200" w:lineRule="auto" w:line="276"/>
      </w:pPr>
      <w:r>
        <w:rPr>
          <w:b/>
        </w:rPr>
        <w:t xml:space="preserve">Abstract (EN): </w:t>
      </w:r>
      <w:r>
        <w:t>Whole-genome duplications (WGDs) profoundly shaped early vertebrate evolution. The set of paralogs retained from these events—“ohnologs”—has had lasting impacts on genome structure and function, including disease gene enrichment. Despite this, we still lack a gold standard ohnolog database. Here, we have harnessed ancestral genome reconstructions together with phylogenetic and synteny information to produce a robust ohnolog dataset that includes details on the nature and quality of evidence and a user-friendly interface. We have been able to resolve the 1R versus 2R origins of a large number of cases, as well as including previously hard-to-detect ohnologs. We find that 1R-retained ohnologs are involved in cellular transport, while those retained after both 1R and 2R are biased toward signaling functions, especially neuronal signaling. These findings suggest that after an initial adaptation to the cellular burden of polyploidy, WGD expanded the opportunities for intercellular communication.</w:t>
      </w:r>
    </w:p>
    <w:p>
      <w:pPr>
        <w:spacing w:before="120" w:after="120"/>
      </w:pPr>
      <w:r>
        <w:rPr>
          <w:sz w:val="18"/>
        </w:rPr>
        <w:t>——————————————————————————————————————————————————————————————————————</w:t>
      </w:r>
    </w:p>
    <w:p>
      <w:pPr>
        <w:spacing w:before="160" w:after="40" w:line="240" w:lineRule="auto"/>
      </w:pPr>
      <w:r>
        <w:rPr>
          <w:b/>
        </w:rPr>
        <w:t xml:space="preserve">[108] </w:t>
      </w:r>
      <w:hyperlink r:id="rId786">
        <w:r>
          <w:rPr>
            <w:color w:val="1155CC"/>
            <w:u w:val="single"/>
          </w:rPr>
          <w:t>深度学习揭示了预测青少年抑郁风险的神经计算机制</w:t>
        </w:r>
      </w:hyperlink>
    </w:p>
    <w:p>
      <w:pPr>
        <w:spacing w:before="0" w:after="80"/>
      </w:pPr>
      <w:r>
        <w:rPr>
          <w:i/>
          <w:sz w:val="20"/>
        </w:rPr>
        <w:t>EN: Deep learning reveals a neurocomputational mechanism predicting depression risk in adolescents</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87">
        <w:r>
          <w:rPr>
            <w:color w:val="1155CC"/>
            <w:u w:val="single"/>
          </w:rPr>
          <w:t>10.1126/sciadv.aed0772</w:t>
        </w:r>
      </w:hyperlink>
    </w:p>
    <w:p>
      <w:pPr>
        <w:spacing w:before="0" w:after="120"/>
      </w:pPr>
      <w:r>
        <w:rPr>
          <w:b/>
        </w:rPr>
        <w:t xml:space="preserve">Notes: </w:t>
      </w:r>
      <w:r>
        <w:t>abstract_source=crossref</w:t>
      </w:r>
    </w:p>
    <w:p>
      <w:pPr>
        <w:spacing w:before="0" w:after="80" w:lineRule="auto" w:line="276"/>
      </w:pPr>
      <w:r>
        <w:rPr>
          <w:b/>
        </w:rPr>
        <w:t xml:space="preserve">摘要（ZH）: </w:t>
      </w:r>
      <w:r>
        <w:t>早期发现和预防精神疾病，特别是抑郁症，仍然是全球主要的健康挑战，但缺乏在症状出现前识别个体的可靠工具。在这里，我们将功能神经影像与计算模型相结合，以确定抑郁症风险的机械生物标志物。在基于人群的青少年队列中（IMAGEN，</w:t>
      </w:r>
      <w:r>
        <w:t xml:space="preserve"> </w:t>
      </w:r>
      <w:r>
        <w:t>氮</w:t>
      </w:r>
      <w:r>
        <w:t xml:space="preserve"> </w:t>
      </w:r>
      <w:r>
        <w:t>= 1332），我们发现情绪信号的神经表征减弱与抑郁症状有关。大脑对齐深度学习模型中的扰动实验表明，这种缺陷反映了过度规范化的情绪感知，产生了负面的感知偏差。在 IMAGEN 随访中，这种机制的神经计算特征可预测 4 年后抑郁症状的发作（</w:t>
      </w:r>
      <w:r>
        <w:t xml:space="preserve"> </w:t>
      </w:r>
      <w:r>
        <w:t>氮</w:t>
      </w:r>
      <w:r>
        <w:t xml:space="preserve"> </w:t>
      </w:r>
      <w:r>
        <w:t>= 725），与抑郁症的遗传风险变异和多基因风险相关，并改善了患者队列中的抑郁症分类（STRATIFY，</w:t>
      </w:r>
      <w:r>
        <w:t xml:space="preserve"> </w:t>
      </w:r>
      <w:r>
        <w:t>氮</w:t>
      </w:r>
      <w:r>
        <w:t xml:space="preserve"> </w:t>
      </w:r>
      <w:r>
        <w:t>= 411）。这些发现提出了一种将遗传脆弱性与情绪感知改变和未来抑郁联系起来的可能机制，并提出了一种具有早期检测和预防潜力的预测计算标记。</w:t>
      </w:r>
    </w:p>
    <w:p>
      <w:pPr>
        <w:spacing w:before="0" w:after="200" w:lineRule="auto" w:line="276"/>
      </w:pPr>
      <w:r>
        <w:rPr>
          <w:b/>
        </w:rPr>
        <w:t xml:space="preserve">Abstract (EN): </w:t>
      </w:r>
      <w:r>
        <w:t>Early detection and prevention of psychiatric disorders, particularly depression, remain as major global health challenges, yet reliable tools for identifying individuals before symptom onset are lacking. Here, we combine functional neuroimaging with computational modeling to identify a mechanistic biomarker of depression risk. In a population-based adolescent cohort (IMAGEN,</w:t>
      </w:r>
      <w:r>
        <w:t xml:space="preserve"> </w:t>
      </w:r>
      <w:r>
        <w:t>N</w:t>
      </w:r>
      <w:r>
        <w:t xml:space="preserve"> </w:t>
      </w:r>
      <w:r>
        <w:t>= 1332), we found that weakened neural representations of emotional signals were linked to depressive symptoms. Perturbation experiments in a brain-aligned deep learning model showed that this deficit reflects overregularized emotion perception, producing a negative perceptual bias. A neurocomputational signature of this mechanism predicted depression symptom onset up to 4 years later at the IMAGEN follow-up (</w:t>
      </w:r>
      <w:r>
        <w:t xml:space="preserve"> </w:t>
      </w:r>
      <w:r>
        <w:t>N</w:t>
      </w:r>
      <w:r>
        <w:t xml:space="preserve"> </w:t>
      </w:r>
      <w:r>
        <w:t>= 725), was associated with both a genetic-risk variant and polygenic risk for depression, and improved depression classification in a patient cohort (STRATIFY,</w:t>
      </w:r>
      <w:r>
        <w:t xml:space="preserve"> </w:t>
      </w:r>
      <w:r>
        <w:t>N</w:t>
      </w:r>
      <w:r>
        <w:t xml:space="preserve"> </w:t>
      </w:r>
      <w:r>
        <w:t>= 411). These findings suggest a possible mechanism linking genetic vulnerability to altered emotion perception and future depression, and propose a predictive computational marker with potential for early detection and prevention.</w:t>
      </w:r>
    </w:p>
    <w:p>
      <w:pPr>
        <w:spacing w:before="120" w:after="120"/>
      </w:pPr>
      <w:r>
        <w:rPr>
          <w:sz w:val="18"/>
        </w:rPr>
        <w:t>——————————————————————————————————————————————————————————————————————</w:t>
      </w:r>
    </w:p>
    <w:p>
      <w:pPr>
        <w:spacing w:before="160" w:after="40" w:line="240" w:lineRule="auto"/>
      </w:pPr>
      <w:r>
        <w:rPr>
          <w:b/>
        </w:rPr>
        <w:t xml:space="preserve">[109] </w:t>
      </w:r>
      <w:hyperlink r:id="rId788">
        <w:r>
          <w:rPr>
            <w:color w:val="1155CC"/>
            <w:u w:val="single"/>
          </w:rPr>
          <w:t>可调谐位错克服了钙钛矿氧化物中的机械功能权衡</w:t>
        </w:r>
      </w:hyperlink>
    </w:p>
    <w:p>
      <w:pPr>
        <w:spacing w:before="0" w:after="80"/>
      </w:pPr>
      <w:r>
        <w:rPr>
          <w:i/>
          <w:sz w:val="20"/>
        </w:rPr>
        <w:t>EN: Tunable dislocations overcome mechano-functional tradeoff in perovskite oxides</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89">
        <w:r>
          <w:rPr>
            <w:color w:val="1155CC"/>
            <w:u w:val="single"/>
          </w:rPr>
          <w:t>10.1126/sciadv.aed0057</w:t>
        </w:r>
      </w:hyperlink>
    </w:p>
    <w:p>
      <w:pPr>
        <w:spacing w:before="0" w:after="120"/>
      </w:pPr>
      <w:r>
        <w:rPr>
          <w:b/>
        </w:rPr>
        <w:t xml:space="preserve">Notes: </w:t>
      </w:r>
      <w:r>
        <w:t>abstract_source=crossref</w:t>
      </w:r>
    </w:p>
    <w:p>
      <w:pPr>
        <w:spacing w:before="0" w:after="80" w:lineRule="auto" w:line="276"/>
      </w:pPr>
      <w:r>
        <w:rPr>
          <w:b/>
        </w:rPr>
        <w:t xml:space="preserve">摘要（ZH）: </w:t>
      </w:r>
      <w:r>
        <w:t>位错工程的最新进展正在重塑陶瓷脆性的传统观点。这里，我们使用KTaO</w:t>
      </w:r>
      <w:r>
        <w:rPr>
          <w:vertAlign w:val="subscript"/>
        </w:rPr>
        <w:t>3</w:t>
      </w:r>
      <w:r>
        <w:t>（KTO），一种新发现的具有室温体塑性的钙钛矿氧化物，并证明籽晶位错可以有效地调节机械和功能性能。我们发现了脆性-延性-脆性（BDB）转变：低位错密度导致脆性破坏，中等密度（∼10</w:t>
      </w:r>
      <w:r>
        <w:rPr>
          <w:vertAlign w:val="subscript"/>
        </w:rPr>
        <w:t>14</w:t>
      </w:r>
      <w:r>
        <w:t>米</w:t>
      </w:r>
      <w:r>
        <w:t xml:space="preserve"> </w:t>
      </w:r>
      <w:r>
        <w:t>−2</w:t>
      </w:r>
      <w:r>
        <w:t xml:space="preserve"> </w:t>
      </w:r>
      <w:r>
        <w:t>）可实现卓越的压缩塑性变形能力，应变超过 20%，并具有高位错密度（∼10</w:t>
      </w:r>
      <w:r>
        <w:rPr>
          <w:vertAlign w:val="subscript"/>
        </w:rPr>
        <w:t>15</w:t>
      </w:r>
      <w:r>
        <w:t>米</w:t>
      </w:r>
      <w:r>
        <w:t xml:space="preserve"> </w:t>
      </w:r>
      <w:r>
        <w:t>−2</w:t>
      </w:r>
      <w:r>
        <w:t xml:space="preserve"> </w:t>
      </w:r>
      <w:r>
        <w:t>）再次诱发脆性断裂。这种位错密度相关的非单调机械响应挑战了陶瓷的传统行为，并提供了设计机会。此外，位错密度可以单调降低热导率，揭示机械强度和功能之间的权衡。研究结果揭示了位错密度在优化功能氧化物性能方面的关键阈值，并为利用位错设计先进材料提供了框架，其中机械耐久性和增强功能交织在一起。</w:t>
      </w:r>
    </w:p>
    <w:p>
      <w:pPr>
        <w:spacing w:before="0" w:after="200" w:lineRule="auto" w:line="276"/>
      </w:pPr>
      <w:r>
        <w:rPr>
          <w:b/>
        </w:rPr>
        <w:t xml:space="preserve">Abstract (EN): </w:t>
      </w:r>
      <w:r>
        <w:t>Recent advancements in dislocation engineering are reshaping the traditional view towards ceramics being brittle. Here, we use KTaO</w:t>
      </w:r>
      <w:r>
        <w:rPr>
          <w:vertAlign w:val="subscript"/>
        </w:rPr>
        <w:t>3</w:t>
      </w:r>
      <w:r>
        <w:t>(KTO), a perovskite oxide that is newly discovered with room-temperature bulk plasticity, and demonstrate that the seeded dislocations can effectively tune both mechanical and functional properties. We uncover a brittle-ductile-brittle (BDB) transition: low dislocation densities lead to brittle failure, intermediate densities (∼10</w:t>
      </w:r>
      <w:r>
        <w:rPr>
          <w:vertAlign w:val="subscript"/>
        </w:rPr>
        <w:t>14</w:t>
      </w:r>
      <w:r>
        <w:t>m</w:t>
      </w:r>
      <w:r>
        <w:t xml:space="preserve"> </w:t>
      </w:r>
      <w:r>
        <w:t>−2</w:t>
      </w:r>
      <w:r>
        <w:t xml:space="preserve"> </w:t>
      </w:r>
      <w:r>
        <w:t>) enable superior compression plastic deformation capacity with strains over 20%, and high dislocation densities (∼10</w:t>
      </w:r>
      <w:r>
        <w:rPr>
          <w:vertAlign w:val="subscript"/>
        </w:rPr>
        <w:t>15</w:t>
      </w:r>
      <w:r>
        <w:t>m</w:t>
      </w:r>
      <w:r>
        <w:t xml:space="preserve"> </w:t>
      </w:r>
      <w:r>
        <w:t>−2</w:t>
      </w:r>
      <w:r>
        <w:t xml:space="preserve"> </w:t>
      </w:r>
      <w:r>
        <w:t>) induce brittle fracture again. This dislocation density-dependent non-monotonic mechanical response challenges the traditional behavior of ceramics and offers design opportunities. Furthermore, dislocation densities can monotonically decrease thermal conductivity, revealing a tradeoff between mechanical strength and functionality. The findings reveal a critical threshold of dislocation density in optimizing the performance of functional oxides, and provide a framework for using dislocations to design advanced materials where mechanical durability and enhanced functionality are intertwined.</w:t>
      </w:r>
    </w:p>
    <w:p>
      <w:pPr>
        <w:spacing w:before="120" w:after="120"/>
      </w:pPr>
      <w:r>
        <w:rPr>
          <w:sz w:val="18"/>
        </w:rPr>
        <w:t>——————————————————————————————————————————————————————————————————————</w:t>
      </w:r>
    </w:p>
    <w:p>
      <w:pPr>
        <w:spacing w:before="160" w:after="40" w:line="240" w:lineRule="auto"/>
      </w:pPr>
      <w:r>
        <w:rPr>
          <w:b/>
        </w:rPr>
        <w:t xml:space="preserve">[110] </w:t>
      </w:r>
      <w:hyperlink r:id="rId790">
        <w:r>
          <w:rPr>
            <w:color w:val="1155CC"/>
            <w:u w:val="single"/>
          </w:rPr>
          <w:t>由于更强的对流耦合波，气候温暖，周期性出现极端降雨</w:t>
        </w:r>
      </w:hyperlink>
    </w:p>
    <w:p>
      <w:pPr>
        <w:spacing w:before="0" w:after="80"/>
      </w:pPr>
      <w:r>
        <w:rPr>
          <w:i/>
          <w:sz w:val="20"/>
        </w:rPr>
        <w:t>EN: Periodic extreme rainfall in a warmer climate due to stronger convectively coupled waves</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91">
        <w:r>
          <w:rPr>
            <w:color w:val="1155CC"/>
            <w:u w:val="single"/>
          </w:rPr>
          <w:t>10.1126/sciadv.aed1634</w:t>
        </w:r>
      </w:hyperlink>
    </w:p>
    <w:p>
      <w:pPr>
        <w:spacing w:before="0" w:after="120"/>
      </w:pPr>
      <w:r>
        <w:rPr>
          <w:b/>
        </w:rPr>
        <w:t xml:space="preserve">Notes: </w:t>
      </w:r>
      <w:r>
        <w:t>abstract_source=crossref</w:t>
      </w:r>
    </w:p>
    <w:p>
      <w:pPr>
        <w:spacing w:before="0" w:after="80" w:lineRule="auto" w:line="276"/>
      </w:pPr>
      <w:r>
        <w:rPr>
          <w:b/>
        </w:rPr>
        <w:t xml:space="preserve">摘要（ZH）: </w:t>
      </w:r>
      <w:r>
        <w:t>热带地区可能会经历周期性的极端降水，并在气候温暖的情况下遭受相关的周期性洪水。最近的研究进行了小域（约 100 公里×100 公里）大气模型模拟，发现当海面温度达到 320 至 325 开尔文时，温室气候中的降水会从稳定状态转变为周期性振荡状态。在这里，我们进行了具有不同复杂性的全球规模大气模型模拟。我们发现对流地区的热带降水已经转变为</w:t>
      </w:r>
      <w:r>
        <w:t xml:space="preserve"> </w:t>
      </w:r>
      <w:r>
        <w:t>氧</w:t>
      </w:r>
      <w:r>
        <w:t xml:space="preserve"> </w:t>
      </w:r>
      <w:r>
        <w:t>（10 天）周期性振荡状态</w:t>
      </w:r>
      <w:r>
        <w:t xml:space="preserve"> </w:t>
      </w:r>
      <w:r>
        <w:t>氧</w:t>
      </w:r>
      <w:r>
        <w:t xml:space="preserve"> </w:t>
      </w:r>
      <w:r>
        <w:t>（</w:t>
      </w:r>
      <w:r>
        <w:rPr>
          <w:vertAlign w:val="subscript"/>
        </w:rPr>
        <w:t>100</w:t>
      </w:r>
      <w:r>
        <w:t xml:space="preserve"> </w:t>
      </w:r>
      <w:r>
        <w:t>毫米</w:t>
      </w:r>
      <w:r>
        <w:t xml:space="preserve"> </w:t>
      </w:r>
      <w:r>
        <w:t>日</w:t>
      </w:r>
      <w:r>
        <w:t xml:space="preserve"> </w:t>
      </w:r>
      <w:r>
        <w:t>-</w:t>
      </w:r>
      <w:r>
        <w:rPr>
          <w:vertAlign w:val="subscript"/>
        </w:rPr>
        <w:t>1</w:t>
      </w:r>
      <w:r>
        <w:t xml:space="preserve"> </w:t>
      </w:r>
      <w:r>
        <w:t>）</w:t>
      </w:r>
      <w:r>
        <w:t xml:space="preserve"> </w:t>
      </w:r>
      <w:r>
        <w:t>振幅为 305 至 310 开尔文，比之前报道的低约 15 开尔文，在高碳排放情景下可在一个世纪内达到</w:t>
      </w:r>
    </w:p>
    <w:p>
      <w:pPr>
        <w:spacing w:before="0" w:after="200" w:lineRule="auto" w:line="276"/>
      </w:pPr>
      <w:r>
        <w:rPr>
          <w:b/>
        </w:rPr>
        <w:t xml:space="preserve">Abstract (EN): </w:t>
      </w:r>
      <w:r>
        <w:t>Tropical regions may experience periodic extreme precipitation and suffer from associated periodic deluges in a warmer climate. Recent studies conducted small-domain (around 100 kilometers by 100 kilometers) atmospheric model simulations and found that precipitation transitions from a steady state to a periodic oscillation state in a hothouse climate when the sea surface temperature reaches 320 to 325 kelvin. Here, we conduct global-scale atmospheric model simulations with varying complexity. We find that tropical precipitation in convective regions already transitions to a</w:t>
      </w:r>
      <w:r>
        <w:t xml:space="preserve"> </w:t>
      </w:r>
      <w:r>
        <w:t>O</w:t>
      </w:r>
      <w:r>
        <w:t xml:space="preserve"> </w:t>
      </w:r>
      <w:r>
        <w:t>(10-day) periodic oscillation state with a</w:t>
      </w:r>
      <w:r>
        <w:t xml:space="preserve"> </w:t>
      </w:r>
      <w:r>
        <w:t>O</w:t>
      </w:r>
      <w:r>
        <w:t xml:space="preserve"> </w:t>
      </w:r>
      <w:r>
        <w:t>(</w:t>
      </w:r>
      <w:r>
        <w:rPr>
          <w:vertAlign w:val="subscript"/>
        </w:rPr>
        <w:t>100</w:t>
      </w:r>
      <w:r>
        <w:t xml:space="preserve"> </w:t>
      </w:r>
      <w:r>
        <w:t>mm</w:t>
      </w:r>
      <w:r>
        <w:t xml:space="preserve"> </w:t>
      </w:r>
      <w:r>
        <w:t>day</w:t>
      </w:r>
      <w:r>
        <w:t xml:space="preserve"> </w:t>
      </w:r>
      <w:r>
        <w:t>−</w:t>
      </w:r>
      <w:r>
        <w:rPr>
          <w:vertAlign w:val="subscript"/>
        </w:rPr>
        <w:t>1</w:t>
      </w:r>
      <w:r>
        <w:t xml:space="preserve"> </w:t>
      </w:r>
      <w:r>
        <w:t>)</w:t>
      </w:r>
      <w:r>
        <w:t xml:space="preserve"> </w:t>
      </w:r>
      <w:r>
        <w:t>amplitude at 305 to 310 kelvin, about 15 kelvin lower than previously reported and within reach in a century under a high–carbon emission scenario. Using a low-order analytical model, we attribute the onset of the periodic extreme precipitation to the intensification of convectively coupled waves that were not considered in the previous small-domain simulations. Our mechanism highlights the importance of the interaction between convection and atmospheric wave dynamics for climate change.</w:t>
      </w:r>
    </w:p>
    <w:p>
      <w:pPr>
        <w:spacing w:before="120" w:after="120"/>
      </w:pPr>
      <w:r>
        <w:rPr>
          <w:sz w:val="18"/>
        </w:rPr>
        <w:t>——————————————————————————————————————————————————————————————————————</w:t>
      </w:r>
    </w:p>
    <w:p>
      <w:pPr>
        <w:spacing w:before="160" w:after="40" w:line="240" w:lineRule="auto"/>
      </w:pPr>
      <w:r>
        <w:rPr>
          <w:b/>
        </w:rPr>
        <w:t xml:space="preserve">[111] </w:t>
      </w:r>
      <w:hyperlink r:id="rId792">
        <w:r>
          <w:rPr>
            <w:color w:val="1155CC"/>
            <w:u w:val="single"/>
          </w:rPr>
          <w:t>次生林演替的开始、速度和方向</w:t>
        </w:r>
      </w:hyperlink>
    </w:p>
    <w:p>
      <w:pPr>
        <w:spacing w:before="0" w:after="80"/>
      </w:pPr>
      <w:r>
        <w:rPr>
          <w:i/>
          <w:sz w:val="20"/>
        </w:rPr>
        <w:t>EN: Start, speed, and direction of secondary forest succession</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93">
        <w:r>
          <w:rPr>
            <w:color w:val="1155CC"/>
            <w:u w:val="single"/>
          </w:rPr>
          <w:t>10.1126/sciadv.aed5470</w:t>
        </w:r>
      </w:hyperlink>
    </w:p>
    <w:p>
      <w:pPr>
        <w:spacing w:before="0" w:after="120"/>
      </w:pPr>
      <w:r>
        <w:rPr>
          <w:b/>
        </w:rPr>
        <w:t xml:space="preserve">Notes: </w:t>
      </w:r>
      <w:r>
        <w:t>abstract_source=crossref</w:t>
      </w:r>
    </w:p>
    <w:p>
      <w:pPr>
        <w:spacing w:before="0" w:after="80" w:lineRule="auto" w:line="276"/>
      </w:pPr>
      <w:r>
        <w:rPr>
          <w:b/>
        </w:rPr>
        <w:t xml:space="preserve">摘要（ZH）: </w:t>
      </w:r>
      <w:r>
        <w:t>演替是生态学的一个基本概念，描述了干扰后种群、群落和生态系统随时间的变化。由于时空变异性较高，预测演替路径具有挑战性。在这里，我们提出了一个统一的机制框架，集成了定义演替路径的演替的三个核心组成部分（开始、速度和方向）。我们监测了三个国家六个热带景观中最近废弃农田的前 5 年森林演替情况，这些国家的土地利用强度不同，干林和湿林也不同。我们发现（i）次生演替通常从木质遗产开始，缓慢但有方向地向结构复杂、生物多样性的森林发展，（ii）在与更多生物遗产相关的短期、低强度（非机械化）土地利用的地区，启动和速度更快。该框架通过解开开始、速度和方向，促进了对演替的机械理解，并为设计有效的森林恢复策略提供了工具。</w:t>
      </w:r>
    </w:p>
    <w:p>
      <w:pPr>
        <w:spacing w:before="0" w:after="200" w:lineRule="auto" w:line="276"/>
      </w:pPr>
      <w:r>
        <w:rPr>
          <w:b/>
        </w:rPr>
        <w:t xml:space="preserve">Abstract (EN): </w:t>
      </w:r>
      <w:r>
        <w:t>Succession is a foundational concept in ecology, describing changes in populations, communities, and ecosystems over time following a disturbance. Predicting successional pathways is challenging because of high spatiotemporal variability. Here, we present a unifying mechanistic framework that integrates three core components of succession (start, speed, and direction) that define successional pathways. We monitored the first 5 years of forest succession in recently abandoned agricultural fields in six tropical landscapes across three countries that differ in land-use intensity and between dry and wet forests. We found that (i) secondary succession typically started with woody legacies and progressed slowly but directionally toward structurally complex, biodiverse forests, and (ii) the start and speed were greater in areas with short-duration, low-intensity (nonmechanized) land use associated with more biological legacies. This framework advances mechanistic understanding of succession by disentangling the start, speed, and direction, and provides a tool for designing effective forest restoration strategies.</w:t>
      </w:r>
    </w:p>
    <w:p>
      <w:pPr>
        <w:spacing w:before="120" w:after="120"/>
      </w:pPr>
      <w:r>
        <w:rPr>
          <w:sz w:val="18"/>
        </w:rPr>
        <w:t>——————————————————————————————————————————————————————————————————————</w:t>
      </w:r>
    </w:p>
    <w:p>
      <w:pPr>
        <w:spacing w:before="160" w:after="40" w:line="240" w:lineRule="auto"/>
      </w:pPr>
      <w:r>
        <w:rPr>
          <w:b/>
        </w:rPr>
        <w:t xml:space="preserve">[112] </w:t>
      </w:r>
      <w:hyperlink r:id="rId794">
        <w:r>
          <w:rPr>
            <w:color w:val="1155CC"/>
            <w:u w:val="single"/>
          </w:rPr>
          <w:t>莫特绝缘体-拓扑金属转变的铁电控制</w:t>
        </w:r>
      </w:hyperlink>
    </w:p>
    <w:p>
      <w:pPr>
        <w:spacing w:before="0" w:after="80"/>
      </w:pPr>
      <w:r>
        <w:rPr>
          <w:i/>
          <w:sz w:val="20"/>
        </w:rPr>
        <w:t>EN: Ferroelectric control of the Mott insulator–topological metal transition</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95">
        <w:r>
          <w:rPr>
            <w:color w:val="1155CC"/>
            <w:u w:val="single"/>
          </w:rPr>
          <w:t>10.1126/sciadv.aed6236</w:t>
        </w:r>
      </w:hyperlink>
    </w:p>
    <w:p>
      <w:pPr>
        <w:spacing w:before="0" w:after="120"/>
      </w:pPr>
      <w:r>
        <w:rPr>
          <w:b/>
        </w:rPr>
        <w:t xml:space="preserve">Notes: </w:t>
      </w:r>
      <w:r>
        <w:t>abstract_source=crossref</w:t>
      </w:r>
    </w:p>
    <w:p>
      <w:pPr>
        <w:spacing w:before="0" w:after="80" w:lineRule="auto" w:line="276"/>
      </w:pPr>
      <w:r>
        <w:rPr>
          <w:b/>
        </w:rPr>
        <w:t xml:space="preserve">摘要（ZH）: </w:t>
      </w:r>
      <w:r>
        <w:t>相关相和拓扑相通常在范德华材料中共存或竞争，但实现它们之间的电可切换和可逆转换仍然是一个巨大的挑战。这种控制对于理解它们的相互作用以及实现非易失性、低功耗拓扑电子器件至关重要。在这里，我们提出并演示了一种在铁电莫特异质结构中莫特绝缘体和拓扑金属之间切换的偏振控制路线。 In α-In</w:t>
      </w:r>
      <w:r>
        <w:rPr>
          <w:vertAlign w:val="subscript"/>
        </w:rPr>
        <w:t>2</w:t>
      </w:r>
      <w:r>
        <w:t>硒</w:t>
      </w:r>
      <w:r>
        <w:rPr>
          <w:vertAlign w:val="subscript"/>
        </w:rPr>
        <w:t>3</w:t>
      </w:r>
      <w:r>
        <w:t>/1T-NbSe</w:t>
      </w:r>
      <w:r>
        <w:rPr>
          <w:vertAlign w:val="subscript"/>
        </w:rPr>
        <w:t>2</w:t>
      </w:r>
      <w:r>
        <w:t>，极化反转通过面外轨道对准来调制层间耦合。向下极化通过 I 型能带排列稳定莫特绝缘态，而向上极化则增强界面杂化，形成层间共价类准键合，并驱动 γ 点能带反转。由此产生的自旋分裂杂化谷穿透价带，诱导出一种非平凡的拓扑态，其固有的反常霍尔电导率约为 10</w:t>
      </w:r>
      <w:r>
        <w:rPr>
          <w:vertAlign w:val="subscript"/>
        </w:rPr>
        <w:t>2</w:t>
      </w:r>
      <w:r>
        <w:t>西门子每厘米。与α-In的比较</w:t>
      </w:r>
      <w:r>
        <w:rPr>
          <w:vertAlign w:val="subscript"/>
        </w:rPr>
        <w:t>2</w:t>
      </w:r>
      <w:r>
        <w:t>硒</w:t>
      </w:r>
      <w:r>
        <w:rPr>
          <w:vertAlign w:val="subscript"/>
        </w:rPr>
        <w:t>3</w:t>
      </w:r>
      <w:r>
        <w:t>/1T-TaSe</w:t>
      </w:r>
      <w:r>
        <w:rPr>
          <w:vertAlign w:val="subscript"/>
        </w:rPr>
        <w:t>2</w:t>
      </w:r>
      <w:r>
        <w:t>和α-In</w:t>
      </w:r>
      <w:r>
        <w:rPr>
          <w:vertAlign w:val="subscript"/>
        </w:rPr>
        <w:t>2</w:t>
      </w:r>
      <w:r>
        <w:t>硒</w:t>
      </w:r>
      <w:r>
        <w:rPr>
          <w:vertAlign w:val="subscript"/>
        </w:rPr>
        <w:t>3</w:t>
      </w:r>
      <w:r>
        <w:t>/1T-TaS</w:t>
      </w:r>
      <w:r>
        <w:rPr>
          <w:vertAlign w:val="subscript"/>
        </w:rPr>
        <w:t>2</w:t>
      </w:r>
      <w:r>
        <w:t>进一步识别以 Γ 为中心的谷和面外</w:t>
      </w:r>
    </w:p>
    <w:p>
      <w:pPr>
        <w:spacing w:before="0" w:after="200" w:lineRule="auto" w:line="276"/>
      </w:pPr>
      <w:r>
        <w:rPr>
          <w:b/>
        </w:rPr>
        <w:t xml:space="preserve">Abstract (EN): </w:t>
      </w:r>
      <w:r>
        <w:t>Correlated and topological phases often coexist or compete in van der Waals materials, yet achieving an electrically switchable and reversible conversion between them remains a substantial challenge. Such control is crucial for understanding their interplay and enabling nonvolatile, low-power topological electronics. Here, we propose and demonstrate a polarization-controlled route to switch between Mott insulator and topological metal in ferroelectric-Mott heterostructures. In α-In</w:t>
      </w:r>
      <w:r>
        <w:rPr>
          <w:vertAlign w:val="subscript"/>
        </w:rPr>
        <w:t>2</w:t>
      </w:r>
      <w:r>
        <w:t>Se</w:t>
      </w:r>
      <w:r>
        <w:rPr>
          <w:vertAlign w:val="subscript"/>
        </w:rPr>
        <w:t>3</w:t>
      </w:r>
      <w:r>
        <w:t>/1T-NbSe</w:t>
      </w:r>
      <w:r>
        <w:rPr>
          <w:vertAlign w:val="subscript"/>
        </w:rPr>
        <w:t>2</w:t>
      </w:r>
      <w:r>
        <w:t>, polarization reversal modulates interlayer coupling through out-of-plane orbital alignment. Downward polarization stabilizes Mott-insulating states with type-I band alignment, whereas upward polarization enhances interfacial hybridization, forms interlayer covalent-like quasi-bonding, and drives Γ-point band inversions. The resulting spin-split hybridized valleys penetrate the valence band, inducing a nontrivial topological state with intrinsic anomalous Hall conductivity of ∼10</w:t>
      </w:r>
      <w:r>
        <w:rPr>
          <w:vertAlign w:val="subscript"/>
        </w:rPr>
        <w:t>2</w:t>
      </w:r>
      <w:r>
        <w:t>siemens per centimeter. The comparison with α-In</w:t>
      </w:r>
      <w:r>
        <w:rPr>
          <w:vertAlign w:val="subscript"/>
        </w:rPr>
        <w:t>2</w:t>
      </w:r>
      <w:r>
        <w:t>Se</w:t>
      </w:r>
      <w:r>
        <w:rPr>
          <w:vertAlign w:val="subscript"/>
        </w:rPr>
        <w:t>3</w:t>
      </w:r>
      <w:r>
        <w:t>/1T-TaSe</w:t>
      </w:r>
      <w:r>
        <w:rPr>
          <w:vertAlign w:val="subscript"/>
        </w:rPr>
        <w:t>2</w:t>
      </w:r>
      <w:r>
        <w:t>and α-In</w:t>
      </w:r>
      <w:r>
        <w:rPr>
          <w:vertAlign w:val="subscript"/>
        </w:rPr>
        <w:t>2</w:t>
      </w:r>
      <w:r>
        <w:t>Se</w:t>
      </w:r>
      <w:r>
        <w:rPr>
          <w:vertAlign w:val="subscript"/>
        </w:rPr>
        <w:t>3</w:t>
      </w:r>
      <w:r>
        <w:t>/1T-TaS</w:t>
      </w:r>
      <w:r>
        <w:rPr>
          <w:vertAlign w:val="subscript"/>
        </w:rPr>
        <w:t>2</w:t>
      </w:r>
      <w:r>
        <w:t>further identifies Γ-centered valleys and out-of-plane</w:t>
      </w:r>
      <w:r>
        <w:t xml:space="preserve"> </w:t>
      </w:r>
      <w:r>
        <w:t>p</w:t>
      </w:r>
      <w:r>
        <w:t xml:space="preserve"> </w:t>
      </w:r>
      <w:r>
        <w:t>z</w:t>
      </w:r>
      <w:r>
        <w:t xml:space="preserve"> </w:t>
      </w:r>
      <w:r>
        <w:t>-orbital coupling as key ingredients for polarization-switchable topology, providing a general design framework for electrically programmable correlated-topological integration in two-dimensional heterostructures.</w:t>
      </w:r>
    </w:p>
    <w:p>
      <w:pPr>
        <w:spacing w:before="120" w:after="120"/>
      </w:pPr>
      <w:r>
        <w:rPr>
          <w:sz w:val="18"/>
        </w:rPr>
        <w:t>——————————————————————————————————————————————————————————————————————</w:t>
      </w:r>
    </w:p>
    <w:p>
      <w:pPr>
        <w:spacing w:before="160" w:after="40" w:line="240" w:lineRule="auto"/>
      </w:pPr>
      <w:r>
        <w:rPr>
          <w:b/>
        </w:rPr>
        <w:t xml:space="preserve">[113] </w:t>
      </w:r>
      <w:hyperlink r:id="rId796">
        <w:r>
          <w:rPr>
            <w:color w:val="1155CC"/>
            <w:u w:val="single"/>
          </w:rPr>
          <w:t>转座元件和同型生态位驱动黑色素瘤表观遗传免疫治疗中的免疫动力学和耐药性</w:t>
        </w:r>
      </w:hyperlink>
    </w:p>
    <w:p>
      <w:pPr>
        <w:spacing w:before="0" w:after="80"/>
      </w:pPr>
      <w:r>
        <w:rPr>
          <w:i/>
          <w:sz w:val="20"/>
        </w:rPr>
        <w:t>EN: Transposable elements and homotypic niches drive immune dynamics and resistance in melanoma epigenetic-based immunotherapy</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97">
        <w:r>
          <w:rPr>
            <w:color w:val="1155CC"/>
            <w:u w:val="single"/>
          </w:rPr>
          <w:t>10.1126/sciadv.aed1318</w:t>
        </w:r>
      </w:hyperlink>
    </w:p>
    <w:p>
      <w:pPr>
        <w:spacing w:before="0" w:after="120"/>
      </w:pPr>
      <w:r>
        <w:rPr>
          <w:b/>
        </w:rPr>
        <w:t xml:space="preserve">Notes: </w:t>
      </w:r>
      <w:r>
        <w:t>abstract_source=crossref</w:t>
      </w:r>
    </w:p>
    <w:p>
      <w:pPr>
        <w:spacing w:before="0" w:after="80" w:lineRule="auto" w:line="276"/>
      </w:pPr>
      <w:r>
        <w:rPr>
          <w:b/>
        </w:rPr>
        <w:t xml:space="preserve">摘要（ZH）: </w:t>
      </w:r>
      <w:r>
        <w:t>黑色素瘤的可塑性通过基因改变以外的动态细胞状态转变来驱动免疫逃避和治疗抵抗。尽管表观遗传重塑是这一过程的核心，但其在治疗压力下的影响仍不清楚。我们使用单细胞多组学和空间转录组学对 1b 期 NIBIT-M4 表观免疫治疗试验 [NCT02608437，DNA（胞嘧啶-5）-甲基转移酶 1 抑制剂加抗 CTLA-4] 治疗的黑色素瘤患者的纵向活检进行了分析。鉴定出七种恶性元程序，包括罕见的 Wnt/β-Catenin 黑素细胞状态和富含无反应者的去分化神经嵴样状态。空间分析表明，同型聚类稳定了抗性程序，神经嵴样细胞形成紧凑的生态位。有反应者表现出抗原呈递/干扰素程序的富集，并协调 T 细胞和 B 细胞扩增，而无反应者保留了稳定的神经嵴样簇。表观遗传疗法重新激活转座元件，启动先天免疫并增强免疫原性。活化 T 细胞的核因子胞质 2 (NFATC2) 成为神经嵴样状态和抵抗力的主要调节因子；它的扰动促进了分化和免疫原性。这些发现定义了耐药机制，并将 β-Catenin 和 NFATC2 指定为治疗漏洞。</w:t>
      </w:r>
    </w:p>
    <w:p>
      <w:pPr>
        <w:spacing w:before="0" w:after="200" w:lineRule="auto" w:line="276"/>
      </w:pPr>
      <w:r>
        <w:rPr>
          <w:b/>
        </w:rPr>
        <w:t xml:space="preserve">Abstract (EN): </w:t>
      </w:r>
      <w:r>
        <w:t>Melanoma plasticity drives immune evasion and therapy resistance through dynamic cell-state transitions beyond genetic alterations. Although epigenetic remodeling is central to this process, its impact under therapeutic pressure remains unclear. We profiled longitudinal biopsies from patients with melanoma treated in the phase 1b NIBIT-M4 epi-immunotherapy trial [NCT02608437, DNA (cytosine-5)-methyltransferase 1 inhibitor plus anti–CTLA-4] using single-cell multiome and spatial transcriptomics. Seven malignant meta-programs were identified, including a rare Wnt/β-Catenin melanocytic state and a dedifferentiated neural crest–like state enriched in nonresponders. Spatial analyses showed that homotypic clustering stabilizes resistant programs, with neural crest–like cells forming compact niches. Responders displayed enrichment of antigen presentation/interferon program and coordinated T and B cell expansion, whereas nonresponders retained stable neural crest–like clusters. Epigenetic therapy reactivated transposable elements, priming innate immunity and enhancing immunogenicity. Nuclear factor of activated T cells, cytoplasmic 2 (NFATC2) emerged as a master regulator of neural crest–like states and resistance; its perturbation promoted differentiation and immunogenicity. These findings define mechanisms of resistance and nominate β-Catenin and NFATC2 as therapeutic vulnerabilities.</w:t>
      </w:r>
    </w:p>
    <w:p>
      <w:pPr>
        <w:spacing w:before="120" w:after="120"/>
      </w:pPr>
      <w:r>
        <w:rPr>
          <w:sz w:val="18"/>
        </w:rPr>
        <w:t>——————————————————————————————————————————————————————————————————————</w:t>
      </w:r>
    </w:p>
    <w:p>
      <w:pPr>
        <w:spacing w:before="160" w:after="40" w:line="240" w:lineRule="auto"/>
      </w:pPr>
      <w:r>
        <w:rPr>
          <w:b/>
        </w:rPr>
        <w:t xml:space="preserve">[114] </w:t>
      </w:r>
      <w:hyperlink r:id="rId798">
        <w:r>
          <w:rPr>
            <w:color w:val="1155CC"/>
            <w:u w:val="single"/>
          </w:rPr>
          <w:t>核糖体蛋白 bL27 保护翻译核糖体免受 tmRNA-SmpB 的影响</w:t>
        </w:r>
      </w:hyperlink>
    </w:p>
    <w:p>
      <w:pPr>
        <w:spacing w:before="0" w:after="80"/>
      </w:pPr>
      <w:r>
        <w:rPr>
          <w:i/>
          <w:sz w:val="20"/>
        </w:rPr>
        <w:t>EN: Ribosomal protein bL27 protects translating ribosomes from tmRNA-SmpB</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799">
        <w:r>
          <w:rPr>
            <w:color w:val="1155CC"/>
            <w:u w:val="single"/>
          </w:rPr>
          <w:t>10.1126/sciadv.aef7696</w:t>
        </w:r>
      </w:hyperlink>
    </w:p>
    <w:p>
      <w:pPr>
        <w:spacing w:before="0" w:after="120"/>
      </w:pPr>
      <w:r>
        <w:rPr>
          <w:b/>
        </w:rPr>
        <w:t xml:space="preserve">Notes: </w:t>
      </w:r>
      <w:r>
        <w:t>abstract_source=crossref</w:t>
      </w:r>
    </w:p>
    <w:p>
      <w:pPr>
        <w:spacing w:before="0" w:after="80" w:lineRule="auto" w:line="276"/>
      </w:pPr>
      <w:r>
        <w:rPr>
          <w:b/>
        </w:rPr>
        <w:t xml:space="preserve">摘要（ZH）: </w:t>
      </w:r>
      <w:r>
        <w:t>细菌核糖体蛋白bL27普遍保守，其氨基末端邻近肽基转移中心，但其在翻译中的作用仍不清楚。结合遗传学、生物化学和分子动力学，我们发现 bL27 在防止转移信使 RNA (tmRNA)-小蛋白 B (SmpB)（参与反式翻译细菌核糖体救援机制的分子）干扰蛋白质合成方面具有意想不到的作用。删除 bL27 基因会导致活力下降 10,000 倍，而这种缺陷可以通过删除编码 tmRNA 的基因来部分挽救。在体外翻译反应中添加 tmRNA-SmpB 会降低缺乏 bL27 的核糖体的蛋白质合成速率，但对野生型核糖体没有影响。分子动力学模拟还表明 bL27 可以减缓 tmRNA 在核糖体上的运动。这些数据将反式翻译和 bL27 联系起来，并支持一个模型，其中 bL27 的氨基末端充当看门人，以防止 tmRNA 空间干扰核糖体上的 tRNA（转移 RNA）。</w:t>
      </w:r>
    </w:p>
    <w:p>
      <w:pPr>
        <w:spacing w:before="0" w:after="200" w:lineRule="auto" w:line="276"/>
      </w:pPr>
      <w:r>
        <w:rPr>
          <w:b/>
        </w:rPr>
        <w:t xml:space="preserve">Abstract (EN): </w:t>
      </w:r>
      <w:r>
        <w:t>Bacterial ribosomal protein bL27 is universally conserved, and its amino terminus is adjacent to the peptidyl transfer center, yet its roles in translation remain unclear. Combining genetics, biochemistry, and molecular dynamics, we show that bL27 has an unexpected role in preventing transfer-messenger RNA (tmRNA)-small protein B (SmpB), molecules involved in the trans-translation bacterial ribosome rescue mechanism, from interfering with protein synthesis. Deletion of the bL27 gene causes a 10,000-fold decrease in viability, and this defect is partially rescued by deletion of the gene encoding tmRNA. Addition of tmRNA-SmpB to in vitro translation reactions decreases the rate of protein synthesis by ribosomes lacking bL27 but has no effect on wild-type ribosomes. Molecular dynamics simulations also indicate that bL27 can slow the movement of tmRNA on the ribosome. These data link trans-translation and bL27 and support a model in which the amino terminus of bL27 acts as a gatekeeper to prevent tmRNA from sterically interfering with tRNA (transfer RNA) on the ribosome.</w:t>
      </w:r>
    </w:p>
    <w:p>
      <w:pPr>
        <w:spacing w:before="120" w:after="120"/>
      </w:pPr>
      <w:r>
        <w:rPr>
          <w:sz w:val="18"/>
        </w:rPr>
        <w:t>——————————————————————————————————————————————————————————————————————</w:t>
      </w:r>
    </w:p>
    <w:p>
      <w:pPr>
        <w:spacing w:before="160" w:after="40" w:line="240" w:lineRule="auto"/>
      </w:pPr>
      <w:r>
        <w:rPr>
          <w:b/>
        </w:rPr>
        <w:t xml:space="preserve">[115] </w:t>
      </w:r>
      <w:hyperlink r:id="rId800">
        <w:r>
          <w:rPr>
            <w:color w:val="1155CC"/>
            <w:u w:val="single"/>
          </w:rPr>
          <w:t>衣壳稳定重新编程 HIV 基因组的核命运</w:t>
        </w:r>
      </w:hyperlink>
    </w:p>
    <w:p>
      <w:pPr>
        <w:spacing w:before="0" w:after="80"/>
      </w:pPr>
      <w:r>
        <w:rPr>
          <w:i/>
          <w:sz w:val="20"/>
        </w:rPr>
        <w:t>EN: Capsid stabilization reprograms the nuclear fate of the HIV genome</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801">
        <w:r>
          <w:rPr>
            <w:color w:val="1155CC"/>
            <w:u w:val="single"/>
          </w:rPr>
          <w:t>10.1126/sciadv.aef9469</w:t>
        </w:r>
      </w:hyperlink>
    </w:p>
    <w:p>
      <w:pPr>
        <w:spacing w:before="0" w:after="120"/>
      </w:pPr>
      <w:r>
        <w:rPr>
          <w:b/>
        </w:rPr>
        <w:t xml:space="preserve">Notes: </w:t>
      </w:r>
      <w:r>
        <w:t>abstract_source=crossref</w:t>
      </w:r>
    </w:p>
    <w:p>
      <w:pPr>
        <w:spacing w:before="0" w:after="80" w:lineRule="auto" w:line="276"/>
      </w:pPr>
      <w:r>
        <w:rPr>
          <w:b/>
        </w:rPr>
        <w:t xml:space="preserve">摘要（ZH）: </w:t>
      </w:r>
      <w:r>
        <w:t>由低纳摩尔浓度的 Lenacapavir (LEN)（一种一流的衣壳抑制剂）诱导的衣壳稳定性可阻止巨噬细胞中的 HIV-1 复制，而不会破坏逆转录或核输入。在 LEN 处理的细胞中，超微结构分析显示，在富含 CPSF6 的核点（HIV-1 诱导的无膜细胞器 (HIV-1-MLO)）中持续存在保留的圆锥形衣壳，这些细胞器在空间上与核斑点 (NS) 附近的规范整合中心保持隔离。 HIV-1–MLO 没有与 NS 融合，而是被重新路由到染色质相关的早幼粒细胞白血病核体 (PML-NB)，在该核体中发生分子交换而无需冷凝融合。这种核重定向与稳定衣壳内病毒基因组的隔离相关，减少了可用于整合的病毒 DNA 库，并将少数可访问的基因组重定向到 PML-NB 附近的非典型整合位点。这些发现揭示了一种以前未被认识的 LEN 作用机制，即衣壳稳定性重新编程巨噬细胞中 HIV-1 基因组的核命运，限制整合并将病毒 DNA 重定向到更具抑制性的核环境，可能会塑造新整合的病毒 DNA 的转录潜力。</w:t>
      </w:r>
    </w:p>
    <w:p>
      <w:pPr>
        <w:spacing w:before="0" w:after="200" w:lineRule="auto" w:line="276"/>
      </w:pPr>
      <w:r>
        <w:rPr>
          <w:b/>
        </w:rPr>
        <w:t xml:space="preserve">Abstract (EN): </w:t>
      </w:r>
      <w:r>
        <w:t>Capsid stabilization, induced by low-nanomolar concentrations of Lenacapavir (LEN)—a first-in-class capsid inhibitor—impedes HIV-1 replication in macrophages without disrupting reverse transcription or nuclear import. In LEN-treated cells, ultrastructural analyses reveal preserved conical capsids persisting within nuclear CPSF6-enriched puncta—HIV-1–induced membraneless organelles (HIV-1–MLOs)—which remain spatially segregated from canonical integration hubs near nuclear speckles (NSs). Rather than fusing with NSs, HIV-1–MLOs are rerouted to chromatin-associated promyelocytic leukemia nuclear bodies (PML-NBs), where molecular exchange occurs without condensate fusion. This nuclear redirection correlates with the sequestration of the viral genome within stabilized capsids, reducing the pool of viral DNA available for integration and redirecting the few accessible genomes to atypical integration sites near PML-NBs. These findings uncover a previously unrecognized mechanism of LEN action, whereby capsid stabilization reprograms the nuclear fate of the HIV-1 genome in macrophages, limiting integration and redirecting viral DNA toward more repressive nuclear environments, likely shaping the transcriptional potential of newly integrated viral DNA.</w:t>
      </w:r>
    </w:p>
    <w:p>
      <w:pPr>
        <w:spacing w:before="120" w:after="120"/>
      </w:pPr>
      <w:r>
        <w:rPr>
          <w:sz w:val="18"/>
        </w:rPr>
        <w:t>——————————————————————————————————————————————————————————————————————</w:t>
      </w:r>
    </w:p>
    <w:p>
      <w:pPr>
        <w:spacing w:before="160" w:after="40" w:line="240" w:lineRule="auto"/>
      </w:pPr>
      <w:r>
        <w:rPr>
          <w:b/>
        </w:rPr>
        <w:t xml:space="preserve">[116] </w:t>
      </w:r>
      <w:hyperlink r:id="rId802">
        <w:r>
          <w:rPr>
            <w:color w:val="1155CC"/>
            <w:u w:val="single"/>
          </w:rPr>
          <w:t>三级淋巴结构的形成驱动 Parkin 抗肿瘤免疫</w:t>
        </w:r>
      </w:hyperlink>
    </w:p>
    <w:p>
      <w:pPr>
        <w:spacing w:before="0" w:after="80"/>
      </w:pPr>
      <w:r>
        <w:rPr>
          <w:i/>
          <w:sz w:val="20"/>
        </w:rPr>
        <w:t>EN: Formation of tertiary lymphoid structures drives Parkin antitumor immunity</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803">
        <w:r>
          <w:rPr>
            <w:color w:val="1155CC"/>
            <w:u w:val="single"/>
          </w:rPr>
          <w:t>10.1126/sciadv.aef3194</w:t>
        </w:r>
      </w:hyperlink>
    </w:p>
    <w:p>
      <w:pPr>
        <w:spacing w:before="0" w:after="120"/>
      </w:pPr>
      <w:r>
        <w:rPr>
          <w:b/>
        </w:rPr>
        <w:t xml:space="preserve">Notes: </w:t>
      </w:r>
      <w:r>
        <w:t>abstract_source=crossref</w:t>
      </w:r>
    </w:p>
    <w:p>
      <w:pPr>
        <w:spacing w:before="0" w:after="80" w:lineRule="auto" w:line="276"/>
      </w:pPr>
      <w:r>
        <w:rPr>
          <w:b/>
        </w:rPr>
        <w:t xml:space="preserve">摘要（ZH）: </w:t>
      </w:r>
      <w:r>
        <w:t>线粒体可以激活免疫力，但在癌症中的作用尚不清楚。在此，我们报告 Parkin（线粒体健康调节剂）的转基因表达可诱导炎症和干扰素 (IFN) 基因特征、抑制前列腺癌形成并产生 CD8</w:t>
      </w:r>
      <w:r>
        <w:t xml:space="preserve"> </w:t>
      </w:r>
      <w:r>
        <w:t>+</w:t>
      </w:r>
      <w:r>
        <w:t xml:space="preserve"> </w:t>
      </w:r>
      <w:r>
        <w:t>和CD20</w:t>
      </w:r>
      <w:r>
        <w:t xml:space="preserve"> </w:t>
      </w:r>
      <w:r>
        <w:t>+</w:t>
      </w:r>
      <w:r>
        <w:t xml:space="preserve"> </w:t>
      </w:r>
      <w:r>
        <w:t>前列腺内免疫聚集体。它们具有成熟三级淋巴结构 (TLS) 的标志，表达 B 细胞成熟标记物 (CXCL13、CCL21)、生发中心形成标记物 (BCL6、GL7)、成熟树突状细胞 (MHC-II/CD208) 和高内皮微静脉 (LYVE-1)。 Parkin TLS 显示 Ig 基因高表达，CXCR5 招募</w:t>
      </w:r>
      <w:r>
        <w:t xml:space="preserve"> </w:t>
      </w:r>
      <w:r>
        <w:t>+</w:t>
      </w:r>
      <w:r>
        <w:t xml:space="preserve"> </w:t>
      </w:r>
      <w:r>
        <w:t>滤泡 T 辅助细胞和 CD69 的扩增</w:t>
      </w:r>
      <w:r>
        <w:t xml:space="preserve"> </w:t>
      </w:r>
      <w:r>
        <w:t>+</w:t>
      </w:r>
      <w:r>
        <w:t xml:space="preserve"> </w:t>
      </w:r>
      <w:r>
        <w:t>/KLRG1</w:t>
      </w:r>
      <w:r>
        <w:t xml:space="preserve"> </w:t>
      </w:r>
      <w:r>
        <w:t>+</w:t>
      </w:r>
      <w:r>
        <w:t xml:space="preserve"> </w:t>
      </w:r>
      <w:r>
        <w:t>效应T细胞。 Parkin 阳性细胞的条件培养基可扩增记忆 B 细胞和浆细胞，增加 IgG1 的产生，并持续 B 和 T 细胞迁移。最后，Parkin 的条件表达在体内诱导 TLS 形成、上调 Ig 链并抑制前列腺癌生长，而 Parkin 在 IFNAR1、CD8 或 CD20 敲除小鼠中的重建没有效果。因此，线粒体免疫协调抗肿瘤反应，而 TLS 的形成有助于肿瘤抑制。</w:t>
      </w:r>
    </w:p>
    <w:p>
      <w:pPr>
        <w:spacing w:before="0" w:after="200" w:lineRule="auto" w:line="276"/>
      </w:pPr>
      <w:r>
        <w:rPr>
          <w:b/>
        </w:rPr>
        <w:t xml:space="preserve">Abstract (EN): </w:t>
      </w:r>
      <w:r>
        <w:t>Mitochondria activate immunity, but the role in cancer is unknown. Here, we report that transgenic expression of Parkin, a regulator of mitochondrial fitness, induces inflammation and interferon (IFN) gene signatures, suppresses prostate cancer formation and generates CD8</w:t>
      </w:r>
      <w:r>
        <w:t xml:space="preserve"> </w:t>
      </w:r>
      <w:r>
        <w:t>+</w:t>
      </w:r>
      <w:r>
        <w:t xml:space="preserve"> </w:t>
      </w:r>
      <w:r>
        <w:t>and CD20</w:t>
      </w:r>
      <w:r>
        <w:t xml:space="preserve"> </w:t>
      </w:r>
      <w:r>
        <w:t>+</w:t>
      </w:r>
      <w:r>
        <w:t xml:space="preserve"> </w:t>
      </w:r>
      <w:r>
        <w:t>intraprostatic immune aggregates. These had hallmarks of mature tertiary lymphoid structures (TLS), expressing markers of B cell maturation (CXCL13, CCL21), germinal center formation (BCL6, GL7), mature dendritic cells (MHC-II/CD208) and high endothelial venules (LYVE-1). Parkin TLS showed high Ig gene expression, recruitment of CXCR5</w:t>
      </w:r>
      <w:r>
        <w:t xml:space="preserve"> </w:t>
      </w:r>
      <w:r>
        <w:t>+</w:t>
      </w:r>
      <w:r>
        <w:t xml:space="preserve"> </w:t>
      </w:r>
      <w:r>
        <w:t>follicular T helper cells and expansion of CD69</w:t>
      </w:r>
      <w:r>
        <w:t xml:space="preserve"> </w:t>
      </w:r>
      <w:r>
        <w:t>+</w:t>
      </w:r>
      <w:r>
        <w:t xml:space="preserve"> </w:t>
      </w:r>
      <w:r>
        <w:t>/KLRG1</w:t>
      </w:r>
      <w:r>
        <w:t xml:space="preserve"> </w:t>
      </w:r>
      <w:r>
        <w:t>+</w:t>
      </w:r>
      <w:r>
        <w:t xml:space="preserve"> </w:t>
      </w:r>
      <w:r>
        <w:t>effector T cells. Conditioned medium from Parkin-positive cells expanded memory B and plasma cells, increased IgG1 production, and sustained B and T cell migration. Finally, conditional expression of Parkin induced TLS formation, upregulated Ig chains and inhibited prostate cancer growth, in vivo, whereas Parkin reconstitution in IFNAR1, CD8 or CD20 knockout mice had no effect. Therefore, mitochondrial immunity orchestrates antitumor responses, and TLS formation contributes to tumor suppression.</w:t>
      </w:r>
    </w:p>
    <w:p>
      <w:pPr>
        <w:spacing w:before="120" w:after="120"/>
      </w:pPr>
      <w:r>
        <w:rPr>
          <w:sz w:val="18"/>
        </w:rPr>
        <w:t>——————————————————————————————————————————————————————————————————————</w:t>
      </w:r>
    </w:p>
    <w:p>
      <w:pPr>
        <w:spacing w:before="160" w:after="40" w:line="240" w:lineRule="auto"/>
      </w:pPr>
      <w:r>
        <w:rPr>
          <w:b/>
        </w:rPr>
        <w:t xml:space="preserve">[117] </w:t>
      </w:r>
      <w:hyperlink r:id="rId804">
        <w:r>
          <w:rPr>
            <w:color w:val="1155CC"/>
            <w:u w:val="single"/>
          </w:rPr>
          <w:t>SWOT揭示内孤立波的全局分布和振幅</w:t>
        </w:r>
      </w:hyperlink>
    </w:p>
    <w:p>
      <w:pPr>
        <w:spacing w:before="0" w:after="80"/>
      </w:pPr>
      <w:r>
        <w:rPr>
          <w:i/>
          <w:sz w:val="20"/>
        </w:rPr>
        <w:t>EN: Global distribution and amplitudes of internal solitary waves revealed by SWOT</w:t>
      </w:r>
    </w:p>
    <w:p>
      <w:pPr>
        <w:spacing w:before="0" w:after="120"/>
      </w:pPr>
      <w:r>
        <w:rPr>
          <w:b/>
        </w:rPr>
        <w:t xml:space="preserve">Source: </w:t>
      </w:r>
      <w:r>
        <w:t>AAAS: Science Advances: Table of Contents</w:t>
      </w:r>
      <w:r>
        <w:t xml:space="preserve">    </w:t>
      </w:r>
      <w:r>
        <w:rPr>
          <w:b/>
        </w:rPr>
        <w:t xml:space="preserve">Pub date: </w:t>
      </w:r>
      <w:r>
        <w:t>2026-08-07 07:00:00+00:00</w:t>
      </w:r>
      <w:r>
        <w:t xml:space="preserve">    </w:t>
      </w:r>
      <w:r>
        <w:rPr>
          <w:b/>
        </w:rPr>
        <w:t xml:space="preserve">DOI: </w:t>
      </w:r>
      <w:hyperlink r:id="rId805">
        <w:r>
          <w:rPr>
            <w:color w:val="1155CC"/>
            <w:u w:val="single"/>
          </w:rPr>
          <w:t>10.1126/sciadv.aee0923</w:t>
        </w:r>
      </w:hyperlink>
    </w:p>
    <w:p>
      <w:pPr>
        <w:spacing w:before="0" w:after="120"/>
      </w:pPr>
      <w:r>
        <w:rPr>
          <w:b/>
        </w:rPr>
        <w:t xml:space="preserve">Notes: </w:t>
      </w:r>
      <w:r>
        <w:t>abstract_source=crossref</w:t>
      </w:r>
    </w:p>
    <w:p>
      <w:pPr>
        <w:spacing w:before="0" w:after="80" w:lineRule="auto" w:line="276"/>
      </w:pPr>
      <w:r>
        <w:rPr>
          <w:b/>
        </w:rPr>
        <w:t xml:space="preserve">摘要（ZH）: </w:t>
      </w:r>
      <w:r>
        <w:t>内孤立波 (ISW) 是一种强大的水下扰动，可以使水垂直位移超过 200 米，推动海洋混合并影响海上工程。然而，它们的全球分布和垂直印记仍然不明确。传统的卫星传感器受到云层覆盖或有限采样的限制。地表水和海洋地形 (SWOT) 任务以前所未有的分辨率提供近乎连续、独立于云的海洋观测。在这里，我们开发了一个人工智能框架来自动检测全球 ISW。这项研究利用 29 个 SWOT 轨道周期（2023 年 7 月至 2025 年 3 月），揭示了 ISW 分布和振幅变化的全球地图，识别了高能热点以及明显的季节和潮汐变化。这些发现提供了对ISW动态的见解，并为评估其在全球能源再分配和海洋气候相互作用中的作用奠定了基础。</w:t>
      </w:r>
    </w:p>
    <w:p>
      <w:pPr>
        <w:spacing w:before="0" w:after="200" w:lineRule="auto" w:line="276"/>
      </w:pPr>
      <w:r>
        <w:rPr>
          <w:b/>
        </w:rPr>
        <w:t xml:space="preserve">Abstract (EN): </w:t>
      </w:r>
      <w:r>
        <w:t>Internal solitary waves (ISWs) are powerful underwater disturbances that can vertically displace water by more than 200 meters, driving ocean mixing and affecting offshore engineering. Yet, their global distributions and vertical imprints remain poorly characterized. Traditional satellite sensors are constrained by cloud cover or limited sampling. The Surface Water and Ocean Topography (SWOT) mission provides near-continuous, cloud-independent ocean observations at unprecedented resolution. Here, we develop an artificial intelligence framework to automatically detect ISWs worldwide. Using 29 SWOT orbital cycles (July 2023 to March 2025), this study reveals a global map of ISW distribution and amplitude variations, identifying energetic hot spots and distinct seasonal and tidal variations. These findings provide insights into ISW dynamics and offer a foundation for assessing their role in global energy redistribution and ocean-climate interactions.</w:t>
      </w:r>
    </w:p>
    <w:p>
      <w:pPr>
        <w:spacing w:before="120" w:after="120"/>
      </w:pPr>
      <w:r>
        <w:rPr>
          <w:sz w:val="18"/>
        </w:rPr>
        <w:t>——————————————————————————————————————————————————————————————————————</w:t>
      </w:r>
    </w:p>
    <w:p>
      <w:pPr>
        <w:spacing w:before="160" w:after="40" w:line="240" w:lineRule="auto"/>
      </w:pPr>
      <w:r>
        <w:rPr>
          <w:b/>
        </w:rPr>
        <w:t xml:space="preserve">[118] </w:t>
      </w:r>
      <w:hyperlink r:id="rId806">
        <w:r>
          <w:rPr>
            <w:color w:val="1155CC"/>
            <w:u w:val="single"/>
          </w:rPr>
          <w:t>强子质量和痕量异常分解和规则的晶格 QCD 验证</w:t>
        </w:r>
      </w:hyperlink>
    </w:p>
    <w:p>
      <w:pPr>
        <w:spacing w:before="0" w:after="80"/>
      </w:pPr>
      <w:r>
        <w:rPr>
          <w:i/>
          <w:sz w:val="20"/>
        </w:rPr>
        <w:t>EN: Lattice-QCD Validation of Hadron Mass and Trace-Anomaly Decomposition Sum Rules</w:t>
      </w:r>
    </w:p>
    <w:p>
      <w:pPr>
        <w:spacing w:before="0" w:after="120"/>
      </w:pPr>
      <w:r>
        <w:rPr>
          <w:b/>
        </w:rPr>
        <w:t xml:space="preserve">Source: </w:t>
      </w:r>
      <w:r>
        <w:t>Recent Articles in Phys. Rev. Lett.</w:t>
      </w:r>
      <w:r>
        <w:t xml:space="preserve">    </w:t>
      </w:r>
      <w:r>
        <w:rPr>
          <w:b/>
        </w:rPr>
        <w:t xml:space="preserve">Pub date: </w:t>
      </w:r>
      <w:r>
        <w:t>2026-08-07 10:00:00+00:00</w:t>
      </w:r>
      <w:r>
        <w:t xml:space="preserve">    </w:t>
      </w:r>
      <w:r>
        <w:rPr>
          <w:b/>
        </w:rPr>
        <w:t xml:space="preserve">DOI: </w:t>
      </w:r>
      <w:hyperlink r:id="rId807">
        <w:r>
          <w:rPr>
            <w:color w:val="1155CC"/>
            <w:u w:val="single"/>
          </w:rPr>
          <w:t>10.1103/5n46-717z</w:t>
        </w:r>
      </w:hyperlink>
    </w:p>
    <w:p>
      <w:pPr>
        <w:spacing w:before="0" w:after="120"/>
      </w:pPr>
      <w:r>
        <w:rPr>
          <w:b/>
        </w:rPr>
        <w:t xml:space="preserve">Notes: </w:t>
      </w:r>
      <w:r>
        <w:t>abstract_source=rss_description</w:t>
      </w:r>
    </w:p>
    <w:p>
      <w:pPr>
        <w:spacing w:before="0" w:after="80" w:lineRule="auto" w:line="276"/>
      </w:pPr>
      <w:r>
        <w:rPr>
          <w:b/>
        </w:rPr>
        <w:t xml:space="preserve">摘要（ZH）: </w:t>
      </w:r>
      <w:r>
        <w:t>作者：Dennis Bollweg、Heng-Tong Ding、Xiang Gau、Ran Luo 和 Swagato Mukherjee我们通过从第一原理计算夸克和胶子能量动量张量矩阵元素的所有相关张量分量，提出了与强子质量的夸克-胶子分解相关的多个求和规则的第一个晶格 QCD 验证。我们通过非微扰重整来实现这一点......[物理。莱特牧师。 137, 061901] 发布于 2026 年 8 月 7 日星期五</w:t>
      </w:r>
    </w:p>
    <w:p>
      <w:pPr>
        <w:spacing w:before="0" w:after="200" w:lineRule="auto" w:line="276"/>
      </w:pPr>
      <w:r>
        <w:rPr>
          <w:b/>
        </w:rPr>
        <w:t xml:space="preserve">Abstract (EN): </w:t>
      </w:r>
      <w:r>
        <w:t>Author(s): Dennis Bollweg, Heng-Tong Ding, Xiang Gao, Ran Luo, and Swagato MukherjeeWe present the first lattice-QCD validation of multiple sum rules associated with quark-gluon decomposition of hadron mass by computing all relevant tensor components of the quark and gluon energy-momentum tensor matrix elements from first principles. We achieve this through nonperturbative renormal…[Phys. Rev. Lett. 137, 061901] Published Fri Aug 07, 2026</w:t>
      </w:r>
    </w:p>
    <w:p>
      <w:pPr>
        <w:spacing w:before="120" w:after="120"/>
      </w:pPr>
      <w:r>
        <w:rPr>
          <w:sz w:val="18"/>
        </w:rPr>
        <w:t>——————————————————————————————————————————————————————————————————————</w:t>
      </w:r>
    </w:p>
    <w:p>
      <w:pPr>
        <w:spacing w:before="160" w:after="40" w:line="240" w:lineRule="auto"/>
      </w:pPr>
      <w:r>
        <w:rPr>
          <w:b/>
        </w:rPr>
        <w:t xml:space="preserve">[119] </w:t>
      </w:r>
      <w:hyperlink r:id="rId808">
        <w:r>
          <w:rPr>
            <w:color w:val="1155CC"/>
            <w:u w:val="single"/>
          </w:rPr>
          <w:t>使用光子 Greenberger-Horne-Zeilinger 态的实验量子投票</w:t>
        </w:r>
      </w:hyperlink>
    </w:p>
    <w:p>
      <w:pPr>
        <w:spacing w:before="0" w:after="80"/>
      </w:pPr>
      <w:r>
        <w:rPr>
          <w:i/>
          <w:sz w:val="20"/>
        </w:rPr>
        <w:t>EN: Experimental Quantum Voting Using Photonic Greenberger-Horne-Zeilinger States</w:t>
      </w:r>
    </w:p>
    <w:p>
      <w:pPr>
        <w:spacing w:before="0" w:after="120"/>
      </w:pPr>
      <w:r>
        <w:rPr>
          <w:b/>
        </w:rPr>
        <w:t xml:space="preserve">Source: </w:t>
      </w:r>
      <w:r>
        <w:t>Recent Articles in Phys. Rev. Lett.</w:t>
      </w:r>
      <w:r>
        <w:t xml:space="preserve">    </w:t>
      </w:r>
      <w:r>
        <w:rPr>
          <w:b/>
        </w:rPr>
        <w:t xml:space="preserve">Pub date: </w:t>
      </w:r>
      <w:r>
        <w:t>2026-08-07 10:00:00+00:00</w:t>
      </w:r>
      <w:r>
        <w:t xml:space="preserve">    </w:t>
      </w:r>
      <w:r>
        <w:rPr>
          <w:b/>
        </w:rPr>
        <w:t xml:space="preserve">DOI: </w:t>
      </w:r>
      <w:hyperlink r:id="rId809">
        <w:r>
          <w:rPr>
            <w:color w:val="1155CC"/>
            <w:u w:val="single"/>
          </w:rPr>
          <w:t>10.1103/jlvb-t2xl</w:t>
        </w:r>
      </w:hyperlink>
    </w:p>
    <w:p>
      <w:pPr>
        <w:spacing w:before="0" w:after="120"/>
      </w:pPr>
      <w:r>
        <w:rPr>
          <w:b/>
        </w:rPr>
        <w:t xml:space="preserve">Notes: </w:t>
      </w:r>
      <w:r>
        <w:t>abstract_source=rss_description</w:t>
      </w:r>
    </w:p>
    <w:p>
      <w:pPr>
        <w:spacing w:before="0" w:after="80" w:lineRule="auto" w:line="276"/>
      </w:pPr>
      <w:r>
        <w:rPr>
          <w:b/>
        </w:rPr>
        <w:t xml:space="preserve">摘要（ZH）: </w:t>
      </w:r>
      <w:r>
        <w:t>作者：F. Joseph Marcellino、Mingsong Wu 和 Rob Thew 两个研究团队已经进行了小规模的投票协议演示，这些协议可以利用量子力学原理确保选举安全。莱特牧师。 137, 060802] 发布于 2026 年 8 月 7 日星期五</w:t>
      </w:r>
    </w:p>
    <w:p>
      <w:pPr>
        <w:spacing w:before="0" w:after="200" w:lineRule="auto" w:line="276"/>
      </w:pPr>
      <w:r>
        <w:rPr>
          <w:b/>
        </w:rPr>
        <w:t xml:space="preserve">Abstract (EN): </w:t>
      </w:r>
      <w:r>
        <w:t>Author(s): F. Joseph Marcellino, Mingsong Wu, and Rob ThewTwo research teams have run small-scale demonstrations of voting protocols that could ensure election security using the principles of quantum mechanics.[Phys. Rev. Lett. 137, 060802] Published Fri Aug 07, 2026</w:t>
      </w:r>
    </w:p>
    <w:p>
      <w:pPr>
        <w:spacing w:before="120" w:after="120"/>
      </w:pPr>
      <w:r>
        <w:rPr>
          <w:sz w:val="18"/>
        </w:rPr>
        <w:t>——————————————————————————————————————————————————————————————————————</w:t>
      </w:r>
    </w:p>
    <w:p>
      <w:pPr>
        <w:spacing w:before="160" w:after="40" w:line="240" w:lineRule="auto"/>
      </w:pPr>
      <w:r>
        <w:rPr>
          <w:b/>
        </w:rPr>
        <w:t xml:space="preserve">[120] </w:t>
      </w:r>
      <w:hyperlink r:id="rId810">
        <w:r>
          <w:rPr>
            <w:color w:val="1155CC"/>
            <w:u w:val="single"/>
          </w:rPr>
          <w:t>实验量子电子投票</w:t>
        </w:r>
      </w:hyperlink>
    </w:p>
    <w:p>
      <w:pPr>
        <w:spacing w:before="0" w:after="80"/>
      </w:pPr>
      <w:r>
        <w:rPr>
          <w:i/>
          <w:sz w:val="20"/>
        </w:rPr>
        <w:t>EN: Experimental Quantum Electronic Voting</w:t>
      </w:r>
    </w:p>
    <w:p>
      <w:pPr>
        <w:spacing w:before="0" w:after="120"/>
      </w:pPr>
      <w:r>
        <w:rPr>
          <w:b/>
        </w:rPr>
        <w:t xml:space="preserve">Source: </w:t>
      </w:r>
      <w:r>
        <w:t>Recent Articles in Phys. Rev. Lett.</w:t>
      </w:r>
      <w:r>
        <w:t xml:space="preserve">    </w:t>
      </w:r>
      <w:r>
        <w:rPr>
          <w:b/>
        </w:rPr>
        <w:t xml:space="preserve">Pub date: </w:t>
      </w:r>
      <w:r>
        <w:t>2026-08-07 10:00:00+00:00</w:t>
      </w:r>
      <w:r>
        <w:t xml:space="preserve">    </w:t>
      </w:r>
      <w:r>
        <w:rPr>
          <w:b/>
        </w:rPr>
        <w:t xml:space="preserve">DOI: </w:t>
      </w:r>
      <w:hyperlink r:id="rId811">
        <w:r>
          <w:rPr>
            <w:color w:val="1155CC"/>
            <w:u w:val="single"/>
          </w:rPr>
          <w:t>10.1103/scjl-5ygh</w:t>
        </w:r>
      </w:hyperlink>
    </w:p>
    <w:p>
      <w:pPr>
        <w:spacing w:before="0" w:after="120"/>
      </w:pPr>
      <w:r>
        <w:rPr>
          <w:b/>
        </w:rPr>
        <w:t xml:space="preserve">Notes: </w:t>
      </w:r>
      <w:r>
        <w:t>abstract_source=rss_description</w:t>
      </w:r>
    </w:p>
    <w:p>
      <w:pPr>
        <w:spacing w:before="0" w:after="80" w:lineRule="auto" w:line="276"/>
      </w:pPr>
      <w:r>
        <w:rPr>
          <w:b/>
        </w:rPr>
        <w:t xml:space="preserve">摘要（ZH）: </w:t>
      </w:r>
      <w:r>
        <w:t>作者：Nicolas Laurent-Puig、Matilde Baroni、Federico Centrone 和 Eleni Diamanti 两个研究团队已经进行了投票协议的小规模演示，这些协议可以利用量子力学原理确保选举安全。莱特牧师。 137, 060803] 发布于 2026 年 8 月 7 日星期五</w:t>
      </w:r>
    </w:p>
    <w:p>
      <w:pPr>
        <w:spacing w:before="0" w:after="200" w:lineRule="auto" w:line="276"/>
      </w:pPr>
      <w:r>
        <w:rPr>
          <w:b/>
        </w:rPr>
        <w:t xml:space="preserve">Abstract (EN): </w:t>
      </w:r>
      <w:r>
        <w:t>Author(s): Nicolas Laurent-Puig, Matilde Baroni, Federico Centrone, and Eleni DiamantiTwo research teams have run small-scale demonstrations of voting protocols that could ensure election security using the principles of quantum mechanics.[Phys. Rev. Lett. 137, 060803] Published Fri Aug 07, 2026</w:t>
      </w:r>
    </w:p>
    <w:p>
      <w:pPr>
        <w:spacing w:before="120" w:after="120"/>
      </w:pPr>
      <w:r>
        <w:rPr>
          <w:sz w:val="18"/>
        </w:rPr>
        <w:t>——————————————————————————————————————————————————————————————————————</w:t>
      </w:r>
    </w:p>
    <w:p>
      <w:pPr>
        <w:spacing w:before="160" w:after="40" w:line="240" w:lineRule="auto"/>
      </w:pPr>
      <w:r>
        <w:rPr>
          <w:b/>
        </w:rPr>
        <w:t xml:space="preserve">[121] </w:t>
      </w:r>
      <w:hyperlink r:id="rId812">
        <w:r>
          <w:rPr>
            <w:color w:val="1155CC"/>
            <w:u w:val="single"/>
          </w:rPr>
          <w:t>相关器比波函数更简单</w:t>
        </w:r>
      </w:hyperlink>
    </w:p>
    <w:p>
      <w:pPr>
        <w:spacing w:before="0" w:after="80"/>
      </w:pPr>
      <w:r>
        <w:rPr>
          <w:i/>
          <w:sz w:val="20"/>
        </w:rPr>
        <w:t>EN: Correlators Are Simpler than Wave Functions</w:t>
      </w:r>
    </w:p>
    <w:p>
      <w:pPr>
        <w:spacing w:before="0" w:after="120"/>
      </w:pPr>
      <w:r>
        <w:rPr>
          <w:b/>
        </w:rPr>
        <w:t xml:space="preserve">Source: </w:t>
      </w:r>
      <w:r>
        <w:t>Recent Articles in Phys. Rev. Lett.</w:t>
      </w:r>
      <w:r>
        <w:t xml:space="preserve">    </w:t>
      </w:r>
      <w:r>
        <w:rPr>
          <w:b/>
        </w:rPr>
        <w:t xml:space="preserve">Pub date: </w:t>
      </w:r>
      <w:r>
        <w:t>2026-08-07 10:00:00+00:00</w:t>
      </w:r>
      <w:r>
        <w:t xml:space="preserve">    </w:t>
      </w:r>
      <w:r>
        <w:rPr>
          <w:b/>
        </w:rPr>
        <w:t xml:space="preserve">DOI: </w:t>
      </w:r>
      <w:hyperlink r:id="rId813">
        <w:r>
          <w:rPr>
            <w:color w:val="1155CC"/>
            <w:u w:val="single"/>
          </w:rPr>
          <w:t>10.1103/sgm7-181s</w:t>
        </w:r>
      </w:hyperlink>
    </w:p>
    <w:p>
      <w:pPr>
        <w:spacing w:before="0" w:after="120"/>
      </w:pPr>
      <w:r>
        <w:rPr>
          <w:b/>
        </w:rPr>
        <w:t xml:space="preserve">Notes: </w:t>
      </w:r>
      <w:r>
        <w:t>abstract_source=rss_description</w:t>
      </w:r>
    </w:p>
    <w:p>
      <w:pPr>
        <w:spacing w:before="0" w:after="80" w:lineRule="auto" w:line="276"/>
      </w:pPr>
      <w:r>
        <w:rPr>
          <w:b/>
        </w:rPr>
        <w:t xml:space="preserve">摘要（ZH）: </w:t>
      </w:r>
      <w:r>
        <w:t>作者：Nima Arkani-Hamed、Ross Glew 和 Francisco Vazão 最近的工作揭示了波函数中缺少的等时相关器的简单性。我们证明了这一点是根据以下事实得出的：对于波函数来说，相关器是全时空积分而不是半时空积分。这使得显着的特性变得明显：一些波函数奇异……[物理学。莱特牧师。 137, 061601] 发布于 2026 年 8 月 7 日星期五</w:t>
      </w:r>
    </w:p>
    <w:p>
      <w:pPr>
        <w:spacing w:before="0" w:after="200" w:lineRule="auto" w:line="276"/>
      </w:pPr>
      <w:r>
        <w:rPr>
          <w:b/>
        </w:rPr>
        <w:t xml:space="preserve">Abstract (EN): </w:t>
      </w:r>
      <w:r>
        <w:t>Author(s): Nima Arkani-Hamed, Ross Glew, and Francisco VazãoRecent works reveal a simplicity in equal-time correlators absent from wave functions. We show that it follows from the fact that correlators are full spacetime integrals rather than half-spacetime integrals as for the wave function. This makes striking properties manifest: some wave function singul…[Phys. Rev. Lett. 137, 061601] Published Fri Aug 07, 2026</w:t>
      </w:r>
    </w:p>
    <w:p>
      <w:pPr>
        <w:spacing w:before="120" w:after="120"/>
      </w:pPr>
      <w:r>
        <w:rPr>
          <w:sz w:val="18"/>
        </w:rPr>
        <w:t>——————————————————————————————————————————————————————————————————————</w:t>
      </w:r>
    </w:p>
    <w:p>
      <w:pPr>
        <w:spacing w:before="160" w:after="40" w:line="240" w:lineRule="auto"/>
      </w:pPr>
      <w:r>
        <w:rPr>
          <w:b/>
        </w:rPr>
        <w:t xml:space="preserve">[122] </w:t>
      </w:r>
      <w:hyperlink r:id="rId814">
        <w:r>
          <w:rPr>
            <w:color w:val="1155CC"/>
            <w:u w:val="single"/>
          </w:rPr>
          <w:t>强相关核子物质的从头算精确计算</w:t>
        </w:r>
      </w:hyperlink>
    </w:p>
    <w:p>
      <w:pPr>
        <w:spacing w:before="0" w:after="80"/>
      </w:pPr>
      <w:r>
        <w:rPr>
          <w:i/>
          <w:sz w:val="20"/>
        </w:rPr>
        <w:t>EN: Ab Initio Exact Calculation of Strongly Correlated Nucleonic Matter</w:t>
      </w:r>
    </w:p>
    <w:p>
      <w:pPr>
        <w:spacing w:before="0" w:after="120"/>
      </w:pPr>
      <w:r>
        <w:rPr>
          <w:b/>
        </w:rPr>
        <w:t xml:space="preserve">Source: </w:t>
      </w:r>
      <w:r>
        <w:t>Recent Articles in Phys. Rev. Lett.</w:t>
      </w:r>
      <w:r>
        <w:t xml:space="preserve">    </w:t>
      </w:r>
      <w:r>
        <w:rPr>
          <w:b/>
        </w:rPr>
        <w:t xml:space="preserve">Pub date: </w:t>
      </w:r>
      <w:r>
        <w:t>2026-08-07 10:00:00+00:00</w:t>
      </w:r>
      <w:r>
        <w:t xml:space="preserve">    </w:t>
      </w:r>
      <w:r>
        <w:rPr>
          <w:b/>
        </w:rPr>
        <w:t xml:space="preserve">DOI: </w:t>
      </w:r>
      <w:hyperlink r:id="rId815">
        <w:r>
          <w:rPr>
            <w:color w:val="1155CC"/>
            <w:u w:val="single"/>
          </w:rPr>
          <w:t>10.1103/q4p2-r1bt</w:t>
        </w:r>
      </w:hyperlink>
    </w:p>
    <w:p>
      <w:pPr>
        <w:spacing w:before="0" w:after="120"/>
      </w:pPr>
      <w:r>
        <w:rPr>
          <w:b/>
        </w:rPr>
        <w:t xml:space="preserve">Notes: </w:t>
      </w:r>
      <w:r>
        <w:t>abstract_source=rss_description</w:t>
      </w:r>
    </w:p>
    <w:p>
      <w:pPr>
        <w:spacing w:before="0" w:after="80" w:lineRule="auto" w:line="276"/>
      </w:pPr>
      <w:r>
        <w:rPr>
          <w:b/>
        </w:rPr>
        <w:t xml:space="preserve">摘要（ZH）: </w:t>
      </w:r>
      <w:r>
        <w:t>作者：R.Z.Hu、S.L.Jin、X.Zhen、H.Y.Shang、J.C.Pei、F.R.Xu 和 F.Marino 致密核物质对于理解致密星和推断向解禁夸克相的转变至关重要。我们利用最先进的全构型相互作用量子蒙特卡罗方法提出了无限核物质的从头算精确计算，使 u…[Phys.莱特牧师。 137, 062503] 发布于 2026 年 8 月 7 日星期五</w:t>
      </w:r>
    </w:p>
    <w:p>
      <w:pPr>
        <w:spacing w:before="0" w:after="200" w:lineRule="auto" w:line="276"/>
      </w:pPr>
      <w:r>
        <w:rPr>
          <w:b/>
        </w:rPr>
        <w:t xml:space="preserve">Abstract (EN): </w:t>
      </w:r>
      <w:r>
        <w:t>Author(s): R. Z. Hu, S. L. Jin, X. Zhen, H. Y. Shang, J. C. Pei, F. R. Xu, and F. MarinoDense nucleonic matter is of vital importance for understanding compact stars and inferring the transition into deconfined quark phase. We present ab initio exact calculations of infinite nucleonic matter with the state-of-the-art full configuration-interaction quantum Monte Carlo method, enabling u…[Phys. Rev. Lett. 137, 062503] Published Fri Aug 07, 2026</w:t>
      </w:r>
    </w:p>
    <w:p>
      <w:pPr>
        <w:spacing w:before="120" w:after="120"/>
      </w:pPr>
      <w:r>
        <w:rPr>
          <w:sz w:val="18"/>
        </w:rPr>
        <w:t>——————————————————————————————————————————————————————————————————————</w:t>
      </w:r>
    </w:p>
    <w:p>
      <w:pPr>
        <w:spacing w:before="160" w:after="40" w:line="240" w:lineRule="auto"/>
      </w:pPr>
      <w:r>
        <w:rPr>
          <w:b/>
        </w:rPr>
        <w:t xml:space="preserve">[123] </w:t>
      </w:r>
      <w:hyperlink r:id="rId816">
        <w:r>
          <w:rPr>
            <w:color w:val="1155CC"/>
            <w:u w:val="single"/>
          </w:rPr>
          <w:t>高分子里德伯-斯塔克态精细和超精细结构的精密光谱学：分子氢离子的计量学</w:t>
        </w:r>
      </w:hyperlink>
    </w:p>
    <w:p>
      <w:pPr>
        <w:spacing w:before="0" w:after="80"/>
      </w:pPr>
      <w:r>
        <w:rPr>
          <w:i/>
          <w:sz w:val="20"/>
        </w:rPr>
        <w:t>EN: Precision Spectroscopy of the Fine and Hyperfine Structures of High Molecular Rydberg-Stark States: Metrology of Molecular Hydrogen Ions</w:t>
      </w:r>
    </w:p>
    <w:p>
      <w:pPr>
        <w:spacing w:before="0" w:after="120"/>
      </w:pPr>
      <w:r>
        <w:rPr>
          <w:b/>
        </w:rPr>
        <w:t xml:space="preserve">Source: </w:t>
      </w:r>
      <w:r>
        <w:t>Recent Articles in Phys. Rev. Lett.</w:t>
      </w:r>
      <w:r>
        <w:t xml:space="preserve">    </w:t>
      </w:r>
      <w:r>
        <w:rPr>
          <w:b/>
        </w:rPr>
        <w:t xml:space="preserve">Pub date: </w:t>
      </w:r>
      <w:r>
        <w:t>2026-08-07 10:00:00+00:00</w:t>
      </w:r>
      <w:r>
        <w:t xml:space="preserve">    </w:t>
      </w:r>
      <w:r>
        <w:rPr>
          <w:b/>
        </w:rPr>
        <w:t xml:space="preserve">DOI: </w:t>
      </w:r>
      <w:hyperlink r:id="rId817">
        <w:r>
          <w:rPr>
            <w:color w:val="1155CC"/>
            <w:u w:val="single"/>
          </w:rPr>
          <w:t>10.1103/5rsv-mb6x</w:t>
        </w:r>
      </w:hyperlink>
    </w:p>
    <w:p>
      <w:pPr>
        <w:spacing w:before="0" w:after="120"/>
      </w:pPr>
      <w:r>
        <w:rPr>
          <w:b/>
        </w:rPr>
        <w:t xml:space="preserve">Notes: </w:t>
      </w:r>
      <w:r>
        <w:t>abstract_source=rss_description</w:t>
      </w:r>
    </w:p>
    <w:p>
      <w:pPr>
        <w:spacing w:before="0" w:after="80" w:lineRule="auto" w:line="276"/>
      </w:pPr>
      <w:r>
        <w:rPr>
          <w:b/>
        </w:rPr>
        <w:t xml:space="preserve">摘要（ZH）: </w:t>
      </w:r>
      <w:r>
        <w:t>作者：I. Doran、L. Jeckel、M. Beyer、Ch. Jungen 和 F. Merkt 自电离高 $n$ 里德伯态中的斯塔克效应通过 $ℓ$ 与核心非穿透高 $ℓ$ 态混合，将里德伯电子与离子核心解耦。里德伯态的寿命变得很长，这对于精密光谱学来说是理想的，它们的结构反映了精细和超精细……[物理。莱特牧师。 137, 063001] 发布于 2026 年 8 月 7 日星期五</w:t>
      </w:r>
    </w:p>
    <w:p>
      <w:pPr>
        <w:spacing w:before="0" w:after="200" w:lineRule="auto" w:line="276"/>
      </w:pPr>
      <w:r>
        <w:rPr>
          <w:b/>
        </w:rPr>
        <w:t xml:space="preserve">Abstract (EN): </w:t>
      </w:r>
      <w:r>
        <w:t>Author(s): I. Doran, L. Jeckel, M. Beyer, Ch. Jungen, and F. MerktThe Stark effect in autoionizing high-$n$ Rydberg states decouples the Rydberg electron from the ion core through $ℓ$ mixing with core-nonpenetrating high-$ℓ$ states. The Rydberg states become long-lived, which is ideal for precision spectroscopy, and their structures reflect the fine and hyperfine …[Phys. Rev. Lett. 137, 063001] Published Fri Aug 07, 2026</w:t>
      </w:r>
    </w:p>
    <w:p>
      <w:pPr>
        <w:spacing w:before="120" w:after="120"/>
      </w:pPr>
      <w:r>
        <w:rPr>
          <w:sz w:val="18"/>
        </w:rPr>
        <w:t>——————————————————————————————————————————————————————————————————————</w:t>
      </w:r>
    </w:p>
    <w:p>
      <w:pPr>
        <w:spacing w:before="160" w:after="40" w:line="240" w:lineRule="auto"/>
      </w:pPr>
      <w:r>
        <w:rPr>
          <w:b/>
        </w:rPr>
        <w:t xml:space="preserve">[124] </w:t>
      </w:r>
      <w:hyperlink r:id="rId818">
        <w:r>
          <w:rPr>
            <w:color w:val="1155CC"/>
            <w:u w:val="single"/>
          </w:rPr>
          <w:t>半填充陈能带中的复合 Bogoliubov 费米液体</w:t>
        </w:r>
      </w:hyperlink>
    </w:p>
    <w:p>
      <w:pPr>
        <w:spacing w:before="0" w:after="80"/>
      </w:pPr>
      <w:r>
        <w:rPr>
          <w:i/>
          <w:sz w:val="20"/>
        </w:rPr>
        <w:t>EN: Composite Bogoliubov Fermi Liquid in a Half-Filled Chern Band</w:t>
      </w:r>
    </w:p>
    <w:p>
      <w:pPr>
        <w:spacing w:before="0" w:after="120"/>
      </w:pPr>
      <w:r>
        <w:rPr>
          <w:b/>
        </w:rPr>
        <w:t xml:space="preserve">Source: </w:t>
      </w:r>
      <w:r>
        <w:t>Recent Articles in Phys. Rev. Lett.</w:t>
      </w:r>
      <w:r>
        <w:t xml:space="preserve">    </w:t>
      </w:r>
      <w:r>
        <w:rPr>
          <w:b/>
        </w:rPr>
        <w:t xml:space="preserve">Pub date: </w:t>
      </w:r>
      <w:r>
        <w:t>2026-08-07 10:00:00+00:00</w:t>
      </w:r>
      <w:r>
        <w:t xml:space="preserve">    </w:t>
      </w:r>
      <w:r>
        <w:rPr>
          <w:b/>
        </w:rPr>
        <w:t xml:space="preserve">DOI: </w:t>
      </w:r>
      <w:hyperlink r:id="rId819">
        <w:r>
          <w:rPr>
            <w:color w:val="1155CC"/>
            <w:u w:val="single"/>
          </w:rPr>
          <w:t>10.1103/wq3w-cb7f</w:t>
        </w:r>
      </w:hyperlink>
    </w:p>
    <w:p>
      <w:pPr>
        <w:spacing w:before="0" w:after="120"/>
      </w:pPr>
      <w:r>
        <w:rPr>
          <w:b/>
        </w:rPr>
        <w:t xml:space="preserve">Notes: </w:t>
      </w:r>
      <w:r>
        <w:t>abstract_source=rss_description</w:t>
      </w:r>
    </w:p>
    <w:p>
      <w:pPr>
        <w:spacing w:before="0" w:after="80" w:lineRule="auto" w:line="276"/>
      </w:pPr>
      <w:r>
        <w:rPr>
          <w:b/>
        </w:rPr>
        <w:t xml:space="preserve">摘要（ZH）: </w:t>
      </w:r>
      <w:r>
        <w:t>作者：Zhengyan Darius Shi 和 Pavel A. Nosov 半满朗道能级的复合费米液体是量子霍尔相图的基石。最近的实验和数值表明，在没有任何外部磁场的情况下，反常复合费米液体（ACFL）也可以在陈能带半充满时出现，从而开辟了新的可能性……[Phys.莱特牧师。 137, 066604] 发表于 2026 年 8 月 7 日星期五</w:t>
      </w:r>
    </w:p>
    <w:p>
      <w:pPr>
        <w:spacing w:before="0" w:after="200" w:lineRule="auto" w:line="276"/>
      </w:pPr>
      <w:r>
        <w:rPr>
          <w:b/>
        </w:rPr>
        <w:t xml:space="preserve">Abstract (EN): </w:t>
      </w:r>
      <w:r>
        <w:t>Author(s): Zhengyan Darius Shi and Pavel A. NosovThe composite Fermi liquid in the half-filled Landau level is a cornerstone of the quantum Hall phase diagram. Recent experiments and numerics indicate that an anomalous composite Fermi liquid (ACFL) can also arise at half filling of a Chern band without any external magnetic field, opening new poss…[Phys. Rev. Lett. 137, 066604] Published Fri Aug 07, 2026</w:t>
      </w:r>
    </w:p>
    <w:p>
      <w:pPr>
        <w:spacing w:before="120" w:after="120"/>
      </w:pPr>
      <w:r>
        <w:rPr>
          <w:sz w:val="18"/>
        </w:rPr>
        <w:t>——————————————————————————————————————————————————————————————————————</w:t>
      </w:r>
    </w:p>
    <w:p>
      <w:pPr>
        <w:spacing w:before="160" w:after="40" w:line="240" w:lineRule="auto"/>
      </w:pPr>
      <w:r>
        <w:rPr>
          <w:b/>
        </w:rPr>
        <w:t xml:space="preserve">[125] </w:t>
      </w:r>
      <w:hyperlink r:id="rId820">
        <w:r>
          <w:rPr>
            <w:color w:val="1155CC"/>
            <w:u w:val="single"/>
          </w:rPr>
          <w:t>超声波揭示 ${\mathrm{GdRu}}_{2}{\mathrm{Si}}_{2}$ 中斯格明子晶格的亚稳定性</w:t>
        </w:r>
      </w:hyperlink>
    </w:p>
    <w:p>
      <w:pPr>
        <w:spacing w:before="0" w:after="80"/>
      </w:pPr>
      <w:r>
        <w:rPr>
          <w:i/>
          <w:sz w:val="20"/>
        </w:rPr>
        <w:t>EN: Metastability of the Skyrmion Lattice in ${\mathrm{GdRu}}_{2}{\mathrm{Si}}_{2}$ Revealed by Ultrasound</w:t>
      </w:r>
    </w:p>
    <w:p>
      <w:pPr>
        <w:spacing w:before="0" w:after="120"/>
      </w:pPr>
      <w:r>
        <w:rPr>
          <w:b/>
        </w:rPr>
        <w:t xml:space="preserve">Source: </w:t>
      </w:r>
      <w:r>
        <w:t>Recent Articles in Phys. Rev. Lett.</w:t>
      </w:r>
      <w:r>
        <w:t xml:space="preserve">    </w:t>
      </w:r>
      <w:r>
        <w:rPr>
          <w:b/>
        </w:rPr>
        <w:t xml:space="preserve">Pub date: </w:t>
      </w:r>
      <w:r>
        <w:t>2026-08-07 10:00:00+00:00</w:t>
      </w:r>
      <w:r>
        <w:t xml:space="preserve">    </w:t>
      </w:r>
      <w:r>
        <w:rPr>
          <w:b/>
        </w:rPr>
        <w:t xml:space="preserve">DOI: </w:t>
      </w:r>
      <w:hyperlink r:id="rId821">
        <w:r>
          <w:rPr>
            <w:color w:val="1155CC"/>
            <w:u w:val="single"/>
          </w:rPr>
          <w:t>10.1103/1nhc-ds19</w:t>
        </w:r>
      </w:hyperlink>
    </w:p>
    <w:p>
      <w:pPr>
        <w:spacing w:before="0" w:after="120"/>
      </w:pPr>
      <w:r>
        <w:rPr>
          <w:b/>
        </w:rPr>
        <w:t xml:space="preserve">Notes: </w:t>
      </w:r>
      <w:r>
        <w:t>abstract_source=rss_description</w:t>
      </w:r>
    </w:p>
    <w:p>
      <w:pPr>
        <w:spacing w:before="0" w:after="80" w:lineRule="auto" w:line="276"/>
      </w:pPr>
      <w:r>
        <w:rPr>
          <w:b/>
        </w:rPr>
        <w:t xml:space="preserve">摘要（ZH）: </w:t>
      </w:r>
      <w:r>
        <w:t>作者：J. Sourd、D. A. Mayoh、G. Balakrishnan、J. Wosnitza 和 S. Zherlitsyn 我们报告了斯格明子晶格化合物 ${\mathrm{GdRu}}_{2}{\mathrm{Si}}_{2}$ 在沿 [001] 轴施加的磁场下的低温磁弹性特性。我们的声速测量揭示了一系列与斯格明子晶格相相关的明显异常现象。他们……[物理。莱特牧师。 137, 066703] 发布于 2026 年 8 月 7 日星期五</w:t>
      </w:r>
    </w:p>
    <w:p>
      <w:pPr>
        <w:spacing w:before="0" w:after="200" w:lineRule="auto" w:line="276"/>
      </w:pPr>
      <w:r>
        <w:rPr>
          <w:b/>
        </w:rPr>
        <w:t xml:space="preserve">Abstract (EN): </w:t>
      </w:r>
      <w:r>
        <w:t>Author(s): J. Sourd, D. A. Mayoh, G. Balakrishnan, J. Wosnitza, and S. ZherlitsynWe report on the low-temperature magnetoelastic properties of the skyrmion-lattice compound ${\mathrm{GdRu}}_{2}{\mathrm{Si}}_{2}$ under magnetic fields applied along the [001] axis. Our sound-velocity measurements reveal a series of pronounced anomalies related to the skyrmion-lattice phase. The em…[Phys. Rev. Lett. 137, 066703] Published Fri Aug 07, 2026</w:t>
      </w:r>
    </w:p>
    <w:p>
      <w:pPr>
        <w:spacing w:before="120" w:after="120"/>
      </w:pPr>
      <w:r>
        <w:rPr>
          <w:sz w:val="18"/>
        </w:rPr>
        <w:t>——————————————————————————————————————————————————————————————————————</w:t>
      </w:r>
    </w:p>
    <w:p>
      <w:pPr>
        <w:spacing w:before="160" w:after="40" w:line="240" w:lineRule="auto"/>
      </w:pPr>
      <w:r>
        <w:rPr>
          <w:b/>
        </w:rPr>
        <w:t xml:space="preserve">[126] </w:t>
      </w:r>
      <w:hyperlink r:id="rId822">
        <w:r>
          <w:rPr>
            <w:color w:val="1155CC"/>
            <w:u w:val="single"/>
          </w:rPr>
          <w:t>各向异性有限度网络中的 Janus 渗流</w:t>
        </w:r>
      </w:hyperlink>
    </w:p>
    <w:p>
      <w:pPr>
        <w:spacing w:before="0" w:after="80"/>
      </w:pPr>
      <w:r>
        <w:rPr>
          <w:i/>
          <w:sz w:val="20"/>
        </w:rPr>
        <w:t>EN: Janus Percolation in Anisotropic Limited-Degree Networks</w:t>
      </w:r>
    </w:p>
    <w:p>
      <w:pPr>
        <w:spacing w:before="0" w:after="120"/>
      </w:pPr>
      <w:r>
        <w:rPr>
          <w:b/>
        </w:rPr>
        <w:t xml:space="preserve">Source: </w:t>
      </w:r>
      <w:r>
        <w:t>Recent Articles in Phys. Rev. Lett.</w:t>
      </w:r>
      <w:r>
        <w:t xml:space="preserve">    </w:t>
      </w:r>
      <w:r>
        <w:rPr>
          <w:b/>
        </w:rPr>
        <w:t xml:space="preserve">Pub date: </w:t>
      </w:r>
      <w:r>
        <w:t>2026-08-07 10:00:00+00:00</w:t>
      </w:r>
      <w:r>
        <w:t xml:space="preserve">    </w:t>
      </w:r>
      <w:r>
        <w:rPr>
          <w:b/>
        </w:rPr>
        <w:t xml:space="preserve">DOI: </w:t>
      </w:r>
      <w:hyperlink r:id="rId823">
        <w:r>
          <w:rPr>
            <w:color w:val="1155CC"/>
            <w:u w:val="single"/>
          </w:rPr>
          <w:t>10.1103/xyx5-3tz3</w:t>
        </w:r>
      </w:hyperlink>
    </w:p>
    <w:p>
      <w:pPr>
        <w:spacing w:before="0" w:after="120"/>
      </w:pPr>
      <w:r>
        <w:rPr>
          <w:b/>
        </w:rPr>
        <w:t xml:space="preserve">Notes: </w:t>
      </w:r>
      <w:r>
        <w:t>abstract_source=rss_description</w:t>
      </w:r>
    </w:p>
    <w:p>
      <w:pPr>
        <w:spacing w:before="0" w:after="80" w:lineRule="auto" w:line="276"/>
      </w:pPr>
      <w:r>
        <w:rPr>
          <w:b/>
        </w:rPr>
        <w:t xml:space="preserve">摘要（ZH）: </w:t>
      </w:r>
      <w:r>
        <w:t>作者：Jacopo A. Garofalo、Nuno A. M. Araújo、Lucilla de Arcangelis、Alessandro Sarracino 和 Eugenio Lippiello 许多现实世界的基础设施，从传感器和道路网络到电网，都是空间嵌入的和各向异性的，每个节点可以建立的最大链接数量受到限制。这样的系统可以表示为各向异性有限度网络，其中每个节点最多形成 $q$…[Phys.莱特牧师。 137, 067401] 发布于 2026 年 8 月 7 日星期五</w:t>
      </w:r>
    </w:p>
    <w:p>
      <w:pPr>
        <w:spacing w:before="0" w:after="200" w:lineRule="auto" w:line="276"/>
      </w:pPr>
      <w:r>
        <w:rPr>
          <w:b/>
        </w:rPr>
        <w:t xml:space="preserve">Abstract (EN): </w:t>
      </w:r>
      <w:r>
        <w:t>Author(s): Jacopo A. Garofalo, Nuno A. M. Araújo, Lucilla de Arcangelis, Alessandro Sarracino, and Eugenio LippielloMany real-world infrastructures, from sensor and road networks to power grids, are spatially embedded and anisotropic, with constraints on the maximum number of links each node can establish. Such systems can be represented as anisotropic limited-degree networks, in which each node forms at most $q$…[Phys. Rev. Lett. 137, 067401] Published Fri Aug 07, 2026</w:t>
      </w:r>
    </w:p>
    <w:p>
      <w:pPr>
        <w:spacing w:before="120" w:after="120"/>
      </w:pPr>
      <w:r>
        <w:rPr>
          <w:sz w:val="18"/>
        </w:rPr>
        <w:t>——————————————————————————————————————————————————————————————————————</w:t>
      </w:r>
    </w:p>
    <w:p>
      <w:pPr>
        <w:spacing w:before="160" w:after="40" w:line="240" w:lineRule="auto"/>
      </w:pPr>
      <w:r>
        <w:rPr>
          <w:b/>
        </w:rPr>
        <w:t xml:space="preserve">[127] </w:t>
      </w:r>
      <w:hyperlink r:id="rId824">
        <w:r>
          <w:rPr>
            <w:color w:val="1155CC"/>
            <w:u w:val="single"/>
          </w:rPr>
          <w:t>EPOS4 中相对论性铅、氙和氧碰撞中软 QGP 签名的缩放</w:t>
        </w:r>
      </w:hyperlink>
    </w:p>
    <w:p>
      <w:pPr>
        <w:spacing w:before="0" w:after="80"/>
      </w:pPr>
      <w:r>
        <w:rPr>
          <w:i/>
          <w:sz w:val="20"/>
        </w:rPr>
        <w:t>EN: Scaling of soft QGP signatures in relativistic lead, xenon, and oxygen collisions in EPOS4</w:t>
      </w:r>
    </w:p>
    <w:p>
      <w:pPr>
        <w:spacing w:before="0" w:after="120"/>
      </w:pPr>
      <w:r>
        <w:rPr>
          <w:b/>
        </w:rPr>
        <w:t xml:space="preserve">Source: </w:t>
      </w:r>
      <w:r>
        <w:t>Recent Articles in Phys. Rev. C</w:t>
      </w:r>
      <w:r>
        <w:t xml:space="preserve">    </w:t>
      </w:r>
      <w:r>
        <w:rPr>
          <w:b/>
        </w:rPr>
        <w:t xml:space="preserve">Pub date: </w:t>
      </w:r>
      <w:r>
        <w:t>2026-08-07 10:00:00+00:00</w:t>
      </w:r>
      <w:r>
        <w:t xml:space="preserve">    </w:t>
      </w:r>
      <w:r>
        <w:rPr>
          <w:b/>
        </w:rPr>
        <w:t xml:space="preserve">DOI: </w:t>
      </w:r>
      <w:hyperlink r:id="rId825">
        <w:r>
          <w:rPr>
            <w:color w:val="1155CC"/>
            <w:u w:val="single"/>
          </w:rPr>
          <w:t>10.1103/gqr8-vjxy</w:t>
        </w:r>
      </w:hyperlink>
    </w:p>
    <w:p>
      <w:pPr>
        <w:spacing w:before="0" w:after="120"/>
      </w:pPr>
      <w:r>
        <w:rPr>
          <w:b/>
        </w:rPr>
        <w:t xml:space="preserve">Notes: </w:t>
      </w:r>
      <w:r>
        <w:t>abstract_source=rss_description</w:t>
      </w:r>
    </w:p>
    <w:p>
      <w:pPr>
        <w:spacing w:before="0" w:after="80" w:lineRule="auto" w:line="276"/>
      </w:pPr>
      <w:r>
        <w:rPr>
          <w:b/>
        </w:rPr>
        <w:t xml:space="preserve">摘要（ZH）: </w:t>
      </w:r>
      <w:r>
        <w:t>作者：Salman Khurshid Malik、Fakhar Ul Haider、Pratibha Bhagat、Anju Bhasin 和 Ramni Gupta 重离子碰撞中的集体膨胀和流体动力学演化已得到充分证实。然而，飞米级夸克胶子等离子体（QGP）液滴是否在高能小系统中产生仍然是一个基本的悬而未决的问题。 $\sqrt{{s}_{NN}}处的 Pb-Pb 碰撞分析...[Phys. Rev. C 114, 025203] 发布于 2026 年 8 月 7 日星期五</w:t>
      </w:r>
    </w:p>
    <w:p>
      <w:pPr>
        <w:spacing w:before="0" w:after="200" w:lineRule="auto" w:line="276"/>
      </w:pPr>
      <w:r>
        <w:rPr>
          <w:b/>
        </w:rPr>
        <w:t xml:space="preserve">Abstract (EN): </w:t>
      </w:r>
      <w:r>
        <w:t>Author(s): Salman Khurshid Malik, Fakhar Ul Haider, Pratibha Bhagat, Anju Bhasin, and Ramni GuptaThe collective expansion and hydrodynamic evolution in heavy-ion collisions is well established. However, whether femtometer-scale droplets of quark-gluon plasma (QGP) are produced in small systems at high energies remains a fundamental open question. Analysis of Pb-Pb collisions at $\sqrt{{s}_{NN}}…[Phys. Rev. C 114, 025203] Published Fri Aug 07, 2026</w:t>
      </w:r>
    </w:p>
    <w:p>
      <w:pPr>
        <w:spacing w:before="120" w:after="120"/>
      </w:pPr>
      <w:r>
        <w:rPr>
          <w:sz w:val="18"/>
        </w:rPr>
        <w:t>——————————————————————————————————————————————————————————————————————</w:t>
      </w:r>
    </w:p>
    <w:p>
      <w:pPr>
        <w:spacing w:before="160" w:after="40" w:line="240" w:lineRule="auto"/>
      </w:pPr>
      <w:r>
        <w:rPr>
          <w:b/>
        </w:rPr>
        <w:t xml:space="preserve">[128] </w:t>
      </w:r>
      <w:hyperlink r:id="rId826">
        <w:r>
          <w:rPr>
            <w:color w:val="1155CC"/>
            <w:u w:val="single"/>
          </w:rPr>
          <w:t>$\mathrm{Au}+\mathrm{Au}$ 在 $\sqrt{{s}_{NN}}=200\phantom{\rule{0.222222em}{0ex}}\mathrm{GeV}$ 碰撞中直接光子的方位各向异性</w:t>
        </w:r>
      </w:hyperlink>
    </w:p>
    <w:p>
      <w:pPr>
        <w:spacing w:before="0" w:after="80"/>
      </w:pPr>
      <w:r>
        <w:rPr>
          <w:i/>
          <w:sz w:val="20"/>
        </w:rPr>
        <w:t>EN: Azimuthal anisotropy of direct photons in $\mathrm{Au}+\mathrm{Au}$ collisions at $\sqrt{{s}_{NN}}=200\phantom{\rule{0.222222em}{0ex}}\mathrm{GeV}$</w:t>
      </w:r>
    </w:p>
    <w:p>
      <w:pPr>
        <w:spacing w:before="0" w:after="120"/>
      </w:pPr>
      <w:r>
        <w:rPr>
          <w:b/>
        </w:rPr>
        <w:t xml:space="preserve">Source: </w:t>
      </w:r>
      <w:r>
        <w:t>Recent Articles in Phys. Rev. C</w:t>
      </w:r>
      <w:r>
        <w:t xml:space="preserve">    </w:t>
      </w:r>
      <w:r>
        <w:rPr>
          <w:b/>
        </w:rPr>
        <w:t xml:space="preserve">Pub date: </w:t>
      </w:r>
      <w:r>
        <w:t>2026-08-07 10:00:00+00:00</w:t>
      </w:r>
      <w:r>
        <w:t xml:space="preserve">    </w:t>
      </w:r>
      <w:r>
        <w:rPr>
          <w:b/>
        </w:rPr>
        <w:t xml:space="preserve">DOI: </w:t>
      </w:r>
      <w:hyperlink r:id="rId827">
        <w:r>
          <w:rPr>
            <w:color w:val="1155CC"/>
            <w:u w:val="single"/>
          </w:rPr>
          <w:t>10.1103/21nh-lrvx</w:t>
        </w:r>
      </w:hyperlink>
    </w:p>
    <w:p>
      <w:pPr>
        <w:spacing w:before="0" w:after="120"/>
      </w:pPr>
      <w:r>
        <w:rPr>
          <w:b/>
        </w:rPr>
        <w:t xml:space="preserve">Notes: </w:t>
      </w:r>
      <w:r>
        <w:t>abstract_source=rss_description</w:t>
      </w:r>
    </w:p>
    <w:p>
      <w:pPr>
        <w:spacing w:before="0" w:after="80" w:lineRule="auto" w:line="276"/>
      </w:pPr>
      <w:r>
        <w:rPr>
          <w:b/>
        </w:rPr>
        <w:t xml:space="preserve">摘要（ZH）: </w:t>
      </w:r>
      <w:r>
        <w:t>作者：N. J. Abdulameer 等人（PHENIX 合作）相对论重离子对撞机的 PHENIX 实验测量了 $\mathrm{Au}+\mathrm{Au}$ 碰撞中快速的直接光子方位各向异性的第二个傅里叶分量 ${v}_{2}$ $\sqrt{{s}_{{}_{NN}}}=200\phantom{\rule{0.222222em}{0ex}}\mathrm{GeV}$。结果是预…[物理。 Rev. C 114, 024903] 发布于 2026 年 8 月 7 日星期五</w:t>
      </w:r>
    </w:p>
    <w:p>
      <w:pPr>
        <w:spacing w:before="0" w:after="200" w:lineRule="auto" w:line="276"/>
      </w:pPr>
      <w:r>
        <w:rPr>
          <w:b/>
        </w:rPr>
        <w:t xml:space="preserve">Abstract (EN): </w:t>
      </w:r>
      <w:r>
        <w:t>Author(s): N. J. Abdulameer et al. (PHENIX Collaboration)The PHENIX experiment at the Relativistic Heavy Ion Collider measured the second Fourier component ${v}_{2}$ of the direct-photon azimuthal anisotropy at midrapidity in $\mathrm{Au}+\mathrm{Au}$ collisions at $\sqrt{{s}_{{}_{NN}}}=200\phantom{\rule{0.222222em}{0ex}}\mathrm{GeV}$. The results are pre…[Phys. Rev. C 114, 024903] Published Fri Aug 07, 2026</w:t>
      </w:r>
    </w:p>
    <w:p>
      <w:pPr>
        <w:spacing w:before="120" w:after="120"/>
      </w:pPr>
      <w:r>
        <w:rPr>
          <w:sz w:val="18"/>
        </w:rPr>
        <w:t>——————————————————————————————————————————————————————————————————————</w:t>
      </w:r>
    </w:p>
    <w:p>
      <w:pPr>
        <w:spacing w:before="160" w:after="40" w:line="240" w:lineRule="auto"/>
      </w:pPr>
      <w:r>
        <w:rPr>
          <w:b/>
        </w:rPr>
        <w:t xml:space="preserve">[129] </w:t>
      </w:r>
      <w:hyperlink r:id="rId828">
        <w:r>
          <w:rPr>
            <w:color w:val="1155CC"/>
            <w:u w:val="single"/>
          </w:rPr>
          <w:t>核电荷半径的纯数据驱动描述：全球趋势和局部波动</w:t>
        </w:r>
      </w:hyperlink>
    </w:p>
    <w:p>
      <w:pPr>
        <w:spacing w:before="0" w:after="80"/>
      </w:pPr>
      <w:r>
        <w:rPr>
          <w:i/>
          <w:sz w:val="20"/>
        </w:rPr>
        <w:t>EN: Purely data-driven description for nuclear charge radii: Global trends and local fluctuations</w:t>
      </w:r>
    </w:p>
    <w:p>
      <w:pPr>
        <w:spacing w:before="0" w:after="120"/>
      </w:pPr>
      <w:r>
        <w:rPr>
          <w:b/>
        </w:rPr>
        <w:t xml:space="preserve">Source: </w:t>
      </w:r>
      <w:r>
        <w:t>Recent Articles in Phys. Rev. C</w:t>
      </w:r>
      <w:r>
        <w:t xml:space="preserve">    </w:t>
      </w:r>
      <w:r>
        <w:rPr>
          <w:b/>
        </w:rPr>
        <w:t xml:space="preserve">Pub date: </w:t>
      </w:r>
      <w:r>
        <w:t>2026-08-07 10:00:00+00:00</w:t>
      </w:r>
      <w:r>
        <w:t xml:space="preserve">    </w:t>
      </w:r>
      <w:r>
        <w:rPr>
          <w:b/>
        </w:rPr>
        <w:t xml:space="preserve">DOI: </w:t>
      </w:r>
      <w:hyperlink r:id="rId829">
        <w:r>
          <w:rPr>
            <w:color w:val="1155CC"/>
            <w:u w:val="single"/>
          </w:rPr>
          <w:t>10.1103/7rqh-fxvn</w:t>
        </w:r>
      </w:hyperlink>
    </w:p>
    <w:p>
      <w:pPr>
        <w:spacing w:before="0" w:after="120"/>
      </w:pPr>
      <w:r>
        <w:rPr>
          <w:b/>
        </w:rPr>
        <w:t xml:space="preserve">Notes: </w:t>
      </w:r>
      <w:r>
        <w:t>abstract_source=rss_description</w:t>
      </w:r>
    </w:p>
    <w:p>
      <w:pPr>
        <w:spacing w:before="0" w:after="80" w:lineRule="auto" w:line="276"/>
      </w:pPr>
      <w:r>
        <w:rPr>
          <w:b/>
        </w:rPr>
        <w:t xml:space="preserve">摘要（ZH）: </w:t>
      </w:r>
      <w:r>
        <w:t>作者：孟欢、季毅、李瑞波、钱一斌作为原子核的基本性质，核电荷半径揭示了壳层演化、配对关联等丰富的结构特征。此前，机器学习策略已在该领域得到应用，通常利用实验测量之间的残差……[Phys. Rev. C 114, 024314] 发布于 2026 年 8 月 7 日星期五</w:t>
      </w:r>
    </w:p>
    <w:p>
      <w:pPr>
        <w:spacing w:before="0" w:after="200" w:lineRule="auto" w:line="276"/>
      </w:pPr>
      <w:r>
        <w:rPr>
          <w:b/>
        </w:rPr>
        <w:t xml:space="preserve">Abstract (EN): </w:t>
      </w:r>
      <w:r>
        <w:t>Author(s): Huan Meng, Yi Ji, Ruibo Li, and Yibin QianAs a fundamental property of atomic nuclei, the nuclear charge radius reveals rich structural characteristics such as shell evolution and pairing correlation. Previously, machine learning strategies have been employed in this domain by typically utilizing the residuals between experimental measureme…[Phys. Rev. C 114, 024314] Published Fri Aug 07, 2026</w:t>
      </w:r>
    </w:p>
    <w:p>
      <w:pPr>
        <w:spacing w:before="120" w:after="120"/>
      </w:pPr>
      <w:r>
        <w:rPr>
          <w:sz w:val="18"/>
        </w:rPr>
        <w:t>——————————————————————————————————————————————————————————————————————</w:t>
      </w:r>
    </w:p>
    <w:p>
      <w:pPr>
        <w:spacing w:before="160" w:after="40" w:line="240" w:lineRule="auto"/>
      </w:pPr>
      <w:r>
        <w:rPr>
          <w:b/>
        </w:rPr>
        <w:t xml:space="preserve">[130] </w:t>
      </w:r>
      <w:hyperlink r:id="rId830">
        <w:r>
          <w:rPr>
            <w:color w:val="1155CC"/>
            <w:u w:val="single"/>
          </w:rPr>
          <w:t>自旋轨道耦合超导体中的电子对破缺和维数</w:t>
        </w:r>
      </w:hyperlink>
    </w:p>
    <w:p>
      <w:pPr>
        <w:spacing w:before="0" w:after="80"/>
      </w:pPr>
      <w:r>
        <w:rPr>
          <w:i/>
          <w:sz w:val="20"/>
        </w:rPr>
        <w:t>EN: Pair Breaking and Dimensionality in Spin-Orbit Coupled Superconductors</w:t>
      </w:r>
    </w:p>
    <w:p>
      <w:pPr>
        <w:spacing w:before="0" w:after="120"/>
      </w:pPr>
      <w:r>
        <w:rPr>
          <w:b/>
        </w:rPr>
        <w:t xml:space="preserve">Source: </w:t>
      </w:r>
      <w:r>
        <w:t>Recent Articles in Phys. Rev. Lett.</w:t>
      </w:r>
      <w:r>
        <w:t xml:space="preserve">    </w:t>
      </w:r>
      <w:r>
        <w:rPr>
          <w:b/>
        </w:rPr>
        <w:t xml:space="preserve">Pub date: </w:t>
      </w:r>
      <w:r>
        <w:t>2026-08-07 10:00:00+00:00</w:t>
      </w:r>
      <w:r>
        <w:t xml:space="preserve">    </w:t>
      </w:r>
      <w:r>
        <w:rPr>
          <w:b/>
        </w:rPr>
        <w:t xml:space="preserve">DOI: </w:t>
      </w:r>
      <w:hyperlink r:id="rId831">
        <w:r>
          <w:rPr>
            <w:color w:val="1155CC"/>
            <w:u w:val="single"/>
          </w:rPr>
          <w:t>10.1103/wfy7-zbwf</w:t>
        </w:r>
      </w:hyperlink>
    </w:p>
    <w:p>
      <w:pPr>
        <w:spacing w:before="0" w:after="120"/>
      </w:pPr>
      <w:r>
        <w:rPr>
          <w:b/>
        </w:rPr>
        <w:t xml:space="preserve">Notes: </w:t>
      </w:r>
      <w:r>
        <w:t>abstract_source=rss_description</w:t>
      </w:r>
    </w:p>
    <w:p>
      <w:pPr>
        <w:spacing w:before="0" w:after="80" w:lineRule="auto" w:line="276"/>
      </w:pPr>
      <w:r>
        <w:rPr>
          <w:b/>
        </w:rPr>
        <w:t xml:space="preserve">摘要（ZH）: </w:t>
      </w:r>
      <w:r>
        <w:t>作者：Reiley Dorrian、Mizuki Ohno、Elena Williams、Adrian Llanos 和 Joseph Falson 通常利用超薄超导材料在平行磁场下的响应来深入了解凝聚体的性质，包括非传统配对形式的特征。尽管有多种竞争机制负责抑制……[物理。莱特牧师。 137, 066002] 发布于 2026 年 8 月 7 日星期五</w:t>
      </w:r>
    </w:p>
    <w:p>
      <w:pPr>
        <w:spacing w:before="0" w:after="200" w:lineRule="auto" w:line="276"/>
      </w:pPr>
      <w:r>
        <w:rPr>
          <w:b/>
        </w:rPr>
        <w:t xml:space="preserve">Abstract (EN): </w:t>
      </w:r>
      <w:r>
        <w:t>Author(s): Reiley Dorrian, Mizuki Ohno, Elena Williams, Adrian Llanos, and Joseph FalsonThe response of ultrathin superconducting materials under parallel magnetic fields is often leveraged to obtain insight into the nature of the condensate, including features attributable to unconventional forms of pairing. Despite there being multiple competing mechanisms responsible for suppressing…[Phys. Rev. Lett. 137, 066002] Published Fri Aug 07, 2026</w:t>
      </w:r>
    </w:p>
    <w:p>
      <w:pPr>
        <w:spacing w:before="120" w:after="120"/>
      </w:pPr>
      <w:r>
        <w:rPr>
          <w:sz w:val="18"/>
        </w:rPr>
        <w:t>——————————————————————————————————————————————————————————————————————</w:t>
      </w:r>
    </w:p>
    <w:p>
      <w:pPr>
        <w:spacing w:before="160" w:after="40" w:line="240" w:lineRule="auto"/>
      </w:pPr>
      <w:r>
        <w:rPr>
          <w:b/>
        </w:rPr>
        <w:t xml:space="preserve">[131] </w:t>
      </w:r>
      <w:hyperlink r:id="rId832">
        <w:r>
          <w:rPr>
            <w:color w:val="1155CC"/>
            <w:u w:val="single"/>
          </w:rPr>
          <w:t>$^{34}\mathrm{Ar}(α,p)^{37}\mathrm{K}$$^{37}\mathrm{K}$上质子散射的反应速率及其对模拟 X 射线爆发特性的影响</w:t>
        </w:r>
      </w:hyperlink>
    </w:p>
    <w:p>
      <w:pPr>
        <w:spacing w:before="0" w:after="80"/>
      </w:pPr>
      <w:r>
        <w:rPr>
          <w:i/>
          <w:sz w:val="20"/>
        </w:rPr>
        <w:t>EN: $^{34}\mathrm{Ar}(α,p)^{37}\mathrm{K}$ reaction rate from proton scattering on $^{37}\mathrm{K}$ and its impact on properties of modeled x-ray bursts</w:t>
      </w:r>
    </w:p>
    <w:p>
      <w:pPr>
        <w:spacing w:before="0" w:after="120"/>
      </w:pPr>
      <w:r>
        <w:rPr>
          <w:b/>
        </w:rPr>
        <w:t xml:space="preserve">Source: </w:t>
      </w:r>
      <w:r>
        <w:t>Recent Articles in Phys. Rev. C</w:t>
      </w:r>
      <w:r>
        <w:t xml:space="preserve">    </w:t>
      </w:r>
      <w:r>
        <w:rPr>
          <w:b/>
        </w:rPr>
        <w:t xml:space="preserve">Pub date: </w:t>
      </w:r>
      <w:r>
        <w:t>2026-08-07 10:00:00+00:00</w:t>
      </w:r>
      <w:r>
        <w:t xml:space="preserve">    </w:t>
      </w:r>
      <w:r>
        <w:rPr>
          <w:b/>
        </w:rPr>
        <w:t xml:space="preserve">DOI: </w:t>
      </w:r>
      <w:hyperlink r:id="rId833">
        <w:r>
          <w:rPr>
            <w:color w:val="1155CC"/>
            <w:u w:val="single"/>
          </w:rPr>
          <w:t>10.1103/x8xt-y8dr</w:t>
        </w:r>
      </w:hyperlink>
    </w:p>
    <w:p>
      <w:pPr>
        <w:spacing w:before="0" w:after="120"/>
      </w:pPr>
      <w:r>
        <w:rPr>
          <w:b/>
        </w:rPr>
        <w:t xml:space="preserve">Notes: </w:t>
      </w:r>
      <w:r>
        <w:t>abstract_source=rss_description</w:t>
      </w:r>
    </w:p>
    <w:p>
      <w:pPr>
        <w:spacing w:before="0" w:after="80" w:lineRule="auto" w:line="276"/>
      </w:pPr>
      <w:r>
        <w:rPr>
          <w:b/>
        </w:rPr>
        <w:t xml:space="preserve">摘要（ZH）: </w:t>
      </w:r>
      <w:r>
        <w:t>作者：A. Lauer-Coles、C. M. Deibel、J. C. Blackmon、S. Ahn、M. Anastasiou、L. T. Baby、J. Browne、K. A. Chipps、E. C. Good、A. Hood、J. Hooker、H. Jayatissa、E. Koshchiy、K. T. Macon、F. Montes、W. J. Ong、S. D. Pain、N. Rijal、G. V. Rogachev、D. Santiago-Gonzalez、H. Schatz、K. Schmidt、S. Upadhyayula 和 I. Wiedenhöver 背景：I 型 X 射线爆发 (XRB) 是高能恒星爆炸，发生在吸积双星系统中的中子星表面，该双星系统具有低质量 H/He 富氦伴星。 $^{34}\mathrm{Ar}(α,p)^{37}\mathrm{K}$ 反应的速率可能会影响光变曲线的特征，从而产生…[Phys. Rev. C 114, 025801] 发布于 2026 年 8 月 7 日星期五</w:t>
      </w:r>
    </w:p>
    <w:p>
      <w:pPr>
        <w:spacing w:before="0" w:after="200" w:lineRule="auto" w:line="276"/>
      </w:pPr>
      <w:r>
        <w:rPr>
          <w:b/>
        </w:rPr>
        <w:t xml:space="preserve">Abstract (EN): </w:t>
      </w:r>
      <w:r>
        <w:t>Author(s): A. Lauer-Coles, C. M. Deibel, J. C. Blackmon, S. Ahn, M. Anastasiou, L. T. Baby, J. Browne, K. A. Chipps, E. C. Good, A. Hood, J. Hooker, H. Jayatissa, E. Koshchiy, K. T. Macon, F. Montes, W. J. Ong, S. D. Pain, N. Rijal, G. V. Rogachev, D. Santiago-Gonzalez, H. Schatz, K. Schmidt, S. Upadhyayula, and I. WiedenhöverBackground: Type I x-ray bursts (XRBs) are energetic stellar explosions that occur on the surface of a neutron star in an accreting binary system with a low-mass H/He-rich companion. The rate of the $^{34}\mathrm{Ar}(α,p)^{37}\mathrm{K}$ reaction may influence features of the light curve that result…[Phys. Rev. C 114, 025801] Published Fri Aug 07, 2026</w:t>
      </w:r>
    </w:p>
    <w:p>
      <w:pPr>
        <w:spacing w:before="120" w:after="120"/>
      </w:pPr>
      <w:r>
        <w:rPr>
          <w:sz w:val="18"/>
        </w:rPr>
        <w:t>——————————————————————————————————————————————————————————————————————</w:t>
      </w:r>
    </w:p>
    <w:p>
      <w:pPr>
        <w:spacing w:before="160" w:after="40" w:line="240" w:lineRule="auto"/>
      </w:pPr>
      <w:r>
        <w:rPr>
          <w:b/>
        </w:rPr>
        <w:t xml:space="preserve">[132] </w:t>
      </w:r>
      <w:hyperlink r:id="rId834">
        <w:r>
          <w:rPr>
            <w:color w:val="1155CC"/>
            <w:u w:val="single"/>
          </w:rPr>
          <w:t>电荷的出现-$4e$ 二维向列超导体的超导性</w:t>
        </w:r>
      </w:hyperlink>
    </w:p>
    <w:p>
      <w:pPr>
        <w:spacing w:before="0" w:after="80"/>
      </w:pPr>
      <w:r>
        <w:rPr>
          <w:i/>
          <w:sz w:val="20"/>
        </w:rPr>
        <w:t>EN: Emergence of Charge-$4e$ Superconductivity from 2D Nematic Superconductors</w:t>
      </w:r>
    </w:p>
    <w:p>
      <w:pPr>
        <w:spacing w:before="0" w:after="120"/>
      </w:pPr>
      <w:r>
        <w:rPr>
          <w:b/>
        </w:rPr>
        <w:t xml:space="preserve">Source: </w:t>
      </w:r>
      <w:r>
        <w:t>Recent Articles in Phys. Rev. Lett.</w:t>
      </w:r>
      <w:r>
        <w:t xml:space="preserve">    </w:t>
      </w:r>
      <w:r>
        <w:rPr>
          <w:b/>
        </w:rPr>
        <w:t xml:space="preserve">Pub date: </w:t>
      </w:r>
      <w:r>
        <w:t>2026-08-07 10:00:00+00:00</w:t>
      </w:r>
      <w:r>
        <w:t xml:space="preserve">    </w:t>
      </w:r>
      <w:r>
        <w:rPr>
          <w:b/>
        </w:rPr>
        <w:t xml:space="preserve">DOI: </w:t>
      </w:r>
      <w:hyperlink r:id="rId835">
        <w:r>
          <w:rPr>
            <w:color w:val="1155CC"/>
            <w:u w:val="single"/>
          </w:rPr>
          <w:t>10.1103/j7nh-jzdd</w:t>
        </w:r>
      </w:hyperlink>
    </w:p>
    <w:p>
      <w:pPr>
        <w:spacing w:before="0" w:after="120"/>
      </w:pPr>
      <w:r>
        <w:rPr>
          <w:b/>
        </w:rPr>
        <w:t xml:space="preserve">Notes: </w:t>
      </w:r>
      <w:r>
        <w:t>abstract_source=rss_description</w:t>
      </w:r>
    </w:p>
    <w:p>
      <w:pPr>
        <w:spacing w:before="0" w:after="80" w:lineRule="auto" w:line="276"/>
      </w:pPr>
      <w:r>
        <w:rPr>
          <w:b/>
        </w:rPr>
        <w:t xml:space="preserve">摘要（ZH）: </w:t>
      </w:r>
      <w:r>
        <w:t>作者：Xuan Zou、Zhou-Quan Wan 和 Hong Yao 电荷-$4e$ 超导是一种奇特的物质状态，可能从具有多分量超导序参数的电荷-$2e$ 超导体中以残留序的形式出现。通过数值精确的大规模计算在晶格相模型中显示其出现仍然很少。他……[物理。莱特牧师。 137, 066505] 发布于 2026 年 8 月 7 日星期五</w:t>
      </w:r>
    </w:p>
    <w:p>
      <w:pPr>
        <w:spacing w:before="0" w:after="200" w:lineRule="auto" w:line="276"/>
      </w:pPr>
      <w:r>
        <w:rPr>
          <w:b/>
        </w:rPr>
        <w:t xml:space="preserve">Abstract (EN): </w:t>
      </w:r>
      <w:r>
        <w:t>Author(s): Xuan Zou, Zhou-Quan Wan, and Hong YaoCharge-$4e$ superconductivity is an exotic state of matter that may emerge as a vestigial order from a charge-$2e$ superconductor with multicomponent superconducting order parameters. Showing its emergence in a lattice phase model from numerically exact large-scale computations has remained rare. He…[Phys. Rev. Lett. 137, 066505] Published Fri Aug 07, 2026</w:t>
      </w:r>
    </w:p>
    <w:p>
      <w:pPr>
        <w:spacing w:before="120" w:after="120"/>
      </w:pPr>
      <w:r>
        <w:rPr>
          <w:sz w:val="18"/>
        </w:rPr>
        <w:t>——————————————————————————————————————————————————————————————————————</w:t>
      </w:r>
    </w:p>
    <w:p>
      <w:pPr>
        <w:spacing w:before="160" w:after="40" w:line="240" w:lineRule="auto"/>
      </w:pPr>
      <w:r>
        <w:rPr>
          <w:b/>
        </w:rPr>
        <w:t xml:space="preserve">[133] </w:t>
      </w:r>
      <w:hyperlink r:id="rId836">
        <w:r>
          <w:rPr>
            <w:color w:val="1155CC"/>
            <w:u w:val="single"/>
          </w:rPr>
          <w:t>机械空间嵌合纤维蛋白组装能够实现血管整合肌肉重建，以修复体积肌肉损失（Adv. Mater. 44/2026）</w:t>
        </w:r>
      </w:hyperlink>
    </w:p>
    <w:p>
      <w:pPr>
        <w:spacing w:before="0" w:after="80"/>
      </w:pPr>
      <w:r>
        <w:rPr>
          <w:i/>
          <w:sz w:val="20"/>
        </w:rPr>
        <w:t>EN: Mechanically Spatio‐Chimeric Fibrin Assembly Enables Vascular‐Integrated Muscle Reconstruction for Volumetric Muscle Loss Repair (Adv. Mater. 44/2026)</w:t>
      </w:r>
    </w:p>
    <w:p>
      <w:pPr>
        <w:spacing w:before="0" w:after="120"/>
      </w:pPr>
      <w:r>
        <w:rPr>
          <w:b/>
        </w:rPr>
        <w:t xml:space="preserve">Source: </w:t>
      </w:r>
      <w:r>
        <w:t>Wiley: Advanced Materials: Table of Contents</w:t>
      </w:r>
      <w:r>
        <w:t xml:space="preserve">    </w:t>
      </w:r>
      <w:r>
        <w:rPr>
          <w:b/>
        </w:rPr>
        <w:t xml:space="preserve">Pub date: </w:t>
      </w:r>
      <w:r>
        <w:t>2026-08-07 10:09:44+00:00</w:t>
      </w:r>
      <w:r>
        <w:t xml:space="preserve">    </w:t>
      </w:r>
      <w:r>
        <w:rPr>
          <w:b/>
        </w:rPr>
        <w:t xml:space="preserve">DOI: </w:t>
      </w:r>
      <w:hyperlink r:id="rId837">
        <w:r>
          <w:rPr>
            <w:color w:val="1155CC"/>
            <w:u w:val="single"/>
          </w:rPr>
          <w:t>10.1002/adma.74426</w:t>
        </w:r>
      </w:hyperlink>
    </w:p>
    <w:p>
      <w:pPr>
        <w:spacing w:before="0" w:after="120"/>
      </w:pPr>
      <w:r>
        <w:rPr>
          <w:b/>
        </w:rPr>
        <w:t xml:space="preserve">Notes: </w:t>
      </w:r>
      <w:r>
        <w:t>abstract_source=openalex</w:t>
      </w:r>
    </w:p>
    <w:p>
      <w:pPr>
        <w:spacing w:before="0" w:after="80" w:lineRule="auto" w:line="276"/>
      </w:pPr>
      <w:r>
        <w:rPr>
          <w:b/>
        </w:rPr>
        <w:t xml:space="preserve">摘要（ZH）: </w:t>
      </w:r>
      <w:r>
        <w:t>体积肌肉损失修复 SPARC（空间嵌合、基于等离子体、各向异性和剪切响应结构）将生肌和血管微环境集成在单个结构中。双模量基质指导对齐的肌管形成和内皮网络发育，使血管化肌肉植入物能够与宿主组织无缝吻合，并在体积肌肉损失后恢复结构和功能完整性。更多详细信息，请参阅 Yoonhee Jin、Joo H. Kang 及其同事的研究文章 (DOI: 10.1002/adma.202523542)。</w:t>
      </w:r>
    </w:p>
    <w:p>
      <w:pPr>
        <w:spacing w:before="0" w:after="200" w:lineRule="auto" w:line="276"/>
      </w:pPr>
      <w:r>
        <w:rPr>
          <w:b/>
        </w:rPr>
        <w:t xml:space="preserve">Abstract (EN): </w:t>
      </w:r>
      <w:r>
        <w:t>Volumetric Muscle Loss Repair SPARC (Spatio-chimeric, Plasma-based, Anisotropic, and shear-Responsive Construct) that integrates myogenic and vascular microenvironments within a single construct. The dual- modulus matrix directs aligned myotube formation and endothelial network development, enabling a vascularized muscle implant that seamlessly anastomoses with host tissue and restores structural and functional integrity after volumetric muscle loss. More details can be found in the Research Article by Yoonhee Jin, Joo H. Kang, and co-workers (DOI: 10.1002/adma.202523542).</w:t>
      </w:r>
    </w:p>
    <w:p>
      <w:pPr>
        <w:spacing w:before="120" w:after="120"/>
      </w:pPr>
      <w:r>
        <w:rPr>
          <w:sz w:val="18"/>
        </w:rPr>
        <w:t>——————————————————————————————————————————————————————————————————————</w:t>
      </w:r>
    </w:p>
    <w:p>
      <w:pPr>
        <w:spacing w:before="160" w:after="40" w:line="240" w:lineRule="auto"/>
      </w:pPr>
      <w:r>
        <w:rPr>
          <w:b/>
        </w:rPr>
        <w:t xml:space="preserve">[134] </w:t>
      </w:r>
      <w:hyperlink r:id="rId838">
        <w:r>
          <w:rPr>
            <w:color w:val="1155CC"/>
            <w:u w:val="single"/>
          </w:rPr>
          <w:t>用于细胞外囊泡动态和时间分辨分离的热调制超表面传感器（Adv. Mater. 44/2026）</w:t>
        </w:r>
      </w:hyperlink>
    </w:p>
    <w:p>
      <w:pPr>
        <w:spacing w:before="0" w:after="80"/>
      </w:pPr>
      <w:r>
        <w:rPr>
          <w:i/>
          <w:sz w:val="20"/>
        </w:rPr>
        <w:t>EN: Thermally Modulated Metasurface Sensor for Dynamic and Time‐Resolved Isolation of Extracellular Vesicles (Adv. Mater. 44/2026)</w:t>
      </w:r>
    </w:p>
    <w:p>
      <w:pPr>
        <w:spacing w:before="0" w:after="120"/>
      </w:pPr>
      <w:r>
        <w:rPr>
          <w:b/>
        </w:rPr>
        <w:t xml:space="preserve">Source: </w:t>
      </w:r>
      <w:r>
        <w:t>Wiley: Advanced Materials: Table of Contents</w:t>
      </w:r>
      <w:r>
        <w:t xml:space="preserve">    </w:t>
      </w:r>
      <w:r>
        <w:rPr>
          <w:b/>
        </w:rPr>
        <w:t xml:space="preserve">Pub date: </w:t>
      </w:r>
      <w:r>
        <w:t>2026-08-07 10:09:44+00:00</w:t>
      </w:r>
      <w:r>
        <w:t xml:space="preserve">    </w:t>
      </w:r>
      <w:r>
        <w:rPr>
          <w:b/>
        </w:rPr>
        <w:t xml:space="preserve">DOI: </w:t>
      </w:r>
      <w:hyperlink r:id="rId839">
        <w:r>
          <w:rPr>
            <w:color w:val="1155CC"/>
            <w:u w:val="single"/>
          </w:rPr>
          <w:t>10.1002/adma.74428</w:t>
        </w:r>
      </w:hyperlink>
    </w:p>
    <w:p>
      <w:pPr>
        <w:spacing w:before="0" w:after="120"/>
      </w:pPr>
      <w:r>
        <w:rPr>
          <w:b/>
        </w:rPr>
        <w:t xml:space="preserve">Notes: </w:t>
      </w:r>
      <w:r>
        <w:t>abstract_source=openalex</w:t>
      </w:r>
    </w:p>
    <w:p>
      <w:pPr>
        <w:spacing w:before="0" w:after="80" w:lineRule="auto" w:line="276"/>
      </w:pPr>
      <w:r>
        <w:rPr>
          <w:b/>
        </w:rPr>
        <w:t xml:space="preserve">摘要（ZH）: </w:t>
      </w:r>
      <w:r>
        <w:t>热调制超表面传感器热响应聚合物集成等离子体超表面通过亲和引导捕获和热诱导释放提供时空可编程、无标记的细胞外囊泡（EV）分离。该平台实现了高纯度、完整的囊泡形态和实时检测，为生物医学应用实现了非破坏性的 EV 分离和操作。更多详细信息，请参阅 Fatih Inci 及其同事的研究文章 (DOI: 10.1002/adma.202522964)。</w:t>
      </w:r>
    </w:p>
    <w:p>
      <w:pPr>
        <w:spacing w:before="0" w:after="200" w:lineRule="auto" w:line="276"/>
      </w:pPr>
      <w:r>
        <w:rPr>
          <w:b/>
        </w:rPr>
        <w:t xml:space="preserve">Abstract (EN): </w:t>
      </w:r>
      <w:r>
        <w:t>Thermally Modulated Metasurface Sensor A thermoresponsive polymer–integrated plasmonic metasurface affords spatiotemporally programmable, label-free extracellular vesicle (EV) isolation via affinity-guided capture and thermally induced release. The platform achieves high purity, intact vesicle morphology, and real-time detection, enabling non-destructive EV isolation and manipulation for biomedical applications. More details can be found in the Research Article by Fatih Inci and co-workers (DOI: 10.1002/adma.202522964).</w:t>
      </w:r>
    </w:p>
    <w:p>
      <w:pPr>
        <w:spacing w:before="120" w:after="120"/>
      </w:pPr>
      <w:r>
        <w:rPr>
          <w:sz w:val="18"/>
        </w:rPr>
        <w:t>——————————————————————————————————————————————————————————————————————</w:t>
      </w:r>
    </w:p>
    <w:p>
      <w:pPr>
        <w:spacing w:before="160" w:after="40" w:line="240" w:lineRule="auto"/>
      </w:pPr>
      <w:r>
        <w:rPr>
          <w:b/>
        </w:rPr>
        <w:t xml:space="preserve">[135] </w:t>
      </w:r>
      <w:hyperlink r:id="rId840">
        <w:r>
          <w:rPr>
            <w:color w:val="1155CC"/>
            <w:u w:val="single"/>
          </w:rPr>
          <w:t>基于稳定蛋白质的 G 四链体衍生的超分子生物墨水，作为通过结合非共价和共价策略组装的可调节 ECM 模拟结构（Adv. Mater. 44/2026）</w:t>
        </w:r>
      </w:hyperlink>
    </w:p>
    <w:p>
      <w:pPr>
        <w:spacing w:before="0" w:after="80"/>
      </w:pPr>
      <w:r>
        <w:rPr>
          <w:i/>
          <w:sz w:val="20"/>
        </w:rPr>
        <w:t>EN: Stable Protein‐Based G‐Quadruplex‐Derived Supramolecular Bioinks as Tunable ECM‐Mimetic Constructs Assembled by Combining Non‐Covalent and Covalent Strategies (Adv. Mater. 44/2026)</w:t>
      </w:r>
    </w:p>
    <w:p>
      <w:pPr>
        <w:spacing w:before="0" w:after="120"/>
      </w:pPr>
      <w:r>
        <w:rPr>
          <w:b/>
        </w:rPr>
        <w:t xml:space="preserve">Source: </w:t>
      </w:r>
      <w:r>
        <w:t>Wiley: Advanced Materials: Table of Contents</w:t>
      </w:r>
      <w:r>
        <w:t xml:space="preserve">    </w:t>
      </w:r>
      <w:r>
        <w:rPr>
          <w:b/>
        </w:rPr>
        <w:t xml:space="preserve">Pub date: </w:t>
      </w:r>
      <w:r>
        <w:t>2026-08-07 10:09:44+00:00</w:t>
      </w:r>
      <w:r>
        <w:t xml:space="preserve">    </w:t>
      </w:r>
      <w:r>
        <w:rPr>
          <w:b/>
        </w:rPr>
        <w:t xml:space="preserve">DOI: </w:t>
      </w:r>
      <w:hyperlink r:id="rId841">
        <w:r>
          <w:rPr>
            <w:color w:val="1155CC"/>
            <w:u w:val="single"/>
          </w:rPr>
          <w:t>10.1002/adma.74425</w:t>
        </w:r>
      </w:hyperlink>
    </w:p>
    <w:p>
      <w:pPr>
        <w:spacing w:before="0" w:after="120"/>
      </w:pPr>
      <w:r>
        <w:rPr>
          <w:b/>
        </w:rPr>
        <w:t xml:space="preserve">Notes: </w:t>
      </w:r>
      <w:r>
        <w:t>abstract_source=openalex</w:t>
      </w:r>
    </w:p>
    <w:p>
      <w:pPr>
        <w:spacing w:before="0" w:after="80" w:lineRule="auto" w:line="276"/>
      </w:pPr>
      <w:r>
        <w:rPr>
          <w:b/>
        </w:rPr>
        <w:t xml:space="preserve">摘要（ZH）: </w:t>
      </w:r>
      <w:r>
        <w:t>G-四链体衍生的超分子生物墨水的 3D 生物打印封面展示了 G-四链体衍生的超分子生物墨水的 3D 生物打印。这种仿生方法将大分子拥挤下超分子自组装的优雅与浴内酶介导的共价交联相结合，创造出稳定的 ECM 模拟结构，准备突破组织工程和再生医学的界限。更多详细信息，请参阅 Vera Sousa、João Borges、João F. Mano 及其同事的研究文章 (DOI: 10.1002/adma.202521259)。</w:t>
      </w:r>
    </w:p>
    <w:p>
      <w:pPr>
        <w:spacing w:before="0" w:after="200" w:lineRule="auto" w:line="276"/>
      </w:pPr>
      <w:r>
        <w:rPr>
          <w:b/>
        </w:rPr>
        <w:t xml:space="preserve">Abstract (EN): </w:t>
      </w:r>
      <w:r>
        <w:t>3D Bioprinting of G-Quadruplex-Derived Supramolecular Bioinks The cover illustrates the 3D bioprinting of G-quadruplex-derived supramolecular bioinks. This bioinspired approach merges the elegance of supramolecular self-assembly under macromolecular crowding with in-bath enzymatic-mediated covalent crosslinking, creating stable, ECM-mimetic constructs, ready to push the boundaries of tissue engineering and regenerative medicine. More details can be found in the Research Article by Vera Sousa, João Borges, João F. Mano, and co-workers (DOI: 10.1002/adma.202521259).</w:t>
      </w:r>
    </w:p>
    <w:p>
      <w:pPr>
        <w:spacing w:before="120" w:after="120"/>
      </w:pPr>
      <w:r>
        <w:rPr>
          <w:sz w:val="18"/>
        </w:rPr>
        <w:t>——————————————————————————————————————————————————————————————————————</w:t>
      </w:r>
    </w:p>
    <w:p>
      <w:pPr>
        <w:spacing w:before="160" w:after="40" w:line="240" w:lineRule="auto"/>
      </w:pPr>
      <w:r>
        <w:rPr>
          <w:b/>
        </w:rPr>
        <w:t xml:space="preserve">[136] </w:t>
      </w:r>
      <w:hyperlink r:id="rId842">
        <w:r>
          <w:rPr>
            <w:color w:val="1155CC"/>
            <w:u w:val="single"/>
          </w:rPr>
          <w:t>对“通过旋转控制四嗪生物正交反应性”的更正</w:t>
        </w:r>
      </w:hyperlink>
    </w:p>
    <w:p>
      <w:pPr>
        <w:spacing w:before="0" w:after="80"/>
      </w:pPr>
      <w:r>
        <w:rPr>
          <w:i/>
          <w:sz w:val="20"/>
        </w:rPr>
        <w:t>EN: Correction to “Control of Tetrazine Bioorthogonal Reactivity by Rotaxanation”</w:t>
      </w:r>
    </w:p>
    <w:p>
      <w:pPr>
        <w:spacing w:before="0" w:after="120"/>
      </w:pPr>
      <w:r>
        <w:rPr>
          <w:b/>
        </w:rPr>
        <w:t xml:space="preserve">Source: </w:t>
      </w:r>
      <w:r>
        <w:t>Wiley: Angewandte Chemie International Edition: Table of Contents</w:t>
      </w:r>
      <w:r>
        <w:t xml:space="preserve">    </w:t>
      </w:r>
      <w:r>
        <w:rPr>
          <w:b/>
        </w:rPr>
        <w:t xml:space="preserve">Pub date: </w:t>
      </w:r>
      <w:r>
        <w:t>2026-08-07 12:46:54+00:00</w:t>
      </w:r>
      <w:r>
        <w:t xml:space="preserve">    </w:t>
      </w:r>
      <w:r>
        <w:rPr>
          <w:b/>
        </w:rPr>
        <w:t xml:space="preserve">DOI: </w:t>
      </w:r>
      <w:hyperlink r:id="rId843">
        <w:r>
          <w:rPr>
            <w:color w:val="1155CC"/>
            <w:u w:val="single"/>
          </w:rPr>
          <w:t>10.1002/anie.5917916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[137] </w:t>
      </w:r>
      <w:hyperlink r:id="rId844">
        <w:r>
          <w:rPr>
            <w:color w:val="1155CC"/>
            <w:u w:val="single"/>
          </w:rPr>
          <w:t>非晶相分离系统的可编程纳米结构取向</w:t>
        </w:r>
      </w:hyperlink>
    </w:p>
    <w:p>
      <w:pPr>
        <w:spacing w:before="0" w:after="80"/>
      </w:pPr>
      <w:r>
        <w:rPr>
          <w:i/>
          <w:sz w:val="20"/>
        </w:rPr>
        <w:t>EN: Programmable Nanostructural Orientation on Amorphous Phase‐Separating Systems</w:t>
      </w:r>
    </w:p>
    <w:p>
      <w:pPr>
        <w:spacing w:before="0" w:after="120"/>
      </w:pPr>
      <w:r>
        <w:rPr>
          <w:b/>
        </w:rPr>
        <w:t xml:space="preserve">Source: </w:t>
      </w:r>
      <w:r>
        <w:t>Wiley: Angewandte Chemie International Edition: Table of Contents</w:t>
      </w:r>
      <w:r>
        <w:t xml:space="preserve">    </w:t>
      </w:r>
      <w:r>
        <w:rPr>
          <w:b/>
        </w:rPr>
        <w:t xml:space="preserve">Pub date: </w:t>
      </w:r>
      <w:r>
        <w:t>2026-08-07 12:50:52+00:00</w:t>
      </w:r>
      <w:r>
        <w:t xml:space="preserve">    </w:t>
      </w:r>
      <w:r>
        <w:rPr>
          <w:b/>
        </w:rPr>
        <w:t xml:space="preserve">DOI: </w:t>
      </w:r>
      <w:hyperlink r:id="rId845">
        <w:r>
          <w:rPr>
            <w:color w:val="1155CC"/>
            <w:u w:val="single"/>
          </w:rPr>
          <w:t>10.1002/anie.8511383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目前，仍然缺乏广泛适用的以自下而上的方式编程纳米结构取向的策略（例如，对于那些广泛使用的非晶相分离系统）。这是因为，对于缺乏介晶单元的系统，取向主要由界面能量控制，而界面能量很难在时空上进行调节。在此，我们提出了一种使非晶相分离系统的取向可光编程的策略。以无定形嵌段共聚物作为清洁模型系统，可以设计与两个域相互作用的过硫化芳香族调节剂，从而使两个域和基底之间的界面能量失配最小化，这有利于垂直取向。在光照射下，调制器的光诱导聚集会重新分配其在域之间的分配，放大界面能量不对称性并驱动自组装到平行方向。这种方向切换可以通过光移除来重置。这种取向控制策略适合纳米结构的密度倍增，甚至可以作为其他材料掺入的模板（例如，引入导电聚合物并通过取向产生25倍的电导率对比度），从而在实际纳米技术中实现有效的功能扩展。</w:t>
      </w:r>
    </w:p>
    <w:p>
      <w:pPr>
        <w:spacing w:before="0" w:after="200" w:lineRule="auto" w:line="276"/>
      </w:pPr>
      <w:r>
        <w:rPr>
          <w:b/>
        </w:rPr>
        <w:t xml:space="preserve">Abstract (EN): </w:t>
      </w:r>
      <w:r>
        <w:t>Currently, there remains a lack of broadly applicable strategies for programming the nanostructural orientation in a bottom‐up way (e.g., for those widely used amorphous phase‐separating systems). This is because, for the systems lacking mesogenic units, the orientation is primarily governed by interfacial energy, which is difficult to modulate spatiotemporally. Herein, we present a strategy to make the orientation of amorphous phase‐separating systems photo‐programmable. Taking amorphous block copolymers as a clean model system, a persulfurated aromatic modulator that interacts with both domains can be designed, allowing a minimized interfacial energy mismatch between the two domains and the substrate, which favors perpendicular orientation. Upon light irradiation, photoinduced aggregation of the modulator redistributes its partitioning between the domains, amplifying the interfacial energy asymmetry and driving self‐assembly to parallel orientation. This orientation switching is resettable through light removal. Such an orientation control strategy is fit for density multiplication of the nanostructures, and can even serve as a template for other material incorporation (e.g., introducing conductive polymers and creating a 25‐fold conductivity contrast through orientation), enabling effective function expansion in practical nanotechnology.</w:t>
      </w:r>
    </w:p>
    <w:p>
      <w:pPr>
        <w:spacing w:before="120" w:after="120"/>
      </w:pPr>
      <w:r>
        <w:rPr>
          <w:sz w:val="18"/>
        </w:rPr>
        <w:t>——————————————————————————————————————————————————————————————————————</w:t>
      </w:r>
    </w:p>
    <w:p>
      <w:pPr>
        <w:spacing w:before="160" w:after="40" w:line="240" w:lineRule="auto"/>
      </w:pPr>
      <w:r>
        <w:rPr>
          <w:b/>
        </w:rPr>
        <w:t xml:space="preserve">[138] </w:t>
      </w:r>
      <w:hyperlink r:id="rId846">
        <w:r>
          <w:rPr>
            <w:color w:val="1155CC"/>
            <w:u w:val="single"/>
          </w:rPr>
          <w:t>Pd催化对映选择性构建异吲哚并[2,1-a]吲哚</w:t>
        </w:r>
      </w:hyperlink>
    </w:p>
    <w:p>
      <w:pPr>
        <w:spacing w:before="0" w:after="80"/>
      </w:pPr>
      <w:r>
        <w:rPr>
          <w:i/>
          <w:sz w:val="20"/>
        </w:rPr>
        <w:t>EN: Pd‐Catalyzed Enantioselective Construction of Isoindolo[2,1‐a]indoles</w:t>
      </w:r>
    </w:p>
    <w:p>
      <w:pPr>
        <w:spacing w:before="0" w:after="120"/>
      </w:pPr>
      <w:r>
        <w:rPr>
          <w:b/>
        </w:rPr>
        <w:t xml:space="preserve">Source: </w:t>
      </w:r>
      <w:r>
        <w:t>Wiley: Angewandte Chemie International Edition: Table of Contents</w:t>
      </w:r>
      <w:r>
        <w:t xml:space="preserve">    </w:t>
      </w:r>
      <w:r>
        <w:rPr>
          <w:b/>
        </w:rPr>
        <w:t xml:space="preserve">Pub date: </w:t>
      </w:r>
      <w:r>
        <w:t>2026-08-07 12:51:54+00:00</w:t>
      </w:r>
      <w:r>
        <w:t xml:space="preserve">    </w:t>
      </w:r>
      <w:r>
        <w:rPr>
          <w:b/>
        </w:rPr>
        <w:t xml:space="preserve">DOI: </w:t>
      </w:r>
      <w:hyperlink r:id="rId847">
        <w:r>
          <w:rPr>
            <w:color w:val="1155CC"/>
            <w:u w:val="single"/>
          </w:rPr>
          <w:t>10.1002/anie.3999519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异吲哚[2,1‐</w:t>
      </w:r>
      <w:r>
        <w:t xml:space="preserve"> </w:t>
      </w:r>
      <w:r>
        <w:t>一个</w:t>
      </w:r>
      <w:r>
        <w:t xml:space="preserve"> </w:t>
      </w:r>
      <w:r>
        <w:t>]吲哚是一类重要的功能化吲哚基杂环化合物，在天然产物、药物和功能材料中具有重要用途。 Larock 异吲哚[2,1‐</w:t>
      </w:r>
      <w:r>
        <w:t xml:space="preserve"> </w:t>
      </w:r>
      <w:r>
        <w:t>一个</w:t>
      </w:r>
      <w:r>
        <w:t xml:space="preserve"> </w:t>
      </w:r>
      <w:r>
        <w:t>]吲哚合成是合成异吲哚最直接、最有效的方法之一[2,1-</w:t>
      </w:r>
      <w:r>
        <w:t>一个</w:t>
      </w:r>
      <w:r>
        <w:t xml:space="preserve"> </w:t>
      </w:r>
      <w:r>
        <w:t>]吲哚利用内部炔烃和亚胺衍生</w:t>
      </w:r>
      <w:r>
        <w:t xml:space="preserve"> </w:t>
      </w:r>
      <w:r>
        <w:t>哦</w:t>
      </w:r>
      <w:r>
        <w:t xml:space="preserve"> </w:t>
      </w:r>
      <w:r>
        <w:t>‐基于 Larock 吲哚合成的碘苯胺和醛。然而，开发一种不对称版本来构建手性异吲哚[2,1‐</w:t>
      </w:r>
      <w:r>
        <w:t xml:space="preserve"> </w:t>
      </w:r>
      <w:r>
        <w:t>一个</w:t>
      </w:r>
      <w:r>
        <w:t xml:space="preserve"> </w:t>
      </w:r>
      <w:r>
        <w:t>] 吲哚自 1999 年首次报告以来已经提出了相当大的挑战。在此，我们报告了不对称 Larock 异吲哚的第一个例子[2,1‐</w:t>
      </w:r>
      <w:r>
        <w:t xml:space="preserve"> </w:t>
      </w:r>
      <w:r>
        <w:t>一个</w:t>
      </w:r>
      <w:r>
        <w:t xml:space="preserve"> </w:t>
      </w:r>
      <w:r>
        <w:t>]使用经过修饰的手性亚磺酰胺膦 (Sadphos) 配体 (Ming-Phos) 合成吲哚。它允许以良好到优异的对映选择性快速转化各种底物，并提供一种简便、直接的方法获得手性异吲哚[2,1‐</w:t>
      </w:r>
      <w:r>
        <w:t xml:space="preserve"> </w:t>
      </w:r>
      <w:r>
        <w:t>一个</w:t>
      </w:r>
      <w:r>
        <w:t xml:space="preserve"> </w:t>
      </w:r>
      <w:r>
        <w:t>]吲哚稠合杂环。值得注意的是，这些手性异吲哚并[2,1‐</w:t>
      </w:r>
      <w:r>
        <w:t xml:space="preserve"> </w:t>
      </w:r>
      <w:r>
        <w:t>一个</w:t>
      </w:r>
      <w:r>
        <w:t xml:space="preserve"> </w:t>
      </w:r>
      <w:r>
        <w:t>]吲哚稠合杂环表现出明亮的荧光。检查了光学性质，包括圆二色性和量子产率。该转变提供了手性高度共轭</w:t>
      </w:r>
    </w:p>
    <w:p>
      <w:pPr>
        <w:spacing w:before="0" w:after="200" w:lineRule="auto" w:line="276"/>
      </w:pPr>
      <w:r>
        <w:rPr>
          <w:b/>
        </w:rPr>
        <w:t xml:space="preserve">Abstract (EN): </w:t>
      </w:r>
      <w:r>
        <w:t>Isoindolo[2,1‐</w:t>
      </w:r>
      <w:r>
        <w:t xml:space="preserve"> </w:t>
      </w:r>
      <w:r>
        <w:t>a</w:t>
      </w:r>
      <w:r>
        <w:t xml:space="preserve"> </w:t>
      </w:r>
      <w:r>
        <w:t>]indoles are a class of important functionalized indole‐based heterocycles with significant utility in natural products, pharmaceuticals, and functional materials. Larock isoindolo[2,1‐</w:t>
      </w:r>
      <w:r>
        <w:t xml:space="preserve"> </w:t>
      </w:r>
      <w:r>
        <w:t>a</w:t>
      </w:r>
      <w:r>
        <w:t xml:space="preserve"> </w:t>
      </w:r>
      <w:r>
        <w:t>]indole synthesis is one of the most straightforward and efficient methods for the synthesis of isoindolo[2,1‐</w:t>
      </w:r>
      <w:r>
        <w:t xml:space="preserve"> </w:t>
      </w:r>
      <w:r>
        <w:t>a</w:t>
      </w:r>
      <w:r>
        <w:t xml:space="preserve"> </w:t>
      </w:r>
      <w:r>
        <w:t>]indole utilizing internal alkynes and imines derived from</w:t>
      </w:r>
      <w:r>
        <w:t xml:space="preserve"> </w:t>
      </w:r>
      <w:r>
        <w:t>o</w:t>
      </w:r>
      <w:r>
        <w:t xml:space="preserve"> </w:t>
      </w:r>
      <w:r>
        <w:t>‐iodoanilines and aldehydes based on Larock indole synthesis. However, developing an asymmetric version for the construction of chiral isoindolo[2,1‐</w:t>
      </w:r>
      <w:r>
        <w:t xml:space="preserve"> </w:t>
      </w:r>
      <w:r>
        <w:t>a</w:t>
      </w:r>
      <w:r>
        <w:t xml:space="preserve"> </w:t>
      </w:r>
      <w:r>
        <w:t>]indoles has posed considerable challenges since its initial report in 1999. Herein, we report a first example of asymmetric Larock isoindolo[2,1‐</w:t>
      </w:r>
      <w:r>
        <w:t xml:space="preserve"> </w:t>
      </w:r>
      <w:r>
        <w:t>a</w:t>
      </w:r>
      <w:r>
        <w:t xml:space="preserve"> </w:t>
      </w:r>
      <w:r>
        <w:t>]indole synthesis by employing a chiral sulfinamide phosphine (Sadphos) ligand (Ming‐Phos) with modification. It allows rapid transformation of a wide range of substrates in good to excellent enantioselectivities, and provides a facile and straightforward access to chiral isoindolo[2,1‐</w:t>
      </w:r>
      <w:r>
        <w:t xml:space="preserve"> </w:t>
      </w:r>
      <w:r>
        <w:t>a</w:t>
      </w:r>
      <w:r>
        <w:t xml:space="preserve"> </w:t>
      </w:r>
      <w:r>
        <w:t>]indole fused heterocycles. Notably, these chiral isoindolo[2,1‐</w:t>
      </w:r>
      <w:r>
        <w:t xml:space="preserve"> </w:t>
      </w:r>
      <w:r>
        <w:t>a</w:t>
      </w:r>
      <w:r>
        <w:t xml:space="preserve"> </w:t>
      </w:r>
      <w:r>
        <w:t>]indole fused heterocycles exhibit bright fluorescence. The optical properties, including circular dichroism and quantum yield, are examined. The transformation offers a chiral highly conjugated system, which could have great potential applications in chiral optoelectronic materials.</w:t>
      </w:r>
    </w:p>
    <w:p>
      <w:pPr>
        <w:spacing w:before="120" w:after="120"/>
      </w:pPr>
      <w:r>
        <w:rPr>
          <w:sz w:val="18"/>
        </w:rPr>
        <w:t>——————————————————————————————————————————————————————————————————————</w:t>
      </w:r>
    </w:p>
    <w:p>
      <w:pPr>
        <w:spacing w:before="160" w:after="40" w:line="240" w:lineRule="auto"/>
      </w:pPr>
      <w:r>
        <w:rPr>
          <w:b/>
        </w:rPr>
        <w:t xml:space="preserve">[139] </w:t>
      </w:r>
      <w:hyperlink r:id="rId848">
        <w:r>
          <w:rPr>
            <w:color w:val="1155CC"/>
            <w:u w:val="single"/>
          </w:rPr>
          <w:t>组织和培养细胞的十倍扩展亚微米 MALDI 质谱成像</w:t>
        </w:r>
      </w:hyperlink>
    </w:p>
    <w:p>
      <w:pPr>
        <w:spacing w:before="0" w:after="80"/>
      </w:pPr>
      <w:r>
        <w:rPr>
          <w:i/>
          <w:sz w:val="20"/>
        </w:rPr>
        <w:t>EN: Tenfold Expansion Submicrometer MALDI Mass Spectrometry Imaging of Tissues and Cultured Cells</w:t>
      </w:r>
    </w:p>
    <w:p>
      <w:pPr>
        <w:spacing w:before="0" w:after="120"/>
      </w:pPr>
      <w:r>
        <w:rPr>
          <w:b/>
        </w:rPr>
        <w:t xml:space="preserve">Source: </w:t>
      </w:r>
      <w:r>
        <w:t>Wiley: Angewandte Chemie International Edition: Table of Contents</w:t>
      </w:r>
      <w:r>
        <w:t xml:space="preserve">    </w:t>
      </w:r>
      <w:r>
        <w:rPr>
          <w:b/>
        </w:rPr>
        <w:t xml:space="preserve">Pub date: </w:t>
      </w:r>
      <w:r>
        <w:t>2026-08-07 12:54:24+00:00</w:t>
      </w:r>
      <w:r>
        <w:t xml:space="preserve">    </w:t>
      </w:r>
      <w:r>
        <w:rPr>
          <w:b/>
        </w:rPr>
        <w:t xml:space="preserve">DOI: </w:t>
      </w:r>
      <w:hyperlink r:id="rId849">
        <w:r>
          <w:rPr>
            <w:color w:val="1155CC"/>
            <w:u w:val="single"/>
          </w:rPr>
          <w:t>10.1002/anie.1256471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在基质辅助激光解吸/电离质谱成像 (MALDI-MSI) 中实现亚微米横向分辨率对于单细胞和亚细胞水平的分子表征至关重要，但从根本上受到光学聚焦和基质结晶的限制。在这里，我们提出了十倍扩展质谱成像 (10X ExMSI)，这是一种扩展 MALDI-MSI 工作流程，可在标准商业仪器上使用 5 µm 采集步长大小达到约 500 nm 的有效横向分辨率，无需像素过采样。无 SDS 消化方案最大限度地减少了脂质浸出，并支持广泛检测主要脂质类别，包括甘油磷脂和鞘脂，尽管由于交联观察到含伯胺脂质减少。使用 10X ExMSI，我们解析了小鼠脑组织中的亚细胞结构，例如树突状树枝状结构，这对于使用现有的 MALDI-MSI 实现来访问具有挑战性。我们进一步在培养的 A549 细胞上证明了基于扩展的 MSI，实现了亚细胞水平的脂质图谱。该方法与标准 MALDI-MSI 系统完全兼容，为高分辨率、无标记分子成像提供了一种可访问且可扩展的途径。这些功能为研究生物和生物医学研究中的细胞结构和分子异质性开辟了新的机会。</w:t>
      </w:r>
    </w:p>
    <w:p>
      <w:pPr>
        <w:spacing w:before="0" w:after="200" w:lineRule="auto" w:line="276"/>
      </w:pPr>
      <w:r>
        <w:rPr>
          <w:b/>
        </w:rPr>
        <w:t xml:space="preserve">Abstract (EN): </w:t>
      </w:r>
      <w:r>
        <w:t>Achieving  submicrometer lateral resolution in matrix‐assisted laser desorption/ionization mass spectrometry imaging (MALDI‐MSI) is essential for molecular characterization at the single‐cell and subcellular levels but is fundamentally limited by optical focusing and matrix crystallization. Here, we present tenfold expansion mass spectrometry imaging (10X ExMSI), an expansion MALDI‐MSI workflow that reaches an effective lateral resolution of ∼500 nm on standard commercial instruments using a 5 µm acquisition step size without pixel oversampling. The SDS‐free digestion protocol minimizes lipid leaching and supports broad detection of major lipid classes, including glycerophospholipids and sphingolipids, although a reduction in primary amine‐containing lipids is observed due to cross‐linking. Using 10X ExMSI, we resolve subcellular structures in mouse brain tissues, such as dendritic arborizations, that are challenging to access with existing MALDI‐MSI implementations. We further demonstrate expansion‐based MSI on cultured A549 cells, achieving subcellular‐level lipid mapping. The method is fully compatible with standard MALDI‐MSI systems, providing an accessible and scalable route to high‐resolution, label‐free molecular imaging. These capabilities open new opportunities for studying cellular architecture and molecular heterogeneity in biological and biomedical research.</w:t>
      </w:r>
    </w:p>
    <w:p>
      <w:pPr>
        <w:spacing w:before="120" w:after="120"/>
      </w:pPr>
      <w:r>
        <w:rPr>
          <w:sz w:val="18"/>
        </w:rPr>
        <w:t>——————————————————————————————————————————————————————————————————————</w:t>
      </w:r>
    </w:p>
    <w:p>
      <w:pPr>
        <w:spacing w:before="160" w:after="40" w:line="240" w:lineRule="auto"/>
      </w:pPr>
      <w:r>
        <w:rPr>
          <w:b/>
        </w:rPr>
        <w:t xml:space="preserve">[140] </w:t>
      </w:r>
      <w:hyperlink r:id="rId850">
        <w:r>
          <w:rPr>
            <w:color w:val="1155CC"/>
            <w:u w:val="single"/>
          </w:rPr>
          <w:t>杂醇稠合去甲二烯的区域选择性迁移环扩展，用于模块化获得甘菊环并入的噻吩并苯</w:t>
        </w:r>
      </w:hyperlink>
    </w:p>
    <w:p>
      <w:pPr>
        <w:spacing w:before="0" w:after="80"/>
      </w:pPr>
      <w:r>
        <w:rPr>
          <w:i/>
          <w:sz w:val="20"/>
        </w:rPr>
        <w:t>EN: Regioselective Migratory Ring Expansion of Heterole‐Fused Norcaradienes for Modular Access to Azulene‐Incorporated Thienoacenes</w:t>
      </w:r>
    </w:p>
    <w:p>
      <w:pPr>
        <w:spacing w:before="0" w:after="120"/>
      </w:pPr>
      <w:r>
        <w:rPr>
          <w:b/>
        </w:rPr>
        <w:t xml:space="preserve">Source: </w:t>
      </w:r>
      <w:r>
        <w:t>Wiley: Angewandte Chemie International Edition: Table of Contents</w:t>
      </w:r>
      <w:r>
        <w:t xml:space="preserve">    </w:t>
      </w:r>
      <w:r>
        <w:rPr>
          <w:b/>
        </w:rPr>
        <w:t xml:space="preserve">Pub date: </w:t>
      </w:r>
      <w:r>
        <w:t>2026-08-07 12:59:06+00:00</w:t>
      </w:r>
      <w:r>
        <w:t xml:space="preserve">    </w:t>
      </w:r>
      <w:r>
        <w:rPr>
          <w:b/>
        </w:rPr>
        <w:t xml:space="preserve">DOI: </w:t>
      </w:r>
      <w:hyperlink r:id="rId851">
        <w:r>
          <w:rPr>
            <w:color w:val="1155CC"/>
            <w:u w:val="single"/>
          </w:rPr>
          <w:t>10.1002/anie.7564970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这项研究中，我们报告了拥挤的杂环稠合去甲二烯（NCD）的空间引导、热驱动的[1,5]-C位移（“碳行走”），该现象是通过四甲基胍（TMG）催化杂环取代的炔基环丙烷的分子内氢杂芳基化原位产生的，并通过Cope环扩展耦合得到高度功能化的环庚三烯（CHT）。通过正式还原或氧化纳扎罗夫环化，CHT 环与芳酰基取代基的进一步环戊环化使得能够模块化地获得多种掺有甘菊环的噻吩并苯，作为有机材料的有希望的候选者。 DFT 和实验机制研究表明，这种有机催化分子内氢杂芳基化是由前所未有的芳香炔 Cope 重排引发的，并通过随后的决定速率的 TMG 介导的质子转移来促进。由此产生的脱芳构化杂原子融合 CHT 物质随后通过 Cope 环收缩异构化为可分离的杂原子融合 NCD。加热后，两个共享环丙基碳中心周围的差异空间环境引导此类杂醇稠合 NCD 的立体反转碳行走过程，再加上 Cope 环膨胀，以提供最终的骨架重排 CHT。除了其合成多功能性之外，具有挑战性的芳香炔Cope重排和碱介导的质子转移之间的协同作用还解锁了一种原本难以实现的碱催化的不含炔丙质子的炔烃的分子内氢杂芳基化。</w:t>
      </w:r>
    </w:p>
    <w:p>
      <w:pPr>
        <w:spacing w:before="0" w:after="200" w:lineRule="auto" w:line="276"/>
      </w:pPr>
      <w:r>
        <w:rPr>
          <w:b/>
        </w:rPr>
        <w:t xml:space="preserve">Abstract (EN): </w:t>
      </w:r>
      <w:r>
        <w:t>In this study, we report a sterically steered, thermally driven [1,5]‐C shift (“carbon‐walking”) of congested heterole‐fused norcaradienes (NCDs), generated in situ by tetramethylguanidine (TMG) catalyzed intramolecular hydroheteroarylation of heterole‐substituted alkynylcyclopropanes, coupled by Cope ring expansion to give highly functionalized cycloheptatrienes (CHTs). Further cyclopentannulation of the CHT ring with the aroyl substituents via either formal reductive or oxidative Nazarov cyclization enables modular access to diverse azulene‐incorporated thienoacenes as promising candidates for organic materials. DFT and experimental mechanistic investigations reveal that this organocatalytic intramolecular hydroheteroarylation is initiated by an unprecedented aromatic yne Cope rearrangement facilitating by a subsequent rate‐determining TMG‐mediated proton transfer. The resulting dearomatized heterole‐fused CHT species then isomerize via Cope ring contraction to isolable heterole‐fused NCDs. Upon heating, the differential steric environments around the two shared cyclopropyl carbon centers steer a stereoinvertive carbon‐walking process of such heterole‐fused NCDs, coupled with Cope ring expansion, to furnish the final skeleton‐rearranged CHTs. Beyond its synthetic versatility, the synergy between the challenging aromatic yne Cope rearrangement and base‐mediated proton transfer unlocks an otherwise inaccessible base‐catalyzed intramolecular hydroheteroarylation of propargylic‐proton‐free alkynes.</w:t>
      </w:r>
    </w:p>
    <w:p>
      <w:pPr>
        <w:spacing w:before="120" w:after="120"/>
      </w:pPr>
      <w:r>
        <w:rPr>
          <w:sz w:val="18"/>
        </w:rPr>
        <w:t>——————————————————————————————————————————————————————————————————————</w:t>
      </w:r>
    </w:p>
    <w:p>
      <w:pPr>
        <w:spacing w:before="160" w:after="40" w:line="240" w:lineRule="auto"/>
      </w:pPr>
      <w:r>
        <w:rPr>
          <w:b/>
        </w:rPr>
        <w:t xml:space="preserve">[141] </w:t>
      </w:r>
      <w:hyperlink r:id="rId852">
        <w:r>
          <w:rPr>
            <w:color w:val="1155CC"/>
            <w:u w:val="single"/>
          </w:rPr>
          <w:t>酰亚胺环烷组件可实现类似水通道蛋白的水运输</w:t>
        </w:r>
      </w:hyperlink>
    </w:p>
    <w:p>
      <w:pPr>
        <w:spacing w:before="0" w:after="80"/>
      </w:pPr>
      <w:r>
        <w:rPr>
          <w:i/>
          <w:sz w:val="20"/>
        </w:rPr>
        <w:t>EN: Imide Cyclophane Assemblies Enable Aquaporin‐Like Water Transport</w:t>
      </w:r>
    </w:p>
    <w:p>
      <w:pPr>
        <w:spacing w:before="0" w:after="120"/>
      </w:pPr>
      <w:r>
        <w:rPr>
          <w:b/>
        </w:rPr>
        <w:t xml:space="preserve">Source: </w:t>
      </w:r>
      <w:r>
        <w:t>Wiley: Angewandte Chemie International Edition: Table of Contents</w:t>
      </w:r>
      <w:r>
        <w:t xml:space="preserve">    </w:t>
      </w:r>
      <w:r>
        <w:rPr>
          <w:b/>
        </w:rPr>
        <w:t xml:space="preserve">Pub date: </w:t>
      </w:r>
      <w:r>
        <w:t>2026-08-07 13:09:45+00:00</w:t>
      </w:r>
      <w:r>
        <w:t xml:space="preserve">    </w:t>
      </w:r>
      <w:r>
        <w:rPr>
          <w:b/>
        </w:rPr>
        <w:t xml:space="preserve">DOI: </w:t>
      </w:r>
      <w:hyperlink r:id="rId853">
        <w:r>
          <w:rPr>
            <w:color w:val="1155CC"/>
            <w:u w:val="single"/>
          </w:rPr>
          <w:t>10.1002/anie.4052926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复制天然水通道蛋白的高效率和选择性的人工水通道（AWC）在海水淡化、水净化和生物医学应用中引起了极大的兴趣，但同时实现高渗透性和完美选择性仍然具有挑战性。在此，我们报告了一类基于酰亚胺环烷的自组装 AWC。单晶分析表明大环</w:t>
      </w:r>
      <w:r>
        <w:rPr>
          <w:vertAlign w:val="subscript"/>
        </w:rPr>
        <w:t>1</w:t>
      </w:r>
      <w:r>
        <w:t>具有 3.5 Å × 6.3 Å 的内部空腔，具有与水通道蛋白 1 的选择性过滤器的尺寸紧密匹配的狭窄收缩。组装的通道（</w:t>
      </w:r>
      <w:r>
        <w:rPr>
          <w:vertAlign w:val="subscript"/>
        </w:rPr>
        <w:t>1</w:t>
      </w:r>
      <w:r>
        <w:t>）</w:t>
      </w:r>
      <w:r>
        <w:rPr>
          <w:vertAlign w:val="subscript"/>
        </w:rPr>
        <w:t>4</w:t>
      </w:r>
      <w:r>
        <w:t>单通道水传输速率高达 3.9 × 10</w:t>
      </w:r>
      <w:r>
        <w:rPr>
          <w:vertAlign w:val="subscript"/>
        </w:rPr>
        <w:t>9</w:t>
      </w:r>
      <w:r>
        <w:t>H</w:t>
      </w:r>
      <w:r>
        <w:rPr>
          <w:vertAlign w:val="subscript"/>
        </w:rPr>
        <w:t>2</w:t>
      </w:r>
      <w:r>
        <w:t>O s</w:t>
      </w:r>
      <w:r>
        <w:t xml:space="preserve"> </w:t>
      </w:r>
      <w:r>
        <w:t>−1</w:t>
      </w:r>
      <w:r>
        <w:t xml:space="preserve"> </w:t>
      </w:r>
      <w:r>
        <w:t>，相当于 AQP1 的约 36%，代表迄今为止报道的性能最好的小分子自组装 AWC 之一。值得注意的是，它完全排除了 NaCl、KCl 和质子。这项工作表明，水通道蛋白的关键结构特征和功能可以通过自下而上的超分子方法进行模拟，为高性能仿生膜和基于通道的疗法的设计提供了平台。</w:t>
      </w:r>
    </w:p>
    <w:p>
      <w:pPr>
        <w:spacing w:before="0" w:after="200" w:lineRule="auto" w:line="276"/>
      </w:pPr>
      <w:r>
        <w:rPr>
          <w:b/>
        </w:rPr>
        <w:t xml:space="preserve">Abstract (EN): </w:t>
      </w:r>
      <w:r>
        <w:t>Artificial water channels (AWCs) that replicate the high efficiency and selectivity of natural aquaporins are of considerable interest for desalination, water purification, and biomedical applications, yet the simultaneous realization of high permeability and perfect selectivity remains challenging. Herein, we report a class of self‐assembled AWCs based on an imide cyclophane. Single‐crystal analysis reveals that macrocycle</w:t>
      </w:r>
      <w:r>
        <w:rPr>
          <w:vertAlign w:val="subscript"/>
        </w:rPr>
        <w:t>1</w:t>
      </w:r>
      <w:r>
        <w:t>features an internal cavity of 3.5 Å × 6.3 Å, with a narrow constriction closely matching the dimensions of the selectivity filter of aquaporin 1. The assembled channel (</w:t>
      </w:r>
      <w:r>
        <w:rPr>
          <w:vertAlign w:val="subscript"/>
        </w:rPr>
        <w:t>1</w:t>
      </w:r>
      <w:r>
        <w:t>)</w:t>
      </w:r>
      <w:r>
        <w:rPr>
          <w:vertAlign w:val="subscript"/>
        </w:rPr>
        <w:t>4</w:t>
      </w:r>
      <w:r>
        <w:t>exhibits a single‐channel water transport rate of up to 3.9 × 10</w:t>
      </w:r>
      <w:r>
        <w:rPr>
          <w:vertAlign w:val="subscript"/>
        </w:rPr>
        <w:t>9</w:t>
      </w:r>
      <w:r>
        <w:t>H</w:t>
      </w:r>
      <w:r>
        <w:rPr>
          <w:vertAlign w:val="subscript"/>
        </w:rPr>
        <w:t>2</w:t>
      </w:r>
      <w:r>
        <w:t>O s</w:t>
      </w:r>
      <w:r>
        <w:t xml:space="preserve"> </w:t>
      </w:r>
      <w:r>
        <w:t>−1</w:t>
      </w:r>
      <w:r>
        <w:t xml:space="preserve"> </w:t>
      </w:r>
      <w:r>
        <w:t>, corresponding to approximately 36% of AQP1 and representing one of the best‐performing small‐molecule self‐assembled AWCs reported to date. Notably, it completely excludes NaCl, KCl, and protons. This work demonstrates that both the key structural feature and function of aquaporins can be emulated through a bottom‐up supramolecular approach, providing a platform for the design of high‐performance biomimetic membranes and channel‐based therapeutics.</w:t>
      </w:r>
    </w:p>
    <w:p>
      <w:pPr>
        <w:spacing w:before="120" w:after="120"/>
      </w:pPr>
      <w:r>
        <w:rPr>
          <w:sz w:val="18"/>
        </w:rPr>
        <w:t>——————————————————————————————————————————————————————————————————————</w:t>
      </w:r>
    </w:p>
    <w:p>
      <w:pPr>
        <w:spacing w:before="160" w:after="40" w:line="240" w:lineRule="auto"/>
      </w:pPr>
      <w:r>
        <w:rPr>
          <w:b/>
        </w:rPr>
        <w:t xml:space="preserve">[142] </w:t>
      </w:r>
      <w:hyperlink r:id="rId854">
        <w:r>
          <w:rPr>
            <w:color w:val="1155CC"/>
            <w:u w:val="single"/>
          </w:rPr>
          <w:t>钯催化对映选择性分子内 Heck 型反应不对称合成亚甲基环丁烷</w:t>
        </w:r>
      </w:hyperlink>
    </w:p>
    <w:p>
      <w:pPr>
        <w:spacing w:before="0" w:after="80"/>
      </w:pPr>
      <w:r>
        <w:rPr>
          <w:i/>
          <w:sz w:val="20"/>
        </w:rPr>
        <w:t>EN: Palladium‐Catalyzed Asymmetric Synthesis of Methylidene Cyclobutanes via Enantioselective Intramolecular Heck‐Type Reactions</w:t>
      </w:r>
    </w:p>
    <w:p>
      <w:pPr>
        <w:spacing w:before="0" w:after="120"/>
      </w:pPr>
      <w:r>
        <w:rPr>
          <w:b/>
        </w:rPr>
        <w:t xml:space="preserve">Source: </w:t>
      </w:r>
      <w:r>
        <w:t>Wiley: Angewandte Chemie International Edition: Table of Contents</w:t>
      </w:r>
      <w:r>
        <w:t xml:space="preserve">    </w:t>
      </w:r>
      <w:r>
        <w:rPr>
          <w:b/>
        </w:rPr>
        <w:t xml:space="preserve">Pub date: </w:t>
      </w:r>
      <w:r>
        <w:t>2026-08-07 13:14:08+00:00</w:t>
      </w:r>
      <w:r>
        <w:t xml:space="preserve">    </w:t>
      </w:r>
      <w:r>
        <w:rPr>
          <w:b/>
        </w:rPr>
        <w:t xml:space="preserve">DOI: </w:t>
      </w:r>
      <w:hyperlink r:id="rId855">
        <w:r>
          <w:rPr>
            <w:color w:val="1155CC"/>
            <w:u w:val="single"/>
          </w:rPr>
          <w:t>10.1002/anie.9925574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环丁烷以及 2-取代亚烷基环丁烷 (ADCB) 是药物中的重要骨架和有机合成中的多功能前体。然而，由于高环张力和竞争性副反应，ADCB 的对映选择性合成仍然是一个尚未充分探索的研究领域。在此，我们报道了一种 Pd 催化的不对称分子内 Heck 型反应，该反应以中等至良好的收率提供了一系列 1-亚甲基-2-芳基环丁烷，具有优异的对映选择性和化学选择性。该方法具有广泛的底物范围，并展示了构建生物活性分子核心骨架的潜在实用性。机理研究表明，该反应的速率决定步骤取决于芳基溴部分的电子密度。 Dmdba 在提高化学选择性方面发挥着重要作用。</w:t>
      </w:r>
    </w:p>
    <w:p>
      <w:pPr>
        <w:spacing w:before="0" w:after="200" w:lineRule="auto" w:line="276"/>
      </w:pPr>
      <w:r>
        <w:rPr>
          <w:b/>
        </w:rPr>
        <w:t xml:space="preserve">Abstract (EN): </w:t>
      </w:r>
      <w:r>
        <w:t>Cyclobutanes as well as 2‐substituted alkylidene cyclobutanes (ADCBs) are important skeletons in pharmaceuticals and versatile precursors in organic synthesis. However, enantioselective synthesis of ADCBs remains an underexplored area of research due to the high ring strain and competing side reactions. Herein, we report a Pd‐catalyzed asymmetric intramolecular Heck‐type reaction that provides a series of 1‐methylidene‐2‐arylcyclobutanes in moderate to good yields with excellent enantioselectivity and chemoselectivity. This method features broad substrate scope and demonstrates potential utility for constructing the core skeletons of bioactive molecules. Mechanistic studies indicate that the rate‐determining step of this reaction depends on the electron density of the aryl bromide moiety. Dmdba plays an important role in improving the chemoselectivity.</w:t>
      </w:r>
    </w:p>
    <w:p>
      <w:pPr>
        <w:spacing w:before="120" w:after="120"/>
      </w:pPr>
      <w:r>
        <w:rPr>
          <w:sz w:val="18"/>
        </w:rPr>
        <w:t>——————————————————————————————————————————————————————————————————————</w:t>
      </w:r>
    </w:p>
    <w:p>
      <w:pPr>
        <w:spacing w:before="160" w:after="40" w:line="240" w:lineRule="auto"/>
      </w:pPr>
      <w:r>
        <w:rPr>
          <w:b/>
        </w:rPr>
        <w:t xml:space="preserve">[143] </w:t>
      </w:r>
      <w:hyperlink r:id="rId856">
        <w:r>
          <w:rPr>
            <w:color w:val="1155CC"/>
            <w:u w:val="single"/>
          </w:rPr>
          <w:t>合理的分子设计可改善基于气溶素的纳米孔测序中的数字聚合物读数</w:t>
        </w:r>
      </w:hyperlink>
    </w:p>
    <w:p>
      <w:pPr>
        <w:spacing w:before="0" w:after="80"/>
      </w:pPr>
      <w:r>
        <w:rPr>
          <w:i/>
          <w:sz w:val="20"/>
        </w:rPr>
        <w:t>EN: Rational Molecular Design to Improve Digital Polymer Readout in Aerolysin‐Based Nanopore Sequencing</w:t>
      </w:r>
    </w:p>
    <w:p>
      <w:pPr>
        <w:spacing w:before="0" w:after="120"/>
      </w:pPr>
      <w:r>
        <w:rPr>
          <w:b/>
        </w:rPr>
        <w:t xml:space="preserve">Source: </w:t>
      </w:r>
      <w:r>
        <w:t>Wiley: Angewandte Chemie International Edition: Table of Contents</w:t>
      </w:r>
      <w:r>
        <w:t xml:space="preserve">    </w:t>
      </w:r>
      <w:r>
        <w:rPr>
          <w:b/>
        </w:rPr>
        <w:t xml:space="preserve">Pub date: </w:t>
      </w:r>
      <w:r>
        <w:t>2026-08-07 13:14:14+00:00</w:t>
      </w:r>
      <w:r>
        <w:t xml:space="preserve">    </w:t>
      </w:r>
      <w:r>
        <w:rPr>
          <w:b/>
        </w:rPr>
        <w:t xml:space="preserve">DOI: </w:t>
      </w:r>
      <w:hyperlink r:id="rId857">
        <w:r>
          <w:rPr>
            <w:color w:val="1155CC"/>
            <w:u w:val="single"/>
          </w:rPr>
          <w:t>10.1002/anie.1446100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纳米孔测序是一种很有前景的解码合成数字聚合物的方法，但易位信号通常很复杂。本研究探讨了大分子设计对纳米孔测序准确性的影响。合成了九种亚磷酰胺单体并用于自动化固相化学，以生成具有不同链长和序列的序列定义的聚（磷酸二酯）的广泛库。通过质谱和离子交换高效液相色谱法证实了聚合物的分子均匀性。使用基于气溶素的传感进行评估，可以分析关键分子参数（例如单体亲水性、尺寸、刚性和体积）如何影响易位事件。该分析能够选择用于纳米孔测序的最佳二元字母表，其中包含用于位 0 的主链环己烷 1,4-二甲基间隔基和用于位 1 的苄基侧链。使用机器学习方法，可以识别不同的聚合物长度和序列。这些结果为实现信息编码合成聚合物的低损耗、可重复且可靠的测序提供了一条新途径，从而提高了纳米孔技术在数字数据存储方面的潜力。</w:t>
      </w:r>
    </w:p>
    <w:p>
      <w:pPr>
        <w:spacing w:before="0" w:after="200" w:lineRule="auto" w:line="276"/>
      </w:pPr>
      <w:r>
        <w:rPr>
          <w:b/>
        </w:rPr>
        <w:t xml:space="preserve">Abstract (EN): </w:t>
      </w:r>
      <w:r>
        <w:t>Nanopore sequencing is a promising method for decoding synthetic digital polymers, but translocation signals are often complex. This study examines the influence of macromolecular design on the accuracy of nanopore sequencing. Nine phosphoramidite monomers were synthesized and used in automated solid‐phase chemistry to generate a broad library of sequence‐defined poly(phosphodiesters) with varying chain lengths and sequences. The molecular uniformity of the polymers was confirmed by mass spectrometry and ion‐exchange HPLC. Evaluation using aerolysin‐based sensing allowed for the analysis of how key molecular parameters, such as monomer hydrophilicity, size, rigidity, and bulkiness, affect translocation events. This analysis enabled the selection of an optimal binary alphabet for nanopore sequencing, comprising a main‐chain cyclohexane 1,4‐dimethyl spacer for bit‐0 and a benzyl side chain for bit‐1. Using a machine learning approach, distinct polymer lengths and sequences could be identified. These results offer a novel pathway toward achieving low‐loss, repeatable, and reliable sequencing of information‐encoding synthetic polymers, thereby advancing the potential of nanopore technology for digital data storage.</w:t>
      </w:r>
    </w:p>
    <w:p>
      <w:pPr>
        <w:spacing w:before="120" w:after="120"/>
      </w:pPr>
      <w:r>
        <w:rPr>
          <w:sz w:val="18"/>
        </w:rPr>
        <w:t>——————————————————————————————————————————————————————————————————————</w:t>
      </w:r>
    </w:p>
    <w:p>
      <w:pPr>
        <w:spacing w:before="160" w:after="40" w:line="240" w:lineRule="auto"/>
      </w:pPr>
      <w:r>
        <w:rPr>
          <w:b/>
        </w:rPr>
        <w:t xml:space="preserve">[144] </w:t>
      </w:r>
      <w:hyperlink r:id="rId858">
        <w:r>
          <w:rPr>
            <w:color w:val="1155CC"/>
            <w:u w:val="single"/>
          </w:rPr>
          <w:t>横向位点解锁使双边π发色团组织能够在一维铅杂化物中产生巨大双折射</w:t>
        </w:r>
      </w:hyperlink>
    </w:p>
    <w:p>
      <w:pPr>
        <w:spacing w:before="0" w:after="80"/>
      </w:pPr>
      <w:r>
        <w:rPr>
          <w:i/>
          <w:sz w:val="20"/>
        </w:rPr>
        <w:t>EN: Lateral‐Site Unblocking Enables Bilateral π‐Chromophore Organization for Giant Birefringence in One‐Dimensional Lead Hybrids</w:t>
      </w:r>
    </w:p>
    <w:p>
      <w:pPr>
        <w:spacing w:before="0" w:after="120"/>
      </w:pPr>
      <w:r>
        <w:rPr>
          <w:b/>
        </w:rPr>
        <w:t xml:space="preserve">Source: </w:t>
      </w:r>
      <w:r>
        <w:t>Wiley: Angewandte Chemie International Edition: Table of Contents</w:t>
      </w:r>
      <w:r>
        <w:t xml:space="preserve">    </w:t>
      </w:r>
      <w:r>
        <w:rPr>
          <w:b/>
        </w:rPr>
        <w:t xml:space="preserve">Pub date: </w:t>
      </w:r>
      <w:r>
        <w:t>2026-08-07 13:15:59+00:00</w:t>
      </w:r>
      <w:r>
        <w:t xml:space="preserve">    </w:t>
      </w:r>
      <w:r>
        <w:rPr>
          <w:b/>
        </w:rPr>
        <w:t xml:space="preserve">DOI: </w:t>
      </w:r>
      <w:hyperlink r:id="rId859">
        <w:r>
          <w:rPr>
            <w:color w:val="1155CC"/>
            <w:u w:val="single"/>
          </w:rPr>
          <w:t>10.1002/anie.7867481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维有机-无机杂化物中的双折射取决于结构单元的固有各向异性及其致密、连贯的晶格组织。在此，我们将横向配位位点阻断确定为一维（1D）先导杂交体的结构瓶颈，并演示了一种横向位点解锁策略来克服这一限制。使用模型对，（C</w:t>
      </w:r>
      <w:r>
        <w:rPr>
          <w:vertAlign w:val="subscript"/>
        </w:rPr>
        <w:t>12</w:t>
      </w:r>
      <w:r>
        <w:t>H</w:t>
      </w:r>
      <w:r>
        <w:rPr>
          <w:vertAlign w:val="subscript"/>
        </w:rPr>
        <w:t>8</w:t>
      </w:r>
      <w:r>
        <w:t>氮</w:t>
      </w:r>
      <w:r>
        <w:rPr>
          <w:vertAlign w:val="subscript"/>
        </w:rPr>
        <w:t>2</w:t>
      </w:r>
      <w:r>
        <w:t>)Pb(H</w:t>
      </w:r>
      <w:r>
        <w:rPr>
          <w:vertAlign w:val="subscript"/>
        </w:rPr>
        <w:t>2</w:t>
      </w:r>
      <w:r>
        <w:t>采购订单</w:t>
      </w:r>
      <w:r>
        <w:rPr>
          <w:vertAlign w:val="subscript"/>
        </w:rPr>
        <w:t>3</w:t>
      </w:r>
      <w:r>
        <w:t>）</w:t>
      </w:r>
      <w:r>
        <w:rPr>
          <w:vertAlign w:val="subscript"/>
        </w:rPr>
        <w:t>2</w:t>
      </w:r>
      <w:r>
        <w:t>（PNPP）和（C</w:t>
      </w:r>
      <w:r>
        <w:rPr>
          <w:vertAlign w:val="subscript"/>
        </w:rPr>
        <w:t>12</w:t>
      </w:r>
      <w:r>
        <w:t>H</w:t>
      </w:r>
      <w:r>
        <w:rPr>
          <w:vertAlign w:val="subscript"/>
        </w:rPr>
        <w:t>8</w:t>
      </w:r>
      <w:r>
        <w:t>氮</w:t>
      </w:r>
      <w:r>
        <w:rPr>
          <w:vertAlign w:val="subscript"/>
        </w:rPr>
        <w:t>2</w:t>
      </w:r>
      <w:r>
        <w:t>)氯化铅</w:t>
      </w:r>
      <w:r>
        <w:rPr>
          <w:vertAlign w:val="subscript"/>
        </w:rPr>
        <w:t>2</w:t>
      </w:r>
      <w:r>
        <w:t>(PNPC)，我们揭示了侧占 H</w:t>
      </w:r>
      <w:r>
        <w:rPr>
          <w:vertAlign w:val="subscript"/>
        </w:rPr>
        <w:t>2</w:t>
      </w:r>
      <w:r>
        <w:t>采购订单</w:t>
      </w:r>
      <w:r>
        <w:rPr>
          <w:vertAlign w:val="subscript"/>
        </w:rPr>
        <w:t>3</w:t>
      </w:r>
      <w:r>
        <w:t>-</w:t>
      </w:r>
      <w:r>
        <w:t>连接体强制菲咯啉 (phen) 配体的稀疏、单侧悬挂模式。相比之下，引入紧凑桥接 Cl</w:t>
      </w:r>
      <w:r>
        <w:t xml:space="preserve"> </w:t>
      </w:r>
      <w:r>
        <w:t>-</w:t>
      </w:r>
      <w:r>
        <w:t>离子保留了一维铅基主链，同时释放横向配位空间，从而实现了 phen 的双边、紧密交错组织</w:t>
      </w:r>
      <w:r>
        <w:t xml:space="preserve"> </w:t>
      </w:r>
      <w:r>
        <w:t>π</w:t>
      </w:r>
      <w:r>
        <w:t xml:space="preserve"> </w:t>
      </w:r>
      <w:r>
        <w:t>‐发色团。这种结构转换导致链间距收缩，并将发色团间距从 PNPP 中的 6.79 Å 减小到 3.36 Å i</w:t>
      </w:r>
    </w:p>
    <w:p>
      <w:pPr>
        <w:spacing w:before="0" w:after="200" w:lineRule="auto" w:line="276"/>
      </w:pPr>
      <w:r>
        <w:rPr>
          <w:b/>
        </w:rPr>
        <w:t xml:space="preserve">Abstract (EN): </w:t>
      </w:r>
      <w:r>
        <w:t>Birefringence in low‐dimensional organic–inorganic hybrids depends on both the intrinsic anisotropy of building units and their dense, coherent lattice organization. Herein, we identify lateral coordination‐site blocking as a structural bottleneck in one‐dimensional (1D) lead hybrids and demonstrate a lateral‐site unblocking strategy to overcome this restriction. Using a model pair, (C</w:t>
      </w:r>
      <w:r>
        <w:rPr>
          <w:vertAlign w:val="subscript"/>
        </w:rPr>
        <w:t>12</w:t>
      </w:r>
      <w:r>
        <w:t>H</w:t>
      </w:r>
      <w:r>
        <w:rPr>
          <w:vertAlign w:val="subscript"/>
        </w:rPr>
        <w:t>8</w:t>
      </w:r>
      <w:r>
        <w:t>N</w:t>
      </w:r>
      <w:r>
        <w:rPr>
          <w:vertAlign w:val="subscript"/>
        </w:rPr>
        <w:t>2</w:t>
      </w:r>
      <w:r>
        <w:t>)Pb(H</w:t>
      </w:r>
      <w:r>
        <w:rPr>
          <w:vertAlign w:val="subscript"/>
        </w:rPr>
        <w:t>2</w:t>
      </w:r>
      <w:r>
        <w:t>PO</w:t>
      </w:r>
      <w:r>
        <w:rPr>
          <w:vertAlign w:val="subscript"/>
        </w:rPr>
        <w:t>3</w:t>
      </w:r>
      <w:r>
        <w:t>)</w:t>
      </w:r>
      <w:r>
        <w:rPr>
          <w:vertAlign w:val="subscript"/>
        </w:rPr>
        <w:t>2</w:t>
      </w:r>
      <w:r>
        <w:t>(PNPP) and (C</w:t>
      </w:r>
      <w:r>
        <w:rPr>
          <w:vertAlign w:val="subscript"/>
        </w:rPr>
        <w:t>12</w:t>
      </w:r>
      <w:r>
        <w:t>H</w:t>
      </w:r>
      <w:r>
        <w:rPr>
          <w:vertAlign w:val="subscript"/>
        </w:rPr>
        <w:t>8</w:t>
      </w:r>
      <w:r>
        <w:t>N</w:t>
      </w:r>
      <w:r>
        <w:rPr>
          <w:vertAlign w:val="subscript"/>
        </w:rPr>
        <w:t>2</w:t>
      </w:r>
      <w:r>
        <w:t>)PbCl</w:t>
      </w:r>
      <w:r>
        <w:rPr>
          <w:vertAlign w:val="subscript"/>
        </w:rPr>
        <w:t>2</w:t>
      </w:r>
      <w:r>
        <w:t>(PNPC), we reveal that the side‐occupying H</w:t>
      </w:r>
      <w:r>
        <w:rPr>
          <w:vertAlign w:val="subscript"/>
        </w:rPr>
        <w:t>2</w:t>
      </w:r>
      <w:r>
        <w:t>PO</w:t>
      </w:r>
      <w:r>
        <w:rPr>
          <w:vertAlign w:val="subscript"/>
        </w:rPr>
        <w:t>3</w:t>
      </w:r>
      <w:r>
        <w:t>−</w:t>
      </w:r>
      <w:r>
        <w:t>linkers enforce a sparse, single‐sided hanging mode of phenanthroline (phen) ligands. In contrast, the introduction of compact bridging Cl</w:t>
      </w:r>
      <w:r>
        <w:t xml:space="preserve"> </w:t>
      </w:r>
      <w:r>
        <w:t>−</w:t>
      </w:r>
      <w:r>
        <w:t>ions preserves the 1D Pb‐based backbone while releasing the lateral coordination space, thereby enabling a bilateral, tightly interleaved organization of the phen</w:t>
      </w:r>
      <w:r>
        <w:t xml:space="preserve"> </w:t>
      </w:r>
      <w:r>
        <w:t>π</w:t>
      </w:r>
      <w:r>
        <w:t xml:space="preserve"> </w:t>
      </w:r>
      <w:r>
        <w:t>‐chromophores. This structural switch induces a contraction of the interchain spacing and decreases the interchromophore separation from 6.79 Å in PNPP to 3.36 Å in PNPC, resulting in close</w:t>
      </w:r>
      <w:r>
        <w:t xml:space="preserve"> </w:t>
      </w:r>
      <w:r>
        <w:t>π</w:t>
      </w:r>
      <w:r>
        <w:t xml:space="preserve"> </w:t>
      </w:r>
      <w:r>
        <w:t>–</w:t>
      </w:r>
      <w:r>
        <w:t xml:space="preserve"> </w:t>
      </w:r>
      <w:r>
        <w:t>π</w:t>
      </w:r>
      <w:r>
        <w:t xml:space="preserve"> </w:t>
      </w:r>
      <w:r>
        <w:t>stacking in PNPC and enhanced spatial accumulation of the Pb‐centered and</w:t>
      </w:r>
      <w:r>
        <w:t xml:space="preserve"> </w:t>
      </w:r>
      <w:r>
        <w:t>π</w:t>
      </w:r>
      <w:r>
        <w:t xml:space="preserve"> </w:t>
      </w:r>
      <w:r>
        <w:t>‐conjugated polarizability anisotropy tensors. Consequently, PNPC exhibits an exceptional birefringence of Δ</w:t>
      </w:r>
      <w:r>
        <w:t xml:space="preserve"> </w:t>
      </w:r>
      <w:r>
        <w:t>n</w:t>
      </w:r>
      <w:r>
        <w:t xml:space="preserve"> </w:t>
      </w:r>
      <w:r>
        <w:t>= 0.82 at 546 nm, establishing a record‐high value among all reported Pb‐based crystalline materials. This work highlights lateral‐site accessibility as a decisive structural parameter for regulating lattice‐scale polarization alignment, providing a design paradigm for next‐generation miniaturized visible‐to‐near‐infrared polarizers.</w:t>
      </w:r>
    </w:p>
    <w:p>
      <w:pPr>
        <w:spacing w:before="120" w:after="120"/>
      </w:pPr>
      <w:r>
        <w:rPr>
          <w:sz w:val="18"/>
        </w:rPr>
        <w:t>——————————————————————————————————————————————————————————————————————</w:t>
      </w:r>
    </w:p>
    <w:p>
      <w:pPr>
        <w:spacing w:before="160" w:after="40" w:line="240" w:lineRule="auto"/>
      </w:pPr>
      <w:r>
        <w:rPr>
          <w:b/>
        </w:rPr>
        <w:t xml:space="preserve">[145] </w:t>
      </w:r>
      <w:hyperlink r:id="rId860">
        <w:r>
          <w:rPr>
            <w:color w:val="1155CC"/>
            <w:u w:val="single"/>
          </w:rPr>
          <w:t>光氧化还原/铬催化下醛的立体电子控制区域选择性烯丙基化</w:t>
        </w:r>
      </w:hyperlink>
    </w:p>
    <w:p>
      <w:pPr>
        <w:spacing w:before="0" w:after="80"/>
      </w:pPr>
      <w:r>
        <w:rPr>
          <w:i/>
          <w:sz w:val="20"/>
        </w:rPr>
        <w:t>EN: Stereoelectronically Controlled Regioselective Allylation of Aldehyde Under Photoredox/Chromium Catalysis</w:t>
      </w:r>
    </w:p>
    <w:p>
      <w:pPr>
        <w:spacing w:before="0" w:after="120"/>
      </w:pPr>
      <w:r>
        <w:rPr>
          <w:b/>
        </w:rPr>
        <w:t xml:space="preserve">Source: </w:t>
      </w:r>
      <w:r>
        <w:t>Wiley: Angewandte Chemie International Edition: Table of Contents</w:t>
      </w:r>
      <w:r>
        <w:t xml:space="preserve">    </w:t>
      </w:r>
      <w:r>
        <w:rPr>
          <w:b/>
        </w:rPr>
        <w:t xml:space="preserve">Pub date: </w:t>
      </w:r>
      <w:r>
        <w:t>2026-08-07 13:20:15+00:00</w:t>
      </w:r>
      <w:r>
        <w:t xml:space="preserve">    </w:t>
      </w:r>
      <w:r>
        <w:rPr>
          <w:b/>
        </w:rPr>
        <w:t xml:space="preserve">DOI: </w:t>
      </w:r>
      <w:hyperlink r:id="rId861">
        <w:r>
          <w:rPr>
            <w:color w:val="1155CC"/>
            <w:u w:val="single"/>
          </w:rPr>
          <w:t>10.1002/anie.6030123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结构明确的α,γ-二取代烯丙基金属中间体的形成仍然是合成化学中的一个艰巨的挑战，该中间体可以与羰基化合物进行区域选择性烯丙基化。虽然通过配位导向基团控制的α,γ-二取代烯丙基铬中间体的区域选择性原位形成已经实现，但如何通过电子控制实现α,γ-二取代烯丙基铬中间体反应的高选择性一直是一个难题。在这项研究中，我们报告了一种甲硅烷基导向的策略，该策略利用α-硅效应，在光氧化还原催化下，在铬催化的醛与α-甲硅烷基取代的二烯和Hantzsch酯的自由基型烯丙基化反应中实现优异的区域控制（rr &gt; 95:5）。该方法建立了铬催化电子转向模式的范例，能够从易于获得的α-甲硅烷基取代二烯开始，高度区域选择性和非对映选择性合成各种有价值的含烯基硅烷的高烯丙醇。三组分反应表现出良好的底物通用性和广泛的官能团兼容性，可以成功应用于生物活性复杂分子的后功能化。此外，所得的含烯基硅烷的高烯丙醇可以很容易地转化为其他增值有机分子，并且可以很容易地操纵预先安装的甲硅烷基取代基，以便直接获得不同的取代基（例如烷基、芳基）。</w:t>
      </w:r>
    </w:p>
    <w:p>
      <w:pPr>
        <w:spacing w:before="0" w:after="200" w:lineRule="auto" w:line="276"/>
      </w:pPr>
      <w:r>
        <w:rPr>
          <w:b/>
        </w:rPr>
        <w:t xml:space="preserve">Abstract (EN): </w:t>
      </w:r>
      <w:r>
        <w:t>The formation of structurally defined α,γ‐disubstituted allylmetallic intermediate which could undergo regioselective allylation with carbonyl compounds remains a formidable challenge in synthetic chemistry. Although regioselective in situ formation of α,γ‐disubstituted allylchromium intermediate controlled by coordinative directing groups has been achieved, how to achieve high selectivity for reactions involving α,γ‐disubstituted allylic chromium intermediates through electronic control has been elusive. In this study, we report a silyl‐group‐directed strategy that exploits the α‐silicon effect to achieve exceptional regiocontrol (rr &amp;gt; 95:5) in the chromium‐catalyzed radical‐type allylation of aldehydes with α‐silyl‐substituted diene and Hantzsch ester under photoredox catalysis. The method establishes a paradigm of electronic steering mode for chromium catalysis, enabling the highly regioselective and diastereoselective synthesis of a wide variety of valuable alkenylsilane‐containing homoallylic alcohols commencing from readily accessible α‐silyl‐substituted dienes. The three‐component reactions display good substrate generality and broad functional group compatibility, and could be successfully applied in the post‐functionalization of biologically active complex molecules. Moreover, the resulting alkenylsilane‐containing homoallylic alcohols could be easily converted into other value‐added organic molecules, and the preinstalled silyl substituent could be readily manipulated for straightforward access of diverse substituents (e.g., alkyl, aryl, alkenyl, and alkynyl), which are difficult to access by using documented methodologies.</w:t>
      </w:r>
    </w:p>
    <w:p>
      <w:pPr>
        <w:spacing w:before="120" w:after="120"/>
      </w:pPr>
      <w:r>
        <w:rPr>
          <w:sz w:val="18"/>
        </w:rPr>
        <w:t>——————————————————————————————————————————————————————————————————————</w:t>
      </w:r>
    </w:p>
    <w:p>
      <w:pPr>
        <w:spacing w:before="160" w:after="40" w:line="240" w:lineRule="auto"/>
      </w:pPr>
      <w:r>
        <w:rPr>
          <w:b/>
        </w:rPr>
        <w:t xml:space="preserve">[146] </w:t>
      </w:r>
      <w:hyperlink r:id="rId862">
        <w:r>
          <w:rPr>
            <w:color w:val="1155CC"/>
            <w:u w:val="single"/>
          </w:rPr>
          <w:t>荧光 cAMP 类似物：酶促合成、意外光物理行为和蛋白激酶 A 识别</w:t>
        </w:r>
      </w:hyperlink>
    </w:p>
    <w:p>
      <w:pPr>
        <w:spacing w:before="0" w:after="80"/>
      </w:pPr>
      <w:r>
        <w:rPr>
          <w:i/>
          <w:sz w:val="20"/>
        </w:rPr>
        <w:t>EN: Fluorescent cAMP Analogs: Enzymatic Synthesis, Unexpected Photophysical Behavior and Protein Kinase A Recognition</w:t>
      </w:r>
    </w:p>
    <w:p>
      <w:pPr>
        <w:spacing w:before="0" w:after="120"/>
      </w:pPr>
      <w:r>
        <w:rPr>
          <w:b/>
        </w:rPr>
        <w:t xml:space="preserve">Source: </w:t>
      </w:r>
      <w:r>
        <w:t>Wiley: Angewandte Chemie International Edition: Table of Contents</w:t>
      </w:r>
      <w:r>
        <w:t xml:space="preserve">    </w:t>
      </w:r>
      <w:r>
        <w:rPr>
          <w:b/>
        </w:rPr>
        <w:t xml:space="preserve">Pub date: </w:t>
      </w:r>
      <w:r>
        <w:t>2026-08-07 13:20:24+00:00</w:t>
      </w:r>
      <w:r>
        <w:t xml:space="preserve">    </w:t>
      </w:r>
      <w:r>
        <w:rPr>
          <w:b/>
        </w:rPr>
        <w:t xml:space="preserve">DOI: </w:t>
      </w:r>
      <w:hyperlink r:id="rId863">
        <w:r>
          <w:rPr>
            <w:color w:val="1155CC"/>
            <w:u w:val="single"/>
          </w:rPr>
          <w:t>10.1002/anie.6334998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环磷酸腺苷 (cAMP) 是第二信使，调节关键的生理过程。我们报告了新型发射性 cAMP 类似物 (c</w:t>
      </w:r>
      <w:r>
        <w:t xml:space="preserve"> </w:t>
      </w:r>
      <w:r>
        <w:t>th</w:t>
      </w:r>
      <w:r>
        <w:t xml:space="preserve"> </w:t>
      </w:r>
      <w:r>
        <w:t>AMP 和 c</w:t>
      </w:r>
      <w:r>
        <w:t xml:space="preserve"> </w:t>
      </w:r>
      <w:r>
        <w:t>兹</w:t>
      </w:r>
      <w:r>
        <w:t xml:space="preserve"> </w:t>
      </w:r>
      <w:r>
        <w:t>AMP），由基于噻吩基和异噻唑基的同构核糖核苷酸家族组成。 c的出乎意料的高亮度</w:t>
      </w:r>
      <w:r>
        <w:t xml:space="preserve"> </w:t>
      </w:r>
      <w:r>
        <w:t>th</w:t>
      </w:r>
      <w:r>
        <w:t xml:space="preserve"> </w:t>
      </w:r>
      <w:r>
        <w:t>AMP 相比</w:t>
      </w:r>
      <w:r>
        <w:t xml:space="preserve"> </w:t>
      </w:r>
      <w:r>
        <w:t>th</w:t>
      </w:r>
      <w:r>
        <w:t xml:space="preserve"> </w:t>
      </w:r>
      <w:r>
        <w:t>ATP 和</w:t>
      </w:r>
      <w:r>
        <w:t xml:space="preserve"> </w:t>
      </w:r>
      <w:r>
        <w:t>th</w:t>
      </w:r>
      <w:r>
        <w:t xml:space="preserve"> </w:t>
      </w:r>
      <w:r>
        <w:t>AMP、其前体和水解产物分别由</w:t>
      </w:r>
      <w:r>
        <w:t xml:space="preserve"> </w:t>
      </w:r>
      <w:r>
        <w:t>反</w:t>
      </w:r>
      <w:r>
        <w:t xml:space="preserve"> </w:t>
      </w:r>
      <w:r>
        <w:t>～到～</w:t>
      </w:r>
      <w:r>
        <w:t xml:space="preserve"> </w:t>
      </w:r>
      <w:r>
        <w:t>顺</w:t>
      </w:r>
      <w:r>
        <w:t xml:space="preserve"> </w:t>
      </w:r>
      <w:r>
        <w:t>环化时的构象转变，用于实时监测腺苷酸环化酶（AC）介导的合成和磷酸二酯酶（PDE）介导的水解。重要的是，这些发射类似物可有效激活蛋白激酶 A (PKA)。这项研究为 cAMP 调节酶的生物分子识别和催化机制提供了重要的见解，将这些同构类似物确立为通过荧光光谱研究 cAMP 依赖性蛋白质-配体相互作用的潜在工具。</w:t>
      </w:r>
    </w:p>
    <w:p>
      <w:pPr>
        <w:spacing w:before="0" w:after="200" w:lineRule="auto" w:line="276"/>
      </w:pPr>
      <w:r>
        <w:rPr>
          <w:b/>
        </w:rPr>
        <w:t xml:space="preserve">Abstract (EN): </w:t>
      </w:r>
      <w:r>
        <w:t>Cyclic adenosine monophosphate (cAMP) is a second messenger, regulating critical physiological processes. We report the enzymatic synthesis, unique photophysical features, and biological activity of novel emissive cAMP analogs (c</w:t>
      </w:r>
      <w:r>
        <w:t xml:space="preserve"> </w:t>
      </w:r>
      <w:r>
        <w:t>th</w:t>
      </w:r>
      <w:r>
        <w:t xml:space="preserve"> </w:t>
      </w:r>
      <w:r>
        <w:t>AMP and c</w:t>
      </w:r>
      <w:r>
        <w:t xml:space="preserve"> </w:t>
      </w:r>
      <w:r>
        <w:t>tz</w:t>
      </w:r>
      <w:r>
        <w:t xml:space="preserve"> </w:t>
      </w:r>
      <w:r>
        <w:t>AMP), comprised of thiopheno‐ and isothiazolo‐based families of isomorphic ribonucleotides. The unexpectedly high brightness of c</w:t>
      </w:r>
      <w:r>
        <w:t xml:space="preserve"> </w:t>
      </w:r>
      <w:r>
        <w:t>th</w:t>
      </w:r>
      <w:r>
        <w:t xml:space="preserve"> </w:t>
      </w:r>
      <w:r>
        <w:t>AMP compared to</w:t>
      </w:r>
      <w:r>
        <w:t xml:space="preserve"> </w:t>
      </w:r>
      <w:r>
        <w:t>th</w:t>
      </w:r>
      <w:r>
        <w:t xml:space="preserve"> </w:t>
      </w:r>
      <w:r>
        <w:t>ATP and</w:t>
      </w:r>
      <w:r>
        <w:t xml:space="preserve"> </w:t>
      </w:r>
      <w:r>
        <w:t>th</w:t>
      </w:r>
      <w:r>
        <w:t xml:space="preserve"> </w:t>
      </w:r>
      <w:r>
        <w:t>AMP, its precursor and hydrolysis products, respectively, driven by an</w:t>
      </w:r>
      <w:r>
        <w:t xml:space="preserve"> </w:t>
      </w:r>
      <w:r>
        <w:t>anti</w:t>
      </w:r>
      <w:r>
        <w:t xml:space="preserve"> </w:t>
      </w:r>
      <w:r>
        <w:t>‐to‐</w:t>
      </w:r>
      <w:r>
        <w:t xml:space="preserve"> </w:t>
      </w:r>
      <w:r>
        <w:t>syn</w:t>
      </w:r>
      <w:r>
        <w:t xml:space="preserve"> </w:t>
      </w:r>
      <w:r>
        <w:t>conformational shift upon cyclization, is employed for real‐time monitoring of the adenylyl cyclase (AC) mediated synthesis and phosphodiesterase (PDE) mediated hydrolysis. Importantly, these emissive analogs effectively activate protein kinase A (PKA). This study provides critical insights into the biomolecular recognition and catalytic mechanism of cAMP‐regulating enzymes, establishing these isomorphic analogs as potential tools for investigating cAMP‐dependent protein–ligand interaction through fluorescence spectroscopy.</w:t>
      </w:r>
    </w:p>
    <w:p>
      <w:pPr>
        <w:spacing w:before="120" w:after="120"/>
      </w:pPr>
      <w:r>
        <w:rPr>
          <w:sz w:val="18"/>
        </w:rPr>
        <w:t>——————————————————————————————————————————————————————————————————————</w:t>
      </w:r>
    </w:p>
    <w:p>
      <w:pPr>
        <w:spacing w:before="160" w:after="40" w:line="240" w:lineRule="auto"/>
      </w:pPr>
      <w:r>
        <w:rPr>
          <w:b/>
        </w:rPr>
        <w:t xml:space="preserve">[147] </w:t>
      </w:r>
      <w:hyperlink r:id="rId864">
        <w:r>
          <w:rPr>
            <w:color w:val="1155CC"/>
            <w:u w:val="single"/>
          </w:rPr>
          <w:t>分层手性记忆控制介观螺旋共价有机框架中的双手性反演</w:t>
        </w:r>
      </w:hyperlink>
    </w:p>
    <w:p>
      <w:pPr>
        <w:spacing w:before="0" w:after="80"/>
      </w:pPr>
      <w:r>
        <w:rPr>
          <w:i/>
          <w:sz w:val="20"/>
        </w:rPr>
        <w:t>EN: Hierarchical Chirality Memory Governs Dual Chiroptical Inversion in Mesoscopic Helical Covalent Organic Frameworks</w:t>
      </w:r>
    </w:p>
    <w:p>
      <w:pPr>
        <w:spacing w:before="0" w:after="120"/>
      </w:pPr>
      <w:r>
        <w:rPr>
          <w:b/>
        </w:rPr>
        <w:t xml:space="preserve">Source: </w:t>
      </w:r>
      <w:r>
        <w:t>Wiley: Angewandte Chemie International Edition: Table of Contents</w:t>
      </w:r>
      <w:r>
        <w:t xml:space="preserve">    </w:t>
      </w:r>
      <w:r>
        <w:rPr>
          <w:b/>
        </w:rPr>
        <w:t xml:space="preserve">Pub date: </w:t>
      </w:r>
      <w:r>
        <w:t>2026-08-07 13:25:48+00:00</w:t>
      </w:r>
      <w:r>
        <w:t xml:space="preserve">    </w:t>
      </w:r>
      <w:r>
        <w:rPr>
          <w:b/>
        </w:rPr>
        <w:t xml:space="preserve">DOI: </w:t>
      </w:r>
      <w:hyperlink r:id="rId865">
        <w:r>
          <w:rPr>
            <w:color w:val="1155CC"/>
            <w:u w:val="single"/>
          </w:rPr>
          <w:t>10.1002/anie.5082047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单一手性源构建具有可编程手性光学特性的结晶手性共价有机框架（CCOF）仍然具有很大的挑战性。在此，我们报告了一种动态共价演化策略，通过热力学自结晶以及单步和逐步单体交换，将超分子诱导的螺旋共价有机聚合物转化为介观螺旋CCOF。值得注意的是，在框架演化过程中保留了两种不同的手性光学反演模式：传统反演伴随着相反的螺旋方向，而第二种反演则显示出相反的手性光学活性，尽管具有相同的介观螺旋性，源自不同的亚纳米手性堆积排列。与时间相关的实验和理论计算揭示了整个动态重建过程中持续存在的手性和堆积记忆效应。使用单一手性模板系统，该策略提供了 24 个介观螺旋 CCOF，具有不同的化学键合和可编程手性光学响应。此外，聚集诱导的发射客体的孔隙限制结合将两种反转模式扩展为柔性圆偏振发光薄膜。</w:t>
      </w:r>
    </w:p>
    <w:p>
      <w:pPr>
        <w:spacing w:before="0" w:after="200" w:lineRule="auto" w:line="276"/>
      </w:pPr>
      <w:r>
        <w:rPr>
          <w:b/>
        </w:rPr>
        <w:t xml:space="preserve">Abstract (EN): </w:t>
      </w:r>
      <w:r>
        <w:t>Constructing crystalline chiral covalent organic frameworks (CCOFs) with programmable chiroptical properties from a single chiral source remains highly challenging. Herein, we report a dynamic covalent evolution strategy that transforms supramolecular‐induced helical covalent organic polymers into mesoscopic helical CCOFs through thermodynamic self‐crystallization as well as single‐step and stepwise monomer exchange. Remarkably, two distinct chiroptical inversion modes are preserved during framework evolution: a conventional inversion accompanied by opposite helical sense and a second inversion displaying opposite chiroptical activity despite identical mesoscopic helicity, originating from different sub‐nanometer chiral packing arrangements. Time‐dependent experiments and theoretical calculations reveal persistent chirality‐ and packing‐memory effects throughout dynamic reconstruction. Using a single chiral template system, this strategy affords 24 mesoscopic helical CCOFs with diverse linkage chemistries and programmable chiroptical responses. Furthermore, pore‐confined incorporation of aggregation‐induced emissive guests extends both inversion modes into flexible circularly polarized luminescence films.</w:t>
      </w:r>
    </w:p>
    <w:p>
      <w:pPr>
        <w:spacing w:before="120" w:after="120"/>
      </w:pPr>
      <w:r>
        <w:rPr>
          <w:sz w:val="18"/>
        </w:rPr>
        <w:t>——————————————————————————————————————————————————————————————————————</w:t>
      </w:r>
    </w:p>
    <w:p>
      <w:pPr>
        <w:spacing w:before="160" w:after="40" w:line="240" w:lineRule="auto"/>
      </w:pPr>
      <w:r>
        <w:rPr>
          <w:b/>
        </w:rPr>
        <w:t xml:space="preserve">[148] </w:t>
      </w:r>
      <w:hyperlink r:id="rId866">
        <w:r>
          <w:rPr>
            <w:color w:val="1155CC"/>
            <w:u w:val="single"/>
          </w:rPr>
          <w:t>通过活性链转移调聚制备可扩展的 ω-取代 α-烯烃：下一代聚烯烃的平台</w:t>
        </w:r>
      </w:hyperlink>
    </w:p>
    <w:p>
      <w:pPr>
        <w:spacing w:before="0" w:after="80"/>
      </w:pPr>
      <w:r>
        <w:rPr>
          <w:i/>
          <w:sz w:val="20"/>
        </w:rPr>
        <w:t>EN: Scalable ω‐Substituted α‐Olefins via Living Chain Transfer Telomerization: A Platform for Next Generation Polyolefins</w:t>
      </w:r>
    </w:p>
    <w:p>
      <w:pPr>
        <w:spacing w:before="0" w:after="120"/>
      </w:pPr>
      <w:r>
        <w:rPr>
          <w:b/>
        </w:rPr>
        <w:t xml:space="preserve">Source: </w:t>
      </w:r>
      <w:r>
        <w:t>Wiley: Angewandte Chemie International Edition: Table of Contents</w:t>
      </w:r>
      <w:r>
        <w:t xml:space="preserve">    </w:t>
      </w:r>
      <w:r>
        <w:rPr>
          <w:b/>
        </w:rPr>
        <w:t xml:space="preserve">Pub date: </w:t>
      </w:r>
      <w:r>
        <w:t>2026-08-07 17:22:17+00:00</w:t>
      </w:r>
      <w:r>
        <w:t xml:space="preserve">    </w:t>
      </w:r>
      <w:r>
        <w:rPr>
          <w:b/>
        </w:rPr>
        <w:t xml:space="preserve">DOI: </w:t>
      </w:r>
      <w:hyperlink r:id="rId867">
        <w:r>
          <w:rPr>
            <w:color w:val="1155CC"/>
            <w:u w:val="single"/>
          </w:rPr>
          <w:t>10.1002/anie.6963058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异构纯、ω-取代的 α-烯烃，其通式结构为 X-(CH</w:t>
      </w:r>
      <w:r>
        <w:rPr>
          <w:vertAlign w:val="subscript"/>
        </w:rPr>
        <w:t>2</w:t>
      </w:r>
      <w:r>
        <w:t>）</w:t>
      </w:r>
      <w:r>
        <w:t xml:space="preserve"> </w:t>
      </w:r>
      <w:r>
        <w:t>米</w:t>
      </w:r>
      <w:r>
        <w:t xml:space="preserve"> </w:t>
      </w:r>
      <w:r>
        <w:t>（CH</w:t>
      </w:r>
      <w:r>
        <w:rPr>
          <w:vertAlign w:val="subscript"/>
        </w:rPr>
        <w:t>2</w:t>
      </w:r>
      <w:r>
        <w:t>CH</w:t>
      </w:r>
      <w:r>
        <w:rPr>
          <w:vertAlign w:val="subscript"/>
        </w:rPr>
        <w:t>2</w:t>
      </w:r>
      <w:r>
        <w:t>）</w:t>
      </w:r>
      <w:r>
        <w:t xml:space="preserve"> </w:t>
      </w:r>
      <w:r>
        <w:t>n</w:t>
      </w:r>
      <w:r>
        <w:t xml:space="preserve"> </w:t>
      </w:r>
      <w:r>
        <w:t>‐1</w:t>
      </w:r>
      <w:r>
        <w:t xml:space="preserve"> </w:t>
      </w:r>
      <w:r>
        <w:t>CH=CH</w:t>
      </w:r>
      <w:r>
        <w:rPr>
          <w:vertAlign w:val="subscript"/>
        </w:rPr>
        <w:t>2</w:t>
      </w:r>
      <w:r>
        <w:t>（</w:t>
      </w:r>
      <w:r>
        <w:t xml:space="preserve"> </w:t>
      </w:r>
      <w:r>
        <w:t>米</w:t>
      </w:r>
      <w:r>
        <w:t xml:space="preserve"> </w:t>
      </w:r>
      <w:r>
        <w:t>= 0 或 1； X = 烷基或芳基) (</w:t>
      </w:r>
      <w:r>
        <w:rPr>
          <w:vertAlign w:val="subscript"/>
        </w:rPr>
        <w:t>3</w:t>
      </w:r>
      <w:r>
        <w:t>），已以实用且可扩展的数量生产，作为可分离的窄泊松摩尔质量分布</w:t>
      </w:r>
      <w:r>
        <w:t xml:space="preserve"> </w:t>
      </w:r>
      <w:r>
        <w:t>n</w:t>
      </w:r>
      <w:r>
        <w:t xml:space="preserve"> </w:t>
      </w:r>
      <w:r>
        <w:t>‐mers（例如</w:t>
      </w:r>
      <w:r>
        <w:t xml:space="preserve"> </w:t>
      </w:r>
      <w:r>
        <w:t>n</w:t>
      </w:r>
      <w:r>
        <w:t xml:space="preserve"> </w:t>
      </w:r>
      <w:r>
        <w:t>= 1 – 10) 通过一锅两步法，涉及：三(ω-取代烷基)铝的活性三元链转移调聚，[X-(CH</w:t>
      </w:r>
      <w:r>
        <w:rPr>
          <w:vertAlign w:val="subscript"/>
        </w:rPr>
        <w:t>2</w:t>
      </w:r>
      <w:r>
        <w:t>）</w:t>
      </w:r>
      <w:r>
        <w:t xml:space="preserve"> </w:t>
      </w:r>
      <w:r>
        <w:t>米</w:t>
      </w:r>
      <w:r>
        <w:t xml:space="preserve"> </w:t>
      </w:r>
      <w:r>
        <w:t>CH</w:t>
      </w:r>
      <w:r>
        <w:rPr>
          <w:vertAlign w:val="subscript"/>
        </w:rPr>
        <w:t>2</w:t>
      </w:r>
      <w:r>
        <w:t>CH</w:t>
      </w:r>
      <w:r>
        <w:rPr>
          <w:vertAlign w:val="subscript"/>
        </w:rPr>
        <w:t>2</w:t>
      </w:r>
      <w:r>
        <w:t>]</w:t>
      </w:r>
      <w:r>
        <w:rPr>
          <w:vertAlign w:val="subscript"/>
        </w:rPr>
        <w:t>3</w:t>
      </w:r>
      <w:r>
        <w:t>铝（</w:t>
      </w:r>
      <w:r>
        <w:rPr>
          <w:vertAlign w:val="subscript"/>
        </w:rPr>
        <w:t>1</w:t>
      </w:r>
      <w:r>
        <w:t>），以乙烯和少量二乙基锌作为链转移介体，使用衍生自环戊二烯基脒（CPAM）Hf预引发剂的原位生成离子对引发剂，（η</w:t>
      </w:r>
      <w:r>
        <w:rPr>
          <w:vertAlign w:val="subscript"/>
        </w:rPr>
        <w:t>5</w:t>
      </w:r>
      <w:r>
        <w:t>‐C</w:t>
      </w:r>
      <w:r>
        <w:rPr>
          <w:vertAlign w:val="subscript"/>
        </w:rPr>
        <w:t>5</w:t>
      </w:r>
      <w:r>
        <w:t>我</w:t>
      </w:r>
      <w:r>
        <w:rPr>
          <w:vertAlign w:val="subscript"/>
        </w:rPr>
        <w:t>5</w:t>
      </w:r>
      <w:r>
        <w:t>)[κ</w:t>
      </w:r>
      <w:r>
        <w:rPr>
          <w:vertAlign w:val="subscript"/>
        </w:rPr>
        <w:t>2</w:t>
      </w:r>
      <w:r>
        <w:t>‐(</w:t>
      </w:r>
      <w:r>
        <w:t xml:space="preserve"> </w:t>
      </w:r>
      <w:r>
        <w:t>尼，</w:t>
      </w:r>
    </w:p>
    <w:p>
      <w:pPr>
        <w:spacing w:before="0" w:after="200" w:lineRule="auto" w:line="276"/>
      </w:pPr>
      <w:r>
        <w:rPr>
          <w:b/>
        </w:rPr>
        <w:t xml:space="preserve">Abstract (EN): </w:t>
      </w:r>
      <w:r>
        <w:t>Isomerically pure, ω‐substituted α‐olefins of general structure, X‐(CH</w:t>
      </w:r>
      <w:r>
        <w:rPr>
          <w:vertAlign w:val="subscript"/>
        </w:rPr>
        <w:t>2</w:t>
      </w:r>
      <w:r>
        <w:t>)</w:t>
      </w:r>
      <w:r>
        <w:t xml:space="preserve"> </w:t>
      </w:r>
      <w:r>
        <w:t>m</w:t>
      </w:r>
      <w:r>
        <w:t xml:space="preserve"> </w:t>
      </w:r>
      <w:r>
        <w:t>(CH</w:t>
      </w:r>
      <w:r>
        <w:rPr>
          <w:vertAlign w:val="subscript"/>
        </w:rPr>
        <w:t>2</w:t>
      </w:r>
      <w:r>
        <w:t>CH</w:t>
      </w:r>
      <w:r>
        <w:rPr>
          <w:vertAlign w:val="subscript"/>
        </w:rPr>
        <w:t>2</w:t>
      </w:r>
      <w:r>
        <w:t>)</w:t>
      </w:r>
      <w:r>
        <w:t xml:space="preserve"> </w:t>
      </w:r>
      <w:r>
        <w:t>n</w:t>
      </w:r>
      <w:r>
        <w:t xml:space="preserve"> </w:t>
      </w:r>
      <w:r>
        <w:t>‐1</w:t>
      </w:r>
      <w:r>
        <w:t xml:space="preserve"> </w:t>
      </w:r>
      <w:r>
        <w:t>CH = CH</w:t>
      </w:r>
      <w:r>
        <w:rPr>
          <w:vertAlign w:val="subscript"/>
        </w:rPr>
        <w:t>2</w:t>
      </w:r>
      <w:r>
        <w:t>(</w:t>
      </w:r>
      <w:r>
        <w:t xml:space="preserve"> </w:t>
      </w:r>
      <w:r>
        <w:t>m</w:t>
      </w:r>
      <w:r>
        <w:t xml:space="preserve"> </w:t>
      </w:r>
      <w:r>
        <w:t>= 0 or 1; X = alkyl or aryl) (</w:t>
      </w:r>
      <w:r>
        <w:rPr>
          <w:vertAlign w:val="subscript"/>
        </w:rPr>
        <w:t>3</w:t>
      </w:r>
      <w:r>
        <w:t>), have been produced in practical and scalable quantities as narrow Poisson molar mass distributions of separable</w:t>
      </w:r>
      <w:r>
        <w:t xml:space="preserve"> </w:t>
      </w:r>
      <w:r>
        <w:t>n</w:t>
      </w:r>
      <w:r>
        <w:t xml:space="preserve"> </w:t>
      </w:r>
      <w:r>
        <w:t>‐mers (e.g.</w:t>
      </w:r>
      <w:r>
        <w:t xml:space="preserve"> </w:t>
      </w:r>
      <w:r>
        <w:t>n</w:t>
      </w:r>
      <w:r>
        <w:t xml:space="preserve"> </w:t>
      </w:r>
      <w:r>
        <w:t>= 1 – 10) through a one‐pot, two‐step process involving: living ternary chain transfer telomerization of tris(ω‐substituted alkyl)aluminum, [X‐(CH</w:t>
      </w:r>
      <w:r>
        <w:rPr>
          <w:vertAlign w:val="subscript"/>
        </w:rPr>
        <w:t>2</w:t>
      </w:r>
      <w:r>
        <w:t>)</w:t>
      </w:r>
      <w:r>
        <w:t xml:space="preserve"> </w:t>
      </w:r>
      <w:r>
        <w:t>m</w:t>
      </w:r>
      <w:r>
        <w:t xml:space="preserve"> </w:t>
      </w:r>
      <w:r>
        <w:t>CH</w:t>
      </w:r>
      <w:r>
        <w:rPr>
          <w:vertAlign w:val="subscript"/>
        </w:rPr>
        <w:t>2</w:t>
      </w:r>
      <w:r>
        <w:t>CH</w:t>
      </w:r>
      <w:r>
        <w:rPr>
          <w:vertAlign w:val="subscript"/>
        </w:rPr>
        <w:t>2</w:t>
      </w:r>
      <w:r>
        <w:t>]</w:t>
      </w:r>
      <w:r>
        <w:rPr>
          <w:vertAlign w:val="subscript"/>
        </w:rPr>
        <w:t>3</w:t>
      </w:r>
      <w:r>
        <w:t>Al (</w:t>
      </w:r>
      <w:r>
        <w:rPr>
          <w:vertAlign w:val="subscript"/>
        </w:rPr>
        <w:t>1</w:t>
      </w:r>
      <w:r>
        <w:t>), with ethene and a small amount of diethylzinc as a chain transfer mediator, using an in situ generated ion pair initiator derived from the cyclopentadienyl, amidinate (CPAM) Hf pre‐initiator, (η</w:t>
      </w:r>
      <w:r>
        <w:rPr>
          <w:vertAlign w:val="subscript"/>
        </w:rPr>
        <w:t>5</w:t>
      </w:r>
      <w:r>
        <w:t>‐C</w:t>
      </w:r>
      <w:r>
        <w:rPr>
          <w:vertAlign w:val="subscript"/>
        </w:rPr>
        <w:t>5</w:t>
      </w:r>
      <w:r>
        <w:t>Me</w:t>
      </w:r>
      <w:r>
        <w:rPr>
          <w:vertAlign w:val="subscript"/>
        </w:rPr>
        <w:t>5</w:t>
      </w:r>
      <w:r>
        <w:t>)[κ</w:t>
      </w:r>
      <w:r>
        <w:rPr>
          <w:vertAlign w:val="subscript"/>
        </w:rPr>
        <w:t>2</w:t>
      </w:r>
      <w:r>
        <w:t>‐(</w:t>
      </w:r>
      <w:r>
        <w:t xml:space="preserve"> </w:t>
      </w:r>
      <w:r>
        <w:t>N,N’</w:t>
      </w:r>
      <w:r>
        <w:t xml:space="preserve"> </w:t>
      </w:r>
      <w:r>
        <w:t>)‐N(Et)C(Me)N(Et)]HfMe</w:t>
      </w:r>
      <w:r>
        <w:rPr>
          <w:vertAlign w:val="subscript"/>
        </w:rPr>
        <w:t>2</w:t>
      </w:r>
      <w:r>
        <w:t>(</w:t>
      </w:r>
      <w:r>
        <w:rPr>
          <w:vertAlign w:val="subscript"/>
        </w:rPr>
        <w:t>2</w:t>
      </w:r>
      <w:r>
        <w:t>) and the borate co‐initiator, [PhNHMe</w:t>
      </w:r>
      <w:r>
        <w:rPr>
          <w:vertAlign w:val="subscript"/>
        </w:rPr>
        <w:t>2</w:t>
      </w:r>
      <w:r>
        <w:t>][B(C</w:t>
      </w:r>
      <w:r>
        <w:rPr>
          <w:vertAlign w:val="subscript"/>
        </w:rPr>
        <w:t>6</w:t>
      </w:r>
      <w:r>
        <w:t>F</w:t>
      </w:r>
      <w:r>
        <w:rPr>
          <w:vertAlign w:val="subscript"/>
        </w:rPr>
        <w:t>5</w:t>
      </w:r>
      <w:r>
        <w:t>)</w:t>
      </w:r>
      <w:r>
        <w:rPr>
          <w:vertAlign w:val="subscript"/>
        </w:rPr>
        <w:t>4</w:t>
      </w:r>
      <w:r>
        <w:t>] (</w:t>
      </w:r>
      <w:r>
        <w:t xml:space="preserve"> </w:t>
      </w:r>
      <w:r>
        <w:t>B</w:t>
      </w:r>
      <w:r>
        <w:t xml:space="preserve"> </w:t>
      </w:r>
      <w:r>
        <w:t>), followed by catalytic displacement of the trialkylaluminum intermediate using bis(1,5‐cyclooctadiene)Ni(0) as the pre‐catalyst. Results are further presented for production of several families of “next generation” polyolefins that are obtained through CPAM Zr‐ and Hf‐mediated stereoselective (enantioselective) living coordination polymerization of different derivatives of</w:t>
      </w:r>
      <w:r>
        <w:rPr>
          <w:vertAlign w:val="subscript"/>
        </w:rPr>
        <w:t>3</w:t>
      </w:r>
      <w:r>
        <w:t>and including copolymerization with a variety of linear and branched α‐olefins and 1,5‐hexadiene.</w:t>
      </w:r>
    </w:p>
    <w:p>
      <w:pPr>
        <w:spacing w:before="120" w:after="120"/>
      </w:pPr>
      <w:r>
        <w:rPr>
          <w:sz w:val="18"/>
        </w:rPr>
        <w:t>——————————————————————————————————————————————————————————————————————</w:t>
      </w:r>
    </w:p>
    <w:p>
      <w:pPr>
        <w:spacing w:before="160" w:after="40" w:line="240" w:lineRule="auto"/>
      </w:pPr>
      <w:r>
        <w:rPr>
          <w:b/>
        </w:rPr>
        <w:t xml:space="preserve">[149] </w:t>
      </w:r>
      <w:hyperlink r:id="rId868">
        <w:r>
          <w:rPr>
            <w:color w:val="1155CC"/>
            <w:u w:val="single"/>
          </w:rPr>
          <w:t>一种用于 α,β-不饱和醛化学选择性加氢的多相金属-配体双功能催化剂</w:t>
        </w:r>
      </w:hyperlink>
    </w:p>
    <w:p>
      <w:pPr>
        <w:spacing w:before="0" w:after="80"/>
      </w:pPr>
      <w:r>
        <w:rPr>
          <w:i/>
          <w:sz w:val="20"/>
        </w:rPr>
        <w:t>EN: A Heterogeneous Metal–Ligand Bifunctional Catalyst for Chemoselective Hydrogenation of α,β-Unsaturated Aldehydes</w:t>
      </w:r>
    </w:p>
    <w:p>
      <w:pPr>
        <w:spacing w:before="0" w:after="120"/>
      </w:pPr>
      <w:r>
        <w:rPr>
          <w:b/>
        </w:rPr>
        <w:t xml:space="preserve">Source: </w:t>
      </w:r>
      <w:r>
        <w:t>Journal of the American Chemical Society: Latest Articles (ACS Publications)</w:t>
      </w:r>
      <w:r>
        <w:t xml:space="preserve">    </w:t>
      </w:r>
      <w:r>
        <w:rPr>
          <w:b/>
        </w:rPr>
        <w:t xml:space="preserve">Pub date: </w:t>
      </w:r>
      <w:r>
        <w:t>2026-08-08 00:00:00+00:00</w:t>
      </w:r>
      <w:r>
        <w:t xml:space="preserve">    </w:t>
      </w:r>
      <w:r>
        <w:rPr>
          <w:b/>
        </w:rPr>
        <w:t xml:space="preserve">DOI: </w:t>
      </w:r>
      <w:hyperlink r:id="rId869">
        <w:r>
          <w:rPr>
            <w:color w:val="1155CC"/>
            <w:u w:val="single"/>
          </w:rPr>
          <w:t>10.1021/jacs.6c07424</w:t>
        </w:r>
      </w:hyperlink>
    </w:p>
    <w:p>
      <w:pPr>
        <w:spacing w:before="0" w:after="120"/>
      </w:pPr>
      <w:r>
        <w:rPr>
          <w:b/>
        </w:rPr>
        <w:t xml:space="preserve">Notes: </w:t>
      </w:r>
      <w:r>
        <w:t>abstract_source=crossref</w:t>
      </w:r>
    </w:p>
    <w:p>
      <w:pPr>
        <w:spacing w:before="0" w:after="80" w:lineRule="auto" w:line="276"/>
      </w:pPr>
      <w:r>
        <w:rPr>
          <w:b/>
        </w:rPr>
        <w:t xml:space="preserve">摘要（ZH）: </w:t>
      </w:r>
      <w:r>
        <w:t>摘要 金属配体双功能催化剂的概念在均相催化领域已被广泛探索，但在常规多相催化领域尚未见报道。受均相金属-配体双功能催化剂中外层氢化机制的启发，我们发现主要具有Ir1-P4配位结构的Ir单原子催化剂作为非均相金属-配体双功能催化剂，专门有利于α,β-不饱和醛中C=O键的氢化，而不是C=C键的氢化——这是一个工业上重要但极具挑战性的转变。结合原位二维1H-1H自旋扩散和1H-31P异核相关核磁共振波谱、表观反应级数测试、动力学同位素效应分析和密度泛函理论计算证明，氢化过程在Ir-P双功能位点的1,2-加成途径中通过Noyori型过渡态进行。这项工作展示了一种新型多相金属配体双功能催化剂，用于将 α,β-不饱和醛化学选择性加氢为不饱和醇，并揭示了加氢机理。</w:t>
      </w:r>
    </w:p>
    <w:p>
      <w:pPr>
        <w:spacing w:before="0" w:after="200" w:lineRule="auto" w:line="276"/>
      </w:pPr>
      <w:r>
        <w:rPr>
          <w:b/>
        </w:rPr>
        <w:t xml:space="preserve">Abstract (EN): </w:t>
      </w:r>
      <w:r>
        <w:t>The concept of metal–ligand bifunctional catalysts has been extensively explored in homogeneous catalysis, yet it has not been reported in conventional heterogeneous catalysis. Inspired by the outer-sphere hydrogenation mechanism in homogeneous metal–ligand bifunctional catalysts, we here find that an Ir single-atom catalyst with a predominantly Ir1–P4 coordination structure behaves as a heterogeneous metal–ligand bifunctional catalyst exclusively favoring the hydrogenation of the C═O bond over the C═C bond in α,β-unsaturated aldehydes─an industrially important but highly challenging transformation. The hydrogenation process is revealed to proceed through a Noyori-type transition state during the 1,2-addition pathway at the Ir–P bifunctional sites, as evidenced by combining the in situ two-dimensional 1H–1H spin diffusion and 1H–31P heteronuclear correlation nuclear magnetic resonance spectroscopy, apparent reaction order test, kinetic isotope effect analysis, and density functional theory calculations. This work demonstrates a new type of heterogeneous metal–ligand bifunctional catalyst for the chemoselective hydrogenation of α,β-unsaturated aldehydes to unsaturated alcohols and sheds light on the hydrogenation mechanism.</w:t>
      </w:r>
    </w:p>
    <w:p>
      <w:pPr>
        <w:spacing w:before="120" w:after="120"/>
      </w:pPr>
      <w:r>
        <w:rPr>
          <w:sz w:val="18"/>
        </w:rPr>
        <w:t>——————————————————————————————————————————————————————————————————————</w:t>
      </w:r>
    </w:p>
    <w:p>
      <w:pPr>
        <w:spacing w:before="160" w:after="40" w:line="240" w:lineRule="auto"/>
      </w:pPr>
      <w:r>
        <w:rPr>
          <w:b/>
        </w:rPr>
        <w:t xml:space="preserve">[150] </w:t>
      </w:r>
      <w:hyperlink r:id="rId870">
        <w:r>
          <w:rPr>
            <w:color w:val="1155CC"/>
            <w:u w:val="single"/>
          </w:rPr>
          <w:t>有机供体-受体分子中同时具有强电荷转移吸收和高效三线态形成</w:t>
        </w:r>
      </w:hyperlink>
    </w:p>
    <w:p>
      <w:pPr>
        <w:spacing w:before="0" w:after="80"/>
      </w:pPr>
      <w:r>
        <w:rPr>
          <w:i/>
          <w:sz w:val="20"/>
        </w:rPr>
        <w:t>EN: Simultaneously Strong Charge-Transfer Absorption and Efficient Triplet Formation in Organic Donor–Acceptor Molecules</w:t>
      </w:r>
    </w:p>
    <w:p>
      <w:pPr>
        <w:spacing w:before="0" w:after="120"/>
      </w:pPr>
      <w:r>
        <w:rPr>
          <w:b/>
        </w:rPr>
        <w:t xml:space="preserve">Source: </w:t>
      </w:r>
      <w:r>
        <w:t>Journal of the American Chemical Society: Latest Articles (ACS Publications)</w:t>
      </w:r>
      <w:r>
        <w:t xml:space="preserve">    </w:t>
      </w:r>
      <w:r>
        <w:rPr>
          <w:b/>
        </w:rPr>
        <w:t xml:space="preserve">Pub date: </w:t>
      </w:r>
      <w:r>
        <w:t>2026-08-08 00:00:00+00:00</w:t>
      </w:r>
      <w:r>
        <w:t xml:space="preserve">    </w:t>
      </w:r>
      <w:r>
        <w:rPr>
          <w:b/>
        </w:rPr>
        <w:t xml:space="preserve">DOI: </w:t>
      </w:r>
      <w:hyperlink r:id="rId871">
        <w:r>
          <w:rPr>
            <w:color w:val="1155CC"/>
            <w:u w:val="single"/>
          </w:rPr>
          <w:t>10.1021/jacs.6c08126</w:t>
        </w:r>
      </w:hyperlink>
    </w:p>
    <w:p>
      <w:pPr>
        <w:spacing w:before="0" w:after="120"/>
      </w:pPr>
      <w:r>
        <w:rPr>
          <w:b/>
        </w:rPr>
        <w:t xml:space="preserve">Notes: </w:t>
      </w:r>
      <w:r>
        <w:t>abstract_source=crossref</w:t>
      </w:r>
    </w:p>
    <w:p>
      <w:pPr>
        <w:spacing w:before="0" w:after="80" w:lineRule="auto" w:line="276"/>
      </w:pPr>
      <w:r>
        <w:rPr>
          <w:b/>
        </w:rPr>
        <w:t xml:space="preserve">摘要（ZH）: </w:t>
      </w:r>
      <w:r>
        <w:t>摘要 分子三重激发态在光催化和光动力治疗等应用中发挥着至关重要的作用。纯有机供体-受体分子中的自旋轨道电荷转移系间窜越（SOCT-ISC）提供了一种在不依赖重原子的情况下将单线态电荷转移态转化为三线态产物的有效方法。然而，迄今为止，对 SOCT-ISC 系统的定量研究仍然有限，并且尚不清楚各种重组过程如何与三重态形成通道竞争。在这里，我们对 PBI-4Cz 五联体在不同环境和不同温度下的激发态动力学进行了系统研究，该五联体由位于苝双酰亚胺受体邻位的四个咔唑供体单元组成。我们发现，随着温度从 300 K 降低到 80 K，2-甲基四氢呋喃溶剂中 PBI 三线态形成产率从 10% 增加到 60%，而在聚甲基丙烯酸甲酯基质中，PBI 三线态形成产率与温度无关 (45%)。瞬态吸收动力学的全局分析表明，溶剂中的温度依赖性源于单线态复合通道比三线态形成通道更显着的抑制，这是由于随着温度降低而逐渐冻结的分子构型。重要的是，我们确定中间供体-受体二面角（即既不共面也不正交）可以同时实现有效的电荷转移吸收、超快电荷分离和有效的三线态形成，这使我们能够演示红光驱动的光子upco</w:t>
      </w:r>
    </w:p>
    <w:p>
      <w:pPr>
        <w:spacing w:before="0" w:after="200" w:lineRule="auto" w:line="276"/>
      </w:pPr>
      <w:r>
        <w:rPr>
          <w:b/>
        </w:rPr>
        <w:t xml:space="preserve">Abstract (EN): </w:t>
      </w:r>
      <w:r>
        <w:t>Molecular triplet excited states play a crucial role in applications such as photocatalysis and photodynamic therapy. Spin–orbit charge-transfer intersystem crossing (SOCT-ISC) in pure organic donor–acceptor molecules offers an effective means to convert singlet charge-transfer states into triplet products without relying on heavy atoms. To date, however, quantitative insights into SOCT-ISC systems remain limited, and it is unclear how various recombination processes compete with the triplet formation channel. Here, we conduct a systematic study of excited-state dynamics in a PBI-4Cz pentad, comprising four carbazole donor units situated at the ortho-positions of a perylene bisimide acceptor, in different environments and under different temperatures. We find that the PBI triplet formation yield in 2-methyltetrahydrofuran solvent increases from 10% to 60% as the temperature decreases from 300 to 80 K, whereas it is temperature-independent (45%) in a poly(methyl methacrylate) matrix. Global analysis of transient absorption kinetics shows that the temperature dependence in solvent arises from more substantial suppression of the singlet recombination channel than the triplet formation channel due to gradually frozen molecular configuration with decreasing temperature. Importantly, we establish that an intermediate donor–acceptor dihedral angle (i.e., neither coplanar nor orthogonal) can simultaneously allow for efficient charge-transfer absorption, ultrafast charge separation, and efficient triplet formation, which allows us to demonstrate red-light-driven photon upconversion using the PBI-4Cz pentad as a sensitizer. These unprecedented insights for SOCT-ISC provide guidelines for the design and control of optical properties and triplet formation yields in pure organic systems.</w:t>
      </w:r>
    </w:p>
    <w:p>
      <w:pPr>
        <w:spacing w:before="120" w:after="120"/>
      </w:pPr>
      <w:r>
        <w:rPr>
          <w:sz w:val="18"/>
        </w:rPr>
        <w:t>——————————————————————————————————————————————————————————————————————</w:t>
      </w:r>
    </w:p>
    <w:p>
      <w:pPr>
        <w:spacing w:before="160" w:after="40" w:line="240" w:lineRule="auto"/>
      </w:pPr>
      <w:r>
        <w:rPr>
          <w:b/>
        </w:rPr>
        <w:t xml:space="preserve">[151] </w:t>
      </w:r>
      <w:hyperlink r:id="rId872">
        <w:r>
          <w:rPr>
            <w:color w:val="1155CC"/>
            <w:u w:val="single"/>
          </w:rPr>
          <w:t>用于高保真 3D 分子生成的显式交互促进扩散框架</w:t>
        </w:r>
      </w:hyperlink>
    </w:p>
    <w:p>
      <w:pPr>
        <w:spacing w:before="0" w:after="80"/>
      </w:pPr>
      <w:r>
        <w:rPr>
          <w:i/>
          <w:sz w:val="20"/>
        </w:rPr>
        <w:t>EN: An Explicit Interaction-Prompted Diffusion Framework for High-Fidelity 3D Molecular Generation</w:t>
      </w:r>
    </w:p>
    <w:p>
      <w:pPr>
        <w:spacing w:before="0" w:after="120"/>
      </w:pPr>
      <w:r>
        <w:rPr>
          <w:b/>
        </w:rPr>
        <w:t xml:space="preserve">Source: </w:t>
      </w:r>
      <w:r>
        <w:t>Journal of the American Chemical Society: Latest Articles (ACS Publications)</w:t>
      </w:r>
      <w:r>
        <w:t xml:space="preserve">    </w:t>
      </w:r>
      <w:r>
        <w:rPr>
          <w:b/>
        </w:rPr>
        <w:t xml:space="preserve">Pub date: </w:t>
      </w:r>
      <w:r>
        <w:t>2026-08-08 00:00:00+00:00</w:t>
      </w:r>
      <w:r>
        <w:t xml:space="preserve">    </w:t>
      </w:r>
      <w:r>
        <w:rPr>
          <w:b/>
        </w:rPr>
        <w:t xml:space="preserve">DOI: </w:t>
      </w:r>
      <w:hyperlink r:id="rId873">
        <w:r>
          <w:rPr>
            <w:color w:val="1155CC"/>
            <w:u w:val="single"/>
          </w:rPr>
          <w:t>10.1021/jacs.6c08189</w:t>
        </w:r>
      </w:hyperlink>
    </w:p>
    <w:p>
      <w:pPr>
        <w:spacing w:before="0" w:after="120"/>
      </w:pPr>
      <w:r>
        <w:rPr>
          <w:b/>
        </w:rPr>
        <w:t xml:space="preserve">Notes: </w:t>
      </w:r>
      <w:r>
        <w:t>abstract_source=crossref</w:t>
      </w:r>
    </w:p>
    <w:p>
      <w:pPr>
        <w:spacing w:before="0" w:after="80" w:lineRule="auto" w:line="276"/>
      </w:pPr>
      <w:r>
        <w:rPr>
          <w:b/>
        </w:rPr>
        <w:t xml:space="preserve">摘要（ZH）: </w:t>
      </w:r>
      <w:r>
        <w:t>摘要 当前基于结构的药物设计生成模型常常难以忠实地再现真正的配体-蛋白质结合相互作用。相反，在隐式学习架构和有偏差的训练数据的耦合下，它们倾向于学习虚假的统计相关性。为了解决这个问题，我们提出了 EIP-Diff（显式交互提示扩散），这是一种具有新颖的显式交互提示嵌入机制的架构，更适合现实世界的特定目标药物设计。这种架构用显式的残基级生物指导取代了有偏见的隐式学习，从而促进了更细粒度的几何保真度和更精确的交互感知调节。为了充分发挥EIP-Diff的功能并为性能评估提供可靠的基础，我们进一步构建了CrystalData集，它提供了比现有数据集更高保真度和更少偏差的结构监督。这种显式架构显着提高了分布一致性：即使在交叉对接数据集上进行训练，EIP-Diff 也能在评估模型中实现与真实药理学分布的最高一致性。在 CrystalData 集上的训练进一步增强了这种对齐并提高了 3D 几何精度，同时保留了强大的可控性、高化学空间覆盖率和近乎完美的独特性。此外，对 KAT6A 和 YTHDC1 进行的基于靶点的验证证实，EIP-Diff 准确地再现了类似天然的结合模式。此外，在针对 IDO1 的现实药物设计任务中，我们成功设计了</w:t>
      </w:r>
    </w:p>
    <w:p>
      <w:pPr>
        <w:spacing w:before="0" w:after="200" w:lineRule="auto" w:line="276"/>
      </w:pPr>
      <w:r>
        <w:rPr>
          <w:b/>
        </w:rPr>
        <w:t xml:space="preserve">Abstract (EN): </w:t>
      </w:r>
      <w:r>
        <w:t>Current structure-based drug design generative models often struggle to faithfully recapitulate genuine ligand–protein binding interactions. Instead, under the coupling of implicit learning architectures and biased training data, they tend to learn spurious statistical correlations. To address this, we propose EIP-Diff (Explicit Interaction-Prompted Diffusion), an architecture featuring a novel explicit interaction-prompt embedding mechanism that is better suited for real-world target-specific drug design. This architecture replaces biased implicit learning with explicit, residue-level biological guidance, thereby promoting more fine-grained geometric fidelity and more precise interaction-aware conditioning. To fully realize the capabilities of EIP-Diff and provide a reliable basis for performance evaluation, we further constructed CrystalData set, which provides higher-fidelity and less-biased structural supervision than existing data sets. This explicit architecture markedly improves distribution consistency: even when trained on the crossdocked data set, EIP-Diff achieves the highest alignment with authentic pharmacological distributions among evaluated models. Training on CrystalData set further enhances this alignment and improves 3D geometric accuracy, while retaining strong controllability, high chemical space coverage, and near-perfect uniqueness. In addition, target-based validation on KAT6A and YTHDC1 confirmed that EIP-Diff accurately recapitulates native-like binding modes. Furthermore, in a real-world drug design task against IDO1, we successfully designed a novel lead compound with nanomolar potency (IC50 = 0.31 nM). These results demonstrate that the EIP-Diff architecture can explicitly leverage experimentally derived structural data and biologically meaningful interaction information for target-specific molecular generation, thereby enabling its effective application to real-world structure-based drug design.</w:t>
      </w:r>
    </w:p>
    <w:p>
      <w:pPr>
        <w:spacing w:before="120" w:after="120"/>
      </w:pPr>
      <w:r>
        <w:rPr>
          <w:sz w:val="18"/>
        </w:rPr>
        <w:t>——————————————————————————————————————————————————————————————————————</w:t>
      </w:r>
    </w:p>
    <w:p>
      <w:pPr>
        <w:spacing w:before="160" w:after="40" w:line="240" w:lineRule="auto"/>
      </w:pPr>
      <w:r>
        <w:rPr>
          <w:b/>
        </w:rPr>
        <w:t xml:space="preserve">[152] </w:t>
      </w:r>
      <w:hyperlink r:id="rId874">
        <w:r>
          <w:rPr>
            <w:color w:val="1155CC"/>
            <w:u w:val="single"/>
          </w:rPr>
          <w:t>用于活化烯烃的区域和立体选择性二烷基化的甲基选择性自由基分选</w:t>
        </w:r>
      </w:hyperlink>
    </w:p>
    <w:p>
      <w:pPr>
        <w:spacing w:before="0" w:after="80"/>
      </w:pPr>
      <w:r>
        <w:rPr>
          <w:i/>
          <w:sz w:val="20"/>
        </w:rPr>
        <w:t>EN: Methyl-Selective Radical Sorting for the Regio- and Stereoselective Dialkylation of Activated Alkenes</w:t>
      </w:r>
    </w:p>
    <w:p>
      <w:pPr>
        <w:spacing w:before="0" w:after="120"/>
      </w:pPr>
      <w:r>
        <w:rPr>
          <w:b/>
        </w:rPr>
        <w:t xml:space="preserve">Source: </w:t>
      </w:r>
      <w:r>
        <w:t>Journal of the American Chemical Society: Latest Articles (ACS Publications)</w:t>
      </w:r>
      <w:r>
        <w:t xml:space="preserve">    </w:t>
      </w:r>
      <w:r>
        <w:rPr>
          <w:b/>
        </w:rPr>
        <w:t xml:space="preserve">Pub date: </w:t>
      </w:r>
      <w:r>
        <w:t>2026-08-08 00:00:00+00:00</w:t>
      </w:r>
      <w:r>
        <w:t xml:space="preserve">    </w:t>
      </w:r>
      <w:r>
        <w:rPr>
          <w:b/>
        </w:rPr>
        <w:t xml:space="preserve">DOI: </w:t>
      </w:r>
      <w:hyperlink r:id="rId875">
        <w:r>
          <w:rPr>
            <w:color w:val="1155CC"/>
            <w:u w:val="single"/>
          </w:rPr>
          <w:t>10.1021/jacs.6c09101</w:t>
        </w:r>
      </w:hyperlink>
    </w:p>
    <w:p>
      <w:pPr>
        <w:spacing w:before="0" w:after="120"/>
      </w:pPr>
      <w:r>
        <w:rPr>
          <w:b/>
        </w:rPr>
        <w:t xml:space="preserve">Notes: </w:t>
      </w:r>
      <w:r>
        <w:t>abstract_source=crossref</w:t>
      </w:r>
    </w:p>
    <w:p>
      <w:pPr>
        <w:spacing w:before="0" w:after="80" w:lineRule="auto" w:line="276"/>
      </w:pPr>
      <w:r>
        <w:rPr>
          <w:b/>
        </w:rPr>
        <w:t xml:space="preserve">摘要（ZH）: </w:t>
      </w:r>
      <w:r>
        <w:t>摘要：两个烷基自由基跨烯烃的区域选择性结合对于 C(sp3)-C(sp3) 键构建来说是一种有吸引力的策略，但当自由基伙伴具有相似的极性和有限的空间差异时，仍然很困难。在这里，我们报告了一种光诱导镍催化策略，用于活化烯烃（包括缺电子烯烃和苯乙烯）的区域和交叉选择性 1,2-二烷基化，其中甲基和第二个烷基片段安装在 C=C 键上定义的互补位置。该过程依赖于由相应的羧酸预先形成或原位生成的碘(III)羧酸盐作为烷基自由基前体，能够在相同的反应条件下同时形成甲基自由基和第二个烷基自由基。选择性源自自由基分选过程，其中 Ni(II) 催化剂捕获甲基自由基以生成高价 Ni-Me 中间体，而第二个烷基自由基经历吉斯型加成到活化的烯烃上，然后通过 SH2 C(sp3)–C(sp3) 偶联生成交叉二烷基化产物。该方法适用于仲烷基和叔烷基，重要的是，还可以区分甲基和伯烷基，具有广泛的官能团耐受性和与复杂分子的兼容性。机理实验支持这种激进的分类模型。最后，手性辅助取代的烯烃能够实现高度非对映选择性变体，将这种激进的分选策略扩展到对映体富集产物的合成。</w:t>
      </w:r>
    </w:p>
    <w:p>
      <w:pPr>
        <w:spacing w:before="0" w:after="200" w:lineRule="auto" w:line="276"/>
      </w:pPr>
      <w:r>
        <w:rPr>
          <w:b/>
        </w:rPr>
        <w:t xml:space="preserve">Abstract (EN): </w:t>
      </w:r>
      <w:r>
        <w:t>The regioselective incorporation of two alkyl radicals across alkenes is an attractive strategy for C(sp3)–C(sp3) bond construction, but remains difficult when the radical partners have similar polarity and limited steric differentiation. Here we report a photoinduced nickel-catalyzed strategy for the regio- and cross-selective 1,2-dialkylation of activated alkenes, including electron-poor olefins and styrenes, in which a methyl group and a second alkyl fragment are installed at defined, complementary positions across the C═C bond. The process relies on iodine(III) carboxylates, either preformed or generated in situ from the corresponding carboxylic acids, as alkyl-radical precursors, enabling the concurrent formation of a methyl radical and a second alkyl radical under the same reaction conditions. Selectivity arises from a radical-sorting process in which a Ni(II) catalyst captures a methyl radical to generate a high-valent Ni–Me intermediate, while the second alkyl radical undergoes Giese-type addition to the activated alkene, followed by SH2 C(sp3)–C(sp3) coupling to deliver the cross-dialkylated product. The method accommodates secondary and tertiary alkyl radicals and, importantly, also differentiates methyl from primary alkyl radicals, with broad functional group tolerance and compatibility with complex molecules. Mechanistic experiments support this radical-sorting model. Finally, chiral auxiliary-substituted alkenes enable highly diastereoselective variants, extending this radical sorting strategy to the synthesis of enantioenriched products.</w:t>
      </w:r>
    </w:p>
    <w:p>
      <w:pPr>
        <w:spacing w:before="120" w:after="120"/>
      </w:pPr>
      <w:r>
        <w:rPr>
          <w:sz w:val="18"/>
        </w:rPr>
        <w:t>——————————————————————————————————————————————————————————————————————</w:t>
      </w:r>
    </w:p>
    <w:p>
      <w:pPr>
        <w:spacing w:before="160" w:after="40" w:line="240" w:lineRule="auto"/>
      </w:pPr>
      <w:r>
        <w:rPr>
          <w:b/>
        </w:rPr>
        <w:t xml:space="preserve">[153] </w:t>
      </w:r>
      <w:hyperlink r:id="rId876">
        <w:r>
          <w:rPr>
            <w:color w:val="1155CC"/>
            <w:u w:val="single"/>
          </w:rPr>
          <w:t>用于快速蛋白质构象和配体结合分析的光 CIDNP 增强 19F NMR</w:t>
        </w:r>
      </w:hyperlink>
    </w:p>
    <w:p>
      <w:pPr>
        <w:spacing w:before="0" w:after="80"/>
      </w:pPr>
      <w:r>
        <w:rPr>
          <w:i/>
          <w:sz w:val="20"/>
        </w:rPr>
        <w:t>EN: Photo-CIDNP-Enhanced 19F NMR for Rapid Protein Conformation and Ligand Binding Analysis</w:t>
      </w:r>
    </w:p>
    <w:p>
      <w:pPr>
        <w:spacing w:before="0" w:after="120"/>
      </w:pPr>
      <w:r>
        <w:rPr>
          <w:b/>
        </w:rPr>
        <w:t xml:space="preserve">Source: </w:t>
      </w:r>
      <w:r>
        <w:t>Journal of the American Chemical Society: Latest Articles (ACS Publications)</w:t>
      </w:r>
      <w:r>
        <w:t xml:space="preserve">    </w:t>
      </w:r>
      <w:r>
        <w:rPr>
          <w:b/>
        </w:rPr>
        <w:t xml:space="preserve">Pub date: </w:t>
      </w:r>
      <w:r>
        <w:t>2026-08-08 00:00:00+00:00</w:t>
      </w:r>
      <w:r>
        <w:t xml:space="preserve">    </w:t>
      </w:r>
      <w:r>
        <w:rPr>
          <w:b/>
        </w:rPr>
        <w:t xml:space="preserve">DOI: </w:t>
      </w:r>
      <w:hyperlink r:id="rId877">
        <w:r>
          <w:rPr>
            <w:color w:val="1155CC"/>
            <w:u w:val="single"/>
          </w:rPr>
          <w:t>10.1021/jacs.6c09740</w:t>
        </w:r>
      </w:hyperlink>
    </w:p>
    <w:p>
      <w:pPr>
        <w:spacing w:before="0" w:after="120"/>
      </w:pPr>
      <w:r>
        <w:rPr>
          <w:b/>
        </w:rPr>
        <w:t xml:space="preserve">Notes: </w:t>
      </w:r>
      <w:r>
        <w:t>abstract_source=crossref</w:t>
      </w:r>
    </w:p>
    <w:p>
      <w:pPr>
        <w:spacing w:before="0" w:after="80" w:lineRule="auto" w:line="276"/>
      </w:pPr>
      <w:r>
        <w:rPr>
          <w:b/>
        </w:rPr>
        <w:t xml:space="preserve">摘要（ZH）: </w:t>
      </w:r>
      <w:r>
        <w:t>摘要 19F NMR 波谱是蛋白质构象和动力学的强大探针，但本质上受到其他 NMR 技术常见的低灵敏度的限制。在这里，我们将光化学诱导的动态核极化 (photo-CIDNP) 与基因编码的 19F 标记相结合，将灵敏度提高高达 220 倍，从而能够在 6.5 分钟内检测到 100 nM 蛋白质。该方法采用市售的、经济高效的 19F 标记氨基酸类似物，广泛适用于 6.6 至 54.2 kDa 的蛋白质。它可以在几分钟内快速分析低微摩尔范围内的构象变化和配体结合。值得注意的是，它可以轻松表征解离常数低于 5 μM 的相互作用，而使用传统 NMR 很难获得这些相互作用。光 CIDNP 诱导的灵敏度增强与 19F NMR 的环境响应性相结合，为蛋白质结构和相互作用研究建立了一个实用平台。</w:t>
      </w:r>
    </w:p>
    <w:p>
      <w:pPr>
        <w:spacing w:before="0" w:after="200" w:lineRule="auto" w:line="276"/>
      </w:pPr>
      <w:r>
        <w:rPr>
          <w:b/>
        </w:rPr>
        <w:t xml:space="preserve">Abstract (EN): </w:t>
      </w:r>
      <w:r>
        <w:t>19F NMR spectroscopy is a powerful probe of protein conformation and dynamics but is intrinsically limited by low sensitivity common to other NMR techniques. Here, we integrate photochemically induced dynamic nuclear polarization (photo-CIDNP) with genetically encoded 19F labels to enhance sensitivity by up to 220-fold, enabling the detection of 100 nM protein within 6.5 min. This approach employs commercially available, cost-effective 19F-labeled amino acid analogues and is broadly applicable to proteins ranging from 6.6 to 54.2 kDa. It allows rapid analysis of conformational changes and ligand binding in the low-micromolar range within minutes. Notably, it can readily characterize interactions with dissociation constants below 5 μM, which are challenging to access using conventional NMR. The combination of photo-CIDNP-induced sensitivity enhancement with the environmental responsiveness of 19F NMR establishes a practical platform for protein structural and interaction studies.</w:t>
      </w:r>
    </w:p>
    <w:p>
      <w:pPr>
        <w:spacing w:before="120" w:after="120"/>
      </w:pPr>
      <w:r>
        <w:rPr>
          <w:sz w:val="18"/>
        </w:rPr>
        <w:t>——————————————————————————————————————————————————————————————————————</w:t>
      </w:r>
    </w:p>
    <w:p>
      <w:pPr>
        <w:spacing w:before="160" w:after="40" w:line="240" w:lineRule="auto"/>
      </w:pPr>
      <w:r>
        <w:rPr>
          <w:b/>
        </w:rPr>
        <w:t xml:space="preserve">[154] </w:t>
      </w:r>
      <w:hyperlink r:id="rId878">
        <w:r>
          <w:rPr>
            <w:color w:val="1155CC"/>
            <w:u w:val="single"/>
          </w:rPr>
          <w:t>光催化高尔基体蛋白质组学揭示了棕榈酰化调节的高尔基体吞噬</w:t>
        </w:r>
      </w:hyperlink>
    </w:p>
    <w:p>
      <w:pPr>
        <w:spacing w:before="0" w:after="80"/>
      </w:pPr>
      <w:r>
        <w:rPr>
          <w:i/>
          <w:sz w:val="20"/>
        </w:rPr>
        <w:t>EN: Photocatalytic Golgi Proteomics Reveals Palmitoylation-Regulated Golgiphagy</w:t>
      </w:r>
    </w:p>
    <w:p>
      <w:pPr>
        <w:spacing w:before="0" w:after="120"/>
      </w:pPr>
      <w:r>
        <w:rPr>
          <w:b/>
        </w:rPr>
        <w:t xml:space="preserve">Source: </w:t>
      </w:r>
      <w:r>
        <w:t>Journal of the American Chemical Society: Latest Articles (ACS Publications)</w:t>
      </w:r>
      <w:r>
        <w:t xml:space="preserve">    </w:t>
      </w:r>
      <w:r>
        <w:rPr>
          <w:b/>
        </w:rPr>
        <w:t xml:space="preserve">Pub date: </w:t>
      </w:r>
      <w:r>
        <w:t>2026-08-08 00:00:00+00:00</w:t>
      </w:r>
      <w:r>
        <w:t xml:space="preserve">    </w:t>
      </w:r>
      <w:r>
        <w:rPr>
          <w:b/>
        </w:rPr>
        <w:t xml:space="preserve">DOI: </w:t>
      </w:r>
      <w:hyperlink r:id="rId879">
        <w:r>
          <w:rPr>
            <w:color w:val="1155CC"/>
            <w:u w:val="single"/>
          </w:rPr>
          <w:t>10.1021/jacs.6c13532</w:t>
        </w:r>
      </w:hyperlink>
    </w:p>
    <w:p>
      <w:pPr>
        <w:spacing w:before="0" w:after="120"/>
      </w:pPr>
      <w:r>
        <w:rPr>
          <w:b/>
        </w:rPr>
        <w:t xml:space="preserve">Notes: </w:t>
      </w:r>
      <w:r>
        <w:t>abstract_source=crossref</w:t>
      </w:r>
    </w:p>
    <w:p>
      <w:pPr>
        <w:spacing w:before="0" w:after="80" w:lineRule="auto" w:line="276"/>
      </w:pPr>
      <w:r>
        <w:rPr>
          <w:b/>
        </w:rPr>
        <w:t xml:space="preserve">摘要（ZH）: </w:t>
      </w:r>
      <w:r>
        <w:t>摘要 高尔基体（GA）通过高度动态的重塑来协调蛋白质修饰、运输和分泌，但其蛋白质组复杂性在生命系统中仍然难以解决。在这里，我们报告了 CAT-Golgi，一种遗传独立且光控的光催化邻近标记策略，用于高尔基相关蛋白质组的原位时空作图。 CAT-Golgi 将半胱氨酸缀合的伊红光催化剂 (GolgiCat) 与苯胺探针相结合，能够在温和的绿光下在几分钟内快速、精确地标记蛋白质，无需基因操作，并在难以转染的原代细胞中高效运行。利用我们在细胞器靶向光催化系统方面的广泛努力，我们将这种化学扩展到高动态和可逆的高尔基体。 CAT-Golgi 在 HeLa、K562、Jurkat 和原代 HEKa 细胞中实现了定量和比较蛋白质组学，揭示了保守的和细胞类型特异性的特征。在布雷菲德菌素 A 诱导的高尔基体吞噬过程中，CAT-高尔基体捕获了大规模蛋白质组重塑，并鉴定出棕榈酰蛋白硫酯酶 1 (PPT1) 作为潜在的调控成分。 PPT1 下调增强了 ULK1 和 TRPML1 棕榈酰化，破坏了氧化还原平衡，并激活了高尔基体吞噬。 CAT-Golgi 为解码细胞器动力学提供了一个广泛适用的化学平台，为将光催化蛋白质组学扩展到其他瞬时细胞器并阐明细胞器可塑性和疾病进展的分子机制提供了概念和技术基础。</w:t>
      </w:r>
    </w:p>
    <w:p>
      <w:pPr>
        <w:spacing w:before="0" w:after="200" w:lineRule="auto" w:line="276"/>
      </w:pPr>
      <w:r>
        <w:rPr>
          <w:b/>
        </w:rPr>
        <w:t xml:space="preserve">Abstract (EN): </w:t>
      </w:r>
      <w:r>
        <w:t>The Golgi apparatus (GA) orchestrates protein modification, trafficking, and secretion through highly dynamic remodeling, yet its proteomic complexity remains difficult to resolve in living systems. Here, we report CAT-Golgi, a genetically independent and light-controlled photocatalytic proximity labeling strategy for in situ spatiotemporal mapping of the Golgi-associated proteome. Combining a cysteine-conjugated eosin photocatalyst (GolgiCat) with an aniline probe, CAT-Golgi enables rapid and precise protein labeling within minutes under mild green light, requiring no genetic manipulation and operating efficiently in hard-to-transfect and primary cells. Leveraging our extensive efforts in organelle-targeted photocatalytic systems, we extended this chemistry to the highly dynamic and reversible Golgi apparatus. CAT-Golgi achieved quantitative and comparative proteomics in HeLa, K562, Jurkat and primary HEKa cells, revealing both conserved and cell-type-specific profiles. Under Brefeldin A-induced Golgiphagy, CAT-Golgi captured large-scale proteome remodeling and identified palmitoyl-protein thioesterase 1 (PPT1) as a potential regulatory component. PPT1 downregulation enhanced ULK1 and TRPML1 palmitoylation, disrupted redox balance, and activated Golgiphagy. CAT-Golgi provides a broadly applicable chemical platform for decoding organelle dynamics, offering both conceptual and technical foundations for extending photocatalytic proteomics to other transient organelles and illuminating molecular mechanisms of organelle plasticity and disease progression.</w:t>
      </w:r>
    </w:p>
    <w:p>
      <w:pPr>
        <w:spacing w:before="120" w:after="120"/>
      </w:pPr>
      <w:r>
        <w:rPr>
          <w:sz w:val="18"/>
        </w:rPr>
        <w:t>——————————————————————————————————————————————————————————————————————</w:t>
      </w:r>
    </w:p>
    <w:p>
      <w:pPr>
        <w:spacing w:before="160" w:after="40" w:line="240" w:lineRule="auto"/>
      </w:pPr>
      <w:r>
        <w:rPr>
          <w:b/>
        </w:rPr>
        <w:t xml:space="preserve">[155] </w:t>
      </w:r>
      <w:hyperlink r:id="rId880">
        <w:r>
          <w:rPr>
            <w:color w:val="1155CC"/>
            <w:u w:val="single"/>
          </w:rPr>
          <w:t>通过速率驱动力响应识别环境温度下的量子隧道</w:t>
        </w:r>
      </w:hyperlink>
    </w:p>
    <w:p>
      <w:pPr>
        <w:spacing w:before="0" w:after="80"/>
      </w:pPr>
      <w:r>
        <w:rPr>
          <w:i/>
          <w:sz w:val="20"/>
        </w:rPr>
        <w:t>EN: Identifying Quantum Tunneling at Ambient Temperature through Rate–Driving Force Responsiveness</w:t>
      </w:r>
    </w:p>
    <w:p>
      <w:pPr>
        <w:spacing w:before="0" w:after="120"/>
      </w:pPr>
      <w:r>
        <w:rPr>
          <w:b/>
        </w:rPr>
        <w:t xml:space="preserve">Source: </w:t>
      </w:r>
      <w:r>
        <w:t>Journal of the American Chemical Society: Latest Articles (ACS Publications)</w:t>
      </w:r>
      <w:r>
        <w:t xml:space="preserve">    </w:t>
      </w:r>
      <w:r>
        <w:rPr>
          <w:b/>
        </w:rPr>
        <w:t xml:space="preserve">Pub date: </w:t>
      </w:r>
      <w:r>
        <w:t>2026-08-08 00:00:00+00:00</w:t>
      </w:r>
      <w:r>
        <w:t xml:space="preserve">    </w:t>
      </w:r>
      <w:r>
        <w:rPr>
          <w:b/>
        </w:rPr>
        <w:t xml:space="preserve">DOI: </w:t>
      </w:r>
      <w:hyperlink r:id="rId881">
        <w:r>
          <w:rPr>
            <w:color w:val="1155CC"/>
            <w:u w:val="single"/>
          </w:rPr>
          <w:t>10.1021/jacs.6c08355</w:t>
        </w:r>
      </w:hyperlink>
    </w:p>
    <w:p>
      <w:pPr>
        <w:spacing w:before="0" w:after="120"/>
      </w:pPr>
      <w:r>
        <w:rPr>
          <w:b/>
        </w:rPr>
        <w:t xml:space="preserve">Notes: </w:t>
      </w:r>
      <w:r>
        <w:t>abstract_source=crossref</w:t>
      </w:r>
    </w:p>
    <w:p>
      <w:pPr>
        <w:spacing w:before="0" w:after="80" w:lineRule="auto" w:line="276"/>
      </w:pPr>
      <w:r>
        <w:rPr>
          <w:b/>
        </w:rPr>
        <w:t xml:space="preserve">摘要（ZH）: </w:t>
      </w:r>
      <w:r>
        <w:t>摘要 量子力学隧道效应可以强烈影响化学反应性，但其实验识别仍然有限。在这里，我们得出了一个新的诊断原理：隧道效应在速率驱动力关系中留下了明显的特征。我们表明，隧道效应重塑了反应速率和驱动力之间的比例关系。在势垒拓扑的哈蒙德型插值中，越势垒反应性主要将势垒高度的插值变化转化为速率驱动力响应性。当穿过势垒传输起作用时，势垒宽度的插值变化也体现在速率响应中，从而显着增强响应能力。这一原理使得基于反应族内的响应性分析的隧道效应的简单实验锚定诊断成为可能，补充了通常依赖于低温或同位素替代的现有诊断。我们在室温下使用硒氧化物的顺式消除作为基准模型系统来演示该原理。由于这种诊断原理仅依赖于标准动力学测量，因此它应该广泛适用于具有可测量的基本动力学的反应。</w:t>
      </w:r>
    </w:p>
    <w:p>
      <w:pPr>
        <w:spacing w:before="0" w:after="200" w:lineRule="auto" w:line="276"/>
      </w:pPr>
      <w:r>
        <w:rPr>
          <w:b/>
        </w:rPr>
        <w:t xml:space="preserve">Abstract (EN): </w:t>
      </w:r>
      <w:r>
        <w:t>Quantum mechanical tunneling can strongly influence chemical reactivity, yet its experimental identification remains limited. Here we derive a new diagnostic principle: tunneling leaves a distinct signature in the rate-driving force relationship. We show that tunneling reshapes the scaling relationship between reaction rate and driving force. Within a Hammond-type interpolation of barrier topology, over-the-barrier reactivity primarily translates the interpolated change in barrier height into rate–driving-force responsiveness. When through-barrier transmission contributes, the interpolated change in barrier width is also expressed in the rate response, producing significantly enhanced responsiveness. This principle enables a simple experimentally anchored diagnostic for tunneling based on responsiveness analysis within a reaction family, complementing existing diagnostics that often rely on cryogenic temperatures or isotopic substitution. We demonstrate the principle using the syn elimination of selenoxides as a benchmark model system at room temperature. Because this diagnostic principle relies only on standard kinetic measurements, it should be broadly applicable to reactions with measurable elementary kinetics.</w:t>
      </w:r>
    </w:p>
    <w:p>
      <w:pPr>
        <w:spacing w:before="120" w:after="120"/>
      </w:pPr>
      <w:r>
        <w:rPr>
          <w:sz w:val="18"/>
        </w:rPr>
        <w:t>——————————————————————————————————————————————————————————————————————</w:t>
      </w:r>
    </w:p>
    <w:p>
      <w:pPr>
        <w:spacing w:before="160" w:after="40" w:line="240" w:lineRule="auto"/>
      </w:pPr>
      <w:r>
        <w:rPr>
          <w:b/>
        </w:rPr>
        <w:t xml:space="preserve">[156] </w:t>
      </w:r>
      <w:hyperlink r:id="rId882">
        <w:r>
          <w:rPr>
            <w:color w:val="1155CC"/>
            <w:u w:val="single"/>
          </w:rPr>
          <w:t>一类新型键长设计的过渡金属掺杂纳米晶体，具有可调的 NIR-II 吸收和发射能力</w:t>
        </w:r>
      </w:hyperlink>
    </w:p>
    <w:p>
      <w:pPr>
        <w:spacing w:before="0" w:after="80"/>
      </w:pPr>
      <w:r>
        <w:rPr>
          <w:i/>
          <w:sz w:val="20"/>
        </w:rPr>
        <w:t>EN: A New Class of Bond-Length-Engineered Transition-Metal-Doped Nanocrystals with Tunable NIR-II Absorption and Emission</w:t>
      </w:r>
    </w:p>
    <w:p>
      <w:pPr>
        <w:spacing w:before="0" w:after="120"/>
      </w:pPr>
      <w:r>
        <w:rPr>
          <w:b/>
        </w:rPr>
        <w:t xml:space="preserve">Source: </w:t>
      </w:r>
      <w:r>
        <w:t>Journal of the American Chemical Society: Latest Articles (ACS Publications)</w:t>
      </w:r>
      <w:r>
        <w:t xml:space="preserve">    </w:t>
      </w:r>
      <w:r>
        <w:rPr>
          <w:b/>
        </w:rPr>
        <w:t xml:space="preserve">Pub date: </w:t>
      </w:r>
      <w:r>
        <w:t>2026-08-08 00:00:00+00:00</w:t>
      </w:r>
      <w:r>
        <w:t xml:space="preserve">    </w:t>
      </w:r>
      <w:r>
        <w:rPr>
          <w:b/>
        </w:rPr>
        <w:t xml:space="preserve">DOI: </w:t>
      </w:r>
      <w:hyperlink r:id="rId883">
        <w:r>
          <w:rPr>
            <w:color w:val="1155CC"/>
            <w:u w:val="single"/>
          </w:rPr>
          <w:t>10.1021/jacs.6c11340</w:t>
        </w:r>
      </w:hyperlink>
    </w:p>
    <w:p>
      <w:pPr>
        <w:spacing w:before="0" w:after="120"/>
      </w:pPr>
      <w:r>
        <w:rPr>
          <w:b/>
        </w:rPr>
        <w:t xml:space="preserve">Notes: </w:t>
      </w:r>
      <w:r>
        <w:t>abstract_source=crossref</w:t>
      </w:r>
    </w:p>
    <w:p>
      <w:pPr>
        <w:spacing w:before="0" w:after="80" w:lineRule="auto" w:line="276"/>
      </w:pPr>
      <w:r>
        <w:rPr>
          <w:b/>
        </w:rPr>
        <w:t xml:space="preserve">摘要（ZH）: </w:t>
      </w:r>
      <w:r>
        <w:t>摘要：开发在第二近红外 (NIR-II) 或短波红外 (SWIR) 区域（1000–2500 nm）具有可调谐吸收和发射的发光探针对于先进光子技术至关重要，因为该区域可显着减少复杂介质中的光子散射，并与光通信频段具有内在兼容性。在这里，我们报道了一类基于过渡金属 Ni2+ 掺杂氟化物纳米晶体的新型 NIR-II 纳米探针，其中 Ni2+ 离子同时充当敏化剂和活化剂。理论分析和实验验证表明，将基质从 NaMgF3 改为 MgF2、KMgF3 和 NaMnF3 可以系统地调节局部 Ni-F 键长和 Ni2+ 的配位环境。这种键长工程实现了 d-d 电子跃迁的宽带和精细可调的 NIR-II 吸收（1318-1414 nm）和发射（1620-1780 nm），优化的 NaMgF3:9.6%Ni@NaMgF3 纳米晶体在 1320 nm 激发下实现了 20.7% 的量子产率。利用这些独特的激发-发射指纹，我们展示了具有高信噪比的低串扰体内多重成像。这项工作将过渡金属掺杂纳米晶体建立为一个广泛可调的平台，并扩大了下一代光子应用无机发光材料的范围。</w:t>
      </w:r>
    </w:p>
    <w:p>
      <w:pPr>
        <w:spacing w:before="0" w:after="200" w:lineRule="auto" w:line="276"/>
      </w:pPr>
      <w:r>
        <w:rPr>
          <w:b/>
        </w:rPr>
        <w:t xml:space="preserve">Abstract (EN): </w:t>
      </w:r>
      <w:r>
        <w:t>Developing luminescent probes with tunable absorption and emission in the second near-infrared (NIR-II) or shortwave infrared (SWIR) region (1000–2500 nm) is essential for advanced photonic technologies, as this region offers dramatically reduced photon scattering in complex media and intrinsic compatibility with optical communication bands. Here, we report a new class of NIR-II nanoprobes based on transition-metal Ni2+-doped fluoride nanocrystals, in which Ni2+ ions serve simultaneously as both sensitizer and activator. Theoretical analysis and experimental validation reveal that varying the matrix from NaMgF3 to MgF2, KMgF3, and NaMnF3 systematically modulates the local Ni–F bond length and the coordination environment of Ni2+. This bond-length engineering enables broadband and finely tunable NIR-II absorption (1318–1414 nm) and emission (1620–1780 nm) from d–d electronic transitions, with the optimized NaMgF3:9.6%Ni@NaMgF3 nanocrystals achieving a quantum yield of 20.7% under 1320 nm excitation. Using these distinctive excitation–emission fingerprints, we demonstrate low-crosstalk in vivo multiplexed imaging with high signal-to-noise ratios. This work establishes transition-metal-doped nanocrystals as a broadly tunable platform and expands the scope of inorganic luminescent materials for next-generation photonic applications.</w:t>
      </w:r>
    </w:p>
    <w:p>
      <w:pPr>
        <w:spacing w:before="120" w:after="120"/>
      </w:pPr>
      <w:r>
        <w:rPr>
          <w:sz w:val="18"/>
        </w:rPr>
        <w:t>——————————————————————————————————————————————————————————————————————</w:t>
      </w:r>
    </w:p>
    <w:p>
      <w:pPr>
        <w:spacing w:before="160" w:after="40" w:line="240" w:lineRule="auto"/>
      </w:pPr>
      <w:r>
        <w:rPr>
          <w:b/>
        </w:rPr>
        <w:t xml:space="preserve">[157] </w:t>
      </w:r>
      <w:hyperlink r:id="rId884">
        <w:r>
          <w:rPr>
            <w:color w:val="1155CC"/>
            <w:u w:val="single"/>
          </w:rPr>
          <w:t>魔角石墨烯中的熵平台、组合简并、局部矩和重费米子质量重正化</w:t>
        </w:r>
      </w:hyperlink>
    </w:p>
    <w:p>
      <w:pPr>
        <w:spacing w:before="0" w:after="80"/>
      </w:pPr>
      <w:r>
        <w:rPr>
          <w:i/>
          <w:sz w:val="20"/>
        </w:rPr>
        <w:t>EN: Entropy plateaus, combinatorial degeneracy, local moments, and heavy-fermion mass renormalization in magic-angle graphene</w:t>
      </w:r>
    </w:p>
    <w:p>
      <w:pPr>
        <w:spacing w:before="0" w:after="120"/>
      </w:pPr>
      <w:r>
        <w:rPr>
          <w:b/>
        </w:rPr>
        <w:t xml:space="preserve">Source: </w:t>
      </w:r>
      <w:r>
        <w:t>Physical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由相互作用引起的电子质量增强驱动的重费米子行为支撑着从非常规超导性到量子临界性的奇异态。长期以来，这些现象仅限于复杂的三维 f 电子化合物，现在预计这些现象将出现在魔角扭曲双层石墨烯的平带内。在这里，我们使用高分辨率平面隧道光谱进行逆压缩性和熵测量，为魔角石墨烯中的拓扑重费米子行为提供直接证据。我们的逆压缩性数据揭示了强大的、依赖于填充的质量重正化，与近藤晶格框架内的局域电子和流动电子之间的杂化一致。此外，熵谱揭示了两种平台结构，其简并直接编码局部矩态的组合结构。这种 8 至 4 倍的简并性减少是应变介导的对称性破缺的熵特征，与拓扑重费米子模型一致。</w:t>
      </w:r>
    </w:p>
    <w:p>
      <w:pPr>
        <w:spacing w:before="0" w:after="200" w:lineRule="auto" w:line="276"/>
      </w:pPr>
      <w:r>
        <w:rPr>
          <w:b/>
        </w:rPr>
        <w:t xml:space="preserve">Abstract (EN): </w:t>
      </w:r>
      <w:r>
        <w:t>Heavy-fermion behavior, driven by the interaction-induced enhancement of electronic mass, underpins exotic states ranging from unconventional superconductivity to quantum criticality. Long restricted to complex three-dimensional f-electron compounds, these phenomena are now predicted to emerge within the flat bands of magic-angle twisted bilayer graphene. Here, we use high-resolution planar tunneling spectroscopy to perform inverse-compressibility and entropy measurements, providing direct evidence for topological heavy-fermion behavior in magic-angle graphene. Our inverse-compressibility data reveal strong, filling-dependent mass renormalization, consistent with the hybridization between localized and itinerant electrons within a Kondo-lattice framework. Furthermore, entropy spectroscopy reveals two plateau structures whose degeneracies directly encode the combinatorial structure of local moment states. This 8-to-4-fold degeneracy reduction is an entropic signature of strain-mediated symmetry breaking, consistent with the topological heavy-fermion model.</w:t>
      </w:r>
    </w:p>
    <w:p>
      <w:pPr>
        <w:spacing w:before="120" w:after="120"/>
      </w:pPr>
      <w:r>
        <w:rPr>
          <w:sz w:val="18"/>
        </w:rPr>
        <w:t>——————————————————————————————————————————————————————————————————————</w:t>
      </w:r>
    </w:p>
    <w:p>
      <w:pPr>
        <w:spacing w:before="160" w:after="40" w:line="240" w:lineRule="auto"/>
      </w:pPr>
      <w:r>
        <w:rPr>
          <w:b/>
        </w:rPr>
        <w:t xml:space="preserve">[158] </w:t>
      </w:r>
      <w:hyperlink r:id="rId885">
        <w:r>
          <w:rPr>
            <w:color w:val="1155CC"/>
            <w:u w:val="single"/>
          </w:rPr>
          <w:t>(+)-CC-1065的全合成</w:t>
        </w:r>
      </w:hyperlink>
    </w:p>
    <w:p>
      <w:pPr>
        <w:spacing w:before="0" w:after="80"/>
      </w:pPr>
      <w:r>
        <w:rPr>
          <w:i/>
          <w:sz w:val="20"/>
        </w:rPr>
        <w:t>EN: Total Synthesis of (+)-CC-1065</w:t>
      </w:r>
    </w:p>
    <w:p>
      <w:pPr>
        <w:spacing w:before="0" w:after="120"/>
      </w:pPr>
      <w:r>
        <w:rPr>
          <w:b/>
        </w:rPr>
        <w:t xml:space="preserve">Source: </w:t>
      </w:r>
      <w:r>
        <w:t>Journal of the American Chemical Society: Latest Articles (ACS Publications)</w:t>
      </w:r>
      <w:r>
        <w:t xml:space="preserve">    </w:t>
      </w:r>
      <w:r>
        <w:rPr>
          <w:b/>
        </w:rPr>
        <w:t xml:space="preserve">Pub date: </w:t>
      </w:r>
      <w:r>
        <w:t>2026-08-08 00:00:00+00:00</w:t>
      </w:r>
      <w:r>
        <w:t xml:space="preserve">    </w:t>
      </w:r>
      <w:r>
        <w:rPr>
          <w:b/>
        </w:rPr>
        <w:t xml:space="preserve">DOI: </w:t>
      </w:r>
      <w:hyperlink r:id="rId886">
        <w:r>
          <w:rPr>
            <w:color w:val="1155CC"/>
            <w:u w:val="single"/>
          </w:rPr>
          <w:t>10.1021/jacs.6c10775</w:t>
        </w:r>
      </w:hyperlink>
    </w:p>
    <w:p>
      <w:pPr>
        <w:spacing w:before="0" w:after="120"/>
      </w:pPr>
      <w:r>
        <w:rPr>
          <w:b/>
        </w:rPr>
        <w:t xml:space="preserve">Notes: </w:t>
      </w:r>
      <w:r>
        <w:t>abstract_source=crossref</w:t>
      </w:r>
    </w:p>
    <w:p>
      <w:pPr>
        <w:spacing w:before="0" w:after="80" w:lineRule="auto" w:line="276"/>
      </w:pPr>
      <w:r>
        <w:rPr>
          <w:b/>
        </w:rPr>
        <w:t xml:space="preserve">摘要（ZH）: </w:t>
      </w:r>
      <w:r>
        <w:t>摘要 螺环丙基环己二烯酮生物碱是迄今为止发现的最有效的抗肿瘤天然产物之一。这些生物碱的有趣的生物活性和独特的结构使其成为全合成的有吸引力的目标。在此，我们报告了 (+)-CC-1065（该天然产物家族中结构最复杂的同系物）的高效且收敛的全合成。该合成策略采用了基于乙烯基和芳基乙烯酮的苯并环化的新颖应用，采用可见光促进的 2-碘酰胺与 α-重氮酮的反应来获得 (+)-CC-1065 组成亚基的高度取代的苯环核心。该路线还首次不对称合成了未保护的环丙[c]吡咯并[3,2-e]吲哚-4(5H)-酮亚基(CPI)，并详细介绍了将该化合物直接酰胺化以获得(+)-CC-1065的高度收敛且实用的程序。</w:t>
      </w:r>
    </w:p>
    <w:p>
      <w:pPr>
        <w:spacing w:before="0" w:after="200" w:lineRule="auto" w:line="276"/>
      </w:pPr>
      <w:r>
        <w:rPr>
          <w:b/>
        </w:rPr>
        <w:t xml:space="preserve">Abstract (EN): </w:t>
      </w:r>
      <w:r>
        <w:t>The spirocyclopropanyl cyclohexadienone alkaloids are among the most potent antitumor natural products yet discovered. The intriguing biological activity and unique structures of these alkaloids have made them attractive targets for total synthesis. Herein, we report an efficient and convergent total synthesis of (+)-CC-1065, the most structurally complex congener within this family of natural products. The synthetic strategy employs a novel application of our vinyl- and arylketene-based benzannulation, employing a visible light-promoted reaction of 2-iodoynamides with α-diazo ketones to access the highly substituted benzenoid cores of the constituent subunits of (+)-CC-1065. This route also features the first asymmetric synthesis of the unprotected cyclopropa[c]pyrrolo[3,2-e]indol-4(5H)-one subunit (CPI) and details a highly convergent and practical procedure for the direct amidation of this compound to access (+)-CC-1065.</w:t>
      </w:r>
    </w:p>
    <w:p>
      <w:pPr>
        <w:spacing w:before="120" w:after="120"/>
      </w:pPr>
      <w:r>
        <w:rPr>
          <w:sz w:val="18"/>
        </w:rPr>
        <w:t>——————————————————————————————————————————————————————————————————————</w:t>
      </w:r>
    </w:p>
    <w:p>
      <w:pPr>
        <w:spacing w:before="160" w:after="40" w:line="240" w:lineRule="auto"/>
      </w:pPr>
      <w:r>
        <w:rPr>
          <w:b/>
        </w:rPr>
        <w:t xml:space="preserve">[159] </w:t>
      </w:r>
      <w:hyperlink r:id="rId887">
        <w:r>
          <w:rPr>
            <w:color w:val="1155CC"/>
            <w:u w:val="single"/>
          </w:rPr>
          <w:t>对“用铁 Kβ X 射线发射光谱探测价轨道组成”的修正</w:t>
        </w:r>
      </w:hyperlink>
    </w:p>
    <w:p>
      <w:pPr>
        <w:spacing w:before="0" w:after="80"/>
      </w:pPr>
      <w:r>
        <w:rPr>
          <w:i/>
          <w:sz w:val="20"/>
        </w:rPr>
        <w:t>EN: Correction to “Probing Valence Orbital Composition with Iron Kβ X-ray Emission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2026-08-08 00:00:00+00:00</w:t>
      </w:r>
      <w:r>
        <w:t xml:space="preserve">    </w:t>
      </w:r>
      <w:r>
        <w:rPr>
          <w:b/>
        </w:rPr>
        <w:t xml:space="preserve">DOI: </w:t>
      </w:r>
      <w:hyperlink r:id="rId888">
        <w:r>
          <w:rPr>
            <w:color w:val="1155CC"/>
            <w:u w:val="single"/>
          </w:rPr>
          <w:t>10.1021/jacs.6c10676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[160] </w:t>
      </w:r>
      <w:hyperlink r:id="rId889">
        <w:r>
          <w:rPr>
            <w:color w:val="1155CC"/>
            <w:u w:val="single"/>
          </w:rPr>
          <w:t>范德华呼吸 kagome Nb3Cl8 中的呼吸铁电、平带和多个手性声子</w:t>
        </w:r>
      </w:hyperlink>
    </w:p>
    <w:p>
      <w:pPr>
        <w:spacing w:before="0" w:after="80"/>
      </w:pPr>
      <w:r>
        <w:rPr>
          <w:i/>
          <w:sz w:val="20"/>
        </w:rPr>
        <w:t>EN: Breathing ferroelectricity, flat-bands and multiple chiral phonons in van der Waals breathing kagome Nb3Cl8</w:t>
      </w:r>
    </w:p>
    <w:p>
      <w:pPr>
        <w:spacing w:before="0" w:after="120"/>
      </w:pPr>
      <w:r>
        <w:rPr>
          <w:b/>
        </w:rPr>
        <w:t xml:space="preserve">Source: </w:t>
      </w:r>
      <w:r>
        <w:t>Physical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范德华层状 Nb3X8（X=Cl、Br、I）预计将整合多种有趣的物理特性，特别是多铁性和平带，这些特性对于新颖原理的存储器和超导体来说非常有前景。然而，缺乏直接的实验验证，例如所提出的呼吸铁电性。甚至有关平带的电子能带结构仍然不一致。在这里，我们通过对 Nb3Cl8 的多方面研究，系统地探讨了 Nb3Cl8 的结构和电/光学性质。我们证明，通过层内呼吸 Kagome 晶格和相邻层之间交替的范德华间隙，Nb3Cl8 可以表现出呼吸铁电性，该铁电性源自通过 Kagome 态交替三角形的呼吸/呼出扭曲。更引人注目的是，我们的光学表征表明，Nb3Cl8在薄态下表现出类激子吸收峰，涉及平带，但在厚态下表现出类半导体吸收边，这可能是由于层间相互作用和厚度引起的更强的光子吸收，其能量与我们的理论计算相匹配，并且具有强光学活性和多个手性声子。声子模式和平带的温度依赖性一致地揭示了几种温度引起的电子相或磁相关的转变。 Nb3Cl8 中这些相互关联的特性的共存不仅为探索基本凝聚态物理提供了平台，而且为开发多功能纳米器件带来了巨大的希望。</w:t>
      </w:r>
    </w:p>
    <w:p>
      <w:pPr>
        <w:spacing w:before="0" w:after="200" w:lineRule="auto" w:line="276"/>
      </w:pPr>
      <w:r>
        <w:rPr>
          <w:b/>
        </w:rPr>
        <w:t xml:space="preserve">Abstract (EN): </w:t>
      </w:r>
      <w:r>
        <w:t>Van der Waals layered Nb3X8 (X=Cl, Br, I) are predicted to integrate multiple intriguing physical properties, notably multiferroicity and flat-bands that are highly promising for novel-principle memories and superconductors. However, direct experimental validations such as the proposed breathing ferroelectricity are lacking. Even the electronic band structure concerning flat-bands still remains inconsistent. Here, we systematically explore the structure and electrical/optical properties through a multifaceted study of Nb3Cl8. We demonstrate that, with an intralayer breathing Kagome lattice and an alternating van der Waals gap between adjacent layers, Nb3Cl8 can exhibit breathing ferroelectricity originating from a breathing-in/out distortion of alternate triangles via a Kagome state. More strikingly, our optical characterizations disclose that Nb3Cl8 shows the exciton-like absorption peaks involving flat-bands in thin states but semiconductor-like absorption edge in thick states possibly due to both interlayer interaction and thickness-induced stronger photon absorption, whose energies match our theoretical calculations, and possesses strong optical activity and multiple chiral phonons. Temperature dependencies of phonon modes and flat-bands consistently reveal several temperature-induced electronic-phase or magnetic-related transitions. The coexistence of these interrelated properties in Nb3Cl8 not only offers a platform for exploring fundamental condensed matter physics but also holds great promise for developing multifunctional nanodevices.</w:t>
      </w:r>
    </w:p>
    <w:p>
      <w:pPr>
        <w:spacing w:before="120" w:after="120"/>
      </w:pPr>
      <w:r>
        <w:rPr>
          <w:sz w:val="18"/>
        </w:rPr>
        <w:t>——————————————————————————————————————————————————————————————————————</w:t>
      </w:r>
    </w:p>
    <w:p>
      <w:pPr>
        <w:spacing w:before="160" w:after="40" w:line="240" w:lineRule="auto"/>
      </w:pPr>
      <w:r>
        <w:rPr>
          <w:b/>
        </w:rPr>
        <w:t xml:space="preserve">[161] </w:t>
      </w:r>
      <w:hyperlink r:id="rId890">
        <w:r>
          <w:rPr>
            <w:color w:val="1155CC"/>
            <w:u w:val="single"/>
          </w:rPr>
          <w:t>集成传感的高推力超轻离子驱动微型机器人的受控飞行</w:t>
        </w:r>
      </w:hyperlink>
    </w:p>
    <w:p>
      <w:pPr>
        <w:spacing w:before="0" w:after="80"/>
      </w:pPr>
      <w:r>
        <w:rPr>
          <w:i/>
          <w:sz w:val="20"/>
        </w:rPr>
        <w:t>EN: Controlled flight of high-thrust ultralight ion-propelled microrobot with integrated sensing</w:t>
      </w:r>
    </w:p>
    <w:p>
      <w:pPr>
        <w:spacing w:before="0" w:after="120"/>
      </w:pPr>
      <w:r>
        <w:rPr>
          <w:b/>
        </w:rPr>
        <w:t xml:space="preserve">Source: </w:t>
      </w:r>
      <w:r>
        <w:t>Physical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离子风技术具有实现飞行微型机器人小型化的潜力，无需机械运动部件即可产生推力，从而无需高频致动器即可实现简化和轻型设计。然而，两个基本挑战限制了其实际实施：有效载荷能力不足和可控性不足，特别是在多自由度飞行中。在这里，我们演示了基于惯性测量单元的轻型（36.7 mg）离子推进微型机器人的闭环控制飞行，实现了 5:1 的推重比和 1 小时的长航时系留悬停，无需机械执行器。实验验证表明，该控制策略提高了稳定性，俯仰角和侧倾角均方根误差分别降低了83.11%和89.21%。利用折纸启发的设计和经济高效的金属聚合物复合材料，我们的制造方法能够以一次性成本快速组装复杂的微型机器人，克服了实际集群部署的关键障碍。该微型机器人的高负载能力使其能够携带高保真图像传感器和光纤布拉格光栅传感器，同时保持足够的机动性来完成环境监视和材料识别等预定义任务。这项工作介绍了一种自主微型机器人群体飞行的方法，表明其在密闭空间监视、灾难救援和危险环境探索中的潜在应用。</w:t>
      </w:r>
    </w:p>
    <w:p>
      <w:pPr>
        <w:spacing w:before="0" w:after="200" w:lineRule="auto" w:line="276"/>
      </w:pPr>
      <w:r>
        <w:rPr>
          <w:b/>
        </w:rPr>
        <w:t xml:space="preserve">Abstract (EN): </w:t>
      </w:r>
      <w:r>
        <w:t>Ion wind technology holds potential for the miniaturization of flying microrobots, generating thrust without mechanical moving parts, enabling simplified and light designs free from high-frequency actuators. Nevertheless, two fundamental challenges have limited its practical implementation: insufficient payload capacity and inadequate controllability, particularly in multi-degrees-of-freedom flight. Here, we demonstrated an inertial measurement unit-based closed-loop controlled flight of a light (36.7 mg) ion-propelled microrobot, achieving a thrust-to-weight ratio of 5:1 and 1-h long-endurance tethered hovering without mechanical actuators. Experimental validation indicates that the control strategy enhances stability, with a decrease of 83.11% and 89.21% in the root mean square error of pitch and roll angle, respectively. Leveraging origami-inspired design and cost-effective metal-polymer composites, our manufacturing approach enables the rapid assembly of complex microrobots at a disposable cost, overcoming a key barrier to practical swarm deployment. The microrobot’s high load capability allows it to carry a high-fidelity image sensor and a fiber Bragg grating sensor while maintaining sufficient maneuverability to complete predefined tasks such as environmental surveillance and material identification. This work introduces an approach to autonomous microrobotic swarm flight, suggesting potential applications in confined-space surveillance, disaster rescue, and hazardous environment exploration.</w:t>
      </w:r>
    </w:p>
    <w:p>
      <w:pPr>
        <w:spacing w:before="120" w:after="120"/>
      </w:pPr>
      <w:r>
        <w:rPr>
          <w:sz w:val="18"/>
        </w:rPr>
        <w:t>——————————————————————————————————————————————————————————————————————</w:t>
      </w:r>
    </w:p>
    <w:p>
      <w:pPr>
        <w:spacing w:before="160" w:after="40" w:line="240" w:lineRule="auto"/>
      </w:pPr>
      <w:r>
        <w:rPr>
          <w:b/>
        </w:rPr>
        <w:t xml:space="preserve">[162] </w:t>
      </w:r>
      <w:hyperlink r:id="rId891">
        <w:r>
          <w:rPr>
            <w:color w:val="1155CC"/>
            <w:u w:val="single"/>
          </w:rPr>
          <w:t>极端台风灾害下综合能源系统柔性支持优化调度</w:t>
        </w:r>
      </w:hyperlink>
    </w:p>
    <w:p>
      <w:pPr>
        <w:spacing w:before="0" w:after="80"/>
      </w:pPr>
      <w:r>
        <w:rPr>
          <w:i/>
          <w:sz w:val="20"/>
        </w:rPr>
        <w:t>EN: Flexibility-supported optimal scheduling for integrated energy systems under extreme typhoon disasters</w:t>
      </w:r>
    </w:p>
    <w:p>
      <w:pPr>
        <w:spacing w:before="0" w:after="120"/>
      </w:pPr>
      <w:r>
        <w:rPr>
          <w:b/>
        </w:rPr>
        <w:t xml:space="preserve">Source: </w:t>
      </w:r>
      <w:r>
        <w:t>ScienceDirect Publication: Applied Energy</w:t>
      </w:r>
      <w:r>
        <w:t xml:space="preserve">    </w:t>
      </w:r>
      <w:r>
        <w:rPr>
          <w:b/>
        </w:rPr>
        <w:t xml:space="preserve">Pub date: </w:t>
      </w:r>
      <w:r>
        <w:t>2026-08-08 00:00:00+00:00</w:t>
      </w:r>
      <w:r>
        <w:t xml:space="preserve">    </w:t>
      </w:r>
      <w:r>
        <w:rPr>
          <w:b/>
        </w:rPr>
        <w:t xml:space="preserve">DOI: </w:t>
      </w:r>
      <w:hyperlink r:id="rId892">
        <w:r>
          <w:rPr>
            <w:color w:val="1155CC"/>
            <w:u w:val="single"/>
          </w:rPr>
          <w:t>10.1016/j.apenergy.2026.128640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[163] </w:t>
      </w:r>
      <w:hyperlink r:id="rId893">
        <w:r>
          <w:rPr>
            <w:color w:val="1155CC"/>
            <w:u w:val="single"/>
          </w:rPr>
          <w:t>超越能量学的社会模仿的随机热力学</w:t>
        </w:r>
      </w:hyperlink>
    </w:p>
    <w:p>
      <w:pPr>
        <w:spacing w:before="0" w:after="80"/>
      </w:pPr>
      <w:r>
        <w:rPr>
          <w:i/>
          <w:sz w:val="20"/>
        </w:rPr>
        <w:t>EN: Stochastic thermodynamics of social imitation beyond energetics</w:t>
      </w:r>
    </w:p>
    <w:p>
      <w:pPr>
        <w:spacing w:before="0" w:after="120"/>
      </w:pPr>
      <w:r>
        <w:rPr>
          <w:b/>
        </w:rPr>
        <w:t xml:space="preserve">Source: </w:t>
      </w:r>
      <w:r>
        <w:t>Scientific community and society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过去几十年随机热力学的发展促进了非平衡关系的发现，完善了我们对小波动系统第二定律及其与信息论的联系的理解。一个基本的悬而未决的问题是，这些强大的工具是否可以阐明复杂系统的其他领域，例如能源在其中不发挥根本作用的社会现象。在这里，我们开发了一个框架，推导出社会系统的第二定律。与兰道尔原理类似，它限制了主体属性（观点、文化特征等）及其信息熵的自发变化。我们用重要的相图来说明这个框架，以玩具代理为基础的社会模仿模型。我们展示了基础结果——涨落定理、动力学和热力学不确定性关系以及类第二定律不等式——如何在这种背景下自然出现，甚至在对称破缺跃迁中也是如此。这些结果揭示了从众行为与反从众行为之间的竞争所产生的舆论潮流的根本权衡。此外，它们提供了推理工具，可以从代理随机变化的观察中提取模型参数。</w:t>
      </w:r>
    </w:p>
    <w:p>
      <w:pPr>
        <w:spacing w:before="0" w:after="200" w:lineRule="auto" w:line="276"/>
      </w:pPr>
      <w:r>
        <w:rPr>
          <w:b/>
        </w:rPr>
        <w:t xml:space="preserve">Abstract (EN): </w:t>
      </w:r>
      <w:r>
        <w:t>The development of stochastic thermodynamics during the last decades prompted the discovery of nonequilibrium relations refining our understanding of the second law in small fluctuating systems and its connection with information theory. A fundamental open question is whether these powerful tools can illuminate other areas of complex systems, such as social phenomena, where energy plays no fundamental role. Here we develop a framework that derives a second law for social systems. Similarly to Landauer’s principle, it constrains spontaneous changes in agent attributes (opinions, cultural traits, etc.) and their informational entropy. We illustrate this framework to toy agent-based models of social imitation with non-trivial phase diagrams. We demonstrate how cornerstone results—fluctuation theorems, kinetic and thermodynamic uncertainty relations, and second-law-like inequalities—emerge naturally in this context, even across symmetry-breaking transitions. These results reveal fundamental trade-offs in opinion currents arising from the competition between herding and anti-conformity. Moreover, they provide inference tools to extract model parameters from observations of stochastic changes in agents.</w:t>
      </w:r>
    </w:p>
    <w:p>
      <w:pPr>
        <w:spacing w:before="120" w:after="120"/>
      </w:pPr>
      <w:r>
        <w:rPr>
          <w:sz w:val="18"/>
        </w:rPr>
        <w:t>——————————————————————————————————————————————————————————————————————</w:t>
      </w:r>
    </w:p>
    <w:p>
      <w:pPr>
        <w:spacing w:before="160" w:after="40" w:line="240" w:lineRule="auto"/>
      </w:pPr>
      <w:r>
        <w:rPr>
          <w:b/>
        </w:rPr>
        <w:t xml:space="preserve">[164] </w:t>
      </w:r>
      <w:hyperlink r:id="rId894">
        <w:r>
          <w:rPr>
            <w:color w:val="1155CC"/>
            <w:u w:val="single"/>
          </w:rPr>
          <w:t>巨噬细胞通过直接脂质转移调节 NK 细胞 IFNγ 的产生</w:t>
        </w:r>
      </w:hyperlink>
    </w:p>
    <w:p>
      <w:pPr>
        <w:spacing w:before="0" w:after="80"/>
      </w:pPr>
      <w:r>
        <w:rPr>
          <w:i/>
          <w:sz w:val="20"/>
        </w:rPr>
        <w:t>EN: Macrophages tune NK cell IFNγ production through direct lipid transfer</w:t>
      </w:r>
    </w:p>
    <w:p>
      <w:pPr>
        <w:spacing w:before="0" w:after="120"/>
      </w:pPr>
      <w:r>
        <w:rPr>
          <w:b/>
        </w:rPr>
        <w:t xml:space="preserve">Source: </w:t>
      </w:r>
      <w:r>
        <w:t>Biological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自然杀伤 (NK) 细胞是先天免疫的关键效应细胞，但其活性受到代谢状态的强烈影响。虽然内在 NK 代谢已被广泛研究，但人们对周围免疫细胞如何影响 NK 细胞功能知之甚少。在这里，我们确定了巨噬细胞和 NK 细胞之间的直接代谢通讯轴。利用共培养和体内模型，我们发现脂多糖刺激的巨噬细胞会诱导 NK 细胞中的脂质积累，从而抑制 mTORC1 活性和 IFNγ 的产生。这种脂质积累表现为 NK 细胞中脂滴含量的增加，由巨噬细胞内合成的脂肪酸产生。遗传和药理学方法表明，脂肪酸从巨噬细胞转移到 NK 细胞需要细胞间接触，并且与通过胞吞作用的 CD36 蛋白转移相关。阻断巨噬细胞中的脂肪酸合成可防止 NK 细胞中的脂质积累，并恢复 mTORC1 活性和 IFNγ 的产生。这些发现定义了一种以前未被认识的巨噬细胞-NK 细胞交叉调节机制，揭示了代谢交换如何限制 NK 效应器功能，并建立了一个对过度炎症和免疫治疗具有影响的反馈回路。</w:t>
      </w:r>
    </w:p>
    <w:p>
      <w:pPr>
        <w:spacing w:before="0" w:after="200" w:lineRule="auto" w:line="276"/>
      </w:pPr>
      <w:r>
        <w:rPr>
          <w:b/>
        </w:rPr>
        <w:t xml:space="preserve">Abstract (EN): </w:t>
      </w:r>
      <w:r>
        <w:t>Natural killer (NK) cells are critical effectors of innate immunity, but their activity is strongly influenced by metabolic state. While intrinsic NK metabolism has been studied extensively, less is known about how surrounding immune cells shape NK cell function. Here, we identify a direct metabolic communication axis between macrophages and NK cells. Using co-culture and in vivo models, we show that lipopolysaccharide-stimulated macrophages induce lipid accumulation in NK cells that suppresses mTORC1 activity and the production of IFNγ. This lipid accumulation is visualised as increased lipid droplets content in NK cells, generated using fatty acids synthesised within the macrophages. Genetic and pharmacological approaches show that fatty acid transfer from macrophages to NK cells requires cell-cell contact and is associated with CD36 protein transfer via trogocytosis. Blocking fatty acid synthesis specifically in macrophages prevents lipid accumulation in NK cells and restores both mTORC1 activity and IFNγ production. These findings define a previously unrecognized mechanism of macrophage-NK cell cross-regulation, revealing how metabolic exchange constrains NK effector function and establishing a feedback circuit with implications for hyperinflammation and immunotherapy.</w:t>
      </w:r>
    </w:p>
    <w:p>
      <w:pPr>
        <w:spacing w:before="120" w:after="120"/>
      </w:pPr>
      <w:r>
        <w:rPr>
          <w:sz w:val="18"/>
        </w:rPr>
        <w:t>——————————————————————————————————————————————————————————————————————</w:t>
      </w:r>
    </w:p>
    <w:p>
      <w:pPr>
        <w:spacing w:before="160" w:after="40" w:line="240" w:lineRule="auto"/>
      </w:pPr>
      <w:r>
        <w:rPr>
          <w:b/>
        </w:rPr>
        <w:t xml:space="preserve">[165] </w:t>
      </w:r>
      <w:hyperlink r:id="rId895">
        <w:r>
          <w:rPr>
            <w:color w:val="1155CC"/>
            <w:u w:val="single"/>
          </w:rPr>
          <w:t>通过同量异位标签和核碱基片段分析的质谱法定量 RNA 修饰图谱</w:t>
        </w:r>
      </w:hyperlink>
    </w:p>
    <w:p>
      <w:pPr>
        <w:spacing w:before="0" w:after="80"/>
      </w:pPr>
      <w:r>
        <w:rPr>
          <w:i/>
          <w:sz w:val="20"/>
        </w:rPr>
        <w:t>EN: Quantitative RNA modification mapping by mass spectrometry with isobaric tags and nucleobase fragment analysis</w:t>
      </w:r>
    </w:p>
    <w:p>
      <w:pPr>
        <w:spacing w:before="0" w:after="120"/>
      </w:pPr>
      <w:r>
        <w:rPr>
          <w:b/>
        </w:rPr>
        <w:t xml:space="preserve">Source: </w:t>
      </w:r>
      <w:r>
        <w:t>Biological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RNA 修饰调节 RNA 稳定性、翻译、应激反应和疾病过程，但由于序列分析的技术限制，它们的功能仍然知之甚少。在这里，我们提出了一种 RNA 特异性同量异位串联质量标记 (RMT) 平台，用于 RNA 修饰的组学规模定量作图。该平台将改编自蛋白质组学的 RNA 特异性标签与涵盖样品制备和数据处理的端到端工作流程相结合。使用合成寡核苷酸和铜绿假单胞菌总 tRNA 进行验证，获得了可重复的定量结果，变异系数低于 5%。结合核碱基片段分析，我们鉴定并定量了 PA14 tRNA 中的 24 个 RNA 修饰，包括之前未描述的 m2A38 和 Gm/Cm39，并指定了它们相应的写入酶。对来自 writer 敲除菌株和应激细胞的 tRNA 的进一步分析揭示了动态修饰模式、修饰相互依赖性及其在应激适应中的潜在作用。该方法为定量 RNA 修饰作图提供了一个强大、经济高效的平台，从而实现更深入的生物学见解。</w:t>
      </w:r>
    </w:p>
    <w:p>
      <w:pPr>
        <w:spacing w:before="0" w:after="200" w:lineRule="auto" w:line="276"/>
      </w:pPr>
      <w:r>
        <w:rPr>
          <w:b/>
        </w:rPr>
        <w:t xml:space="preserve">Abstract (EN): </w:t>
      </w:r>
      <w:r>
        <w:t>RNA modifications regulate RNA stability, translation, stress responses, and disease processes, yet their function remains poorly understood due to technical limitations in sequence analysis. Here, we present an RNA-specific isobaric tandem mass tagging (RMT) platform for omic-scale quantitative mapping of RNA modifications. The platform combines RNA-specific tags adapted from proteomics with an end-to-end workflow spanning sample preparation through data processing. Validation using synthetic oligonucleotides and total tRNA from Pseudomonas aeruginosa yielded reproducible quantification, with coefficients of variation below 5%. Together with nucleobase fragment analysis, we identified and quantified 24 RNA modifications in PA14 tRNAs, including previously undescribed m2A38 and Gm/Cm39, and assigned their corresponding writer enzymes. Further analyses of tRNAs from writer knockout strains and stressed cells revealed dynamic modification patterns, modification interdependencies, and their potential roles in stress adaptation. This method provides a robust, cost-effective platform for quantitative RNA modification mapping, enabling deeper biological insights.</w:t>
      </w:r>
    </w:p>
    <w:p>
      <w:pPr>
        <w:spacing w:before="120" w:after="120"/>
      </w:pPr>
      <w:r>
        <w:rPr>
          <w:sz w:val="18"/>
        </w:rPr>
        <w:t>——————————————————————————————————————————————————————————————————————</w:t>
      </w:r>
    </w:p>
    <w:p>
      <w:pPr>
        <w:spacing w:before="160" w:after="40" w:line="240" w:lineRule="auto"/>
      </w:pPr>
      <w:r>
        <w:rPr>
          <w:b/>
        </w:rPr>
        <w:t xml:space="preserve">[166] </w:t>
      </w:r>
      <w:hyperlink r:id="rId896">
        <w:r>
          <w:rPr>
            <w:color w:val="1155CC"/>
            <w:u w:val="single"/>
          </w:rPr>
          <w:t>扭曲双层石墨烯中整数和分数量子反常霍尔态的原子分辨波函数</w:t>
        </w:r>
      </w:hyperlink>
    </w:p>
    <w:p>
      <w:pPr>
        <w:spacing w:before="0" w:after="80"/>
      </w:pPr>
      <w:r>
        <w:rPr>
          <w:i/>
          <w:sz w:val="20"/>
        </w:rPr>
        <w:t>EN: Atomically resolved wavefunction of integer and fractional quantum anomalous Hall states in twisted bilayer graphene</w:t>
      </w:r>
    </w:p>
    <w:p>
      <w:pPr>
        <w:spacing w:before="0" w:after="120"/>
      </w:pPr>
      <w:r>
        <w:rPr>
          <w:b/>
        </w:rPr>
        <w:t xml:space="preserve">Source: </w:t>
      </w:r>
      <w:r>
        <w:t>Physical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通过堆叠二维晶体形成的莫尔超晶格为探索强相关和拓扑量子现象提供了强大的平台。然而，缺乏微观洞察长期以来阻碍了对其潜在性质和形成机制的全面理解。在这项研究中，我们利用低温、栅极可调扫描隧道显微镜和光谱学来直接可视化六方氮化硼排列的魔角扭曲双层石墨烯中的相关相和拓扑相。在零磁场下，在填充因子 ν = +2 和 + 3 处观察到明确定义的库仑间隙特征，表明两个鲁棒的相关绝缘状态。 ν = +3 态随磁场演化，表明量子反常霍尔 (QAH) 绝缘体的陈数 C = +1。高分辨率成像揭示了 AA 堆叠区域内的亚晶格不对称性，提供了谷极化的直接证据，而其磁滞表明与轨道磁性有关。在更高的场中，出现了一系列额外的陈和部分陈绝缘态，其独特的空间亚晶格不对称模式与所占据的谷密切相关。这些结果建立了莫尔超晶格中亚晶格极化、谷占据和拓扑顺序之间的直接微观相关性，为相关和拓扑基态的波函数提供了新的空间分辨视角。</w:t>
      </w:r>
    </w:p>
    <w:p>
      <w:pPr>
        <w:spacing w:before="0" w:after="200" w:lineRule="auto" w:line="276"/>
      </w:pPr>
      <w:r>
        <w:rPr>
          <w:b/>
        </w:rPr>
        <w:t xml:space="preserve">Abstract (EN): </w:t>
      </w:r>
      <w:r>
        <w:t>Moiré superlattices formed by stacking two-dimensional crystals offer a powerful platform for exploring strongly correlated and topological quantum phenomena. However, the absence of microscopic insights has long hindered a comprehensive understanding of their underlying nature and formation mechanisms. In this study, we utilize low-temperature, gate-tunable scanning tunneling microscopy and spectroscopy to directly visualize correlated and topological phases in hBN-aligned magic-angle twisted bilayer graphene. At zero magnetic field, well-defined Coulomb-gap features are observed at filling factors ν = +2 and + 3, indicative of two robust correlated insulating states. The ν = +3 state evolves with magnetic field, indicating a quantum anomalous Hall (QAH) insulator with Chern number C = +1. High-resolution imaging reveals a sublattice asymmetry within AA-stacked regions, providing direct evidence of valley polarization, while its magnetic hysteresis suggests a connection to orbital magnetism. At higher fields, a sequence of additional Chern and fractional Chern insulating states emerges, with their distinct spatial sublattice asymmetry patterns closely associated with the occupied valley. These results establish a direct microscopic correlation among sublattice polarization, valley occupation, and topological order in the moiré superlattice, offering a new spatially resolved perspective on the wavefunctions of correlated and topological ground states.</w:t>
      </w:r>
    </w:p>
    <w:p>
      <w:pPr>
        <w:spacing w:before="120" w:after="120"/>
      </w:pPr>
      <w:r>
        <w:rPr>
          <w:sz w:val="18"/>
        </w:rPr>
        <w:t>——————————————————————————————————————————————————————————————————————</w:t>
      </w:r>
    </w:p>
    <w:p>
      <w:pPr>
        <w:spacing w:before="160" w:after="40" w:line="240" w:lineRule="auto"/>
      </w:pPr>
      <w:r>
        <w:rPr>
          <w:b/>
        </w:rPr>
        <w:t xml:space="preserve">[167] </w:t>
      </w:r>
      <w:hyperlink r:id="rId897">
        <w:r>
          <w:rPr>
            <w:color w:val="1155CC"/>
            <w:u w:val="single"/>
          </w:rPr>
          <w:t>人类多核苷酸变异的全基因组注释揭示了与单核苷酸变异的广泛功能差异</w:t>
        </w:r>
      </w:hyperlink>
    </w:p>
    <w:p>
      <w:pPr>
        <w:spacing w:before="0" w:after="80"/>
      </w:pPr>
      <w:r>
        <w:rPr>
          <w:i/>
          <w:sz w:val="20"/>
        </w:rPr>
        <w:t>EN: Genome-wide annotation of human multi-nucleotide variants reveals widespread functional differences from single nucleotide variants</w:t>
      </w:r>
    </w:p>
    <w:p>
      <w:pPr>
        <w:spacing w:before="0" w:after="120"/>
      </w:pPr>
      <w:r>
        <w:rPr>
          <w:b/>
        </w:rPr>
        <w:t xml:space="preserve">Source: </w:t>
      </w:r>
      <w:r>
        <w:t>Biological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多核苷酸变异（MNV）代表了遗传变异的一个重要但尚未得到充分研究的类别。尽管之前的研究强调了 MNV 在人群中的普遍性和潜在的生物学影响，但 MNV 的全面识别和详细功能注释仍然具有挑战性。在这里，我们开发了 MNVAnno，一个用于快速识别和注释复杂 MNV 的工具箱，并利用它从 700,134 个人类样本中识别出 3,984,258 个 MNV，将人类 MNV 列表扩展到 8,199,654 个。我们的分析表明，MNV 不仅可以导致其组成的单核苷酸变体发生明显的氨基酸变化，而且还可以显着影响非编码区的功能。此外，通过全基因组关联研究，我们识别了一些与多种癌症相关的MNV，并建立了人类MNV数据库以促进MNV研究。我们的研究强调了 MNV 注释的重要性，拓宽了人类 MNV 景观，并为探索表型和疾病的遗传变异开辟了途径。</w:t>
      </w:r>
    </w:p>
    <w:p>
      <w:pPr>
        <w:spacing w:before="0" w:after="200" w:lineRule="auto" w:line="276"/>
      </w:pPr>
      <w:r>
        <w:rPr>
          <w:b/>
        </w:rPr>
        <w:t xml:space="preserve">Abstract (EN): </w:t>
      </w:r>
      <w:r>
        <w:t>Multi-nucleotide variants (MNVs) represent a crucial yet underexplored category of genetic variation. Despite previous studies highlighting the prevalence and potential biological impact of MNVs in populations, comprehensive identification and detailed functional annotation of MNVs remain challenging. Here, we develop MNVAnno, a toolbox for rapid identification and annotation of complex MNVs, and utilize it to identify 3,984,258 MNVs from 700,134 human samples, expanding the human MNV list to 8,199,654. Our analysis reveals that MNVs can not only lead to distinct amino acid changes from their constituent single-nucleotide variants, but also significantly impact the function of non-coding regions. Furthermore, through genome-wide association studies, we identify some MNVs associated with multiple cancers, and establish the Human MNV Database to facilitate MNV research. Our study emphasizes the importance of MNV annotation, broadens the human MNV landscape, and opens avenues for exploring genetic variation in phenotypes and diseases.</w:t>
      </w:r>
    </w:p>
    <w:p>
      <w:pPr>
        <w:spacing w:before="120" w:after="120"/>
      </w:pPr>
      <w:r>
        <w:rPr>
          <w:sz w:val="18"/>
        </w:rPr>
        <w:t>——————————————————————————————————————————————————————————————————————</w:t>
      </w:r>
    </w:p>
    <w:p>
      <w:pPr>
        <w:spacing w:before="160" w:after="40" w:line="240" w:lineRule="auto"/>
      </w:pPr>
      <w:r>
        <w:rPr>
          <w:b/>
        </w:rPr>
        <w:t xml:space="preserve">[168] </w:t>
      </w:r>
      <w:hyperlink r:id="rId898">
        <w:r>
          <w:rPr>
            <w:color w:val="1155CC"/>
            <w:u w:val="single"/>
          </w:rPr>
          <w:t>产前 PM2.5 暴露促进与特应性皮炎相关的胎儿巨噬细胞的表观遗传重编程</w:t>
        </w:r>
      </w:hyperlink>
    </w:p>
    <w:p>
      <w:pPr>
        <w:spacing w:before="0" w:after="80"/>
      </w:pPr>
      <w:r>
        <w:rPr>
          <w:i/>
          <w:sz w:val="20"/>
        </w:rPr>
        <w:t>EN: Prenatal PM2.5 exposure drives epigenetic reprogramming of fetal macrophages linked to atopic dermatitis</w:t>
      </w:r>
    </w:p>
    <w:p>
      <w:pPr>
        <w:spacing w:before="0" w:after="120"/>
      </w:pPr>
      <w:r>
        <w:rPr>
          <w:b/>
        </w:rPr>
        <w:t xml:space="preserve">Source: </w:t>
      </w:r>
      <w:r>
        <w:t>Biological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人们越来越多地认识到产前环境暴露是导致特应性皮炎（AD）的原因，但其潜在机制仍不清楚。细颗粒物 (PM2.5) 是一种空气污染物的复杂混合物，与过敏性疾病的风险升高有关，特别是在早期发育期间。在此，我们表明，妊娠早期 PM2.5 暴露与幼儿期 AD 风险增加相关，并会诱导胎盘表观遗传改变。综合多组学分析（包括单细胞方法）揭示了胎儿巨噬细胞中 FCER1G 的低甲基化，导致其持续过度表达。这种转录程序在整个发育阶段持续存在，并在 AD 皮肤和外周血的 M2 巨噬细胞中重新出现。功能分析表明 FCER1G 相关网络促进 NADPH 氧化酶介导的活性氧信号传导和 Th2 相关炎症通路。这些研究结果表明，产前 PM2.5 暴露会引起免疫细胞持久的表观遗传变化，使个体容易发生导致 AD 发病机制的炎症反应，并强调生命早期环境暴露是预防和干预的潜在目标。</w:t>
      </w:r>
    </w:p>
    <w:p>
      <w:pPr>
        <w:spacing w:before="0" w:after="200" w:lineRule="auto" w:line="276"/>
      </w:pPr>
      <w:r>
        <w:rPr>
          <w:b/>
        </w:rPr>
        <w:t xml:space="preserve">Abstract (EN): </w:t>
      </w:r>
      <w:r>
        <w:t>Prenatal environmental exposures are increasingly recognized as contributors to atopic dermatitis (AD), yet the underlying mechanisms remain unclear. Fine particulate matter (PM2.5), a complex mixture of airborne pollutants, has been associated with elevated risk of allergic diseases, particularly during early development. Here we show that first-trimester PM2.5 exposure is associated with an increased risk of AD in early childhood and induces epigenetic alteration in the placenta. Integrative multi-omics analyses, including single-cell approaches, reveal hypomethylation of FCER1G in fetal macrophages, leading to its sustained overexpression. This transcriptional program persists across developmental stages and re-emerges in M2 macrophages in AD skin and peripheral blood. Functional analyses demonstrate that FCER1G-associated networks promote NADPH oxidase–mediated reactive oxygen species signaling and Th2-related inflammatory pathways. These findings suggest that prenatal PM2.5 exposure induces durable epigenetic changes in immune cells, predisposing individuals to inflammatory responses that contribute to AD pathogenesis, and highlight early-life environmental exposure as a potential target for prevention and intervention.</w:t>
      </w:r>
    </w:p>
    <w:p>
      <w:pPr>
        <w:spacing w:before="120" w:after="120"/>
      </w:pPr>
      <w:r>
        <w:rPr>
          <w:sz w:val="18"/>
        </w:rPr>
        <w:t>——————————————————————————————————————————————————————————————————————</w:t>
      </w:r>
    </w:p>
    <w:p>
      <w:pPr>
        <w:spacing w:before="160" w:after="40" w:line="240" w:lineRule="auto"/>
      </w:pPr>
      <w:r>
        <w:rPr>
          <w:b/>
        </w:rPr>
        <w:t xml:space="preserve">[169] </w:t>
      </w:r>
      <w:hyperlink r:id="rId899">
        <w:r>
          <w:rPr>
            <w:color w:val="1155CC"/>
            <w:u w:val="single"/>
          </w:rPr>
          <w:t>人类对概率分布的学习偏向于中等结构复杂性</w:t>
        </w:r>
      </w:hyperlink>
    </w:p>
    <w:p>
      <w:pPr>
        <w:spacing w:before="0" w:after="80"/>
      </w:pPr>
      <w:r>
        <w:rPr>
          <w:i/>
          <w:sz w:val="20"/>
        </w:rPr>
        <w:t>EN: Human learning of probability distributions is biased toward moderate structural complexity</w:t>
      </w:r>
    </w:p>
    <w:p>
      <w:pPr>
        <w:spacing w:before="0" w:after="120"/>
      </w:pPr>
      <w:r>
        <w:rPr>
          <w:b/>
        </w:rPr>
        <w:t xml:space="preserve">Source: </w:t>
      </w:r>
      <w:r>
        <w:t>Biological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推断隐藏的环境结构通常涉及从有限的样本中学习任意概率分布，这对于跨不同认知领域的最佳和适应性行为至关重要。然而，人们仍然很大程度上不知道人类构建的内部表征如何偏离实际的概率结构，以及在固有的认知限制下运行的哪些计算过程产生了这些表征。我们首先开发一个结构化的分布报告任务来揭示人类参与者的内部表征，并在进一步的分布识别任务中验证结果。在两种模式的八项行为实验（包括一项预先注册的研究）中，参与者相当好地估计了整体概率密度，但表现出对中等结构复杂性的系统性偏见，当真实分布是单一高斯分布时报告太多集群，而当真实分布包含许多集群时报告太少。然后，我们在适合我们的行为数据的近似贝叶斯推理框架中构建了一系列学习模型。通过模型比较，我们重建了指导参与者内部表征演变的先验信念。随着复杂性的增加，最适合人类报告的模型会降低结构增长率，从而有效地将内部表示的复杂性限制在内存限制内。</w:t>
      </w:r>
    </w:p>
    <w:p>
      <w:pPr>
        <w:spacing w:before="0" w:after="200" w:lineRule="auto" w:line="276"/>
      </w:pPr>
      <w:r>
        <w:rPr>
          <w:b/>
        </w:rPr>
        <w:t xml:space="preserve">Abstract (EN): </w:t>
      </w:r>
      <w:r>
        <w:t>Inferring hidden environmental structures, which commonly involves learning arbitrary probability distributions from limited samples, is essential to optimal and adaptive behaviors across various cognitive domains. However, it remains largely unknown how the internal representations constructed by humans may deviate from actual probabilistic structures, and what computational processes, operated under inherent cognitive limitations, give rise to these representations. We first develop a structured distribution report task to reveal human participants’ internal representations, with findings verified in a further distribution recognition task. Across eight behavioral experiments (including one pre-registered study) in two modalities, participants estimate the overall probability density reasonably well, but exhibit a systematic bias toward moderate structural complexity, reporting too many clusters when the true distribution is a single Gaussian and too few when it contains many clusters. We then build a series of learning models in the framework of approximate Bayesian inference fit to our behavioral data. Through model comparisons, we reconstruct the prior beliefs guiding the evolution of participants’ internal representations. The best-fitting model for human reports reduces structure growth rate as complexity increases, effectively constraining the complexity of internal representations within memory limitations.</w:t>
      </w:r>
    </w:p>
    <w:p>
      <w:pPr>
        <w:spacing w:before="120" w:after="120"/>
      </w:pPr>
      <w:r>
        <w:rPr>
          <w:sz w:val="18"/>
        </w:rPr>
        <w:t>——————————————————————————————————————————————————————————————————————</w:t>
      </w:r>
    </w:p>
    <w:p>
      <w:pPr>
        <w:spacing w:before="160" w:after="40" w:line="240" w:lineRule="auto"/>
      </w:pPr>
      <w:r>
        <w:rPr>
          <w:b/>
        </w:rPr>
        <w:t xml:space="preserve">[170] </w:t>
      </w:r>
      <w:hyperlink r:id="rId900">
        <w:r>
          <w:rPr>
            <w:color w:val="1155CC"/>
            <w:u w:val="single"/>
          </w:rPr>
          <w:t>用工程纳米囊泡靶向 m6A writer METTL3 可减少体外和体内的神经炎症</w:t>
        </w:r>
      </w:hyperlink>
    </w:p>
    <w:p>
      <w:pPr>
        <w:spacing w:before="0" w:after="80"/>
      </w:pPr>
      <w:r>
        <w:rPr>
          <w:i/>
          <w:sz w:val="20"/>
        </w:rPr>
        <w:t>EN: Targeting m6A writer METTL3 with engineered nanovesicles reduces neuroinflammation in vitro and in vivo</w:t>
      </w:r>
    </w:p>
    <w:p>
      <w:pPr>
        <w:spacing w:before="0" w:after="120"/>
      </w:pPr>
      <w:r>
        <w:rPr>
          <w:b/>
        </w:rPr>
        <w:t xml:space="preserve">Source: </w:t>
      </w:r>
      <w:r>
        <w:t>Physical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表观遗传编辑，特别是 N6-甲基腺苷 (m6A) 修饰，通过沉默基因而不改变 DNA 序列，代表了一种有前途的治疗策略。然而，神经炎症的体内表观遗传干预仍然具有挑战性，并且很少被探索。在这里，我们开发了一种混合表观遗传纳米调节剂 siMETTL3-hNVs，通过将天然小胶质细胞衍生的纳米囊泡 (NVs) 与预加载针对 m6A writer 甲基转移酶样 3 (METTL3) 的小干扰 RNA 的合成脂质体整合。天然 NV 使 siMETTL3-hNV 能够通过 CCR2-CCL2 趋化性和小凹介导的跨血脑屏障转胞吞作用实现炎症脑递送。更重要的是，siMETTL3-hNVs 依靠 NV 上丰富的细胞因子受体，作为诱饵来中和促炎细胞因子，与 METTL3 的细胞内沉默协同作用，驱动小胶质细胞 M2 复极化。在急性神经炎症和辐射引起的脑损伤的雌性小鼠模型中，siMETTL3-hNVs 治疗显着降低了细胞因子水平，减轻了海马损伤并改善了认知缺陷。这项工作克服了基于 m6A 的疗法中的关键传递瓶颈，并为神经炎症的表观遗传重编程建立了强有力的策略。</w:t>
      </w:r>
    </w:p>
    <w:p>
      <w:pPr>
        <w:spacing w:before="0" w:after="200" w:lineRule="auto" w:line="276"/>
      </w:pPr>
      <w:r>
        <w:rPr>
          <w:b/>
        </w:rPr>
        <w:t xml:space="preserve">Abstract (EN): </w:t>
      </w:r>
      <w:r>
        <w:t>Epigenetic editing, particularly N6-methyladenosine (m6A) modification, represents a promising therapeutic strategy by silencing genes without altering DNA sequence. However, in vivo epigenetic intervention of neuroinflammation remains challenging and has rarely been explored. Here we developed a hybrid epigenetic nanomodulator, siMETTL3-hNVs, by integrating natural microglia-derived nanovesicles (NVs) with synthetic liposomes pre-loading small interfering RNA targeting the m6A writer methyltransferase-like 3 (METTL3). Natural NVs enabled siMETTL3-hNVs to achieve inflamed-brain delivery through CCR2-CCL2 chemotaxis and caveolae-mediated transcytosis across the blood-brain barrier. More importantly, relying on abundant cytokine receptors on the NVs, siMETTL3-hNVs served as decoys to neutralize pro-inflammatory cytokines, synergizing with the intracellular silencing of METTL3 to drive microglial M2 repolarization. In female mouse models of acute neuroinflammation and radiation-induced brain injury, siMETTL3-hNVs treatment significantly reduced cytokine levels, attenuated hippocampal damage, and ameliorated cognitive deficits. This work overcomes critical delivery bottlenecks in m6A-based therapeutics and establishes a robust strategy for epigenetic reprogramming of neuroinflammation.</w:t>
      </w:r>
    </w:p>
    <w:p>
      <w:pPr>
        <w:spacing w:before="120" w:after="120"/>
      </w:pPr>
      <w:r>
        <w:rPr>
          <w:sz w:val="18"/>
        </w:rPr>
        <w:t>——————————————————————————————————————————————————————————————————————</w:t>
      </w:r>
    </w:p>
    <w:p>
      <w:pPr>
        <w:spacing w:before="160" w:after="40" w:line="240" w:lineRule="auto"/>
      </w:pPr>
      <w:r>
        <w:rPr>
          <w:b/>
        </w:rPr>
        <w:t xml:space="preserve">[171] </w:t>
      </w:r>
      <w:hyperlink r:id="rId901">
        <w:r>
          <w:rPr>
            <w:color w:val="1155CC"/>
            <w:u w:val="single"/>
          </w:rPr>
          <w:t>CO 氧化过程中 Pt 纳米颗粒的 TiO2 面依赖性重建</w:t>
        </w:r>
      </w:hyperlink>
    </w:p>
    <w:p>
      <w:pPr>
        <w:spacing w:before="0" w:after="80"/>
      </w:pPr>
      <w:r>
        <w:rPr>
          <w:i/>
          <w:sz w:val="20"/>
        </w:rPr>
        <w:t>EN: TiO2-facet-dependent reconstruction of Pt nanoparticles during CO oxidation</w:t>
      </w:r>
    </w:p>
    <w:p>
      <w:pPr>
        <w:spacing w:before="0" w:after="120"/>
      </w:pPr>
      <w:r>
        <w:rPr>
          <w:b/>
        </w:rPr>
        <w:t xml:space="preserve">Source: </w:t>
      </w:r>
      <w:r>
        <w:t>Physical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可还原氧化物载体的面工程是调节金属-载体相互作用的强大策略。我们表明，这种晶面依赖性超出了固有的支撑特性，可以控制 CO 氧化过程中支撑的 Pt 纳米颗粒的初始形态和反应诱导的重组行为。对于锐钛矿型 TiO2 上的约 1.8 nm Pt 纳米颗粒，显微镜和光谱表明 (001) 面稳定了润湿的 Pt 结构，并扩大了界面接触，而 (101) 面则有利于界面有限的致密立方八面体纳米颗粒。基于遗传算法和图神经网络的模拟再现了这些依赖于面的结构，并支持 CO 氧化下的不同重组。 DFT 计算支持整个 MvK 途径中 (001) 面上的轻松氧活化，而反应级分析和催化循环测试表明，反应演化的 Pt-TiO2(001) 界面与氧空位协同耦合，以实现有效的氧补充，在初始运行后进一步将活化势垒降低约 25%。这项工作将支撑面确定为控制催化性能的动态金属-支撑界面的调节器。</w:t>
      </w:r>
    </w:p>
    <w:p>
      <w:pPr>
        <w:spacing w:before="0" w:after="200" w:lineRule="auto" w:line="276"/>
      </w:pPr>
      <w:r>
        <w:rPr>
          <w:b/>
        </w:rPr>
        <w:t xml:space="preserve">Abstract (EN): </w:t>
      </w:r>
      <w:r>
        <w:t>Facet engineering of reducible oxide supports is a powerful strategy for tuning metal–support interactions. We show that this facet dependence extends beyond intrinsic support properties to govern the initial morphology and reaction-induced restructuring behaviour of supported Pt nanoparticles during CO oxidation. For ~1.8 nm Pt nanoparticles on anatase TiO2, microscopy and spectroscopy show that the (001) facet stabilises a wetted Pt structure with expanded interfacial contact, whereas the (101) facet favours compact cuboctahedral nanoparticles with limited interface. Genetic algorithm and graph neural network-based simulations reproduce these facet-dependent structures and support distinct restructuring under CO oxidation. DFT calculations support facile oxygen activation on the (001) facet throughout the MvK pathway, while reaction-order analysis and catalytic cycle tests indicate that the reaction-evolved Pt–TiO2(001) interface synergistically couples with oxygen vacancies to enable efficient oxygen replenishment, further lowering the activation barrier by ~25% after the initial run. This work identifies support facets as regulators of dynamic metal–support interfaces governing catalytic performance.</w:t>
      </w:r>
    </w:p>
    <w:p>
      <w:pPr>
        <w:spacing w:before="120" w:after="120"/>
      </w:pPr>
      <w:r>
        <w:rPr>
          <w:sz w:val="18"/>
        </w:rPr>
        <w:t>——————————————————————————————————————————————————————————————————————</w:t>
      </w:r>
    </w:p>
    <w:p>
      <w:pPr>
        <w:spacing w:before="160" w:after="40" w:line="240" w:lineRule="auto"/>
      </w:pPr>
      <w:r>
        <w:rPr>
          <w:b/>
        </w:rPr>
        <w:t xml:space="preserve">[172] </w:t>
      </w:r>
      <w:hyperlink r:id="rId902">
        <w:r>
          <w:rPr>
            <w:color w:val="1155CC"/>
            <w:u w:val="single"/>
          </w:rPr>
          <w:t>NAT10 的 RNA 解旋酶结构域促进低修饰核糖体的生物发生，从而增强癌细胞增殖</w:t>
        </w:r>
      </w:hyperlink>
    </w:p>
    <w:p>
      <w:pPr>
        <w:spacing w:before="0" w:after="80"/>
      </w:pPr>
      <w:r>
        <w:rPr>
          <w:i/>
          <w:sz w:val="20"/>
        </w:rPr>
        <w:t>EN: The RNA helicase domain of NAT10 promotes the biogenesis of hypomodified ribosomes to enhance cancer cell proliferation</w:t>
      </w:r>
    </w:p>
    <w:p>
      <w:pPr>
        <w:spacing w:before="0" w:after="120"/>
      </w:pPr>
      <w:r>
        <w:rPr>
          <w:b/>
        </w:rPr>
        <w:t xml:space="preserve">Source: </w:t>
      </w:r>
      <w:r>
        <w:t>Biological sciences : Nature Communications subject feeds</w:t>
      </w:r>
      <w:r>
        <w:t xml:space="preserve">    </w:t>
      </w:r>
      <w:r>
        <w:rPr>
          <w:b/>
        </w:rPr>
        <w:t xml:space="preserve">Pub date: </w:t>
      </w:r>
      <w:r>
        <w:t>2026-08-08 00:00:00+00:00</w:t>
      </w:r>
    </w:p>
    <w:p>
      <w:pPr>
        <w:spacing w:before="0" w:after="120"/>
      </w:pPr>
      <w:r>
        <w:rPr>
          <w:b/>
        </w:rPr>
        <w:t xml:space="preserve">Notes: </w:t>
      </w:r>
      <w:r>
        <w:t>abstract_source=nature_html</w:t>
      </w:r>
    </w:p>
    <w:p>
      <w:pPr>
        <w:spacing w:before="0" w:after="80" w:lineRule="auto" w:line="276"/>
      </w:pPr>
      <w:r>
        <w:rPr>
          <w:b/>
        </w:rPr>
        <w:t xml:space="preserve">摘要（ZH）: </w:t>
      </w:r>
      <w:r>
        <w:t>N-乙酰转移酶 10 (NAT10) 是一种多功能酶，含有 RNA 乙酰转移酶和 RNA 解旋酶结构域，已成为实体瘤和血液恶性肿瘤的治疗脆弱性。通过将靶向嵌合体介导的 NAT10 蛋白水解酶降解与深度突变扫描测定相结合，然后在生化测定、人类细胞系和雌性小鼠异种移植物中进行验证，我们发现 NAT10 的 RNA 解旋酶结构域可增强癌细胞增殖和肿瘤生长。 NAT10 的这种增殖功能不依赖于 RNA 乙酰化，但需要其 RNA 结合活性。 NAT10 的 RNA 解旋酶结构域是 18S rRNA 结合所必需的，促进 ​​40S 核糖体亚基的生物发生，同时干扰保守的 18S rRNA 修饰 m1acp3Ψ 的沉积。 18S rRNA 中 m1acp3Ψ 的缺失会增强癌细胞增殖，表明 NAT10 促进低修饰核糖体的生物发生，从而促进肿瘤生长。这些发现揭示了 NAT10 促进癌细胞增殖的机制，并将其 RNA 解旋酶结构域确立为潜在的治疗靶点。</w:t>
      </w:r>
    </w:p>
    <w:p>
      <w:pPr>
        <w:spacing w:before="0" w:after="200" w:lineRule="auto" w:line="276"/>
      </w:pPr>
      <w:r>
        <w:rPr>
          <w:b/>
        </w:rPr>
        <w:t xml:space="preserve">Abstract (EN): </w:t>
      </w:r>
      <w:r>
        <w:t>N-acetyltransferase 10 (NAT10) is a multifunctional enzyme that harbors RNA acetyltransferase and RNA helicase domains and has emerged as a therapeutic vulnerability in solid and hematological malignancies. By coupling Proteolysis Targeting Chimera-mediated degradation of NAT10 with a deep mutational scanning assay, followed by validations in biochemical assays, human cell lines, and female mouse xenografts, we find that the RNA helicase domain of NAT10 enhances cancer cell proliferation and tumor growth. This proliferative function of NAT10 is independent of RNA acetylation but requires its RNA-binding activity. The RNA helicase domain of NAT10 is required for 18S rRNA binding, promoting biogenesis of the 40S ribosomal subunit, while simultaneously interfering with the deposition of the conserved 18S rRNA modification m¹acp³Ψ. Loss of m¹acp³Ψ in 18S rRNA enhances cancer cell proliferation, revealing that NAT10 promotes the biogenesis of hypomodified ribosomes to facilitate tumor growth. These findings uncover a mechanism by which NAT10 promotes cancer cell proliferation and establish its RNA helicase domain as a potential therapeutic target.</w:t>
      </w:r>
    </w:p>
    <w:p>
      <w:pPr>
        <w:spacing w:before="120" w:after="120"/>
      </w:pPr>
      <w:r>
        <w:rPr>
          <w:sz w:val="18"/>
        </w:rPr>
        <w:t>——————————————————————————————————————————————————————————————————————</w:t>
      </w:r>
    </w:p>
    <w:p>
      <w:pPr>
        <w:spacing w:before="160" w:after="40" w:line="240" w:lineRule="auto"/>
      </w:pPr>
      <w:r>
        <w:rPr>
          <w:b/>
        </w:rPr>
        <w:t xml:space="preserve">[173] </w:t>
      </w:r>
      <w:hyperlink r:id="rId903">
        <w:r>
          <w:rPr>
            <w:color w:val="1155CC"/>
            <w:u w:val="single"/>
          </w:rPr>
          <w:t>巨型菱方八面体 CsPbI3 纳米晶体的单光子超辐射</w:t>
        </w:r>
      </w:hyperlink>
    </w:p>
    <w:p>
      <w:pPr>
        <w:spacing w:before="0" w:after="80"/>
      </w:pPr>
      <w:r>
        <w:rPr>
          <w:i/>
          <w:sz w:val="20"/>
        </w:rPr>
        <w:t>EN: Single‐Photon Superradiance in Giant Rhombicuboctahedral CsPbI3 Nanocrystals</w:t>
      </w:r>
    </w:p>
    <w:p>
      <w:pPr>
        <w:spacing w:before="0" w:after="120"/>
      </w:pPr>
      <w:r>
        <w:rPr>
          <w:b/>
        </w:rPr>
        <w:t xml:space="preserve">Source: </w:t>
      </w:r>
      <w:r>
        <w:t>Wiley: Advanced Materials: Table of Contents</w:t>
      </w:r>
      <w:r>
        <w:t xml:space="preserve">    </w:t>
      </w:r>
      <w:r>
        <w:rPr>
          <w:b/>
        </w:rPr>
        <w:t xml:space="preserve">Pub date: </w:t>
      </w:r>
      <w:r>
        <w:t>2026-08-08 09:07:17+00:00</w:t>
      </w:r>
      <w:r>
        <w:t xml:space="preserve">    </w:t>
      </w:r>
      <w:r>
        <w:rPr>
          <w:b/>
        </w:rPr>
        <w:t xml:space="preserve">DOI: </w:t>
      </w:r>
      <w:hyperlink r:id="rId904">
        <w:r>
          <w:rPr>
            <w:color w:val="1155CC"/>
            <w:u w:val="single"/>
          </w:rPr>
          <w:t>10.1002/adma.74549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增加卤化物钙钛矿纳米晶体（NC）的体积通常伴随着较低的光致发光量子产率（PLQY）。在这里，我们用巨型（25 nm）菱方八面体 CsPbI 克服了这种权衡</w:t>
      </w:r>
      <w:r>
        <w:rPr>
          <w:vertAlign w:val="subscript"/>
        </w:rPr>
        <w:t>3</w:t>
      </w:r>
      <w:r>
        <w:t>保持 87% 优异 PLQY 的 NC。它们独特的尺寸和形态是通过使用苯甲酰碘作为新型前体诱导的，随后通过 X 射线衍射和透射电子显微镜进行表征。在这些巨型NC中，非辐射俄歇过程被抑制，产生了55%的高双激子PLQY，同时使用时间选通方法实现了高达95%的单光子纯度。受益于其体积的扩大，这些 NC 实现了 5.3 × 10 的最大吸收截面之一</w:t>
      </w:r>
      <w:r>
        <w:t xml:space="preserve"> </w:t>
      </w:r>
      <w:r>
        <w:t>−13</w:t>
      </w:r>
      <w:r>
        <w:t xml:space="preserve"> </w:t>
      </w:r>
      <w:r>
        <w:t>厘米</w:t>
      </w:r>
      <w:r>
        <w:rPr>
          <w:vertAlign w:val="subscript"/>
        </w:rPr>
        <w:t>2</w:t>
      </w:r>
      <w:r>
        <w:t>，以及可调谐到近红外区域（&gt;700 nm）的发射和 465 ns 的延长室温寿命——比传统的 NC 长了近一个数量级。相比之下，在低温下，这些扩大的 NC 表现出窄且超快的发射（</w:t>
      </w:r>
      <w:r>
        <w:t xml:space="preserve"> </w:t>
      </w:r>
      <w:r>
        <w:t>τ</w:t>
      </w:r>
      <w:r>
        <w:t xml:space="preserve"> </w:t>
      </w:r>
      <w:r>
        <w:t>= 467 ps）是由单个NC内偶极子的相干耦合产生的，这会产生巨大的振荡器强度并导致单光子超辐射。这些结果定位了独特的菱方八面体巨型 CsPbI</w:t>
      </w:r>
      <w:r>
        <w:rPr>
          <w:vertAlign w:val="subscript"/>
        </w:rPr>
        <w:t>3</w:t>
      </w:r>
      <w:r>
        <w:t>NC作为新型近红外发射器和高前景的候选者</w:t>
      </w:r>
    </w:p>
    <w:p>
      <w:pPr>
        <w:spacing w:before="0" w:after="200" w:lineRule="auto" w:line="276"/>
      </w:pPr>
      <w:r>
        <w:rPr>
          <w:b/>
        </w:rPr>
        <w:t xml:space="preserve">Abstract (EN): </w:t>
      </w:r>
      <w:r>
        <w:t>Increasing the volume of halide perovskite nanocrystals (NCs) is generally accompanied by lower photoluminescence quantum yield (PLQY). Here, we overcame this trade‐off with giant (25 nm) rhombicuboctahedral CsPbI</w:t>
      </w:r>
      <w:r>
        <w:rPr>
          <w:vertAlign w:val="subscript"/>
        </w:rPr>
        <w:t>3</w:t>
      </w:r>
      <w:r>
        <w:t>NCs that retain an exceptional PLQY of 87%. Their distinct size and morphology were induced by using phenacyl iodide as a novel precursor and subsequently characterized by x‐ray diffraction and transmission electron microscopy. In these giant NCs, the non‐radiative Auger process is suppressed, giving rise to a high biexciton PLQY of 55%, while a high single‐photon purity up to 95% was achieved using a time‐gating method. Benefiting from their enlarged volume, these NCs achieve one of the largest reported absorption cross‐sections of 5.3 × 10</w:t>
      </w:r>
      <w:r>
        <w:t xml:space="preserve"> </w:t>
      </w:r>
      <w:r>
        <w:t>−13</w:t>
      </w:r>
      <w:r>
        <w:t xml:space="preserve"> </w:t>
      </w:r>
      <w:r>
        <w:t>cm</w:t>
      </w:r>
      <w:r>
        <w:rPr>
          <w:vertAlign w:val="subscript"/>
        </w:rPr>
        <w:t>2</w:t>
      </w:r>
      <w:r>
        <w:t>, along with emission tunable to the near‐infrared region (&amp;gt;700 nm) and a prolonged room‐temperature lifetime of 465 ns—nearly an order of magnitude longer than conventional NCs. In contrast, at cryogenic temperatures, these enlarged NCs exhibit narrow and ultrafast emission (</w:t>
      </w:r>
      <w:r>
        <w:t xml:space="preserve"> </w:t>
      </w:r>
      <w:r>
        <w:t>τ</w:t>
      </w:r>
      <w:r>
        <w:t xml:space="preserve"> </w:t>
      </w:r>
      <w:r>
        <w:t>= 467 ps) arising from the coherent coupling of dipoles within a single NC, which induces a giant oscillator strength and leads to single‐photon superradiance. These results position the unique rhombicuboctahedral, giant CsPbI</w:t>
      </w:r>
      <w:r>
        <w:rPr>
          <w:vertAlign w:val="subscript"/>
        </w:rPr>
        <w:t>3</w:t>
      </w:r>
      <w:r>
        <w:t>NCs as novel near‐infrared emitters and promising candidates for high‐speed quantum photon sources.</w:t>
      </w:r>
    </w:p>
    <w:p>
      <w:pPr>
        <w:spacing w:before="120" w:after="120"/>
      </w:pPr>
      <w:r>
        <w:rPr>
          <w:sz w:val="18"/>
        </w:rPr>
        <w:t>——————————————————————————————————————————————————————————————————————</w:t>
      </w:r>
    </w:p>
    <w:p>
      <w:pPr>
        <w:spacing w:before="160" w:after="40" w:line="240" w:lineRule="auto"/>
      </w:pPr>
      <w:r>
        <w:rPr>
          <w:b/>
        </w:rPr>
        <w:t xml:space="preserve">[174] </w:t>
      </w:r>
      <w:hyperlink r:id="rId905">
        <w:r>
          <w:rPr>
            <w:color w:val="1155CC"/>
            <w:u w:val="single"/>
          </w:rPr>
          <w:t>原子级精确的 Pt3Cu2 簇通过定向琥珀酸盐降解恢复能量代谢</w:t>
        </w:r>
      </w:hyperlink>
    </w:p>
    <w:p>
      <w:pPr>
        <w:spacing w:before="0" w:after="80"/>
      </w:pPr>
      <w:r>
        <w:rPr>
          <w:i/>
          <w:sz w:val="20"/>
        </w:rPr>
        <w:t>EN: Atomically Precise Pt3Cu2 Clusters Restore Energy Metabolism via Targeted Succinate Degradation</w:t>
      </w:r>
    </w:p>
    <w:p>
      <w:pPr>
        <w:spacing w:before="0" w:after="120"/>
      </w:pPr>
      <w:r>
        <w:rPr>
          <w:b/>
        </w:rPr>
        <w:t xml:space="preserve">Source: </w:t>
      </w:r>
      <w:r>
        <w:t>Wiley: Advanced Materials: Table of Contents</w:t>
      </w:r>
      <w:r>
        <w:t xml:space="preserve">    </w:t>
      </w:r>
      <w:r>
        <w:rPr>
          <w:b/>
        </w:rPr>
        <w:t xml:space="preserve">Pub date: </w:t>
      </w:r>
      <w:r>
        <w:t>2026-08-08 09:08:45+00:00</w:t>
      </w:r>
      <w:r>
        <w:t xml:space="preserve">    </w:t>
      </w:r>
      <w:r>
        <w:rPr>
          <w:b/>
        </w:rPr>
        <w:t xml:space="preserve">DOI: </w:t>
      </w:r>
      <w:hyperlink r:id="rId906">
        <w:r>
          <w:rPr>
            <w:color w:val="1155CC"/>
            <w:u w:val="single"/>
          </w:rPr>
          <w:t>10.1002/adma.74550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琥珀酸是三羧酸循环的关键中间体，其异常积累会破坏能量稳态并引发主要代谢器官的全身炎症损伤。因此，以琥珀酸为目标代表了重建代谢平衡的关键策略。在这里，通过仿生电子结构工程，我们报告了原子级精确的 Pt</w:t>
      </w:r>
      <w:r>
        <w:rPr>
          <w:vertAlign w:val="subscript"/>
        </w:rPr>
        <w:t>3</w:t>
      </w:r>
      <w:r>
        <w:t>铜</w:t>
      </w:r>
      <w:r>
        <w:rPr>
          <w:vertAlign w:val="subscript"/>
        </w:rPr>
        <w:t>2</w:t>
      </w:r>
      <w:r>
        <w:t>具有内在琥珀酸脱氢酶（SDH）模拟活性的簇，可催化琥珀酸氧化以恢复能量代谢。铂</w:t>
      </w:r>
      <w:r>
        <w:rPr>
          <w:vertAlign w:val="subscript"/>
        </w:rPr>
        <w:t>3</w:t>
      </w:r>
      <w:r>
        <w:t>铜</w:t>
      </w:r>
      <w:r>
        <w:rPr>
          <w:vertAlign w:val="subscript"/>
        </w:rPr>
        <w:t>2</w:t>
      </w:r>
      <w:r>
        <w:t>该簇的琥珀酸结合亲和力比天然SDH高4.52倍，其中Pt─Cu双金属活性中心在结构和功能上重现了SDH的Fe─S催化基序，从而实现了精确的底物识别和高效的电子转移。在能量代谢功能障碍的疾病模型中，Pt</w:t>
      </w:r>
      <w:r>
        <w:rPr>
          <w:vertAlign w:val="subscript"/>
        </w:rPr>
        <w:t>3</w:t>
      </w:r>
      <w:r>
        <w:t>铜</w:t>
      </w:r>
      <w:r>
        <w:rPr>
          <w:vertAlign w:val="subscript"/>
        </w:rPr>
        <w:t>2</w:t>
      </w:r>
      <w:r>
        <w:t>减少琥珀酸积累43.54%，使ATP产量恢复5.31倍，有效挽救肝脏能量代谢功能障碍。同时，它可减少 79.82% 的脂质积累，并通过 PI3K/Akt 信号轴的正常化解决肝脏炎症。除了肝脏之外，琥珀酸和炎症细胞因子的系统正常化可减轻神经炎症，恢复细胞因子</w:t>
      </w:r>
    </w:p>
    <w:p>
      <w:pPr>
        <w:spacing w:before="0" w:after="200" w:lineRule="auto" w:line="276"/>
      </w:pPr>
      <w:r>
        <w:rPr>
          <w:b/>
        </w:rPr>
        <w:t xml:space="preserve">Abstract (EN): </w:t>
      </w:r>
      <w:r>
        <w:t>Succinate is a critical intermediate for the tricarboxylic acid cycle, whose abnormal accumulation can disrupt energy homeostasis and trigger systemic inflammatory injury across dominant metabolic organs. Targeting succinate thus represents a pivotal strategy to reestablish metabolic equilibrium. Here, through biomimetic electronic structure engineering, we report an atomically precise Pt</w:t>
      </w:r>
      <w:r>
        <w:rPr>
          <w:vertAlign w:val="subscript"/>
        </w:rPr>
        <w:t>3</w:t>
      </w:r>
      <w:r>
        <w:t>Cu</w:t>
      </w:r>
      <w:r>
        <w:rPr>
          <w:vertAlign w:val="subscript"/>
        </w:rPr>
        <w:t>2</w:t>
      </w:r>
      <w:r>
        <w:t>cluster engineered with intrinsic succinate dehydrogenase (SDH)‐mimicking activity that catalyzes succinate oxidation to restore energy metabolism. The Pt</w:t>
      </w:r>
      <w:r>
        <w:rPr>
          <w:vertAlign w:val="subscript"/>
        </w:rPr>
        <w:t>3</w:t>
      </w:r>
      <w:r>
        <w:t>Cu</w:t>
      </w:r>
      <w:r>
        <w:rPr>
          <w:vertAlign w:val="subscript"/>
        </w:rPr>
        <w:t>2</w:t>
      </w:r>
      <w:r>
        <w:t>cluster exhibits a succinate‐binding affinity 4.52‐fold superior to that of native SDH, wherein the Pt─Cu dual‐metal active center structurally and functionally recapitulates the Fe─S catalytic motifs of SDH, enabling precise substrate recognition and efficient electron transfer. In disease models of energy metabolic dysfunction, Pt</w:t>
      </w:r>
      <w:r>
        <w:rPr>
          <w:vertAlign w:val="subscript"/>
        </w:rPr>
        <w:t>3</w:t>
      </w:r>
      <w:r>
        <w:t>Cu</w:t>
      </w:r>
      <w:r>
        <w:rPr>
          <w:vertAlign w:val="subscript"/>
        </w:rPr>
        <w:t>2</w:t>
      </w:r>
      <w:r>
        <w:t>reduces succinate accumulation by 43.54% and restores ATP production by 5.31‐fold, effectively rescuing hepatic energy metabolic dysfunction. Concurrently, it decreases lipid accumulation by 79.82% and resolves hepatic inflammation through normalization of the PI3K/Akt signaling axis. Beyond the liver, systemic normalization of succinate and inflammatory cytokines attenuates neuroinflammation, restores cerebral energy supply, and improves cognitive function. This work establishes atomically precise metal nanoclusters as a compelling enzyme‐mimetic strategy for targeting metabolic‐inflammatory diseases.</w:t>
      </w:r>
    </w:p>
    <w:p>
      <w:pPr>
        <w:spacing w:before="120" w:after="120"/>
      </w:pPr>
      <w:r>
        <w:rPr>
          <w:sz w:val="18"/>
        </w:rPr>
        <w:t>——————————————————————————————————————————————————————————————————————</w:t>
      </w:r>
    </w:p>
    <w:p>
      <w:pPr>
        <w:spacing w:before="160" w:after="40" w:line="240" w:lineRule="auto"/>
      </w:pPr>
      <w:r>
        <w:rPr>
          <w:b/>
        </w:rPr>
        <w:t xml:space="preserve">[175] </w:t>
      </w:r>
      <w:hyperlink r:id="rId907">
        <w:r>
          <w:rPr>
            <w:color w:val="1155CC"/>
            <w:u w:val="single"/>
          </w:rPr>
          <w:t>赝电容电荷驱动粘合剂电耦合水凝胶通过间质微环境重塑修复心肌梗死</w:t>
        </w:r>
      </w:hyperlink>
    </w:p>
    <w:p>
      <w:pPr>
        <w:spacing w:before="0" w:after="80"/>
      </w:pPr>
      <w:r>
        <w:rPr>
          <w:i/>
          <w:sz w:val="20"/>
        </w:rPr>
        <w:t>EN: Pseudocapacitive Charge‐Driven Adhesive‐Electrocoupling Hydrogels for Myocardial Infarction Repair via Interstitial Microenvironment Remodeling</w:t>
      </w:r>
    </w:p>
    <w:p>
      <w:pPr>
        <w:spacing w:before="0" w:after="120"/>
      </w:pPr>
      <w:r>
        <w:rPr>
          <w:b/>
        </w:rPr>
        <w:t xml:space="preserve">Source: </w:t>
      </w:r>
      <w:r>
        <w:t>Wiley: Advanced Materials: Table of Contents</w:t>
      </w:r>
      <w:r>
        <w:t xml:space="preserve">    </w:t>
      </w:r>
      <w:r>
        <w:rPr>
          <w:b/>
        </w:rPr>
        <w:t xml:space="preserve">Pub date: </w:t>
      </w:r>
      <w:r>
        <w:t>2026-08-08 09:12:06+00:00</w:t>
      </w:r>
      <w:r>
        <w:t xml:space="preserve">    </w:t>
      </w:r>
      <w:r>
        <w:rPr>
          <w:b/>
        </w:rPr>
        <w:t xml:space="preserve">DOI: </w:t>
      </w:r>
      <w:hyperlink r:id="rId908">
        <w:r>
          <w:rPr>
            <w:color w:val="1155CC"/>
            <w:u w:val="single"/>
          </w:rPr>
          <w:t>10.1002/adma.74540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心肌梗死（MI）会产生一个以氧化应激、炎症、纤维化和电传导阻滞为特征的恶劣微环境，给组织修复带来多方面的挑战。为了解决这个问题，我们通过人工神经网络（ANN）引导的优化过程开发了一种多功能水凝胶（Gel-PDZC），其中掺入了由 ZIF-8@CaO 组成的纳米颗粒</w:t>
      </w:r>
      <w:r>
        <w:rPr>
          <w:vertAlign w:val="subscript"/>
        </w:rPr>
        <w:t>2</w:t>
      </w:r>
      <w:r>
        <w:t>用于持续释放氧气的核心，用于粘附和抗氧化活性的聚多巴胺（PDA）夹层，以及导电的聚（3,4-乙烯二氧噻吩）（PEDOT）外壳。该水凝胶表现出独特的“粘附-电耦合”效应，其中强大的组织粘附有利于赝电容电荷注入机制。这不仅可以对无血管疤痕进行主动电干预，还可以利用内源性心肌电场来恢复水凝胶的抗氧化特性。在大鼠心肌梗死模型中，Gel-PDZC水凝胶全面重塑了心肌间质微环境。它缓解缺氧，减少氧化应激和细胞凋亡，抑制促炎 C-C 基序趋化因子受体 2 (CCR2</w:t>
      </w:r>
      <w:r>
        <w:t xml:space="preserve"> </w:t>
      </w:r>
      <w:r>
        <w:t>+</w:t>
      </w:r>
      <w:r>
        <w:t xml:space="preserve"> </w:t>
      </w:r>
      <w:r>
        <w:t>) 巨噬细胞募集并促进驻留 CCR2 之间的电耦合</w:t>
      </w:r>
      <w:r>
        <w:t xml:space="preserve"> </w:t>
      </w:r>
      <w:r>
        <w:t>-</w:t>
      </w:r>
      <w:r>
        <w:t>巨噬细胞和心肌细胞 (CM) 通过 PI3K/AKT 途径抑制成纤维细胞向肌成纤维细胞的转变，并刺激血管生成。这些协调的细胞和分子变化转化为</w:t>
      </w:r>
    </w:p>
    <w:p>
      <w:pPr>
        <w:spacing w:before="0" w:after="200" w:lineRule="auto" w:line="276"/>
      </w:pPr>
      <w:r>
        <w:rPr>
          <w:b/>
        </w:rPr>
        <w:t xml:space="preserve">Abstract (EN): </w:t>
      </w:r>
      <w:r>
        <w:t>Myocardial infarction (MI) creates a hostile microenvironment characterized by oxidative stress, inflammation, fibrosis, and electrical conduction block, posing a multifaceted challenge for tissue repair. To address this, we developed a multifunctional hydrogel (Gel‐PDZC), through an artificial neural network (ANN)‐guided optimization process, incorporating nanoparticles comprising a ZIF‐8@CaO</w:t>
      </w:r>
      <w:r>
        <w:rPr>
          <w:vertAlign w:val="subscript"/>
        </w:rPr>
        <w:t>2</w:t>
      </w:r>
      <w:r>
        <w:t>core for sustained oxygen release, a polydopamine (PDA) interlayer for adhesion and antioxidant activity, and a conductive poly(3,4‐ethylenedioxythiophene) (PEDOT) shell. The hydrogel exhibits a unique “adhesion‐electrocoupling” effect, where robust tissue adhesion facilitates a pseudocapacitive charge injection mechanism. This not only enables active electrical intervention in the avascular scar but also leverages the endogenous myocardial electric field to restore the hydrogel's antioxidant properties. In a rat MI model, the Gel‐PDZC hydrogel comprehensively remodeled the myocardial interstitial microenvironment. It alleviated hypoxia, reduced oxidative stress and apoptosis, suppressed pro‐inflammatory C‐C motif chemokine receptor 2 (CCR2</w:t>
      </w:r>
      <w:r>
        <w:t xml:space="preserve"> </w:t>
      </w:r>
      <w:r>
        <w:t>+</w:t>
      </w:r>
      <w:r>
        <w:t xml:space="preserve"> </w:t>
      </w:r>
      <w:r>
        <w:t>) macrophages recruitment and promoted electrical coupling between resident CCR2</w:t>
      </w:r>
      <w:r>
        <w:t xml:space="preserve"> </w:t>
      </w:r>
      <w:r>
        <w:t>−</w:t>
      </w:r>
      <w:r>
        <w:t>macrophages and cardiomyocytes (CMs), inhibited fibroblast‐to‐myofibroblast transition via the PI3K/AKT pathway, and stimulated angiogenesis. These coordinated cellular and molecular changes translated into substantial functional recovery, evidenced by restored epicardial electrical propagation, improved electromechanical coupling, and a significant increase in cardiac function. Our findings demonstrate that this ANN‐optimized, adhesive‐electrocoupling hydrogel provides a comprehensive and synergistic solution for repairing the infarcted heart.</w:t>
      </w:r>
    </w:p>
    <w:p>
      <w:pPr>
        <w:spacing w:before="120" w:after="120"/>
      </w:pPr>
      <w:r>
        <w:rPr>
          <w:sz w:val="18"/>
        </w:rPr>
        <w:t>——————————————————————————————————————————————————————————————————————</w:t>
      </w:r>
    </w:p>
    <w:p>
      <w:pPr>
        <w:spacing w:before="160" w:after="40" w:line="240" w:lineRule="auto"/>
      </w:pPr>
      <w:r>
        <w:rPr>
          <w:b/>
        </w:rPr>
        <w:t xml:space="preserve">[176] </w:t>
      </w:r>
      <w:hyperlink r:id="rId909">
        <w:r>
          <w:rPr>
            <w:color w:val="1155CC"/>
            <w:u w:val="single"/>
          </w:rPr>
          <w:t>陶瓷微涡旋中的机械辅助磁驱动，用于快速耐用的软机器人系统</w:t>
        </w:r>
      </w:hyperlink>
    </w:p>
    <w:p>
      <w:pPr>
        <w:spacing w:before="0" w:after="80"/>
      </w:pPr>
      <w:r>
        <w:rPr>
          <w:i/>
          <w:sz w:val="20"/>
        </w:rPr>
        <w:t>EN: Mechanically Assisted Magnetic Actuation in Ceramic‐Based Microscrolls for Fast and Durable Soft Robotic Systems</w:t>
      </w:r>
    </w:p>
    <w:p>
      <w:pPr>
        <w:spacing w:before="0" w:after="120"/>
      </w:pPr>
      <w:r>
        <w:rPr>
          <w:b/>
        </w:rPr>
        <w:t xml:space="preserve">Source: </w:t>
      </w:r>
      <w:r>
        <w:t>Wiley: Advanced Materials: Table of Contents</w:t>
      </w:r>
      <w:r>
        <w:t xml:space="preserve">    </w:t>
      </w:r>
      <w:r>
        <w:rPr>
          <w:b/>
        </w:rPr>
        <w:t xml:space="preserve">Pub date: </w:t>
      </w:r>
      <w:r>
        <w:t>2026-08-08 09:18:14+00:00</w:t>
      </w:r>
      <w:r>
        <w:t xml:space="preserve">    </w:t>
      </w:r>
      <w:r>
        <w:rPr>
          <w:b/>
        </w:rPr>
        <w:t xml:space="preserve">DOI: </w:t>
      </w:r>
      <w:hyperlink r:id="rId910">
        <w:r>
          <w:rPr>
            <w:color w:val="1155CC"/>
            <w:u w:val="single"/>
          </w:rPr>
          <w:t>10.1002/adma.74544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微型机器人系统越来越多地寻求能够快速、远程和不受束缚运动的软磁执行器。在这里，我们引入了紧凑的基于陶瓷的磁响应微滚动执行器，其灵感来自于蝴蝶长鼻的盘绕几何形状。执行器由混合薄膜制成，该混合薄膜由定向五氧化二钒 (V</w:t>
      </w:r>
      <w:r>
        <w:rPr>
          <w:vertAlign w:val="subscript"/>
        </w:rPr>
        <w:t>2</w:t>
      </w:r>
      <w:r>
        <w:t>氧</w:t>
      </w:r>
      <w:r>
        <w:rPr>
          <w:vertAlign w:val="subscript"/>
        </w:rPr>
        <w:t>5</w:t>
      </w:r>
      <w:r>
        <w:t>）纳米纤维和铁</w:t>
      </w:r>
      <w:r>
        <w:rPr>
          <w:vertAlign w:val="subscript"/>
        </w:rPr>
        <w:t>3</w:t>
      </w:r>
      <w:r>
        <w:t>氧</w:t>
      </w:r>
      <w:r>
        <w:rPr>
          <w:vertAlign w:val="subscript"/>
        </w:rPr>
        <w:t>4</w:t>
      </w:r>
      <w:r>
        <w:t>纳米颗粒分布在纳米纤维基质内，形成灵活的层状结构，具有增强的机械鲁棒性。使用刀片辅助滚动方法，平面薄膜被转化为具有可调几何形状和微米级直径的紧密缠绕的微卷轴。在近场磁刺激（~60 mT）下，卷轴表现出快速、可逆、多向驱动，角位移高达 180°。该驱动依赖于双磁机械机制：嵌入的铁产生的分布磁应力</w:t>
      </w:r>
      <w:r>
        <w:rPr>
          <w:vertAlign w:val="subscript"/>
        </w:rPr>
        <w:t>3</w:t>
      </w:r>
      <w:r>
        <w:t>氧</w:t>
      </w:r>
      <w:r>
        <w:rPr>
          <w:vertAlign w:val="subscript"/>
        </w:rPr>
        <w:t>4</w:t>
      </w:r>
      <w:r>
        <w:t>阶段开始展开，而滚动过程中存储的残余弹性应变驱动重新滚动运动。这种几何编程驱动可实现相对于驱动器质量的 32.5 倍提升比，工作密度为 ∼8.1 kJm</w:t>
      </w:r>
      <w:r>
        <w:t xml:space="preserve"> </w:t>
      </w:r>
      <w:r>
        <w:t>-</w:t>
      </w:r>
      <w:r>
        <w:rPr>
          <w:vertAlign w:val="subscript"/>
        </w:rPr>
        <w:t>3</w:t>
      </w:r>
      <w:r>
        <w:t>，占地面积减少高达</w:t>
      </w:r>
    </w:p>
    <w:p>
      <w:pPr>
        <w:spacing w:before="0" w:after="200" w:lineRule="auto" w:line="276"/>
      </w:pPr>
      <w:r>
        <w:rPr>
          <w:b/>
        </w:rPr>
        <w:t xml:space="preserve">Abstract (EN): </w:t>
      </w:r>
      <w:r>
        <w:t>Soft magnetic actuators capable of fast, remote, and untethered motion are increasingly sought for microscale robotic systems. Here, we introduce compact ceramic‐based, magnetically responsive microscroll actuators inspired by the coiled geometry of the butterfly proboscis. The actuators are fabricated from hybrid films composed of aligned vanadium pentoxide (V</w:t>
      </w:r>
      <w:r>
        <w:rPr>
          <w:vertAlign w:val="subscript"/>
        </w:rPr>
        <w:t>2</w:t>
      </w:r>
      <w:r>
        <w:t>O</w:t>
      </w:r>
      <w:r>
        <w:rPr>
          <w:vertAlign w:val="subscript"/>
        </w:rPr>
        <w:t>5</w:t>
      </w:r>
      <w:r>
        <w:t>) nanofibers and Fe</w:t>
      </w:r>
      <w:r>
        <w:rPr>
          <w:vertAlign w:val="subscript"/>
        </w:rPr>
        <w:t>3</w:t>
      </w:r>
      <w:r>
        <w:t>O</w:t>
      </w:r>
      <w:r>
        <w:rPr>
          <w:vertAlign w:val="subscript"/>
        </w:rPr>
        <w:t>4</w:t>
      </w:r>
      <w:r>
        <w:t>nanoparticles distributed within the nanofiber matrix, forming a flexible, laminated architecture with enhanced mechanical robustness. Using a razor blade‐assisted scrolling method, the planar films are transformed into tightly wound microscrolls with tunable geometry and micrometer scale diameters. Under near‐field magnetic stimulation (∼60 mT), the scrolls exhibit rapid, reversible, and multidirectional actuation with angular displacements of up to 180°. The actuation relies on a dual magneto‐mechanical mechanism: distributed magnetic stresses generated by the embedded Fe</w:t>
      </w:r>
      <w:r>
        <w:rPr>
          <w:vertAlign w:val="subscript"/>
        </w:rPr>
        <w:t>3</w:t>
      </w:r>
      <w:r>
        <w:t>O</w:t>
      </w:r>
      <w:r>
        <w:rPr>
          <w:vertAlign w:val="subscript"/>
        </w:rPr>
        <w:t>4</w:t>
      </w:r>
      <w:r>
        <w:t>phase initiate unrolling, while residual elastic strain stored during scrolling drives the re‐rolling motion. This geometry‐programmed actuation enables a lifting ratio of 32.5× relative to actuator mass, a work density of ∼8.1 kJm</w:t>
      </w:r>
      <w:r>
        <w:t xml:space="preserve"> </w:t>
      </w:r>
      <w:r>
        <w:t>−</w:t>
      </w:r>
      <w:r>
        <w:rPr>
          <w:vertAlign w:val="subscript"/>
        </w:rPr>
        <w:t>3</w:t>
      </w:r>
      <w:r>
        <w:t>, and a footprint reduction of up to 96%. Notably, the ceramic‐based microscrolls retain structural and functional integrity over 5000 magnetic actuation cycles, demonstrating a durable architecture‐driven route toward untethered soft robotic microsystems.</w:t>
      </w:r>
    </w:p>
    <w:p>
      <w:pPr>
        <w:spacing w:before="120" w:after="120"/>
      </w:pPr>
      <w:r>
        <w:rPr>
          <w:sz w:val="18"/>
        </w:rPr>
        <w:t>——————————————————————————————————————————————————————————————————————</w:t>
      </w:r>
    </w:p>
    <w:p>
      <w:pPr>
        <w:spacing w:before="160" w:after="40" w:line="240" w:lineRule="auto"/>
      </w:pPr>
      <w:r>
        <w:rPr>
          <w:b/>
        </w:rPr>
        <w:t xml:space="preserve">[177] </w:t>
      </w:r>
      <w:hyperlink r:id="rId911">
        <w:r>
          <w:rPr>
            <w:color w:val="1155CC"/>
            <w:u w:val="single"/>
          </w:rPr>
          <w:t>用于边缘感知的机械编码材料</w:t>
        </w:r>
      </w:hyperlink>
    </w:p>
    <w:p>
      <w:pPr>
        <w:spacing w:before="0" w:after="80"/>
      </w:pPr>
      <w:r>
        <w:rPr>
          <w:i/>
          <w:sz w:val="20"/>
        </w:rPr>
        <w:t>EN: Mechanically Encoded Materials for Edge Perception</w:t>
      </w:r>
    </w:p>
    <w:p>
      <w:pPr>
        <w:spacing w:before="0" w:after="120"/>
      </w:pPr>
      <w:r>
        <w:rPr>
          <w:b/>
        </w:rPr>
        <w:t xml:space="preserve">Source: </w:t>
      </w:r>
      <w:r>
        <w:t>Wiley: Advanced Materials: Table of Contents</w:t>
      </w:r>
      <w:r>
        <w:t xml:space="preserve">    </w:t>
      </w:r>
      <w:r>
        <w:rPr>
          <w:b/>
        </w:rPr>
        <w:t xml:space="preserve">Pub date: </w:t>
      </w:r>
      <w:r>
        <w:t>2026-08-08 09:19:55+00:00</w:t>
      </w:r>
      <w:r>
        <w:t xml:space="preserve">    </w:t>
      </w:r>
      <w:r>
        <w:rPr>
          <w:b/>
        </w:rPr>
        <w:t xml:space="preserve">DOI: </w:t>
      </w:r>
      <w:hyperlink r:id="rId912">
        <w:r>
          <w:rPr>
            <w:color w:val="1155CC"/>
            <w:u w:val="single"/>
          </w:rPr>
          <w:t>10.1002/adma.74403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触觉传感和感知是与复杂环境进行智能交互的基础，但大多数人工传感系统依赖于连续信号采集和集中式电子计算，导致数据冗余、延迟高和鲁棒性有限。在这项研究中，我们引入机械编码材料（MEM）作为一种以传感为中心的范例，将感知直接嵌入到材料架构中。受生物机械感觉系统的启发，MEM 利用几何-力-属性耦合来选择性地将机械刺激转换为离散的二进制输出，从而无需连续采样或密集的电子处理即可实现事件驱动的触觉传感。通过合理设计，MEM 被编程为仅在外部刺激超过预定义阈值时做出响应，从而将压力、刚度和曲率等触觉信息编码为材料层面的二进制表示。具有分级阈值的 MEM 阵列进一步能够仅通过机械设计对机械刺激进行多级区分。我们演示了将压力、刚度和曲率敏感的 MEM 集成到顺应性夹具中，其中本体感觉和触觉感知出现在传感界面本地，无需 CPU 驱动的计算。这种机械编码策略减少了数据带宽和传感延迟，同时增强了动态条件下的鲁棒性和适应性。通过将传感、编码和初步计算转化为内在的材料函数，MEM 建立了</w:t>
      </w:r>
    </w:p>
    <w:p>
      <w:pPr>
        <w:spacing w:before="0" w:after="200" w:lineRule="auto" w:line="276"/>
      </w:pPr>
      <w:r>
        <w:rPr>
          <w:b/>
        </w:rPr>
        <w:t xml:space="preserve">Abstract (EN): </w:t>
      </w:r>
      <w:r>
        <w:t>Tactile sensing and perception are fundamental to intelligent interaction with complex environments, yet most artificial sensing systems rely on continuous signal acquisition and centralized electronic computation, resulting in high data redundancy, latency, and limited robustness. In this research, we introduce mechanically encoded materials (MEM) as a sensing‐centric paradigm that embeds perception directly into material architecture. Inspired by biological mechanosensory systems, MEM exploits geometry‐force‐property coupling to selectively transduce mechanical stimuli into discrete binary outputs, enabling event‐driven tactile sensing without continuous sampling or intensive electronic processing. By rational design, MEMs are programmed to respond only when external stimuli exceed predefined thresholds, thereby encoding tactile information such as pressure, stiffness, and curvature into binary representations at the material level. Arrays of MEMs with graded thresholds further enable multi‐level discrimination of mechanical stimuli solely through mechanical design. We demonstrate the integration of pressure‐, stiffness‐, and curvature‐sensitive MEMs into a compliant gripper, where proprioceptive and tactile perception emerges locally at the sensing interface without CPU‐driven computation. This mechano‐encoding strategy reduces data bandwidth and sensing latency while enhancing robustness and adaptability under dynamic conditions. By transforming sensing, encoding, and preliminary computation into intrinsic material functions, MEMs establish a general framework for decentralized tactile perception in next‐generation intelligent systems.</w:t>
      </w:r>
    </w:p>
    <w:p>
      <w:pPr>
        <w:spacing w:before="120" w:after="120"/>
      </w:pPr>
      <w:r>
        <w:rPr>
          <w:sz w:val="18"/>
        </w:rPr>
        <w:t>——————————————————————————————————————————————————————————————————————</w:t>
      </w:r>
    </w:p>
    <w:p>
      <w:pPr>
        <w:spacing w:before="160" w:after="40" w:line="240" w:lineRule="auto"/>
      </w:pPr>
      <w:r>
        <w:rPr>
          <w:b/>
        </w:rPr>
        <w:t xml:space="preserve">[178] </w:t>
      </w:r>
      <w:hyperlink r:id="rId913">
        <w:r>
          <w:rPr>
            <w:color w:val="1155CC"/>
            <w:u w:val="single"/>
          </w:rPr>
          <w:t>瞬时细胞骨架各向异性编码胶质母细胞瘤细胞的短期机械记忆</w:t>
        </w:r>
      </w:hyperlink>
    </w:p>
    <w:p>
      <w:pPr>
        <w:spacing w:before="0" w:after="80"/>
      </w:pPr>
      <w:r>
        <w:rPr>
          <w:i/>
          <w:sz w:val="20"/>
        </w:rPr>
        <w:t>EN: Transient Cytoskeletal Anisotropy Encodes Short‐Term Mechanical Memory in Glioblastoma Cells</w:t>
      </w:r>
    </w:p>
    <w:p>
      <w:pPr>
        <w:spacing w:before="0" w:after="120"/>
      </w:pPr>
      <w:r>
        <w:rPr>
          <w:b/>
        </w:rPr>
        <w:t xml:space="preserve">Source: </w:t>
      </w:r>
      <w:r>
        <w:t>Wiley: Advanced Materials: Table of Contents</w:t>
      </w:r>
      <w:r>
        <w:t xml:space="preserve">    </w:t>
      </w:r>
      <w:r>
        <w:rPr>
          <w:b/>
        </w:rPr>
        <w:t xml:space="preserve">Pub date: </w:t>
      </w:r>
      <w:r>
        <w:t>2026-08-08 09:52:38+00:00</w:t>
      </w:r>
      <w:r>
        <w:t xml:space="preserve">    </w:t>
      </w:r>
      <w:r>
        <w:rPr>
          <w:b/>
        </w:rPr>
        <w:t xml:space="preserve">DOI: </w:t>
      </w:r>
      <w:hyperlink r:id="rId914">
        <w:r>
          <w:rPr>
            <w:color w:val="1155CC"/>
            <w:u w:val="single"/>
          </w:rPr>
          <w:t>10.1002/adma.74523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胞在复杂的微环境中经历时变的机械线索，但它们是否以及如何保留最近变形的短期记忆仍不清楚。在这里，我们证明胶质母细胞瘤细胞通过短暂的细胞骨架各向异性编码这种记忆。结合磁机械驱动、纳米压痕和选择性细胞骨架扰动，我们发现肌动蛋白结构驱动相反的机械反应：应力纤维在拉伸下使细胞变硬，而肌动蛋白皮层控制在压缩下软化。波形蛋白中间丝在负载下稳定肌动蛋白组织，保留这些变形特异性反应。机械驱动使两个网络对齐，肌动蛋白比波形蛋白更强烈，并且这种各向异性在卸载后仍然存在。使用两步驱动方案，我们表明残余对齐会偏差对第二次变形的响应：细胞保留有关先前加载的信息，并且这种偏差随着细胞骨架松弛而衰减，从而定义了几分钟到几十分钟的记忆窗口。为了整合这些观察结果，我们开发了一个多网络本构模型，将细胞骨架结构和加载历史与细胞力学联系起来，再现不对称机械反应、细胞骨架重组动力学和记忆效应。这些发现表明，侵袭性癌细胞如何利用残余的细胞骨架顺序来适应波动的固体应力和限制，并确定波形蛋白-肌动蛋白偶联和重塑动力学作为限制这种适应性的杠杆。</w:t>
      </w:r>
    </w:p>
    <w:p>
      <w:pPr>
        <w:spacing w:before="0" w:after="200" w:lineRule="auto" w:line="276"/>
      </w:pPr>
      <w:r>
        <w:rPr>
          <w:b/>
        </w:rPr>
        <w:t xml:space="preserve">Abstract (EN): </w:t>
      </w:r>
      <w:r>
        <w:t>Cells experience time‐varying mechanical cues when navigating complex microenvironments, yet whether and how they retain a short‐term memory of recent deformations remains unclear. Here, we show that glioblastoma cells encode such memory through transient cytoskeletal anisotropy. Combining magneto‐mechanical actuation, nanoindentation, and selective cytoskeletal perturbations, we find that actin architectures drive opposite mechanical responses: stress fibers stiffen cells under stretch, whereas the actin cortex governs softening under compression. Vimentin intermediate filaments stabilize actin organization under load, preserving these deformation‐specific responses. Mechanical actuation aligns both networks, more strongly for actin than vimentin, and this anisotropy persists after unloading. Using a two‐step actuation protocol, we show that residual alignment biases the response to a second deformation: cells retain information about prior loading, and this bias decays as the cytoskeleton relaxes, defining a memory window of minutes to tens of minutes. To integrate these observations, we develop a multi‐network constitutive model that links cytoskeletal architecture and loading history to cell mechanics, reproducing asymmetric mechanical responses, cytoskeletal reorganization dynamics, and memory effect. These findings show how invasive cancer cells could exploit residual cytoskeletal order to adapt to fluctuating solid stresses and confinement, and identify vimentin–actin coupling and remodeling kinetics as levers to limit that adaptability.</w:t>
      </w:r>
    </w:p>
    <w:p>
      <w:pPr>
        <w:spacing w:before="120" w:after="120"/>
      </w:pPr>
      <w:r>
        <w:rPr>
          <w:sz w:val="18"/>
        </w:rPr>
        <w:t>——————————————————————————————————————————————————————————————————————</w:t>
      </w:r>
    </w:p>
    <w:p>
      <w:pPr>
        <w:spacing w:before="160" w:after="40" w:line="240" w:lineRule="auto"/>
      </w:pPr>
      <w:r>
        <w:rPr>
          <w:b/>
        </w:rPr>
        <w:t xml:space="preserve">[179] </w:t>
      </w:r>
      <w:hyperlink r:id="rId915">
        <w:r>
          <w:rPr>
            <w:color w:val="1155CC"/>
            <w:u w:val="single"/>
          </w:rPr>
          <w:t>巨型压缩钼蓝轮{Mo118}：一种用于高效 NIR-II 化学光热治疗的分子光热剂</w:t>
        </w:r>
      </w:hyperlink>
    </w:p>
    <w:p>
      <w:pPr>
        <w:spacing w:before="0" w:after="80"/>
      </w:pPr>
      <w:r>
        <w:rPr>
          <w:i/>
          <w:sz w:val="20"/>
        </w:rPr>
        <w:t>EN: Giant Compressed Mo Blue Wheel {Mo118}: A Molecular Photothermal Agent for High‐Effective NIR‐II Chemo‐Photothermal Therapy</w:t>
      </w:r>
    </w:p>
    <w:p>
      <w:pPr>
        <w:spacing w:before="0" w:after="120"/>
      </w:pPr>
      <w:r>
        <w:rPr>
          <w:b/>
        </w:rPr>
        <w:t xml:space="preserve">Source: </w:t>
      </w:r>
      <w:r>
        <w:t>Wiley: Angewandte Chemie International Edition: Table of Contents</w:t>
      </w:r>
      <w:r>
        <w:t xml:space="preserve">    </w:t>
      </w:r>
      <w:r>
        <w:rPr>
          <w:b/>
        </w:rPr>
        <w:t xml:space="preserve">Pub date: </w:t>
      </w:r>
      <w:r>
        <w:t>2026-08-08 10:47:46+00:00</w:t>
      </w:r>
      <w:r>
        <w:t xml:space="preserve">    </w:t>
      </w:r>
      <w:r>
        <w:rPr>
          <w:b/>
        </w:rPr>
        <w:t xml:space="preserve">DOI: </w:t>
      </w:r>
      <w:hyperlink r:id="rId916">
        <w:r>
          <w:rPr>
            <w:color w:val="1155CC"/>
            <w:u w:val="single"/>
          </w:rPr>
          <w:t>10.1002/anie.9216648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合理构建基于多金属氧酸盐（POM）的第二近红外（NIR-II）分子光热剂（PTA）并阐明其构效关系至关重要，但仍未得到解决。在此，我们报道了十聚钼蓝（MB）轮{Mo</w:t>
      </w:r>
      <w:r>
        <w:rPr>
          <w:vertAlign w:val="subscript"/>
        </w:rPr>
        <w:t>118</w:t>
      </w:r>
      <w:r>
        <w:t>}，包含{Mo</w:t>
      </w:r>
      <w:r>
        <w:rPr>
          <w:vertAlign w:val="subscript"/>
        </w:rPr>
        <w:t>112</w:t>
      </w:r>
      <w:r>
        <w:t>} 轮子的顶部有两个 {(SO</w:t>
      </w:r>
      <w:r>
        <w:rPr>
          <w:vertAlign w:val="subscript"/>
        </w:rPr>
        <w:t>4</w:t>
      </w:r>
      <w:r>
        <w:t>)钼</w:t>
      </w:r>
      <w:r>
        <w:rPr>
          <w:vertAlign w:val="subscript"/>
        </w:rPr>
        <w:t>3</w:t>
      </w:r>
      <w:r>
        <w:t>} 单位，其中巨环的压缩源自 {Mo</w:t>
      </w:r>
      <w:r>
        <w:rPr>
          <w:vertAlign w:val="subscript"/>
        </w:rPr>
        <w:t>1</w:t>
      </w:r>
      <w:r>
        <w:t>*}单元和角共享{Mo的不同协调模式</w:t>
      </w:r>
      <w:r>
        <w:rPr>
          <w:vertAlign w:val="subscript"/>
        </w:rPr>
        <w:t>2</w:t>
      </w:r>
      <w:r>
        <w:t>} 单位。作为一种罕见的结构明确的基于 POM 的分子 PTA，在 NIR-II 区域表现出光热转换性能，{Mo</w:t>
      </w:r>
      <w:r>
        <w:rPr>
          <w:vertAlign w:val="subscript"/>
        </w:rPr>
        <w:t>118</w:t>
      </w:r>
      <w:r>
        <w:t>} 具有 28 Mo 4 的广泛离域作用</w:t>
      </w:r>
      <w:r>
        <w:t xml:space="preserve"> </w:t>
      </w:r>
      <w:r>
        <w:t>d</w:t>
      </w:r>
      <w:r>
        <w:t xml:space="preserve"> </w:t>
      </w:r>
      <w:r>
        <w:t>电子在其框架内，这使其光热转换效率达到50.8%，大大优于经典的基于MB的类似物{Mo</w:t>
      </w:r>
      <w:r>
        <w:rPr>
          <w:vertAlign w:val="subscript"/>
        </w:rPr>
        <w:t>154</w:t>
      </w:r>
      <w:r>
        <w:t>} PTA。飞秒瞬态吸收光谱进一步阐明了{Mo</w:t>
      </w:r>
      <w:r>
        <w:rPr>
          <w:vertAlign w:val="subscript"/>
        </w:rPr>
        <w:t>118</w:t>
      </w:r>
      <w:r>
        <w:t>} 支撑其增强的光热性能。通过封装{Mo</w:t>
      </w:r>
      <w:r>
        <w:rPr>
          <w:vertAlign w:val="subscript"/>
        </w:rPr>
        <w:t>118</w:t>
      </w:r>
      <w:r>
        <w:t>通过 elect 形成双响应水凝胶</w:t>
      </w:r>
    </w:p>
    <w:p>
      <w:pPr>
        <w:spacing w:before="0" w:after="200" w:lineRule="auto" w:line="276"/>
      </w:pPr>
      <w:r>
        <w:rPr>
          <w:b/>
        </w:rPr>
        <w:t xml:space="preserve">Abstract (EN): </w:t>
      </w:r>
      <w:r>
        <w:t>The rational construction of well‐defined polyoxometalate (POM)‐based second near‐infrared (NIR‐II) molecular photothermal agents (PTAs) and the elucidation of their structure‐activity relationships are crucial, but remain unresolved. Herein, we report a decameric molybdenum blue (MB) wheel {Mo</w:t>
      </w:r>
      <w:r>
        <w:rPr>
          <w:vertAlign w:val="subscript"/>
        </w:rPr>
        <w:t>118</w:t>
      </w:r>
      <w:r>
        <w:t>}, comprising a {Mo</w:t>
      </w:r>
      <w:r>
        <w:rPr>
          <w:vertAlign w:val="subscript"/>
        </w:rPr>
        <w:t>112</w:t>
      </w:r>
      <w:r>
        <w:t>} wheel capped by two {(SO</w:t>
      </w:r>
      <w:r>
        <w:rPr>
          <w:vertAlign w:val="subscript"/>
        </w:rPr>
        <w:t>4</w:t>
      </w:r>
      <w:r>
        <w:t>)Mo</w:t>
      </w:r>
      <w:r>
        <w:rPr>
          <w:vertAlign w:val="subscript"/>
        </w:rPr>
        <w:t>3</w:t>
      </w:r>
      <w:r>
        <w:t>} units, where compression of the giant ring arises from {Mo</w:t>
      </w:r>
      <w:r>
        <w:rPr>
          <w:vertAlign w:val="subscript"/>
        </w:rPr>
        <w:t>1</w:t>
      </w:r>
      <w:r>
        <w:t>*} units and distinct coordination modes of corner‐sharing {Mo</w:t>
      </w:r>
      <w:r>
        <w:rPr>
          <w:vertAlign w:val="subscript"/>
        </w:rPr>
        <w:t>2</w:t>
      </w:r>
      <w:r>
        <w:t>} units. As a rare structurally well‐defined POM‐based molecular PTA that exhibit photothermal conversion performance under NIR‐II region, {Mo</w:t>
      </w:r>
      <w:r>
        <w:rPr>
          <w:vertAlign w:val="subscript"/>
        </w:rPr>
        <w:t>118</w:t>
      </w:r>
      <w:r>
        <w:t>} features extensive delocalization of 28 Mo 4</w:t>
      </w:r>
      <w:r>
        <w:t xml:space="preserve"> </w:t>
      </w:r>
      <w:r>
        <w:t>d</w:t>
      </w:r>
      <w:r>
        <w:t xml:space="preserve"> </w:t>
      </w:r>
      <w:r>
        <w:t>electrons within its framework, which endows it with a photothermal conversion efficiency of 50.8%, substantially outperforming that of the classical MB‐based analogue {Mo</w:t>
      </w:r>
      <w:r>
        <w:rPr>
          <w:vertAlign w:val="subscript"/>
        </w:rPr>
        <w:t>154</w:t>
      </w:r>
      <w:r>
        <w:t>} PTA. Femtosecond transient absorption spectroscopy further elucidates that a more rapid non‐radiative relaxation process in {Mo</w:t>
      </w:r>
      <w:r>
        <w:rPr>
          <w:vertAlign w:val="subscript"/>
        </w:rPr>
        <w:t>118</w:t>
      </w:r>
      <w:r>
        <w:t>} underpins its enhanced photothermal performance. By encapsulating {Mo</w:t>
      </w:r>
      <w:r>
        <w:rPr>
          <w:vertAlign w:val="subscript"/>
        </w:rPr>
        <w:t>118</w:t>
      </w:r>
      <w:r>
        <w:t>} into a dual‐responsive hydrogel via electrostatic interactions, a biocompatible system was constructed that affords photothermal‐triggered chemo‐photothermal therapy, demonstrating potent antitumor activity against 4T1 tumors both in vitro and in vivo. This work not only provides critical insights into the relationship between the electronic structure of POMs and their photothermal properties, but also establishes a new paradigm for the rational design of next‐generation molecular cluster‐based PTAs.</w:t>
      </w:r>
    </w:p>
    <w:p>
      <w:pPr>
        <w:spacing w:before="120" w:after="120"/>
      </w:pPr>
      <w:r>
        <w:rPr>
          <w:sz w:val="18"/>
        </w:rPr>
        <w:t>——————————————————————————————————————————————————————————————————————</w:t>
      </w:r>
    </w:p>
    <w:p>
      <w:pPr>
        <w:spacing w:before="160" w:after="40" w:line="240" w:lineRule="auto"/>
      </w:pPr>
      <w:r>
        <w:rPr>
          <w:b/>
        </w:rPr>
        <w:t xml:space="preserve">[180] </w:t>
      </w:r>
      <w:hyperlink r:id="rId917">
        <w:r>
          <w:rPr>
            <w:color w:val="1155CC"/>
            <w:u w:val="single"/>
          </w:rPr>
          <w:t>通过酶催化阿扎环分子间 C(sp3)-H 酰胺化立体选择性合成缩醛胺</w:t>
        </w:r>
      </w:hyperlink>
    </w:p>
    <w:p>
      <w:pPr>
        <w:spacing w:before="0" w:after="80"/>
      </w:pPr>
      <w:r>
        <w:rPr>
          <w:i/>
          <w:sz w:val="20"/>
        </w:rPr>
        <w:t>EN: Stereoselective Synthesis of Aminals Through Enzyme‐Catalyzed Intermolecular C(sp3)‐H Amidation of Azacycles</w:t>
      </w:r>
    </w:p>
    <w:p>
      <w:pPr>
        <w:spacing w:before="0" w:after="120"/>
      </w:pPr>
      <w:r>
        <w:rPr>
          <w:b/>
        </w:rPr>
        <w:t xml:space="preserve">Source: </w:t>
      </w:r>
      <w:r>
        <w:t>Wiley: Angewandte Chemie International Edition: Table of Contents</w:t>
      </w:r>
      <w:r>
        <w:t xml:space="preserve">    </w:t>
      </w:r>
      <w:r>
        <w:rPr>
          <w:b/>
        </w:rPr>
        <w:t xml:space="preserve">Pub date: </w:t>
      </w:r>
      <w:r>
        <w:t>2026-08-08 10:48:37+00:00</w:t>
      </w:r>
      <w:r>
        <w:t xml:space="preserve">    </w:t>
      </w:r>
      <w:r>
        <w:rPr>
          <w:b/>
        </w:rPr>
        <w:t xml:space="preserve">DOI: </w:t>
      </w:r>
      <w:hyperlink r:id="rId918">
        <w:r>
          <w:rPr>
            <w:color w:val="1155CC"/>
            <w:u w:val="single"/>
          </w:rPr>
          <w:t>10.1002/anie.6337773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立构缩醛胺广泛存在于天然产物、药物和生物活性化合物中，包括重要类别的抗生素。因此，缩醛胺不对称合成的方法非常理想，但它们仍然稀缺，并且主要依赖于官能化碳中心（例如羰基）上的 C─N 键形成。在这里，我们报告了通过直接、立体选择性 C(sp</w:t>
      </w:r>
      <w:r>
        <w:rPr>
          <w:vertAlign w:val="subscript"/>
        </w:rPr>
        <w:t>3</w:t>
      </w:r>
      <w:r>
        <w:t>通过酶催化的二恶唑酮分子间氮宾转移反应对环胺进行 )–H 官能化。使用嗜热细胞色素 P450 (CYP119) 的工程变体</w:t>
      </w:r>
      <w:r>
        <w:t xml:space="preserve"> </w:t>
      </w:r>
      <w:r>
        <w:t>硫磺硫化叶菌</w:t>
      </w:r>
      <w:r>
        <w:t xml:space="preserve"> </w:t>
      </w:r>
      <w:r>
        <w:t>作为催化剂，这种方法能够合成多种基于二氢吲哚的缩醛胺，收率良好至高，具有优异的区域选择性和化学选择性，对映选择性高达 &gt;99%</w:t>
      </w:r>
      <w:r>
        <w:t xml:space="preserve"> </w:t>
      </w:r>
      <w:r>
        <w:t>伊</w:t>
      </w:r>
      <w:r>
        <w:t xml:space="preserve"> </w:t>
      </w:r>
      <w:r>
        <w:t>。该方法可以进一步扩展到吡咯烷、哌啶或吗啉以及不同的二恶唑酮试剂，产生各种对映体富集的缩醛胺支架。这项工作扩大了非生物分子间 C(sp</w:t>
      </w:r>
      <w:r>
        <w:rPr>
          <w:vertAlign w:val="subscript"/>
        </w:rPr>
        <w:t>3</w:t>
      </w:r>
      <w:r>
        <w:t>)–H 胺化反应可通过生物催化进行，并为合成对映体富集的缩醛化合物提供了一种方便的新途径。</w:t>
      </w:r>
    </w:p>
    <w:p>
      <w:pPr>
        <w:spacing w:before="0" w:after="200" w:lineRule="auto" w:line="276"/>
      </w:pPr>
      <w:r>
        <w:rPr>
          <w:b/>
        </w:rPr>
        <w:t xml:space="preserve">Abstract (EN): </w:t>
      </w:r>
      <w:r>
        <w:t>Stereogenic aminals are widespread in natural products, pharmaceuticals, and biologically active compounds, including important classes of antibiotics. Methodologies for asymmetric synthesis of aminals are therefore highly desirable, yet they remain scarce and mostly rely on C─N bond formation at functionalized carbon centers such as carbonyls. Here we report the development of a strategy for asymmetric synthesis of aminals via direct, stereoselective C(sp</w:t>
      </w:r>
      <w:r>
        <w:rPr>
          <w:vertAlign w:val="subscript"/>
        </w:rPr>
        <w:t>3</w:t>
      </w:r>
      <w:r>
        <w:t>)–H functionalization of cyclic amines via an enzyme‐catalyzed intermolecular nitrene transfer reaction with dioxazolones. Using engineered variants of thermophilic cytochrome P450 (CYP119) from</w:t>
      </w:r>
      <w:r>
        <w:t xml:space="preserve"> </w:t>
      </w:r>
      <w:r>
        <w:t>Sulfolobus solfataricus</w:t>
      </w:r>
      <w:r>
        <w:t xml:space="preserve"> </w:t>
      </w:r>
      <w:r>
        <w:t>as catalysts, this approach enables the synthesis of a diverse set of indoline‐based aminals in good to high yields, excellent regio‐ and chemoselectivity, and with enantioselectivity up to &amp;gt;99%</w:t>
      </w:r>
      <w:r>
        <w:t xml:space="preserve"> </w:t>
      </w:r>
      <w:r>
        <w:t>ee</w:t>
      </w:r>
      <w:r>
        <w:t xml:space="preserve"> </w:t>
      </w:r>
      <w:r>
        <w:t>. This methodology could be further extended to pyrrolidines, piperidines, or morpholines as well as different dioxazolone reagents, yielding a diverse range of enantioenriched aminal scaffolds. This work expands the scope of abiological intermolecular C(sp</w:t>
      </w:r>
      <w:r>
        <w:rPr>
          <w:vertAlign w:val="subscript"/>
        </w:rPr>
        <w:t>3</w:t>
      </w:r>
      <w:r>
        <w:t>)–H amination reactions accessible through biocatalysis and provides a convenient, new route to the synthesis of enantioenriched aminal compounds.</w:t>
      </w:r>
    </w:p>
    <w:p>
      <w:pPr>
        <w:spacing w:before="120" w:after="120"/>
      </w:pPr>
      <w:r>
        <w:rPr>
          <w:sz w:val="18"/>
        </w:rPr>
        <w:t>——————————————————————————————————————————————————————————————————————</w:t>
      </w:r>
    </w:p>
    <w:p>
      <w:pPr>
        <w:spacing w:before="160" w:after="40" w:line="240" w:lineRule="auto"/>
      </w:pPr>
      <w:r>
        <w:rPr>
          <w:b/>
        </w:rPr>
        <w:t xml:space="preserve">[181] </w:t>
      </w:r>
      <w:hyperlink r:id="rId919">
        <w:r>
          <w:rPr>
            <w:color w:val="1155CC"/>
            <w:u w:val="single"/>
          </w:rPr>
          <w:t>具有正合作性和超高亲和力的变构控制捕获相互排斥的客人</w:t>
        </w:r>
      </w:hyperlink>
    </w:p>
    <w:p>
      <w:pPr>
        <w:spacing w:before="0" w:after="80"/>
      </w:pPr>
      <w:r>
        <w:rPr>
          <w:i/>
          <w:sz w:val="20"/>
        </w:rPr>
        <w:t>EN: Allosterically Controlled Capture of Mutually Repulsive Guests With Positive Cooperativity and Ultrahigh Affinity</w:t>
      </w:r>
    </w:p>
    <w:p>
      <w:pPr>
        <w:spacing w:before="0" w:after="120"/>
      </w:pPr>
      <w:r>
        <w:rPr>
          <w:b/>
        </w:rPr>
        <w:t xml:space="preserve">Source: </w:t>
      </w:r>
      <w:r>
        <w:t>Wiley: Angewandte Chemie International Edition: Table of Contents</w:t>
      </w:r>
      <w:r>
        <w:t xml:space="preserve">    </w:t>
      </w:r>
      <w:r>
        <w:rPr>
          <w:b/>
        </w:rPr>
        <w:t xml:space="preserve">Pub date: </w:t>
      </w:r>
      <w:r>
        <w:t>2026-08-08 10:51:29+00:00</w:t>
      </w:r>
      <w:r>
        <w:t xml:space="preserve">    </w:t>
      </w:r>
      <w:r>
        <w:rPr>
          <w:b/>
        </w:rPr>
        <w:t xml:space="preserve">DOI: </w:t>
      </w:r>
      <w:hyperlink r:id="rId920">
        <w:r>
          <w:rPr>
            <w:color w:val="1155CC"/>
            <w:u w:val="single"/>
          </w:rPr>
          <w:t>10.1002/anie.9333885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包含三个尿素单元的六阳离子笼可以通过氢键和静电相互作用的组合将两个相互排斥的阴离子封装在非常接近的位置。这导致异常高的结合亲和力，</w:t>
      </w:r>
      <w:r>
        <w:t xml:space="preserve"> </w:t>
      </w:r>
      <w:r>
        <w:t>K</w:t>
      </w:r>
      <w:r>
        <w:rPr>
          <w:vertAlign w:val="subscript"/>
        </w:rPr>
        <w:t>1</w:t>
      </w:r>
      <w:r>
        <w:t>×</w:t>
      </w:r>
      <w:r>
        <w:t xml:space="preserve"> </w:t>
      </w:r>
      <w:r>
        <w:t>K</w:t>
      </w:r>
      <w:r>
        <w:rPr>
          <w:vertAlign w:val="subscript"/>
        </w:rPr>
        <w:t>2</w:t>
      </w:r>
      <w:r>
        <w:t>值大约为 10</w:t>
      </w:r>
      <w:r>
        <w:rPr>
          <w:vertAlign w:val="subscript"/>
        </w:rPr>
        <w:t>20</w:t>
      </w:r>
      <w:r>
        <w:t>中号</w:t>
      </w:r>
      <w:r>
        <w:t xml:space="preserve"> </w:t>
      </w:r>
      <w:r>
        <w:t>−2</w:t>
      </w:r>
      <w:r>
        <w:t xml:space="preserve"> </w:t>
      </w:r>
      <w:r>
        <w:t>在 MeCN-</w:t>
      </w:r>
      <w:r>
        <w:t>d</w:t>
      </w:r>
      <w:r>
        <w:rPr>
          <w:vertAlign w:val="subscript"/>
        </w:rPr>
        <w:t>3</w:t>
      </w:r>
      <w:r>
        <w:t>，对于 Cl 对</w:t>
      </w:r>
      <w:r>
        <w:t xml:space="preserve"> </w:t>
      </w:r>
      <w:r>
        <w:t>－</w:t>
      </w:r>
      <w:r>
        <w:t xml:space="preserve"> </w:t>
      </w:r>
      <w:r>
        <w:t>或F</w:t>
      </w:r>
      <w:r>
        <w:t xml:space="preserve"> </w:t>
      </w:r>
      <w:r>
        <w:t>－</w:t>
      </w:r>
      <w:r>
        <w:t xml:space="preserve"> </w:t>
      </w:r>
      <w:r>
        <w:t>阴离子。在未结合状态下，笼子采用通过分子内相互作用稳定的塌陷构象。这些相互作用在第一阴离子客体结合时被破坏，诱导有利于第二客体结合的展开构象。因此，尽管有排斥力，第二个 Cl</w:t>
      </w:r>
      <w:r>
        <w:t xml:space="preserve"> </w:t>
      </w:r>
      <w:r>
        <w:t>－</w:t>
      </w:r>
      <w:r>
        <w:t xml:space="preserve"> </w:t>
      </w:r>
      <w:r>
        <w:t>阴离子的结合力比第一个强三个数量级。这项工作提出了一种模拟生物变构调节的简单策略，并提供了对基本物理化学原理的见解。强卤化物结合可实现多种应用。笼子可提取F</w:t>
      </w:r>
      <w:r>
        <w:t xml:space="preserve"> </w:t>
      </w:r>
      <w:r>
        <w:t>－</w:t>
      </w:r>
      <w:r>
        <w:t xml:space="preserve"> </w:t>
      </w:r>
      <w:r>
        <w:t>来自氟化钙</w:t>
      </w:r>
      <w:r>
        <w:rPr>
          <w:vertAlign w:val="subscript"/>
        </w:rPr>
        <w:t>2</w:t>
      </w:r>
      <w:r>
        <w:t>，提出了一种利用萤石中的氟进行氟化物合成的路线，绕过了 o 的生成</w:t>
      </w:r>
    </w:p>
    <w:p>
      <w:pPr>
        <w:spacing w:before="0" w:after="200" w:lineRule="auto" w:line="276"/>
      </w:pPr>
      <w:r>
        <w:rPr>
          <w:b/>
        </w:rPr>
        <w:t xml:space="preserve">Abstract (EN): </w:t>
      </w:r>
      <w:r>
        <w:t>A hexacationic cage incorporating three urea units can encapsulate two mutually repulsive anions in close proximity through a combination of hydrogen bonding and electrostatic interactions. This leads to exceptionally high binding affinities, with a</w:t>
      </w:r>
      <w:r>
        <w:t xml:space="preserve"> </w:t>
      </w:r>
      <w:r>
        <w:t>K</w:t>
      </w:r>
      <w:r>
        <w:rPr>
          <w:vertAlign w:val="subscript"/>
        </w:rPr>
        <w:t>1</w:t>
      </w:r>
      <w:r>
        <w:t>×</w:t>
      </w:r>
      <w:r>
        <w:t xml:space="preserve"> </w:t>
      </w:r>
      <w:r>
        <w:t>K</w:t>
      </w:r>
      <w:r>
        <w:rPr>
          <w:vertAlign w:val="subscript"/>
        </w:rPr>
        <w:t>2</w:t>
      </w:r>
      <w:r>
        <w:t>value of approximately 10</w:t>
      </w:r>
      <w:r>
        <w:rPr>
          <w:vertAlign w:val="subscript"/>
        </w:rPr>
        <w:t>20</w:t>
      </w:r>
      <w:r>
        <w:t>M</w:t>
      </w:r>
      <w:r>
        <w:t xml:space="preserve"> </w:t>
      </w:r>
      <w:r>
        <w:t>‒2</w:t>
      </w:r>
      <w:r>
        <w:t xml:space="preserve"> </w:t>
      </w:r>
      <w:r>
        <w:t>in MeCN‐</w:t>
      </w:r>
      <w:r>
        <w:t xml:space="preserve"> </w:t>
      </w:r>
      <w:r>
        <w:t>d</w:t>
      </w:r>
      <w:r>
        <w:rPr>
          <w:vertAlign w:val="subscript"/>
        </w:rPr>
        <w:t>3</w:t>
      </w:r>
      <w:r>
        <w:t>, for pairs of Cl</w:t>
      </w:r>
      <w:r>
        <w:t xml:space="preserve"> </w:t>
      </w:r>
      <w:r>
        <w:t>‒</w:t>
      </w:r>
      <w:r>
        <w:t xml:space="preserve"> </w:t>
      </w:r>
      <w:r>
        <w:t>or F</w:t>
      </w:r>
      <w:r>
        <w:t xml:space="preserve"> </w:t>
      </w:r>
      <w:r>
        <w:t>‒</w:t>
      </w:r>
      <w:r>
        <w:t xml:space="preserve"> </w:t>
      </w:r>
      <w:r>
        <w:t>anions. In its unbound state, the cage adopts a collapsed conformation stabilized by intramolecular interactions. These interactions are disrupted upon binding of the first anion guest, inducing an unfolded conformation that facilitates the binding of the second guest. Consequently, despite repulsion, the second Cl</w:t>
      </w:r>
      <w:r>
        <w:t xml:space="preserve"> </w:t>
      </w:r>
      <w:r>
        <w:t>‒</w:t>
      </w:r>
      <w:r>
        <w:t xml:space="preserve"> </w:t>
      </w:r>
      <w:r>
        <w:t>anion binds more strongly than the first by three orders of magnitude. This work presents a straightforward strategy for mimicking biological allosteric regulation and offers insights into the underlying physicochemical principles. The strong halide binding enables several applications. The cage can extract F</w:t>
      </w:r>
      <w:r>
        <w:t xml:space="preserve"> </w:t>
      </w:r>
      <w:r>
        <w:t>‒</w:t>
      </w:r>
      <w:r>
        <w:t xml:space="preserve"> </w:t>
      </w:r>
      <w:r>
        <w:t>from CaF</w:t>
      </w:r>
      <w:r>
        <w:rPr>
          <w:vertAlign w:val="subscript"/>
        </w:rPr>
        <w:t>2</w:t>
      </w:r>
      <w:r>
        <w:t>, suggesting a route to utilize fluorine from fluorspar for fluorochemical synthesis that bypasses the generation of hazardous HF. Furthermore, the cage can extract Cl</w:t>
      </w:r>
      <w:r>
        <w:t xml:space="preserve"> </w:t>
      </w:r>
      <w:r>
        <w:t>‒</w:t>
      </w:r>
      <w:r>
        <w:t xml:space="preserve"> </w:t>
      </w:r>
      <w:r>
        <w:t>or Br</w:t>
      </w:r>
      <w:r>
        <w:t xml:space="preserve"> </w:t>
      </w:r>
      <w:r>
        <w:t>‒</w:t>
      </w:r>
      <w:r>
        <w:t xml:space="preserve"> </w:t>
      </w:r>
      <w:r>
        <w:t>anions from organic halides, thereby stabilizing the corresponding carbocations and accelerating reactions involving these intermediates. In addition, the high affinity of the cage for halide anions released from fire suppressants provides for corrosion resistance.</w:t>
      </w:r>
    </w:p>
    <w:p>
      <w:pPr>
        <w:spacing w:before="120" w:after="120"/>
      </w:pPr>
      <w:r>
        <w:rPr>
          <w:sz w:val="18"/>
        </w:rPr>
        <w:t>——————————————————————————————————————————————————————————————————————</w:t>
      </w:r>
    </w:p>
    <w:p>
      <w:pPr>
        <w:spacing w:before="160" w:after="40" w:line="240" w:lineRule="auto"/>
      </w:pPr>
      <w:r>
        <w:rPr>
          <w:b/>
        </w:rPr>
        <w:t xml:space="preserve">[182] </w:t>
      </w:r>
      <w:hyperlink r:id="rId921">
        <w:r>
          <w:rPr>
            <w:color w:val="1155CC"/>
            <w:u w:val="single"/>
          </w:rPr>
          <w:t>差向异构体自组装中的多米诺骨牌效应为生物医学应用带来多种水凝胶特性</w:t>
        </w:r>
      </w:hyperlink>
    </w:p>
    <w:p>
      <w:pPr>
        <w:spacing w:before="0" w:after="80"/>
      </w:pPr>
      <w:r>
        <w:rPr>
          <w:i/>
          <w:sz w:val="20"/>
        </w:rPr>
        <w:t>EN: Domino Effect in Epimer Self‐Assembly Induces Diverse Hydrogel Properties for Biomedical Applications</w:t>
      </w:r>
    </w:p>
    <w:p>
      <w:pPr>
        <w:spacing w:before="0" w:after="120"/>
      </w:pPr>
      <w:r>
        <w:rPr>
          <w:b/>
        </w:rPr>
        <w:t xml:space="preserve">Source: </w:t>
      </w:r>
      <w:r>
        <w:t>Wiley: Angewandte Chemie International Edition: Table of Contents</w:t>
      </w:r>
      <w:r>
        <w:t xml:space="preserve">    </w:t>
      </w:r>
      <w:r>
        <w:rPr>
          <w:b/>
        </w:rPr>
        <w:t xml:space="preserve">Pub date: </w:t>
      </w:r>
      <w:r>
        <w:t>2026-08-08 10:55:17+00:00</w:t>
      </w:r>
      <w:r>
        <w:t xml:space="preserve">    </w:t>
      </w:r>
      <w:r>
        <w:rPr>
          <w:b/>
        </w:rPr>
        <w:t xml:space="preserve">DOI: </w:t>
      </w:r>
      <w:hyperlink r:id="rId922">
        <w:r>
          <w:rPr>
            <w:color w:val="1155CC"/>
            <w:u w:val="single"/>
          </w:rPr>
          <w:t>10.1002/anie.6657683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小分子自组装的精确调控仍然是一个艰巨的挑战，因为微妙的结构变化可能引发超分子结构的深刻重新编程。在此，我们证明甘草酸（GA）的 C18 差向异构化可作为分子开关来调节其自组装行为和所得超分子水凝胶的性质。计算模拟和实验分析表明，这种差向异构体转变会引发“多米诺骨牌效应”，从根本上重写自组装途径，特别是通过重塑分子间氢键（H键）网络。异甘草酸 (IGA) 是 GA 的 C18 差向异构体，通过独特的四聚体堆叠模式形成密集交联的纤维网络，由于静电表面电位和分子平面性的改变而显着增强了氢键相互作用。这些结构差异产生的水凝胶具有增强的可注射性和粘度，支持基于 IGA 的水凝胶平台的转化潜力。此外，IGA 与多种治疗剂共同组装形成水凝胶，可改善药物分散性并在评估的临床前模型中产生增强的治疗效果。这项研究阐明了从分子立体化学到宏观功能的差向异构体控制的级联，并建立了工程超分子生物材料的立体化学策略。</w:t>
      </w:r>
    </w:p>
    <w:p>
      <w:pPr>
        <w:spacing w:before="0" w:after="200" w:lineRule="auto" w:line="276"/>
      </w:pPr>
      <w:r>
        <w:rPr>
          <w:b/>
        </w:rPr>
        <w:t xml:space="preserve">Abstract (EN): </w:t>
      </w:r>
      <w:r>
        <w:t>Precise regulation of small‐molecule self‐assembly remains a formidable challenge, as subtle structural variations can trigger profound reprogramming of supramolecular architectures. Herein, we demonstrate that C18‐epimerization of glycyrrhizic acid (GA) acts as a molecular switch to modulate both its self‐assembly behavior and the properties of the resulting supramolecular hydrogels. Computational simulations and experimental analyses reveal that this epimer transition induces a “domino effect” that fundamentally rewrites the self‐assembly pathway, particularly by reshaping the intermolecular hydrogen‐bonding (H‐bond) network. Isoglycyrrhizic acid (IGA), the C18‐epimer of GA, forms a densely crosslinked fiber network through a distinct tetramer stacking mode, with significantly enhanced H‐bond interactions arising from altered electrostatic surface potential and molecular planarity. These structural differences yield hydrogels with enhanced injectability and viscosity, supporting the translational potential of IGA‐based hydrogel platforms. Furthermore, IGA co‐assembled with diverse therapeutic agents to form hydrogels that improved drug dispersibility and produced enhanced therapeutic effects in the evaluated preclinical models. This study elucidates the epimer‐governed cascade from molecular stereochemistry to macroscopic function and establishes a stereochemical strategy for engineering supramolecular biomaterials.</w:t>
      </w:r>
    </w:p>
    <w:p>
      <w:pPr>
        <w:spacing w:before="120" w:after="120"/>
      </w:pPr>
      <w:r>
        <w:rPr>
          <w:sz w:val="18"/>
        </w:rPr>
        <w:t>——————————————————————————————————————————————————————————————————————</w:t>
      </w:r>
    </w:p>
    <w:p>
      <w:pPr>
        <w:spacing w:before="160" w:after="40" w:line="240" w:lineRule="auto"/>
      </w:pPr>
      <w:r>
        <w:rPr>
          <w:b/>
        </w:rPr>
        <w:t xml:space="preserve">[183] </w:t>
      </w:r>
      <w:hyperlink r:id="rId923">
        <w:r>
          <w:rPr>
            <w:color w:val="1155CC"/>
            <w:u w:val="single"/>
          </w:rPr>
          <w:t>硼和磷掺杂的杂环纳米石墨烯：磷化后合成、激发态动力学和离子响应特性</w:t>
        </w:r>
      </w:hyperlink>
    </w:p>
    <w:p>
      <w:pPr>
        <w:spacing w:before="0" w:after="80"/>
      </w:pPr>
      <w:r>
        <w:rPr>
          <w:i/>
          <w:sz w:val="20"/>
        </w:rPr>
        <w:t>EN: Heterocyclic Nanographenes Doped with Boron and Phosphorus: Post‐Phosphorization Synthesis, Excited‐State Dynamics and Ion‐Responsive Properties</w:t>
      </w:r>
    </w:p>
    <w:p>
      <w:pPr>
        <w:spacing w:before="0" w:after="120"/>
      </w:pPr>
      <w:r>
        <w:rPr>
          <w:b/>
        </w:rPr>
        <w:t xml:space="preserve">Source: </w:t>
      </w:r>
      <w:r>
        <w:t>Wiley: Angewandte Chemie International Edition: Table of Contents</w:t>
      </w:r>
      <w:r>
        <w:t xml:space="preserve">    </w:t>
      </w:r>
      <w:r>
        <w:rPr>
          <w:b/>
        </w:rPr>
        <w:t xml:space="preserve">Pub date: </w:t>
      </w:r>
      <w:r>
        <w:t>2026-08-08 10:58:31+00:00</w:t>
      </w:r>
      <w:r>
        <w:t xml:space="preserve">    </w:t>
      </w:r>
      <w:r>
        <w:rPr>
          <w:b/>
        </w:rPr>
        <w:t xml:space="preserve">DOI: </w:t>
      </w:r>
      <w:hyperlink r:id="rId924">
        <w:r>
          <w:rPr>
            <w:color w:val="1155CC"/>
            <w:u w:val="single"/>
          </w:rPr>
          <w:t>10.1002/anie.9666828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一种以上的杂原子引入多环芳烃中是获得多样化杂环结构和理想物理性能的有效方法。在此，我们公开了共轭有机硼烷的精确后磷化，这使得能够成功合成前所未有的硼/磷共掺杂纳米石墨烯。两个所获得的杂环分子，在锯齿形边缘具有硼原子和氧化膦基团，显示出弯曲的C</w:t>
      </w:r>
      <w:r>
        <w:rPr>
          <w:vertAlign w:val="subscript"/>
        </w:rPr>
        <w:t>42</w:t>
      </w:r>
      <w:r>
        <w:t>乙</w:t>
      </w:r>
      <w:r>
        <w:rPr>
          <w:vertAlign w:val="subscript"/>
        </w:rPr>
        <w:t>2</w:t>
      </w:r>
      <w:r>
        <w:t>P和C</w:t>
      </w:r>
      <w:r>
        <w:rPr>
          <w:vertAlign w:val="subscript"/>
        </w:rPr>
        <w:t>42</w:t>
      </w:r>
      <w:r>
        <w:t>乙</w:t>
      </w:r>
      <w:r>
        <w:rPr>
          <w:vertAlign w:val="subscript"/>
        </w:rPr>
        <w:t>2</w:t>
      </w:r>
      <w:r>
        <w:t>磷</w:t>
      </w:r>
      <w:r>
        <w:rPr>
          <w:vertAlign w:val="subscript"/>
        </w:rPr>
        <w:t>2</w:t>
      </w:r>
      <w:r>
        <w:t>框架分别归因于含磷六角环的结构扭曲效应。它们表现出有趣的特性，例如芳香性受到干扰、电子亲和力增强和能隙扩大。值得注意的是，观察到蓝移受激发射和放大自发发射特性，不仅证明了硼原子和磷单元的重要影响，而且证明了它们潜在的光学增益和激光效用。此外，磷中心的硫化反应产生另一种含有硫化膦单元的杂环衍生物。其硼原子和硫化膦基团分别与氟化物和银离子进行配位，表明其具有罕见的双离子响应特性。这个磷化后</w:t>
      </w:r>
    </w:p>
    <w:p>
      <w:pPr>
        <w:spacing w:before="0" w:after="200" w:lineRule="auto" w:line="276"/>
      </w:pPr>
      <w:r>
        <w:rPr>
          <w:b/>
        </w:rPr>
        <w:t xml:space="preserve">Abstract (EN): </w:t>
      </w:r>
      <w:r>
        <w:t>Incorporating more than one kind of heteroatom into polycyclic aromatic hydrocarbons is a powerful method for achieving diversiform heterocyclic structures and desirable physical properties. Herein, we disclose precise post‐phosphorization of conjugated organoboranes, which enables the successful synthesis of unprecedented boron‐/phosphorus‐codoped nanographenes. Two as‐obtained heterocyclic molecules, featuring boron atoms and phosphine oxide groups at the zigzag edges, show the curved C</w:t>
      </w:r>
      <w:r>
        <w:rPr>
          <w:vertAlign w:val="subscript"/>
        </w:rPr>
        <w:t>42</w:t>
      </w:r>
      <w:r>
        <w:t>B</w:t>
      </w:r>
      <w:r>
        <w:rPr>
          <w:vertAlign w:val="subscript"/>
        </w:rPr>
        <w:t>2</w:t>
      </w:r>
      <w:r>
        <w:t>P and C</w:t>
      </w:r>
      <w:r>
        <w:rPr>
          <w:vertAlign w:val="subscript"/>
        </w:rPr>
        <w:t>42</w:t>
      </w:r>
      <w:r>
        <w:t>B</w:t>
      </w:r>
      <w:r>
        <w:rPr>
          <w:vertAlign w:val="subscript"/>
        </w:rPr>
        <w:t>2</w:t>
      </w:r>
      <w:r>
        <w:t>P</w:t>
      </w:r>
      <w:r>
        <w:rPr>
          <w:vertAlign w:val="subscript"/>
        </w:rPr>
        <w:t>2</w:t>
      </w:r>
      <w:r>
        <w:t>frameworks, respectively, attributed to the structural distortion effects of the phosphorus‐containing hexagonal rings. They display intriguing properties, such as disturbed aromaticity, enhanced electron affinity, and enlarged energy gaps. Notably, the blue‐shifted stimulated emission and amplified spontaneous emission characteristics are observed, demonstrating not only the important effects of the boron atoms and phosphorus units but also their potential optical‐gain and lasing utility. Furthermore, the sulfuration reaction of the phosphorus center produced another heterocyclic derivative containing the phosphine sulfide units. Coordination of its boron atoms and phosphine sulfide groups with the fluoride and silver ions, respectively, is realized, indicating its uncommon dual ion‐responsive properties. This post‐phosphorization strategy, along with these findings, will inspire research of boron/phosphorus‐containing heterocycle chemistry and materials.</w:t>
      </w:r>
    </w:p>
    <w:p>
      <w:pPr>
        <w:spacing w:before="120" w:after="120"/>
      </w:pPr>
      <w:r>
        <w:rPr>
          <w:sz w:val="18"/>
        </w:rPr>
        <w:t>——————————————————————————————————————————————————————————————————————</w:t>
      </w:r>
    </w:p>
    <w:p>
      <w:pPr>
        <w:spacing w:before="160" w:after="40" w:line="240" w:lineRule="auto"/>
      </w:pPr>
      <w:r>
        <w:rPr>
          <w:b/>
        </w:rPr>
        <w:t xml:space="preserve">[184] </w:t>
      </w:r>
      <w:hyperlink r:id="rId925">
        <w:r>
          <w:rPr>
            <w:color w:val="1155CC"/>
            <w:u w:val="single"/>
          </w:rPr>
          <w:t>高价碘物质的自变重排：季碳的迁移异功能化</w:t>
        </w:r>
      </w:hyperlink>
    </w:p>
    <w:p>
      <w:pPr>
        <w:spacing w:before="0" w:after="80"/>
      </w:pPr>
      <w:r>
        <w:rPr>
          <w:i/>
          <w:sz w:val="20"/>
        </w:rPr>
        <w:t>EN: Dyotropic Rearrangement of Hypervalent Iodine Species: Migrative Heterofunctionalization of Quaternary Carbons</w:t>
      </w:r>
    </w:p>
    <w:p>
      <w:pPr>
        <w:spacing w:before="0" w:after="120"/>
      </w:pPr>
      <w:r>
        <w:rPr>
          <w:b/>
        </w:rPr>
        <w:t xml:space="preserve">Source: </w:t>
      </w:r>
      <w:r>
        <w:t>Wiley: Angewandte Chemie International Edition: Table of Contents</w:t>
      </w:r>
      <w:r>
        <w:t xml:space="preserve">    </w:t>
      </w:r>
      <w:r>
        <w:rPr>
          <w:b/>
        </w:rPr>
        <w:t xml:space="preserve">Pub date: </w:t>
      </w:r>
      <w:r>
        <w:t>2026-08-08 11:00:08+00:00</w:t>
      </w:r>
      <w:r>
        <w:t xml:space="preserve">    </w:t>
      </w:r>
      <w:r>
        <w:rPr>
          <w:b/>
        </w:rPr>
        <w:t xml:space="preserve">DOI: </w:t>
      </w:r>
      <w:hyperlink r:id="rId926">
        <w:r>
          <w:rPr>
            <w:color w:val="1155CC"/>
            <w:u w:val="single"/>
          </w:rPr>
          <w:t>10.1002/anie.7649039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铼中间体几乎普遍被用来解释利用原位生成的高价碘 (III) 离去基团的反应中的 1,2-芳基迁移过程。在这里，我们证明这种转变可以通过以前未被识别的 1,2-C/I(III) 共变性重排进行，这代表了碘 (III) 化学中根本不同的机制流形。用 Selectflu 和 Py·9HF 处理 2-烷基-2-芳基-3-碘丙酸乙酯，可以实现跨 C(sp</w:t>
      </w:r>
      <w:r>
        <w:rPr>
          <w:vertAlign w:val="subscript"/>
        </w:rPr>
        <w:t>3</w:t>
      </w:r>
      <w:r>
        <w:t>)─C(sp</w:t>
      </w:r>
      <w:r>
        <w:rPr>
          <w:vertAlign w:val="subscript"/>
        </w:rPr>
        <w:t>3</w:t>
      </w:r>
      <w:r>
        <w:t>)键，在酯Cα位置上区域选择性地安装氟。相同的向变性逻辑延伸至分别使用高价碘试剂与羧酸或醇组合的迁移酰氧基芳基化和烷氧基芳基化反应，并在Cα立构中心处进行绝对构型的反转。尽管苯鎓中间体在许多系统中都是成熟的，但这项研究表明，自变性重排途径可以得到大力支持，为观察到的反应结果提供了独特的理由。</w:t>
      </w:r>
    </w:p>
    <w:p>
      <w:pPr>
        <w:spacing w:before="0" w:after="200" w:lineRule="auto" w:line="276"/>
      </w:pPr>
      <w:r>
        <w:rPr>
          <w:b/>
        </w:rPr>
        <w:t xml:space="preserve">Abstract (EN): </w:t>
      </w:r>
      <w:r>
        <w:t>Phenonium intermediates are almost universally invoked to account for 1,2‐aryl migration processes in reactions that exploit in situ‐generated hypervalent iodine(III) leaving groups. Here, we demonstrate that such transformations can instead proceed through a previously unrecognized 1,2‐C/I(III) dyotropic rearrangement, which represents a fundamentally different mechanistic manifold in iodine(III) chemistry. Treatment of ethyl 2‐alkyl‐2‐aryl‐3‐iodopropanoates with Selectfluor and Py·9HF enables migratory aryl fluorination across a C(sp</w:t>
      </w:r>
      <w:r>
        <w:rPr>
          <w:vertAlign w:val="subscript"/>
        </w:rPr>
        <w:t>3</w:t>
      </w:r>
      <w:r>
        <w:t>)─C(sp</w:t>
      </w:r>
      <w:r>
        <w:rPr>
          <w:vertAlign w:val="subscript"/>
        </w:rPr>
        <w:t>3</w:t>
      </w:r>
      <w:r>
        <w:t>) bond, installing fluorine regioselectively at the ester Cα position. The same dyotropic logic extends to migratory acyloxy arylation and alkoxy arylation reactions using hypervalent iodine reagents in combination with carboxylic acids or alcohols, respectively, and proceeds with inversion of absolute configuration at the Cα stereocenter. Although a phenonium intermediate is well‐established for many systems, this study demonstrates that a dyotropic rearrangement pathway can be energetically favored, offering a distinct rationale for the observed reaction outcome.</w:t>
      </w:r>
    </w:p>
    <w:p>
      <w:pPr>
        <w:spacing w:before="120" w:after="120"/>
      </w:pPr>
      <w:r>
        <w:rPr>
          <w:sz w:val="18"/>
        </w:rPr>
        <w:t>——————————————————————————————————————————————————————————————————————</w:t>
      </w:r>
    </w:p>
    <w:p>
      <w:pPr>
        <w:spacing w:before="160" w:after="40" w:line="240" w:lineRule="auto"/>
      </w:pPr>
      <w:r>
        <w:rPr>
          <w:b/>
        </w:rPr>
        <w:t xml:space="preserve">[185] </w:t>
      </w:r>
      <w:hyperlink r:id="rId927">
        <w:r>
          <w:rPr>
            <w:color w:val="1155CC"/>
            <w:u w:val="single"/>
          </w:rPr>
          <w:t>曼尼希反应的不对称碲键催化</w:t>
        </w:r>
      </w:hyperlink>
    </w:p>
    <w:p>
      <w:pPr>
        <w:spacing w:before="0" w:after="80"/>
      </w:pPr>
      <w:r>
        <w:rPr>
          <w:i/>
          <w:sz w:val="20"/>
        </w:rPr>
        <w:t>EN: Asymmetric Tellurium‐Bonding Catalysis for Mannich Reaction</w:t>
      </w:r>
    </w:p>
    <w:p>
      <w:pPr>
        <w:spacing w:before="0" w:after="120"/>
      </w:pPr>
      <w:r>
        <w:rPr>
          <w:b/>
        </w:rPr>
        <w:t xml:space="preserve">Source: </w:t>
      </w:r>
      <w:r>
        <w:t>Wiley: Angewandte Chemie International Edition: Table of Contents</w:t>
      </w:r>
      <w:r>
        <w:t xml:space="preserve">    </w:t>
      </w:r>
      <w:r>
        <w:rPr>
          <w:b/>
        </w:rPr>
        <w:t xml:space="preserve">Pub date: </w:t>
      </w:r>
      <w:r>
        <w:t>2026-08-08 11:01:25+00:00</w:t>
      </w:r>
      <w:r>
        <w:t xml:space="preserve">    </w:t>
      </w:r>
      <w:r>
        <w:rPr>
          <w:b/>
        </w:rPr>
        <w:t xml:space="preserve">DOI: </w:t>
      </w:r>
      <w:hyperlink r:id="rId928">
        <w:r>
          <w:rPr>
            <w:color w:val="1155CC"/>
            <w:u w:val="single"/>
          </w:rPr>
          <w:t>10.1002/anie.3568920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属键催化最近已成为有机催化领域的强大工具。然而，其在不对称转化中的应用在很大程度上仍未被探索，这主要是由于有效的手性硫属键供体的稀缺。在这项研究中，我们报告了一系列基于轴向手性1,1'-螺二茚烷支架的手性碲键合催化剂的设计和合成。利用高度定向和强极化的碲中心供体以及明确的</w:t>
      </w:r>
      <w:r>
        <w:t xml:space="preserve"> </w:t>
      </w:r>
      <w:r>
        <w:t>C</w:t>
      </w:r>
      <w:r>
        <w:rPr>
          <w:vertAlign w:val="subscript"/>
        </w:rPr>
        <w:t>2</w:t>
      </w:r>
      <w:r>
        <w:t>对称手性环境中，这些催化剂能够实现底物的协同双功能活化。在优化的条件下，靛红亚胺与二氰基烯烃的不对称曼尼希反应顺利进行，以良好至优异的产率和高对映选择性提供多种产品。机理研究支持双硫族键合激活模式，涉及两个碲中心和靛红亚胺底物之间的协同相互作用。这项工作对硫族键合的不对称催化做出了开创性的贡献，并为手性碲键合催化剂和相关对映选择性转化的开发提供了新的平台。</w:t>
      </w:r>
    </w:p>
    <w:p>
      <w:pPr>
        <w:spacing w:before="0" w:after="200" w:lineRule="auto" w:line="276"/>
      </w:pPr>
      <w:r>
        <w:rPr>
          <w:b/>
        </w:rPr>
        <w:t xml:space="preserve">Abstract (EN): </w:t>
      </w:r>
      <w:r>
        <w:t>Chalcogen‐bonding catalysis has recently emerged as a powerful tool in organocatalysis. Nevertheless, its application in asymmetric transformations remains largely unexplored, primarily due to the scarcity of efficient chiral chalcogen‐bond donors. In this study, we report the design and synthesis of a series of chiral tellurium‐bonding catalysts based on an axially chiral 1,1′‐spirobiindane scaffold. Taking advantage of the highly directional and strongly polarizable tellurium‐centered donors along with a well‐defined</w:t>
      </w:r>
      <w:r>
        <w:t xml:space="preserve"> </w:t>
      </w:r>
      <w:r>
        <w:t>C</w:t>
      </w:r>
      <w:r>
        <w:rPr>
          <w:vertAlign w:val="subscript"/>
        </w:rPr>
        <w:t>2</w:t>
      </w:r>
      <w:r>
        <w:t>‐symmetric chiral environment, these catalysts enable cooperative bifunctional activation of substrates. Under optimized conditions, the asymmetric Mannich reaction of isatin imines with dicyanoolefins proceeds smoothly to afford a broad range of products in good to excellent yields with high enantioselectivities. Mechanistic studies support a dual chalcogen‐bonding activation mode involving cooperative interactions between the two tellurium centers and the isatin imine substrate. This work constitutes a seminal contribution to asymmetric catalysis enabled by chalcogen bonding and offers a new platform for the development of chiral tellurium‐bonding catalysts and related enantioselective transformations.</w:t>
      </w:r>
    </w:p>
    <w:p>
      <w:pPr>
        <w:spacing w:before="120" w:after="120"/>
      </w:pPr>
      <w:r>
        <w:rPr>
          <w:sz w:val="18"/>
        </w:rPr>
        <w:t>——————————————————————————————————————————————————————————————————————</w:t>
      </w:r>
    </w:p>
    <w:p>
      <w:pPr>
        <w:spacing w:before="160" w:after="40" w:line="240" w:lineRule="auto"/>
      </w:pPr>
      <w:r>
        <w:rPr>
          <w:b/>
        </w:rPr>
        <w:t xml:space="preserve">[186] </w:t>
      </w:r>
      <w:hyperlink r:id="rId929">
        <w:r>
          <w:rPr>
            <w:color w:val="1155CC"/>
            <w:u w:val="single"/>
          </w:rPr>
          <w:t>超小纳米粒子的聚合物复合材料：耦合动力学的协同加工性能</w:t>
        </w:r>
      </w:hyperlink>
    </w:p>
    <w:p>
      <w:pPr>
        <w:spacing w:before="0" w:after="80"/>
      </w:pPr>
      <w:r>
        <w:rPr>
          <w:i/>
          <w:sz w:val="20"/>
        </w:rPr>
        <w:t>EN: Polymer Composites of Ultra‐Small Nanoparticles: Coupled Dynamics for Synergistic Processability</w:t>
      </w:r>
    </w:p>
    <w:p>
      <w:pPr>
        <w:spacing w:before="0" w:after="120"/>
      </w:pPr>
      <w:r>
        <w:rPr>
          <w:b/>
        </w:rPr>
        <w:t xml:space="preserve">Source: </w:t>
      </w:r>
      <w:r>
        <w:t>Wiley: Angewandte Chemie International Edition: Table of Contents</w:t>
      </w:r>
      <w:r>
        <w:t xml:space="preserve">    </w:t>
      </w:r>
      <w:r>
        <w:rPr>
          <w:b/>
        </w:rPr>
        <w:t xml:space="preserve">Pub date: </w:t>
      </w:r>
      <w:r>
        <w:t>2026-08-08 11:12:20+00:00</w:t>
      </w:r>
      <w:r>
        <w:t xml:space="preserve">    </w:t>
      </w:r>
      <w:r>
        <w:rPr>
          <w:b/>
        </w:rPr>
        <w:t xml:space="preserve">DOI: </w:t>
      </w:r>
      <w:hyperlink r:id="rId930">
        <w:r>
          <w:rPr>
            <w:color w:val="1155CC"/>
            <w:u w:val="single"/>
          </w:rPr>
          <w:t>10.1002/anie.2761225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超小纳米粒子（USNP）具有快速动力学、超小尺寸和致密表面功能的特点，为同时调节聚合物行为和纳米粒子组装提供了一种尚未充分探索但强大的策略。在此，我们介绍了一种基于 USNP 络合的多功能材料设计策略，以重新编程聚合物链动力学并操纵 NP 排序。使用 1 nm 金属氧化物 NP、H</w:t>
      </w:r>
      <w:r>
        <w:rPr>
          <w:vertAlign w:val="subscript"/>
        </w:rPr>
        <w:t>3</w:t>
      </w:r>
      <w:r>
        <w:t>密码</w:t>
      </w:r>
      <w:r>
        <w:rPr>
          <w:vertAlign w:val="subscript"/>
        </w:rPr>
        <w:t>12</w:t>
      </w:r>
      <w:r>
        <w:t>氧</w:t>
      </w:r>
      <w:r>
        <w:rPr>
          <w:vertAlign w:val="subscript"/>
        </w:rPr>
        <w:t>40</w:t>
      </w:r>
      <w:r>
        <w:t>(PTA) 与聚乙烯醇 (PVA) 复合，我们发现 USNPs 通过链塌陷诱导异常粘度降低，从而实现无残余应力的薄膜制造。 PTA 的尺寸明显小于聚合物线圈尺寸，加上与 PVA 链的强吸引力相互作用，会导致溶液中的链塌陷。它们的超高表面积会破坏聚合物结晶度并形成湿度响应型超分子网络，展示了光学薄膜定向和固定的湿度辅助概念验证途径。此外，USNP动力学的能垒远低于胶体纳米粒子的能垒，允许在单轴延伸下拉伸诱导取向。原位 X 射线散射证实了机械拉伸时的单向 PTA 取向，产生了有希望的双折射 (Δ</w:t>
      </w:r>
      <w:r>
        <w:t xml:space="preserve"> </w:t>
      </w:r>
      <w:r>
        <w:t>n</w:t>
      </w:r>
      <w:r>
        <w:t xml:space="preserve"> </w:t>
      </w:r>
      <w:r>
        <w:t>≈ 0.018）。这项工作将 USNP 络合确立为一种同时重新编程聚合物加工性能的通用策略</w:t>
      </w:r>
    </w:p>
    <w:p>
      <w:pPr>
        <w:spacing w:before="0" w:after="200" w:lineRule="auto" w:line="276"/>
      </w:pPr>
      <w:r>
        <w:rPr>
          <w:b/>
        </w:rPr>
        <w:t xml:space="preserve">Abstract (EN): </w:t>
      </w:r>
      <w:r>
        <w:t>Ultra‐small nanoparticles (USNPs), characterized by fast dynamics, ultra‐small dimensions and dense surface functionalities, offer an underexplored yet powerful strategy to simultaneously modulate polymer behavior and NP assembly. Herein, we introduce a versatile materials design strategy based on USNP complexation to reprogram polymer chain dynamics and manipulate NP ordering. Using 1 nm metal oxide NP, H</w:t>
      </w:r>
      <w:r>
        <w:rPr>
          <w:vertAlign w:val="subscript"/>
        </w:rPr>
        <w:t>3</w:t>
      </w:r>
      <w:r>
        <w:t>PW</w:t>
      </w:r>
      <w:r>
        <w:rPr>
          <w:vertAlign w:val="subscript"/>
        </w:rPr>
        <w:t>12</w:t>
      </w:r>
      <w:r>
        <w:t>O</w:t>
      </w:r>
      <w:r>
        <w:rPr>
          <w:vertAlign w:val="subscript"/>
        </w:rPr>
        <w:t>40</w:t>
      </w:r>
      <w:r>
        <w:t>(PTA) complexed with polyvinyl alcohol (PVA), we show that USNPs induce anomalous viscosity reduction via chain collapse, enabling residual‐stress‐free film fabrication. The size of PTA, significantly smaller than the polymer coil dimensions, combined with strong attractive interactions to PVA chains, induces chain collapse in solution. Their ultrahigh surface area disrupts polymer crystallinity and forms humidity‐responsive supramolecular networks, demonstrating a humidity‑assisted proof‑of‑concept route for optical‑film orientation and fixation. Moreover, the energy barrier for USNP dynamics is substantially lower than that of colloidal NPs, allowing stretch‐induced orientation under uniaxial extension. In situ x‐ray scattering confirms unidirectional PTA orientation upon mechanical stretching, yielding promising birefringence (Δ</w:t>
      </w:r>
      <w:r>
        <w:t xml:space="preserve"> </w:t>
      </w:r>
      <w:r>
        <w:t>n</w:t>
      </w:r>
      <w:r>
        <w:t xml:space="preserve"> </w:t>
      </w:r>
      <w:r>
        <w:t>≈ 0.018). This work establishes USNP complexation as a versatile strategy to simultaneously reprogram polymer processability and achieve precise NP ordering for functional devices.</w:t>
      </w:r>
    </w:p>
    <w:p>
      <w:pPr>
        <w:spacing w:before="120" w:after="120"/>
      </w:pPr>
      <w:r>
        <w:rPr>
          <w:sz w:val="18"/>
        </w:rPr>
        <w:t>——————————————————————————————————————————————————————————————————————</w:t>
      </w:r>
    </w:p>
    <w:p>
      <w:pPr>
        <w:spacing w:before="160" w:after="40" w:line="240" w:lineRule="auto"/>
      </w:pPr>
      <w:r>
        <w:rPr>
          <w:b/>
        </w:rPr>
        <w:t xml:space="preserve">[187] </w:t>
      </w:r>
      <w:hyperlink r:id="rId931">
        <w:r>
          <w:rPr>
            <w:color w:val="1155CC"/>
            <w:u w:val="single"/>
          </w:rPr>
          <w:t>塞巴斯蒂安·克莱门森</w:t>
        </w:r>
      </w:hyperlink>
    </w:p>
    <w:p>
      <w:pPr>
        <w:spacing w:before="0" w:after="80"/>
      </w:pPr>
      <w:r>
        <w:rPr>
          <w:i/>
          <w:sz w:val="20"/>
        </w:rPr>
        <w:t>EN: Sebastian Clementson</w:t>
      </w:r>
    </w:p>
    <w:p>
      <w:pPr>
        <w:spacing w:before="0" w:after="120"/>
      </w:pPr>
      <w:r>
        <w:rPr>
          <w:b/>
        </w:rPr>
        <w:t xml:space="preserve">Source: </w:t>
      </w:r>
      <w:r>
        <w:t>Wiley: Angewandte Chemie International Edition: Table of Contents</w:t>
      </w:r>
      <w:r>
        <w:t xml:space="preserve">    </w:t>
      </w:r>
      <w:r>
        <w:rPr>
          <w:b/>
        </w:rPr>
        <w:t xml:space="preserve">Pub date: </w:t>
      </w:r>
      <w:r>
        <w:t>2026-08-08 11:14:57+00:00</w:t>
      </w:r>
      <w:r>
        <w:t xml:space="preserve">    </w:t>
      </w:r>
      <w:r>
        <w:rPr>
          <w:b/>
        </w:rPr>
        <w:t xml:space="preserve">DOI: </w:t>
      </w:r>
      <w:hyperlink r:id="rId932">
        <w:r>
          <w:rPr>
            <w:color w:val="1155CC"/>
            <w:u w:val="single"/>
          </w:rPr>
          <w:t>10.1002/anie.2088096</w:t>
        </w:r>
      </w:hyperlink>
    </w:p>
    <w:p>
      <w:pPr>
        <w:spacing w:before="0" w:after="120"/>
      </w:pPr>
      <w:r>
        <w:rPr>
          <w:b/>
        </w:rPr>
        <w:t xml:space="preserve">Notes: </w:t>
      </w:r>
      <w:r>
        <w:t>abstract_source=openalex</w:t>
      </w:r>
    </w:p>
    <w:p>
      <w:pPr>
        <w:spacing w:before="0" w:after="80" w:lineRule="auto" w:line="276"/>
      </w:pPr>
      <w:r>
        <w:rPr>
          <w:b/>
        </w:rPr>
        <w:t xml:space="preserve">摘要（ZH）: </w:t>
      </w:r>
      <w:r>
        <w:t>“化学很有趣，因为它就像获得一个无底的工具箱，你可以用一生的时间来填充它......当我进入实验室时，我的学生说，“你还记得如何运行一个专栏吗？”......”在他的介绍......简介中了解更多关于塞巴斯蒂安·克莱门森的信息。</w:t>
      </w:r>
    </w:p>
    <w:p>
      <w:pPr>
        <w:spacing w:before="0" w:after="200" w:lineRule="auto" w:line="276"/>
      </w:pPr>
      <w:r>
        <w:rPr>
          <w:b/>
        </w:rPr>
        <w:t xml:space="preserve">Abstract (EN): </w:t>
      </w:r>
      <w:r>
        <w:t>“Chemistry is fun because it's like obtaining a bottomless toolbox which you can spend your entire life filling up…When I go into the lab, my students say, “Do you still remember how to run a column?”…” Find out more about Sebastian Clementson in his Introducing… Profile.</w:t>
      </w:r>
    </w:p>
    <w:p>
      <w:pPr>
        <w:spacing w:before="120" w:after="120"/>
      </w:pPr>
      <w:r>
        <w:rPr>
          <w:sz w:val="18"/>
        </w:rPr>
        <w:t>——————————————————————————————————————————————————————————————————————</w:t>
      </w:r>
    </w:p>
    <w:p>
      <w:pPr>
        <w:spacing w:before="160" w:after="40" w:line="240" w:lineRule="auto"/>
      </w:pPr>
      <w:r>
        <w:rPr>
          <w:b/>
        </w:rPr>
        <w:t xml:space="preserve">[188] </w:t>
      </w:r>
      <w:hyperlink r:id="rId933">
        <w:r>
          <w:rPr>
            <w:color w:val="1155CC"/>
            <w:u w:val="single"/>
          </w:rPr>
          <w:t>不对称非手性分子产生结构水螺旋性</w:t>
        </w:r>
      </w:hyperlink>
    </w:p>
    <w:p>
      <w:pPr>
        <w:spacing w:before="0" w:after="80"/>
      </w:pPr>
      <w:r>
        <w:rPr>
          <w:i/>
          <w:sz w:val="20"/>
        </w:rPr>
        <w:t>EN: Structural Water‐Enabled Helicity Emergence From an Asymmetric Achiral Molecule</w:t>
      </w:r>
    </w:p>
    <w:p>
      <w:pPr>
        <w:spacing w:before="0" w:after="120"/>
      </w:pPr>
      <w:r>
        <w:rPr>
          <w:b/>
        </w:rPr>
        <w:t xml:space="preserve">Source: </w:t>
      </w:r>
      <w:r>
        <w:t>Wiley: Angewandte Chemie International Edition: Table of Contents</w:t>
      </w:r>
      <w:r>
        <w:t xml:space="preserve">    </w:t>
      </w:r>
      <w:r>
        <w:rPr>
          <w:b/>
        </w:rPr>
        <w:t xml:space="preserve">Pub date: </w:t>
      </w:r>
      <w:r>
        <w:t>2026-08-08 11:22:50+00:00</w:t>
      </w:r>
      <w:r>
        <w:t xml:space="preserve">    </w:t>
      </w:r>
      <w:r>
        <w:rPr>
          <w:b/>
        </w:rPr>
        <w:t xml:space="preserve">DOI: </w:t>
      </w:r>
      <w:hyperlink r:id="rId934">
        <w:r>
          <w:rPr>
            <w:color w:val="1155CC"/>
            <w:u w:val="single"/>
          </w:rPr>
          <w:t>10.1002/anie.9135596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螺旋超分子结构在自然界中普遍存在，但从不对称非手性分子构建仍然具有挑战性。在这里，我们证明结构水在人工自组装中充当对称性破坏和挫败产生元素。使用不对称非手性萘衍生物（</w:t>
      </w:r>
      <w:r>
        <w:t xml:space="preserve"> </w:t>
      </w:r>
      <w:r>
        <w:t>N1</w:t>
      </w:r>
      <w:r>
        <w:t xml:space="preserve"> </w:t>
      </w:r>
      <w:r>
        <w:t>）作为模型系统，我们表明痕量水从根本上改变了其组装途径。在存在结构水的情况下，</w:t>
      </w:r>
      <w:r>
        <w:t xml:space="preserve"> </w:t>
      </w:r>
      <w:r>
        <w:t>N1</w:t>
      </w:r>
      <w:r>
        <w:t xml:space="preserve"> </w:t>
      </w:r>
      <w:r>
        <w:t>形成外消旋 P/M 螺旋纤维，而在无水条件下或控制分子缺乏足够的氢键能力时仅获得非螺旋聚集体。单晶 X 射线分析表明，每个水分子都充当四价氢键节点，桥接四个</w:t>
      </w:r>
      <w:r>
        <w:t xml:space="preserve"> </w:t>
      </w:r>
      <w:r>
        <w:t>N1</w:t>
      </w:r>
      <w:r>
        <w:t xml:space="preserve"> </w:t>
      </w:r>
      <w:r>
        <w:t>分子变成非平面</w:t>
      </w:r>
      <w:r>
        <w:t xml:space="preserve"> </w:t>
      </w:r>
      <w:r>
        <w:t>C</w:t>
      </w:r>
      <w:r>
        <w:rPr>
          <w:vertAlign w:val="subscript"/>
        </w:rPr>
        <w:t>2</w:t>
      </w:r>
      <w:r>
        <w:t xml:space="preserve"> </w:t>
      </w:r>
      <w:r>
        <w:t>‐对称四聚体。这种以水为中心的图案引入了与最佳 π-π 堆叠的几何不相容性，产生了堆积挫败感，而这种挫败感可以通过分层螺旋扭转来缓解。氢键网络可以通过酸碱刺激进行可逆调节，从而实现螺旋和非螺旋形态之间的相互转换。此外，由此产生的螺旋可以通过手性芳香氨基酸偏向纯手性状态，揭示了水门控手性转移机制，而这在水门控手性转移机制中是不存在的。</w:t>
      </w:r>
    </w:p>
    <w:p>
      <w:pPr>
        <w:spacing w:before="0" w:after="200" w:lineRule="auto" w:line="276"/>
      </w:pPr>
      <w:r>
        <w:rPr>
          <w:b/>
        </w:rPr>
        <w:t xml:space="preserve">Abstract (EN): </w:t>
      </w:r>
      <w:r>
        <w:t>Helical supramolecular architectures are ubiquitous in nature yet remain challenging to construct from asymmetric achiral molecules. Here, we demonstrate that structural water acts as a symmetry‐breaking and frustration‐generating element in artificial self‐assembly. Using an asymmetric achiral naphthalene derivative (</w:t>
      </w:r>
      <w:r>
        <w:t xml:space="preserve"> </w:t>
      </w:r>
      <w:r>
        <w:t>N1</w:t>
      </w:r>
      <w:r>
        <w:t xml:space="preserve"> </w:t>
      </w:r>
      <w:r>
        <w:t>) as a model system, we show that trace water fundamentally redirects its assembly pathway. In the presence of structural water,</w:t>
      </w:r>
      <w:r>
        <w:t xml:space="preserve"> </w:t>
      </w:r>
      <w:r>
        <w:t>N1</w:t>
      </w:r>
      <w:r>
        <w:t xml:space="preserve"> </w:t>
      </w:r>
      <w:r>
        <w:t>forms racemic P/M helical fibers, whereas only non‐helical aggregates are obtained under anhydrous conditions or with control molecules lacking sufficient hydrogen‐bonding capability. Single‐crystal x‐ray analysis reveals that each water molecule functions as a tetravalent hydrogen‐bonding node, bridging four</w:t>
      </w:r>
      <w:r>
        <w:t xml:space="preserve"> </w:t>
      </w:r>
      <w:r>
        <w:t>N1</w:t>
      </w:r>
      <w:r>
        <w:t xml:space="preserve"> </w:t>
      </w:r>
      <w:r>
        <w:t>molecules into a nonplanar</w:t>
      </w:r>
      <w:r>
        <w:t xml:space="preserve"> </w:t>
      </w:r>
      <w:r>
        <w:t>C</w:t>
      </w:r>
      <w:r>
        <w:rPr>
          <w:vertAlign w:val="subscript"/>
        </w:rPr>
        <w:t>2</w:t>
      </w:r>
      <w:r>
        <w:t xml:space="preserve"> </w:t>
      </w:r>
      <w:r>
        <w:t>‐symmetric tetramer. This water‐centered motif introduces geometric incompatibility with optimal π–π stacking, generating packing frustration that is relieved through hierarchical helical twisting. The hydrogen‐bonding network can be reversibly modulated by acid–base stimuli, enabling interconversion between helical and non‐helical morphologies. Moreover, the resulting helices can be biased into homochiral states by chiral aromatic amino acids, revealing a water‐gated chirality transfer mechanism that is absent under anhydrous conditions. This work extends design principles for supramolecular helicity beyond conventional symmetric monomers and highlights the role of structural water in controlling complex self‐assembly pathways.</w:t>
      </w:r>
    </w:p>
    <w:p>
      <w:pPr>
        <w:spacing w:before="120" w:after="120"/>
      </w:pPr>
      <w:r>
        <w:rPr>
          <w:sz w:val="18"/>
        </w:rPr>
        <w:t>——————————————————————————————————————————————————————————————————————</w:t>
      </w:r>
    </w:p>
    <w:p>
      <w:pPr>
        <w:spacing w:before="160" w:after="40" w:line="240" w:lineRule="auto"/>
      </w:pPr>
      <w:r>
        <w:rPr>
          <w:b/>
        </w:rPr>
        <w:t xml:space="preserve">[189] </w:t>
      </w:r>
      <w:hyperlink r:id="rId935">
        <w:r>
          <w:rPr>
            <w:color w:val="1155CC"/>
            <w:u w:val="single"/>
          </w:rPr>
          <w:t>通过 MOF 与配位不饱和金属位点预交联制备大孔水凝胶以实现高效的大气水收集</w:t>
        </w:r>
      </w:hyperlink>
    </w:p>
    <w:p>
      <w:pPr>
        <w:spacing w:before="0" w:after="80"/>
      </w:pPr>
      <w:r>
        <w:rPr>
          <w:i/>
          <w:sz w:val="20"/>
        </w:rPr>
        <w:t>EN: Pre‐Crosslinking via MOFs With Coordinatively Unsaturated Metal Sites for Fabricating Macroporous Hydrogels Toward Efficient Atmospheric Water Harvesting</w:t>
      </w:r>
    </w:p>
    <w:p>
      <w:pPr>
        <w:spacing w:before="0" w:after="120"/>
      </w:pPr>
      <w:r>
        <w:rPr>
          <w:b/>
        </w:rPr>
        <w:t xml:space="preserve">Source: </w:t>
      </w:r>
      <w:r>
        <w:t>Wiley: Angewandte Chemie International Edition: Table of Contents</w:t>
      </w:r>
      <w:r>
        <w:t xml:space="preserve">    </w:t>
      </w:r>
      <w:r>
        <w:rPr>
          <w:b/>
        </w:rPr>
        <w:t xml:space="preserve">Pub date: </w:t>
      </w:r>
      <w:r>
        <w:t>2026-08-08 11:24:32+00:00</w:t>
      </w:r>
      <w:r>
        <w:t xml:space="preserve">    </w:t>
      </w:r>
      <w:r>
        <w:rPr>
          <w:b/>
        </w:rPr>
        <w:t xml:space="preserve">DOI: </w:t>
      </w:r>
      <w:hyperlink r:id="rId936">
        <w:r>
          <w:rPr>
            <w:color w:val="1155CC"/>
            <w:u w:val="single"/>
          </w:rPr>
          <w:t>10.1002/anie.5095501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淡水短缺是一场全球危机，基于吸附剂的大气水收集（SAWH）提供了与位置无关的供水，但开发快速动力学吸附剂仍然具有挑战性。在这项研究中，我们报告了一种 MOF 预交联策略，使用具有不饱和金属位点的金属有机框架（MOF）来制备大孔水凝胶。这种策略缓解了传统水凝胶中密集聚合物链堆积引起的水扩散缓慢。所获得的MOF预交联大孔水凝胶（MPMH）使用MOF颗粒作为交联节点构建互连的大孔网络，其亲水纳米通道促进交联域内的快速水传输。与传统的吸湿性盐水凝胶复合材料（HSHC）相比，MPMMHs 表现出极大改善的吸附-解吸动力学和优异的 SAWH 性能。 MPMH‐101 达到 96% 的饱和吸水量（0.83 g g</w:t>
      </w:r>
      <w:r>
        <w:t xml:space="preserve"> </w:t>
      </w:r>
      <w:r>
        <w:t>−1</w:t>
      </w:r>
      <w:r>
        <w:t xml:space="preserve"> </w:t>
      </w:r>
      <w:r>
        <w:t>）在 25°C 和 30% RH 下 30 分钟内，在 70°C 下 20 分钟内解吸 70% 储存的水，并在 50 个循环中保持稳定的性能。产水量为 14.50 g g</w:t>
      </w:r>
      <w:r>
        <w:t xml:space="preserve"> </w:t>
      </w:r>
      <w:r>
        <w:t>−1</w:t>
      </w:r>
      <w:r>
        <w:t xml:space="preserve"> </w:t>
      </w:r>
      <w:r>
        <w:t>日</w:t>
      </w:r>
      <w:r>
        <w:t xml:space="preserve"> </w:t>
      </w:r>
      <w:r>
        <w:t>−1</w:t>
      </w:r>
      <w:r>
        <w:t xml:space="preserve"> </w:t>
      </w:r>
      <w:r>
        <w:t>在 30% 相对湿度和 9.70 g g 下</w:t>
      </w:r>
      <w:r>
        <w:t xml:space="preserve"> </w:t>
      </w:r>
      <w:r>
        <w:t>−1</w:t>
      </w:r>
      <w:r>
        <w:t xml:space="preserve"> </w:t>
      </w:r>
      <w:r>
        <w:t>日</w:t>
      </w:r>
      <w:r>
        <w:t xml:space="preserve"> </w:t>
      </w:r>
      <w:r>
        <w:t>−1</w:t>
      </w:r>
      <w:r>
        <w:t xml:space="preserve"> </w:t>
      </w:r>
      <w:r>
        <w:t>在户外测试中，比 HSHC 高 2.4 倍。此外，该策略适用于各种水稳定性 MOF（MOF-808(Zr)、UiO-66(Zr)）和低甲氧基果胶聚合物（LMP），</w:t>
      </w:r>
    </w:p>
    <w:p>
      <w:pPr>
        <w:spacing w:before="0" w:after="200" w:lineRule="auto" w:line="276"/>
      </w:pPr>
      <w:r>
        <w:rPr>
          <w:b/>
        </w:rPr>
        <w:t xml:space="preserve">Abstract (EN): </w:t>
      </w:r>
      <w:r>
        <w:t>Freshwater scarcity is a global crisis, and sorbent‐based atmospheric water harvesting (SAWH) offers location‐independent water supply, yet developing fast‐kinetic adsorbents remains challenging. In this study, we report an MOF pre‐crosslinking strategy using metal–organic frameworks (MOFs) with unsaturated metal sites to prepare macroporous hydrogels. This strategy alleviates slow water diffusion induced by dense polymer chain stacking in traditional hydrogels. The obtained MOF pre‐crosslinked macroporous hydrogels (MPMHs) use MOF particles as cross‐linking nodes to construct interconnected macroporous networks, whose hydrophilic nanochannels facilitate rapid water transport inside cross‐linking domains. Compared with conventional hygroscopic salt hydrogel composites (HSHCs), MPMMHs exhibit greatly improved sorption–desorption kinetics and superior SAWH performance. MPMH‐101 attains 96% of its saturated water uptake (0.83 g g</w:t>
      </w:r>
      <w:r>
        <w:t xml:space="preserve"> </w:t>
      </w:r>
      <w:r>
        <w:t>−1</w:t>
      </w:r>
      <w:r>
        <w:t xml:space="preserve"> </w:t>
      </w:r>
      <w:r>
        <w:t>) within 30 min at 25°C and 30% RH, desorbs 70% stored water within 20 min at 70°C, and retains stable performance over 50 cycles. It delivers a water yield of 14.50 g g</w:t>
      </w:r>
      <w:r>
        <w:t xml:space="preserve"> </w:t>
      </w:r>
      <w:r>
        <w:t>−1</w:t>
      </w:r>
      <w:r>
        <w:t xml:space="preserve"> </w:t>
      </w:r>
      <w:r>
        <w:t>day</w:t>
      </w:r>
      <w:r>
        <w:t xml:space="preserve"> </w:t>
      </w:r>
      <w:r>
        <w:t>−1</w:t>
      </w:r>
      <w:r>
        <w:t xml:space="preserve"> </w:t>
      </w:r>
      <w:r>
        <w:t>at 30% RH and 9.70 g g</w:t>
      </w:r>
      <w:r>
        <w:t xml:space="preserve"> </w:t>
      </w:r>
      <w:r>
        <w:t>−1</w:t>
      </w:r>
      <w:r>
        <w:t xml:space="preserve"> </w:t>
      </w:r>
      <w:r>
        <w:t>day</w:t>
      </w:r>
      <w:r>
        <w:t xml:space="preserve"> </w:t>
      </w:r>
      <w:r>
        <w:t>−1</w:t>
      </w:r>
      <w:r>
        <w:t xml:space="preserve"> </w:t>
      </w:r>
      <w:r>
        <w:t>in outdoor tests which is 2.4 times higher than that of HSHCs. Moreover, this strategy is versatile to various water stable MOFs (MOF‐808(Zr), UiO‐66(Zr)), and polymers low methoxyl pectin (LMP), providing a potential solution for designing next‐generation SAWH adsorbents.</w:t>
      </w:r>
    </w:p>
    <w:p>
      <w:pPr>
        <w:spacing w:before="120" w:after="120"/>
      </w:pPr>
      <w:r>
        <w:rPr>
          <w:sz w:val="18"/>
        </w:rPr>
        <w:t>——————————————————————————————————————————————————————————————————————</w:t>
      </w:r>
    </w:p>
    <w:p>
      <w:pPr>
        <w:spacing w:before="160" w:after="40" w:line="240" w:lineRule="auto"/>
      </w:pPr>
      <w:r>
        <w:rPr>
          <w:b/>
        </w:rPr>
        <w:t xml:space="preserve">[190] </w:t>
      </w:r>
      <w:hyperlink r:id="rId937">
        <w:r>
          <w:rPr>
            <w:color w:val="1155CC"/>
            <w:u w:val="single"/>
          </w:rPr>
          <w:t>价格不确定下运营太阳能发电厂电池存储集成的经济评估：复合实物期权方法</w:t>
        </w:r>
      </w:hyperlink>
    </w:p>
    <w:p>
      <w:pPr>
        <w:spacing w:before="0" w:after="80"/>
      </w:pPr>
      <w:r>
        <w:rPr>
          <w:i/>
          <w:sz w:val="20"/>
        </w:rPr>
        <w:t>EN: Economic valuation of battery storage integration in operational solar plants under price uncertainty: a compound real options approach</w:t>
      </w:r>
    </w:p>
    <w:p>
      <w:pPr>
        <w:spacing w:before="0" w:after="120"/>
      </w:pPr>
      <w:r>
        <w:rPr>
          <w:b/>
        </w:rPr>
        <w:t xml:space="preserve">Source: </w:t>
      </w:r>
      <w:r>
        <w:t>ScienceDirect Publication: Applied Energy</w:t>
      </w:r>
      <w:r>
        <w:t xml:space="preserve">    </w:t>
      </w:r>
      <w:r>
        <w:rPr>
          <w:b/>
        </w:rPr>
        <w:t xml:space="preserve">Pub date: </w:t>
      </w:r>
      <w:r>
        <w:t>2026-08-09 00:00:00+00:00</w:t>
      </w:r>
      <w:r>
        <w:t xml:space="preserve">    </w:t>
      </w:r>
      <w:r>
        <w:rPr>
          <w:b/>
        </w:rPr>
        <w:t xml:space="preserve">DOI: </w:t>
      </w:r>
      <w:hyperlink r:id="rId938">
        <w:r>
          <w:rPr>
            <w:color w:val="1155CC"/>
            <w:u w:val="single"/>
          </w:rPr>
          <w:t>10.1016/j.apenergy.2026.128606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[191] </w:t>
      </w:r>
      <w:hyperlink r:id="rId939">
        <w:r>
          <w:rPr>
            <w:color w:val="1155CC"/>
            <w:u w:val="single"/>
          </w:rPr>
          <w:t>使用物理信息时空特征建模模型对风力涡轮机进行不确定性感知异常检测</w:t>
        </w:r>
      </w:hyperlink>
    </w:p>
    <w:p>
      <w:pPr>
        <w:spacing w:before="0" w:after="80"/>
      </w:pPr>
      <w:r>
        <w:rPr>
          <w:i/>
          <w:sz w:val="20"/>
        </w:rPr>
        <w:t>EN: Uncertainty-aware anomaly detection for wind turbines using a physics-informed spatiotemporal feature modelling model</w:t>
      </w:r>
    </w:p>
    <w:p>
      <w:pPr>
        <w:spacing w:before="0" w:after="120"/>
      </w:pPr>
      <w:r>
        <w:rPr>
          <w:b/>
        </w:rPr>
        <w:t xml:space="preserve">Source: </w:t>
      </w:r>
      <w:r>
        <w:t>ScienceDirect Publication: Applied Energy</w:t>
      </w:r>
      <w:r>
        <w:t xml:space="preserve">    </w:t>
      </w:r>
      <w:r>
        <w:rPr>
          <w:b/>
        </w:rPr>
        <w:t xml:space="preserve">Pub date: </w:t>
      </w:r>
      <w:r>
        <w:t>2026-08-09 00:00:00+00:00</w:t>
      </w:r>
      <w:r>
        <w:t xml:space="preserve">    </w:t>
      </w:r>
      <w:r>
        <w:rPr>
          <w:b/>
        </w:rPr>
        <w:t xml:space="preserve">DOI: </w:t>
      </w:r>
      <w:hyperlink r:id="rId940">
        <w:r>
          <w:rPr>
            <w:color w:val="1155CC"/>
            <w:u w:val="single"/>
          </w:rPr>
          <w:t>10.1016/j.apenergy.2026.128639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[192] </w:t>
      </w:r>
      <w:hyperlink r:id="rId941">
        <w:r>
          <w:rPr>
            <w:color w:val="1155CC"/>
            <w:u w:val="single"/>
          </w:rPr>
          <w:t>协调系统灵活性需求和省际协调，以实现中国的净零电力转型</w:t>
        </w:r>
      </w:hyperlink>
    </w:p>
    <w:p>
      <w:pPr>
        <w:spacing w:before="0" w:after="80"/>
      </w:pPr>
      <w:r>
        <w:rPr>
          <w:i/>
          <w:sz w:val="20"/>
        </w:rPr>
        <w:t>EN: Aligning system flexibility needs and interprovincial coordination for China’s net-zero power transition</w:t>
      </w:r>
    </w:p>
    <w:p>
      <w:pPr>
        <w:spacing w:before="0" w:after="120"/>
      </w:pPr>
      <w:r>
        <w:rPr>
          <w:b/>
        </w:rPr>
        <w:t xml:space="preserve">Source: </w:t>
      </w:r>
      <w:r>
        <w:t>ScienceDirect Publication: Applied Energy</w:t>
      </w:r>
      <w:r>
        <w:t xml:space="preserve">    </w:t>
      </w:r>
      <w:r>
        <w:rPr>
          <w:b/>
        </w:rPr>
        <w:t xml:space="preserve">Pub date: </w:t>
      </w:r>
      <w:r>
        <w:t>2026-08-09 00:00:00+00:00</w:t>
      </w:r>
      <w:r>
        <w:t xml:space="preserve">    </w:t>
      </w:r>
      <w:r>
        <w:rPr>
          <w:b/>
        </w:rPr>
        <w:t xml:space="preserve">DOI: </w:t>
      </w:r>
      <w:hyperlink r:id="rId942">
        <w:r>
          <w:rPr>
            <w:color w:val="1155CC"/>
            <w:u w:val="single"/>
          </w:rPr>
          <w:t>10.1016/j.apenergy.2026.128581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[193] </w:t>
      </w:r>
      <w:hyperlink r:id="rId943">
        <w:r>
          <w:rPr>
            <w:color w:val="1155CC"/>
            <w:u w:val="single"/>
          </w:rPr>
          <w:t>对“使用化学酶方法进行甲基蛋白质组的动态体内作图”的更正</w:t>
        </w:r>
      </w:hyperlink>
    </w:p>
    <w:p>
      <w:pPr>
        <w:spacing w:before="0" w:after="80"/>
      </w:pPr>
      <w:r>
        <w:rPr>
          <w:i/>
          <w:sz w:val="20"/>
        </w:rPr>
        <w:t>EN: Correction to “Dynamic In Vivo Mapping of the Methylproteome Using a Chemoenzymatic Approach”</w:t>
      </w:r>
    </w:p>
    <w:p>
      <w:pPr>
        <w:spacing w:before="0" w:after="120"/>
      </w:pPr>
      <w:r>
        <w:rPr>
          <w:b/>
        </w:rPr>
        <w:t xml:space="preserve">Source: </w:t>
      </w:r>
      <w:r>
        <w:t>Journal of the American Chemical Society: Latest Articles (ACS Publications)</w:t>
      </w:r>
      <w:r>
        <w:t xml:space="preserve">    </w:t>
      </w:r>
      <w:r>
        <w:rPr>
          <w:b/>
        </w:rPr>
        <w:t xml:space="preserve">Pub date: </w:t>
      </w:r>
      <w:r>
        <w:t>2026-08-09 00:00:00+00:00</w:t>
      </w:r>
      <w:r>
        <w:t xml:space="preserve">    </w:t>
      </w:r>
      <w:r>
        <w:rPr>
          <w:b/>
        </w:rPr>
        <w:t xml:space="preserve">DOI: </w:t>
      </w:r>
      <w:hyperlink r:id="rId944">
        <w:r>
          <w:rPr>
            <w:color w:val="1155CC"/>
            <w:u w:val="single"/>
          </w:rPr>
          <w:t>10.1021/jacs.6c14984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[194] </w:t>
      </w:r>
      <w:hyperlink r:id="rId945">
        <w:r>
          <w:rPr>
            <w:color w:val="1155CC"/>
            <w:u w:val="single"/>
          </w:rPr>
          <w:t>Trion 作为化学掺杂聚合物半导体的基本物种</w:t>
        </w:r>
      </w:hyperlink>
    </w:p>
    <w:p>
      <w:pPr>
        <w:spacing w:before="0" w:after="80"/>
      </w:pPr>
      <w:r>
        <w:rPr>
          <w:i/>
          <w:sz w:val="20"/>
        </w:rPr>
        <w:t>EN: Trions as Fundamental Species in Chemically Doped Polymer Semiconductors</w:t>
      </w:r>
    </w:p>
    <w:p>
      <w:pPr>
        <w:spacing w:before="0" w:after="120"/>
      </w:pPr>
      <w:r>
        <w:rPr>
          <w:b/>
        </w:rPr>
        <w:t xml:space="preserve">Source: </w:t>
      </w:r>
      <w:r>
        <w:t>Wiley: Advanced Materials: Table of Contents</w:t>
      </w:r>
      <w:r>
        <w:t xml:space="preserve">    </w:t>
      </w:r>
      <w:r>
        <w:rPr>
          <w:b/>
        </w:rPr>
        <w:t xml:space="preserve">Pub date: </w:t>
      </w:r>
      <w:r>
        <w:t>2026-08-09 09:39:24+00:00</w:t>
      </w:r>
      <w:r>
        <w:t xml:space="preserve">    </w:t>
      </w:r>
      <w:r>
        <w:rPr>
          <w:b/>
        </w:rPr>
        <w:t xml:space="preserve">DOI: </w:t>
      </w:r>
      <w:hyperlink r:id="rId946">
        <w:r>
          <w:rPr>
            <w:color w:val="1155CC"/>
            <w:u w:val="single"/>
          </w:rPr>
          <w:t>10.1002/adma.202600019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掺杂是增强半导体聚合物电荷传输的基石策略，对其在半透明电极材料、热电器件和抗静电涂层等领域的应用非常重要。为此，化学和电化学掺杂已成为广泛研究的焦点，并取得了相当大的进展。然而，在软有机半导体中，中性激子和掺杂诱导电荷之间形成多粒子态的相互作用在很大程度上尚未被探索，并且它们的特征仍然知之甚少。在这里，我们证明了掺杂聚合物中激子和极化子之间的耦合可以导致束缚态，例如三重子（即电子和两个空穴的准粒子，在三个发色团上离域）</w:t>
      </w:r>
      <w:r>
        <w:t xml:space="preserve"> </w:t>
      </w:r>
      <w:r>
        <w:t>p</w:t>
      </w:r>
      <w:r>
        <w:t xml:space="preserve"> </w:t>
      </w:r>
      <w:r>
        <w:t>‐掺杂），或束缚激子空穴对。将光谱证据与理论见解相结合，我们假设聚合物结构、掺杂剂化学和电荷离域控制着这些多粒子态的形成和稳定性。更广泛地说，我们的研究结果表明，三重子和束缚激子空穴对（即三体实体）是有机半导体中的关键物质，可以为超越传统掺杂的光电功能开辟新途径，包括增强的电荷传输和量子相干激发。</w:t>
      </w:r>
    </w:p>
    <w:p>
      <w:pPr>
        <w:spacing w:before="0" w:after="200" w:lineRule="auto" w:line="276"/>
      </w:pPr>
      <w:r>
        <w:rPr>
          <w:b/>
        </w:rPr>
        <w:t xml:space="preserve">Abstract (EN): </w:t>
      </w:r>
      <w:r>
        <w:t>Doping is a cornerstone strategy for enhancing charge transport in semiconducting polymers, important for their application in, for example, semi‐transparent electrode materials, thermoelectric devices, and antistatic coatings. Both chemical and electrochemical doping have, for this purpose, been the focus of extensive research resulting in considerable progress. However, the interactions between neutral excitons and doping‐induced charges to form multi‐particle states are largely unexplored in soft organic semiconductors, and their signatures remain poorly understood. Here, we demonstrate that coupling between excitons and polarons in doped polymers can lead to bound states such as trions (i.e., quasiparticles of an electron and two holes delocalized across three chromophores for</w:t>
      </w:r>
      <w:r>
        <w:t xml:space="preserve"> </w:t>
      </w:r>
      <w:r>
        <w:t>p</w:t>
      </w:r>
      <w:r>
        <w:t xml:space="preserve"> </w:t>
      </w:r>
      <w:r>
        <w:t>‐doping), or bound exciton‐hole pairs. Combining spectroscopic evidence with theoretical insights, we hypothesize that polymer architecture, dopant chemistry, and charge delocalization govern the formation and stability of these multi‐particle states. More broadly, our findings reveal that trions and bound exciton‐hole pairs—that is, three‐body entities—are a key species in organic semiconductors that could open new pathways toward optoelectronic functionalities beyond conventional doping, including enhanced charge transport and quantum‐coherent excitations.</w:t>
      </w:r>
    </w:p>
    <w:p>
      <w:pPr>
        <w:spacing w:before="120" w:after="120"/>
      </w:pPr>
      <w:r>
        <w:rPr>
          <w:sz w:val="18"/>
        </w:rPr>
        <w:t>——————————————————————————————————————————————————————————————————————</w:t>
      </w:r>
    </w:p>
    <w:p>
      <w:pPr>
        <w:spacing w:before="160" w:after="40" w:line="240" w:lineRule="auto"/>
      </w:pPr>
      <w:r>
        <w:rPr>
          <w:b/>
        </w:rPr>
        <w:t xml:space="preserve">[195] </w:t>
      </w:r>
      <w:hyperlink r:id="rId947">
        <w:r>
          <w:rPr>
            <w:color w:val="1155CC"/>
            <w:u w:val="single"/>
          </w:rPr>
          <w:t>溶酶体靶向自我辅助氨纳米发生器通过氨死亡增强肝细胞癌免疫治疗</w:t>
        </w:r>
      </w:hyperlink>
    </w:p>
    <w:p>
      <w:pPr>
        <w:spacing w:before="0" w:after="80"/>
      </w:pPr>
      <w:r>
        <w:rPr>
          <w:i/>
          <w:sz w:val="20"/>
        </w:rPr>
        <w:t>EN: Lysosome‐Targeted Self‐Adjuvanting Ammonia Nanogenerator Potentiates Hepatocellular Carcinoma Immunotherapy via Ammonia Death</w:t>
      </w:r>
    </w:p>
    <w:p>
      <w:pPr>
        <w:spacing w:before="0" w:after="120"/>
      </w:pPr>
      <w:r>
        <w:rPr>
          <w:b/>
        </w:rPr>
        <w:t xml:space="preserve">Source: </w:t>
      </w:r>
      <w:r>
        <w:t>Wiley: Advanced Materials: Table of Contents</w:t>
      </w:r>
      <w:r>
        <w:t xml:space="preserve">    </w:t>
      </w:r>
      <w:r>
        <w:rPr>
          <w:b/>
        </w:rPr>
        <w:t xml:space="preserve">Pub date: </w:t>
      </w:r>
      <w:r>
        <w:t>2026-08-09 09:44:41+00:00</w:t>
      </w:r>
      <w:r>
        <w:t xml:space="preserve">    </w:t>
      </w:r>
      <w:r>
        <w:rPr>
          <w:b/>
        </w:rPr>
        <w:t xml:space="preserve">DOI: </w:t>
      </w:r>
      <w:hyperlink r:id="rId948">
        <w:r>
          <w:rPr>
            <w:color w:val="1155CC"/>
            <w:u w:val="single"/>
          </w:rPr>
          <w:t>10.1002/adma.74542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氨死亡是最近发现的一种受调节的细胞死亡形式，具有独特的分子机制和显着的抗癌活性。然而，由于缺乏肿瘤靶向氨输送载体和不明确的免疫原性，其功效受到严重限制。在此，我们开发了一种溶酶体靶向氨纳米发生器（表示为 AlN@HA）来诱导肝细胞癌细胞（HCC）中的氨死亡并增强 HCC 免疫治疗。在 CD44 受体介导的内吞作用之后，AlN@HA 优先在溶酶体内积聚并进行原位水解，产生过量的氨和纳米级氢氧化铝 (Al(OH)</w:t>
      </w:r>
      <w:r>
        <w:rPr>
          <w:vertAlign w:val="subscript"/>
        </w:rPr>
        <w:t>3</w:t>
      </w:r>
      <w:r>
        <w:t>）。溶酶体内氨超载进一步驱动溶酶体碱化和膜通透、自噬通量阻断和线粒体功能障碍。这种连续的信号级联引发肿瘤细胞氨死亡并引发强烈的免疫原性细胞死亡。同时，水解副产物Al(OH)</w:t>
      </w:r>
      <w:r>
        <w:rPr>
          <w:vertAlign w:val="subscript"/>
        </w:rPr>
        <w:t>3</w:t>
      </w:r>
      <w:r>
        <w:t>作为促进树突状细胞成熟的内在佐剂。此外，氨介导的肿瘤内乳酸中和可逆转免疫抑制的肿瘤微环境。体内结果证实，AlN@HA引发的氨死亡显着抑制局部肿瘤增殖并激活全身抗肿瘤免疫反应，从而使HCC对抗程序性细胞死亡1免疫疗法敏感。本研究阐明了肿瘤氨的免疫学特征</w:t>
      </w:r>
    </w:p>
    <w:p>
      <w:pPr>
        <w:spacing w:before="0" w:after="200" w:lineRule="auto" w:line="276"/>
      </w:pPr>
      <w:r>
        <w:rPr>
          <w:b/>
        </w:rPr>
        <w:t xml:space="preserve">Abstract (EN): </w:t>
      </w:r>
      <w:r>
        <w:t>Ammonia death is a recently identified form of regulated cell death with unique molecular mechanisms and prominent anticancer activity. Nevertheless, its efficacy is severely restricted by the absence of tumor‐targeted ammonia delivery vehicles and poorly defined immunogenic properties. Herein, we develop a lysosome‐targeted ammonia nanogenerator (denoted AlN@HA) to induce ammonia death in hepatocellular carcinoma (HCC) cells and boost HCC immunotherapy. Following CD44 receptor‐mediated endocytosis, AlN@HA preferentially accumulates within lysosomes and undergoes in situ hydrolysis to produce excessive ammonia and nanoscopic aluminum hydroxide (Al(OH)</w:t>
      </w:r>
      <w:r>
        <w:rPr>
          <w:vertAlign w:val="subscript"/>
        </w:rPr>
        <w:t>3</w:t>
      </w:r>
      <w:r>
        <w:t>). Intralysosomal ammonia overload further drives lysosomal alkalinization and membrane permeabilization, autophagic flux blockade, and mitochondrial dysfunction. This sequential signaling cascade elicits tumor cell ammonia death and triggers robust immunogenic cell death. Meanwhile, the hydrolytic byproduct Al(OH)</w:t>
      </w:r>
      <w:r>
        <w:rPr>
          <w:vertAlign w:val="subscript"/>
        </w:rPr>
        <w:t>3</w:t>
      </w:r>
      <w:r>
        <w:t>functions as an intrinsic adjuvant to facilitate dendritic cell maturation. Additionally, ammonia‐mediated neutralization of intratumor lactic acid reverses the immunosuppressive tumor microenvironment. In vivo results verify that AlN@HA‐initiated ammonia death markedly suppresses local tumor proliferation and activates systemic antitumor immune responses, thereby sensitizing HCC to antiprogrammed cell death 1 immunotherapy. This study clarifies the immunological features of tumor ammonia death, establishes a lysosome‐targeted ammonia delivery strategy, and highlights ammonia death as a viable synergistic modality for HCC combination immunotherapy.</w:t>
      </w:r>
    </w:p>
    <w:p>
      <w:pPr>
        <w:spacing w:before="120" w:after="120"/>
      </w:pPr>
      <w:r>
        <w:rPr>
          <w:sz w:val="18"/>
        </w:rPr>
        <w:t>——————————————————————————————————————————————————————————————————————</w:t>
      </w:r>
    </w:p>
    <w:p>
      <w:pPr>
        <w:spacing w:before="160" w:after="40" w:line="240" w:lineRule="auto"/>
      </w:pPr>
      <w:r>
        <w:rPr>
          <w:b/>
        </w:rPr>
        <w:t xml:space="preserve">[196] </w:t>
      </w:r>
      <w:hyperlink r:id="rId949">
        <w:r>
          <w:rPr>
            <w:color w:val="1155CC"/>
            <w:u w:val="single"/>
          </w:rPr>
          <w:t>基于液晶弹性体的触觉像素阵列触手可及，适用于先进的人机界面</w:t>
        </w:r>
      </w:hyperlink>
    </w:p>
    <w:p>
      <w:pPr>
        <w:spacing w:before="0" w:after="80"/>
      </w:pPr>
      <w:r>
        <w:rPr>
          <w:i/>
          <w:sz w:val="20"/>
        </w:rPr>
        <w:t>EN: Liquid Crystal Elastomer‐Based Haptic Pixel Arrays at Your Fingertips for Advanced Human–Machine Interfaces</w:t>
      </w:r>
    </w:p>
    <w:p>
      <w:pPr>
        <w:spacing w:before="0" w:after="120"/>
      </w:pPr>
      <w:r>
        <w:rPr>
          <w:b/>
        </w:rPr>
        <w:t xml:space="preserve">Source: </w:t>
      </w:r>
      <w:r>
        <w:t>Wiley: Advanced Materials: Table of Contents</w:t>
      </w:r>
      <w:r>
        <w:t xml:space="preserve">    </w:t>
      </w:r>
      <w:r>
        <w:rPr>
          <w:b/>
        </w:rPr>
        <w:t xml:space="preserve">Pub date: </w:t>
      </w:r>
      <w:r>
        <w:t>2026-08-09 09:48:21+00:00</w:t>
      </w:r>
      <w:r>
        <w:t xml:space="preserve">    </w:t>
      </w:r>
      <w:r>
        <w:rPr>
          <w:b/>
        </w:rPr>
        <w:t xml:space="preserve">DOI: </w:t>
      </w:r>
      <w:hyperlink r:id="rId950">
        <w:r>
          <w:rPr>
            <w:color w:val="1155CC"/>
            <w:u w:val="single"/>
          </w:rPr>
          <w:t>10.1002/adma.74546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触觉在我们的数字生活中没有得到充分利用，特别是与通过我们与设备的视觉和听觉交互进行的信息传输的普遍性和复杂性相比；这种影响是深远的，因为触摸在我们对世界的感知中发挥着重要作用，而我们常用设备中的触摸缺失限制了我们对数字空间的访问，特别是对于盲人和视障用户而言。幸运的是，液晶弹性体（LCE）的刺激响应形状变形特性提供了一种解决方案：在我们的工作中，我们对 LCE 双层涂层进行机械编程，以实现耐用、高幅度可切换的表面突起或触觉像素，我们将其组装到数字平台中，用于生成触觉图像和触觉反馈。我们通过使用新古典橡胶弹性理论的显微镜技术和模拟进一步表征和描述我们的触觉像素设计。我们展示了在几秒钟内对单个 LCE 像素进行安全有效的电子可寻址激活，同时对触觉线方向辨别进行心理物理学评估，其中我们的 LCE 触觉像素的性能可与膨胀纸（一种标准触觉图形介质）相媲美。因此，我们将 LCE 确立为下一代动态触觉显示器的竞争者。</w:t>
      </w:r>
    </w:p>
    <w:p>
      <w:pPr>
        <w:spacing w:before="0" w:after="200" w:lineRule="auto" w:line="276"/>
      </w:pPr>
      <w:r>
        <w:rPr>
          <w:b/>
        </w:rPr>
        <w:t xml:space="preserve">Abstract (EN): </w:t>
      </w:r>
      <w:r>
        <w:t>The sense of touch is underutilized in our digital lives, especially when compared to the prevalence and complexity of information transfer through our visual and auditory interactions with devices; the impact of this is profound as touch plays a major role in our perception of our world, and its omission in our commonly used devices limits our accessibility to the digital space, particularly for blind and visually impaired users. Fortunately, the stimuli‐responsive shape‐morphing properties of liquid crystal elastomers (LCEs) promise a solution: in our work, we mechanically program an LCE bilayer coating to achieve durable, high‐amplitude switchable surface protrusions, or tactile pixels, which we assemble into a digital platform for generating tactile images and haptic feedback. We further characterize and describe our tactile pixel design by microscopy techniques and simulations that use the neo‐classical theory of rubber elasticity. We demonstrate safe and effective electronically addressable activation of individual LCE pixels within seconds, accompanied by a psychophysical evaluation of tactile line orientation discrimination in which the performance of our LCE tactile pixels is comparable to swell paper, a standard tactile graphic medium. Thereby, we establish LCEs as a contender for the next‐generation dynamic tactile displays.</w:t>
      </w:r>
    </w:p>
    <w:p>
      <w:pPr>
        <w:spacing w:before="120" w:after="120"/>
      </w:pPr>
      <w:r>
        <w:rPr>
          <w:sz w:val="18"/>
        </w:rPr>
        <w:t>——————————————————————————————————————————————————————————————————————</w:t>
      </w:r>
    </w:p>
    <w:p>
      <w:pPr>
        <w:spacing w:before="160" w:after="40" w:line="240" w:lineRule="auto"/>
      </w:pPr>
      <w:r>
        <w:rPr>
          <w:b/>
        </w:rPr>
        <w:t xml:space="preserve">[197] </w:t>
      </w:r>
      <w:hyperlink r:id="rId951">
        <w:r>
          <w:rPr>
            <w:color w:val="1155CC"/>
            <w:u w:val="single"/>
          </w:rPr>
          <w:t>气泡辅助动态限制实现了可编程固态光开关和异质光响应架构</w:t>
        </w:r>
      </w:hyperlink>
    </w:p>
    <w:p>
      <w:pPr>
        <w:spacing w:before="0" w:after="80"/>
      </w:pPr>
      <w:r>
        <w:rPr>
          <w:i/>
          <w:sz w:val="20"/>
        </w:rPr>
        <w:t>EN: Bubble‐Assisted Dynamic Confinement Enables Programmable Solid‐State Photoswitching and Heterogeneous Photoresponsive Architectures</w:t>
      </w:r>
    </w:p>
    <w:p>
      <w:pPr>
        <w:spacing w:before="0" w:after="120"/>
      </w:pPr>
      <w:r>
        <w:rPr>
          <w:b/>
        </w:rPr>
        <w:t xml:space="preserve">Source: </w:t>
      </w:r>
      <w:r>
        <w:t>Wiley: Advanced Materials: Table of Contents</w:t>
      </w:r>
      <w:r>
        <w:t xml:space="preserve">    </w:t>
      </w:r>
      <w:r>
        <w:rPr>
          <w:b/>
        </w:rPr>
        <w:t xml:space="preserve">Pub date: </w:t>
      </w:r>
      <w:r>
        <w:t>2026-08-09 09:50:36+00:00</w:t>
      </w:r>
      <w:r>
        <w:t xml:space="preserve">    </w:t>
      </w:r>
      <w:r>
        <w:rPr>
          <w:b/>
        </w:rPr>
        <w:t xml:space="preserve">DOI: </w:t>
      </w:r>
      <w:hyperlink r:id="rId952">
        <w:r>
          <w:rPr>
            <w:color w:val="1155CC"/>
            <w:u w:val="single"/>
          </w:rPr>
          <w:t>10.1002/adma.74453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固态偶氮苯的可编程光异构化仍然是光响应材料的长期挑战。在这里，我们引入了一种动态软约束策略，使用气泡辅助组装通过固液界面处的可调表面能来操纵分子聚集。通过控制微流体通道的形态（领带状、条状和项链状），我们实现了微立方体、绳状支架和微板的独特自组装聚集体，并具有光可切换分子的定制自由度。由变薄的气泡壁形成的条状通道捕获亚稳态中间体，产生具有良好的光穿透性、较弱的分子间相互作用以及松散的异构化分子堆积的绳状支架结构。该设计实现了近定量的双向</w:t>
      </w:r>
      <w:r>
        <w:t xml:space="preserve"> </w:t>
      </w:r>
      <w:r>
        <w:t>乙</w:t>
      </w:r>
      <w:r>
        <w:t xml:space="preserve"> </w:t>
      </w:r>
      <w:r>
        <w:t>⇆</w:t>
      </w:r>
      <w:r>
        <w:t xml:space="preserve"> </w:t>
      </w:r>
      <w:r>
        <w:t>Z</w:t>
      </w:r>
      <w:r>
        <w:t xml:space="preserve"> </w:t>
      </w:r>
      <w:r>
        <w:t>固态下的光致异构化（96%–98%），可与溶液状性能相媲美。多尺度表征和计算分析揭示了受限聚集动力学在控制分子运动中的关键作用。此外，异构图案化展示了用于光机械应用的可编程光响应阵列。该策略提供了一个可扩展的平台，用于动态控制超分子自组装途径并设计具有可编程功能的固态光响应材料。</w:t>
      </w:r>
    </w:p>
    <w:p>
      <w:pPr>
        <w:spacing w:before="0" w:after="200" w:lineRule="auto" w:line="276"/>
      </w:pPr>
      <w:r>
        <w:rPr>
          <w:b/>
        </w:rPr>
        <w:t xml:space="preserve">Abstract (EN): </w:t>
      </w:r>
      <w:r>
        <w:t>Achieving programmable photoisomerization of azobenzenes in the solid‐state remains a long‐standing challenge for photoresponsive materials. Here, we introduce a dynamic soft‐confinement strategy using bubble‐assisted assembly to manipulate molecular aggregation via tunable surface energy at the solid‐liquid interface. By controlling the morphologies of microfluidic channels (necktie‐like, strip‐like, and necklace‐like), we achieve distinct self‐assembled aggregates of microcubes, corded scaffolds, and microplates, with tailored freedom of the photoswitchable molecule. The strip‐like channel, formed by thinning bubble walls, traps metastable intermediates, yielding a corded scaffold structure with favorable light penetration, weaker intermolecular interactions, and loosened molecular packing for isomerization. This design achieves near‐quantitative bidirectional</w:t>
      </w:r>
      <w:r>
        <w:t xml:space="preserve"> </w:t>
      </w:r>
      <w:r>
        <w:t>E</w:t>
      </w:r>
      <w:r>
        <w:t xml:space="preserve"> </w:t>
      </w:r>
      <w:r>
        <w:t>⇆</w:t>
      </w:r>
      <w:r>
        <w:t xml:space="preserve"> </w:t>
      </w:r>
      <w:r>
        <w:t>Z</w:t>
      </w:r>
      <w:r>
        <w:t xml:space="preserve"> </w:t>
      </w:r>
      <w:r>
        <w:t>photoisomerization (96%–98%) in the solid‐state, rivaling solution‐like performance. Multi‐scale characterization and computational analyses reveal the critical role of confined aggregation kinetics in controlling molecular motion. Furthermore, heterogeneous patterning demonstrates programmable photoresponsive arrays for photomechanical applications. This strategy provides a scalable platform for dynamically controlling supramolecular self‐assembly pathways and designing solid‐state photoresponsive materials with programmable functions.</w:t>
      </w:r>
    </w:p>
    <w:p>
      <w:pPr>
        <w:spacing w:before="120" w:after="120"/>
      </w:pPr>
      <w:r>
        <w:rPr>
          <w:sz w:val="18"/>
        </w:rPr>
        <w:t>——————————————————————————————————————————————————————————————————————</w:t>
      </w:r>
    </w:p>
    <w:p>
      <w:pPr>
        <w:spacing w:before="160" w:after="40" w:line="240" w:lineRule="auto"/>
      </w:pPr>
      <w:r>
        <w:rPr>
          <w:b/>
        </w:rPr>
        <w:t xml:space="preserve">[198] </w:t>
      </w:r>
      <w:hyperlink r:id="rId953">
        <w:r>
          <w:rPr>
            <w:color w:val="1155CC"/>
            <w:u w:val="single"/>
          </w:rPr>
          <w:t>机器学习引导的多层气凝胶增材制造，用于超宽带、超低反射电磁屏蔽</w:t>
        </w:r>
      </w:hyperlink>
    </w:p>
    <w:p>
      <w:pPr>
        <w:spacing w:before="0" w:after="80"/>
      </w:pPr>
      <w:r>
        <w:rPr>
          <w:i/>
          <w:sz w:val="20"/>
        </w:rPr>
        <w:t>EN: Machine Learning‐Guided Additive Manufacturing of Multilayer Aerogels for Ultrabroadband, Ultralow‐Reflection Electromagnetic Shielding</w:t>
      </w:r>
    </w:p>
    <w:p>
      <w:pPr>
        <w:spacing w:before="0" w:after="120"/>
      </w:pPr>
      <w:r>
        <w:rPr>
          <w:b/>
        </w:rPr>
        <w:t xml:space="preserve">Source: </w:t>
      </w:r>
      <w:r>
        <w:t>Wiley: Advanced Materials: Table of Contents</w:t>
      </w:r>
      <w:r>
        <w:t xml:space="preserve">    </w:t>
      </w:r>
      <w:r>
        <w:rPr>
          <w:b/>
        </w:rPr>
        <w:t xml:space="preserve">Pub date: </w:t>
      </w:r>
      <w:r>
        <w:t>2026-08-09 09:52:11+00:00</w:t>
      </w:r>
      <w:r>
        <w:t xml:space="preserve">    </w:t>
      </w:r>
      <w:r>
        <w:rPr>
          <w:b/>
        </w:rPr>
        <w:t xml:space="preserve">DOI: </w:t>
      </w:r>
      <w:hyperlink r:id="rId954">
        <w:r>
          <w:rPr>
            <w:color w:val="1155CC"/>
            <w:u w:val="single"/>
          </w:rPr>
          <w:t>10.1002/adma.74565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迫切需要开发宽带、低反射电磁干扰（EMI）屏蔽材料来抑制二次电磁污染。在这里，我们报告了一种机器学习（ML）引导的增材制造策略，用于精确制造具有空间编程电导率的多层梯度过渡金属碳化物/氮化物（MXene）基气凝胶。我们的方法将可持续纤维素纳米纤维与 MXene 分散体的利用、遗传算法支持的结构优化以及用于精确制造的直接墨水书写相结合。由此产生的气凝胶实现了基准 EMI 屏蔽性能，其特点是超低平均反射率 (R) 为 0.045，并且在 30.3 GHz (9.7–40.0 GHz) 超宽带宽上持续吸收率 (A) 高于 0.9，明显超越了现有材料。这一成功得到了机器学习预测、模拟和实验之间密切一致的验证，展示了强大的数据驱动范例。因此，这项研究为机器学习加速开发以轻质、吸收为主的气凝胶为中心的下一代智能电磁防护系统建立了全面的蓝图。</w:t>
      </w:r>
    </w:p>
    <w:p>
      <w:pPr>
        <w:spacing w:before="0" w:after="200" w:lineRule="auto" w:line="276"/>
      </w:pPr>
      <w:r>
        <w:rPr>
          <w:b/>
        </w:rPr>
        <w:t xml:space="preserve">Abstract (EN): </w:t>
      </w:r>
      <w:r>
        <w:t>The development of broadband, low‐reflection electromagnetic interference (EMI) shielding materials is critically needed to suppress secondary electromagnetic pollution. Here, we report a machine learning (ML)‐guided additive manufacturing strategy for precisely fabricating multilayer gradient transition metal carbides/nitrides (MXene)‐based aerogels with spatially programmed electrical conductivity. Our approach synergistically integrates sustainable cellulose nanofibers with a utilization MXene dispersion, genetic algorithm‐enabled structural optimization, and direct‐ink writing for precise fabrication. The resulting aerogels achieve benchmark EMI shielding performance, characterized by an ultralow average reflectivity (R) of 0.045 and sustained absorptivity (A) above 0.9 over an ultrabroad bandwidth of 30.3 GHz (9.7–40.0 GHz), remarkably surpassing existing materials. This success, validated by the close agreement among ML predictions, simulations, and experiments, demonstrates a powerful data‐driven paradigm. Consequently, this study establishes a comprehensive blueprint for the ML‐accelerated development of next‐generation, intelligent electromagnetic protection systems centered on lightweight, absorption‐dominant aerogels.</w:t>
      </w:r>
    </w:p>
    <w:p>
      <w:pPr>
        <w:spacing w:before="120" w:after="120"/>
      </w:pPr>
      <w:r>
        <w:rPr>
          <w:sz w:val="18"/>
        </w:rPr>
        <w:t>——————————————————————————————————————————————————————————————————————</w:t>
      </w:r>
    </w:p>
    <w:p>
      <w:pPr>
        <w:spacing w:before="160" w:after="40" w:line="240" w:lineRule="auto"/>
      </w:pPr>
      <w:r>
        <w:rPr>
          <w:b/>
        </w:rPr>
        <w:t xml:space="preserve">[199] </w:t>
      </w:r>
      <w:hyperlink r:id="rId955">
        <w:r>
          <w:rPr>
            <w:color w:val="1155CC"/>
            <w:u w:val="single"/>
          </w:rPr>
          <w:t>用于神经递质传感和星形胶质细胞可调刺激的可持续聚乳酸/氧化石墨烯生物电子平台</w:t>
        </w:r>
      </w:hyperlink>
    </w:p>
    <w:p>
      <w:pPr>
        <w:spacing w:before="0" w:after="80"/>
      </w:pPr>
      <w:r>
        <w:rPr>
          <w:i/>
          <w:sz w:val="20"/>
        </w:rPr>
        <w:t>EN: Sustainable Poly(Lactic Acid)/Graphene Oxide Bioelectronic Platform for Neurotransmitters Sensing and Tunable Stimulation of Astrocytes</w:t>
      </w:r>
    </w:p>
    <w:p>
      <w:pPr>
        <w:spacing w:before="0" w:after="120"/>
      </w:pPr>
      <w:r>
        <w:rPr>
          <w:b/>
        </w:rPr>
        <w:t xml:space="preserve">Source: </w:t>
      </w:r>
      <w:r>
        <w:t>Wiley: Advanced Materials: Table of Contents</w:t>
      </w:r>
      <w:r>
        <w:t xml:space="preserve">    </w:t>
      </w:r>
      <w:r>
        <w:rPr>
          <w:b/>
        </w:rPr>
        <w:t xml:space="preserve">Pub date: </w:t>
      </w:r>
      <w:r>
        <w:t>2026-08-09 09:54:45+00:00</w:t>
      </w:r>
      <w:r>
        <w:t xml:space="preserve">    </w:t>
      </w:r>
      <w:r>
        <w:rPr>
          <w:b/>
        </w:rPr>
        <w:t xml:space="preserve">DOI: </w:t>
      </w:r>
      <w:hyperlink r:id="rId956">
        <w:r>
          <w:rPr>
            <w:color w:val="1155CC"/>
            <w:u w:val="single"/>
          </w:rPr>
          <w:t>10.1002/adma.74487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使用激光划线聚乳酸/氧化石墨烯（PLA/GO）复合材料开发了生物相容性和可生物降解的电极平台，该复合材料通过创新的水性分散方法制备。激光处理能够形成石墨烯/类石墨结构。通过改变所用激光的注量，可以调节所获得的导电迹线的物理化学性质，最终产生具有可调薄层电阻、化学结构和形态的材料。由于电荷转移电阻低以及观察到的独特的电催化和防污性能，该平台被用作电化学传感器，用于检测生物体液中的各种生物标志物，即抗坏血酸和尿酸、烟酰胺腺嘌呤二核苷酸（NADH）和儿茶酚胺神经递质，其性能优于商用碳丝网印刷电极。在上下文中，激光划线电极被用来证明选择性刺激 Ca 的新方法的有效性</w:t>
      </w:r>
      <w:r>
        <w:rPr>
          <w:vertAlign w:val="subscript"/>
        </w:rPr>
        <w:t>2</w:t>
      </w:r>
      <w:r>
        <w:t>+</w:t>
      </w:r>
      <w:r>
        <w:t xml:space="preserve"> </w:t>
      </w:r>
      <w:r>
        <w:t>星形胶质细胞中的信号传导。本文报告的结果开启了应用激光划线 PLA/GO 作为创新的生态可持续解决方案的可能性，用于在体外和体内模型中同时治疗病理状况并监测由此产生的神经递质表达。</w:t>
      </w:r>
    </w:p>
    <w:p>
      <w:pPr>
        <w:spacing w:before="0" w:after="200" w:lineRule="auto" w:line="276"/>
      </w:pPr>
      <w:r>
        <w:rPr>
          <w:b/>
        </w:rPr>
        <w:t xml:space="preserve">Abstract (EN): </w:t>
      </w:r>
      <w:r>
        <w:t>Biocompatible and biodegradable electrode platforms were developed using laser‐scribed poly(lactic acid)/graphene oxide (PLA/GO) composites, prepared via an innovative waterborne dispersion method. Laser treatment enabled the formation of graphene/graphite‐like structures. By varying the fluence of the laser used, it was possible to modulate the physico–chemical properties of the conductive traces obtained, finally leading to materials characterized by tunable sheet resistance, chemical structure, and morphology. Thanks to the low charge transfer resistance and the peculiar electrocatalytic and antifouling properties observed, the platforms were applied as electrochemical sensors for the detection of various biomarkers in biological fluids, namely ascorbic and uric acid, nicotinamide adenine dinucleotide (NADH) and catecholamine‐based neurotransmitters, outperforming commercial carbon screen‐printed electrodes. Contextually, laser‐scribed electrodes were used to demonstrate the effectiveness of a novel approach for selectively stimulating Ca</w:t>
      </w:r>
      <w:r>
        <w:rPr>
          <w:vertAlign w:val="subscript"/>
        </w:rPr>
        <w:t>2</w:t>
      </w:r>
      <w:r>
        <w:t>+</w:t>
      </w:r>
      <w:r>
        <w:t xml:space="preserve"> </w:t>
      </w:r>
      <w:r>
        <w:t>signaling in astrocytes. The results here reported open the possibility to apply laser‐scribed PLA/GO as innovative eco‐sustainable solutions for simultaneous treatment of pathological conditions and monitoring of the resulting neurotransmitter expression in in vitro and in vivo models.</w:t>
      </w:r>
    </w:p>
    <w:p>
      <w:pPr>
        <w:spacing w:before="120" w:after="120"/>
      </w:pPr>
      <w:r>
        <w:rPr>
          <w:sz w:val="18"/>
        </w:rPr>
        <w:t>——————————————————————————————————————————————————————————————————————</w:t>
      </w:r>
    </w:p>
    <w:p>
      <w:pPr>
        <w:spacing w:before="160" w:after="40" w:line="240" w:lineRule="auto"/>
      </w:pPr>
      <w:r>
        <w:rPr>
          <w:b/>
        </w:rPr>
        <w:t xml:space="preserve">[200] </w:t>
      </w:r>
      <w:hyperlink r:id="rId957">
        <w:r>
          <w:rPr>
            <w:color w:val="1155CC"/>
            <w:u w:val="single"/>
          </w:rPr>
          <w:t>具有时空色彩调制功能的 3D 打印架构胆甾型液晶显示器</w:t>
        </w:r>
      </w:hyperlink>
    </w:p>
    <w:p>
      <w:pPr>
        <w:spacing w:before="0" w:after="80"/>
      </w:pPr>
      <w:r>
        <w:rPr>
          <w:i/>
          <w:sz w:val="20"/>
        </w:rPr>
        <w:t>EN: 3D‐Printed Architected Cholesteric Liquid Crystal Displays With Spatiotemporal Color Modulation</w:t>
      </w:r>
    </w:p>
    <w:p>
      <w:pPr>
        <w:spacing w:before="0" w:after="120"/>
      </w:pPr>
      <w:r>
        <w:rPr>
          <w:b/>
        </w:rPr>
        <w:t xml:space="preserve">Source: </w:t>
      </w:r>
      <w:r>
        <w:t>Wiley: Advanced Materials: Table of Contents</w:t>
      </w:r>
      <w:r>
        <w:t xml:space="preserve">    </w:t>
      </w:r>
      <w:r>
        <w:rPr>
          <w:b/>
        </w:rPr>
        <w:t xml:space="preserve">Pub date: </w:t>
      </w:r>
      <w:r>
        <w:t>2026-08-09 10:00:13+00:00</w:t>
      </w:r>
      <w:r>
        <w:t xml:space="preserve">    </w:t>
      </w:r>
      <w:r>
        <w:rPr>
          <w:b/>
        </w:rPr>
        <w:t xml:space="preserve">DOI: </w:t>
      </w:r>
      <w:hyperlink r:id="rId958">
        <w:r>
          <w:rPr>
            <w:color w:val="1155CC"/>
            <w:u w:val="single"/>
          </w:rPr>
          <w:t>10.1002/adma.74517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当建立明确的平面排列和可见范围的螺旋螺距时，胆甾型液晶（CLC）可以通过其螺旋超结构的选择性反射来表现出可逆的结构颜色。尽管 CLC 光子系统已从平面单元扩展到 3D 几何形状，例如液滴、壳和光纤，但具有可编程时空色彩控制的复杂架构 CLC 显示结构的集成制造仍然尚未得到充分探索。在这里，我们介绍了一种多材料 3D 打印方法，该方法将 3D 打印的 CLC 从静态光子图案推进到具有时空可控颜色输出的架构显示系统。剪切稀化 CLC 复合油墨可实现高保真挤出，同时保留可逆结构着色、支持图案薄膜和独立式 3D 光子结构。共同印刷的导电焦耳加热电路形成单片电热器件，其中局部温度和反射波长通过电路几何形状精确编码。该策略在单个设备内实现了时空可编程多色输出。该系统集成到软机器人抓手中，提供实时视觉温度反馈并实现自适应驱动，为可编程、交互式光子架构建立可扩展的材料到设备框架。</w:t>
      </w:r>
    </w:p>
    <w:p>
      <w:pPr>
        <w:spacing w:before="0" w:after="200" w:lineRule="auto" w:line="276"/>
      </w:pPr>
      <w:r>
        <w:rPr>
          <w:b/>
        </w:rPr>
        <w:t xml:space="preserve">Abstract (EN): </w:t>
      </w:r>
      <w:r>
        <w:t>Cholesteric liquid crystals (CLCs) can exhibit reversible structural colors through selective reflection from their helical superstructures when well‐defined planar alignment and a visible‐range helical pitch are established. Although CLC photonic systems have been extended beyond planar cells to 3D geometries such as droplets, shells, and fibers, the integrated fabrication of complex architected CLC display structures with programmable spatiotemporal color control remains underexplored. Here, we introduce a multi‐material 3D printing approach that advances 3D‐printed CLCs from static photonic patterns to architected display systems with spatiotemporally controllable color output. Shear‐thinning CLC composite inks enable high‐fidelity extrusion while retaining reversible structural coloration, supporting patterned films and freestanding 3D photonic architectures. Co‐printed conductive Joule‐heating circuits form monolithic electrothermal devices, where local temperature and reflection wavelength are precisely encoded via circuit geometry. This strategy achieves spatiotemporally programmable multicolor outputs within a single device. Integrated into a soft robotic gripper, the system provides real‐time visual temperature feedback and enables adaptive actuation, establishing a scalable materials‐to‐device framework for programmable, interactive photonic architectures.</w:t>
      </w:r>
    </w:p>
    <w:p>
      <w:pPr>
        <w:spacing w:before="120" w:after="120"/>
      </w:pPr>
      <w:r>
        <w:rPr>
          <w:sz w:val="18"/>
        </w:rPr>
        <w:t>——————————————————————————————————————————————————————————————————————</w:t>
      </w:r>
    </w:p>
    <w:p>
      <w:pPr>
        <w:spacing w:before="160" w:after="40" w:line="240" w:lineRule="auto"/>
      </w:pPr>
      <w:r>
        <w:rPr>
          <w:b/>
        </w:rPr>
        <w:t xml:space="preserve">[201] </w:t>
      </w:r>
      <w:hyperlink r:id="rId959">
        <w:r>
          <w:rPr>
            <w:color w:val="1155CC"/>
            <w:u w:val="single"/>
          </w:rPr>
          <w:t>通过溶剂诱导多孔和松散包装薄膜的超快电致变色柔性显示器</w:t>
        </w:r>
      </w:hyperlink>
    </w:p>
    <w:p>
      <w:pPr>
        <w:spacing w:before="0" w:after="80"/>
      </w:pPr>
      <w:r>
        <w:rPr>
          <w:i/>
          <w:sz w:val="20"/>
        </w:rPr>
        <w:t>EN: Ultrafast Electrochromic Flexible Displays via Solvent‐Induced Porous and Loosely Packed Films</w:t>
      </w:r>
    </w:p>
    <w:p>
      <w:pPr>
        <w:spacing w:before="0" w:after="120"/>
      </w:pPr>
      <w:r>
        <w:rPr>
          <w:b/>
        </w:rPr>
        <w:t xml:space="preserve">Source: </w:t>
      </w:r>
      <w:r>
        <w:t>Wiley: Advanced Materials: Table of Contents</w:t>
      </w:r>
      <w:r>
        <w:t xml:space="preserve">    </w:t>
      </w:r>
      <w:r>
        <w:rPr>
          <w:b/>
        </w:rPr>
        <w:t xml:space="preserve">Pub date: </w:t>
      </w:r>
      <w:r>
        <w:t>2026-08-09 10:01:39+00:00</w:t>
      </w:r>
      <w:r>
        <w:t xml:space="preserve">    </w:t>
      </w:r>
      <w:r>
        <w:rPr>
          <w:b/>
        </w:rPr>
        <w:t xml:space="preserve">DOI: </w:t>
      </w:r>
      <w:hyperlink r:id="rId960">
        <w:r>
          <w:rPr>
            <w:color w:val="1155CC"/>
            <w:u w:val="single"/>
          </w:rPr>
          <w:t>10.1002/adma.202523062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致变色器件（ECD）是有机电致变色材料最有前途的应用领域之一，具有低功耗和基于环境光调制的非发射操作等优点。然而，当前的电致变色材料通常表现出有限的响应速度，这仍然对实现真正的动态显示技术构成重大挑战。在这项工作中，我们使用四氢呋喃（THF）诱导羟基封端侧链电致变色聚合物的溶剂化。在此过程中形成的氢键产生诱导极化，从而促进周围溶剂分子的对齐排列。因此，溶剂的不均匀分布会在旋涂过程中引发相分离，最终形成具有高比表面积的多孔电致变色薄膜。通过构建这种多层多孔薄膜，我们实现了 0.87 秒的着色响应时间和 0.22 秒的漂白响应时间，同时在 500 nm 处保持 70.89% 的高光学对比度。此外，得益于氢键减轻机械应力的能力，我们在刚性和柔性基板上制造了有源和无源显示矩阵原型，在 1.4 V 的低工作电压下实现了 0.1 s 的快速切换速率（漂白时间 = 5 ms）。该策略表现出一定程度的通用性，凸显了侧链工程、溶剂诱导组装在开发超快电致变色显示材料方面的潜力。</w:t>
      </w:r>
    </w:p>
    <w:p>
      <w:pPr>
        <w:spacing w:before="0" w:after="200" w:lineRule="auto" w:line="276"/>
      </w:pPr>
      <w:r>
        <w:rPr>
          <w:b/>
        </w:rPr>
        <w:t xml:space="preserve">Abstract (EN): </w:t>
      </w:r>
      <w:r>
        <w:t>Electrochromic devices (ECDs) represent one of the promising application areas of organic electrochromic materials, offering advantages such as low power consumption and nonemissive operation based on ambient light modulation. However, current electrochromic materials typically exhibit limited response speeds, which still pose a significant challenge to realizing truly dynamic display technology. In this work, we used tetrahydrofuran (THF) to induce solvation in a hydroxyl‐terminated side‐chain electrochromic polymer. The hydrogen bonds formed during this process generate induced polarization, which promotes the aligned arrangement of surrounding solvent molecules. Consequently, the uneven distribution of solvent triggers phase separation during spin‐coating, ultimately forming a porous electrochromic film with a high specific surface area. By constructing this multi‐layered porous thin film, we achieve a coloration response time of 0.87 s and a bleaching response time of 0.22 s, while maintaining a high optical contrast of 70.89% at 500 nm. Additionally, benefiting from the ability of hydrogen bonding to alleviate mechanical stress, we fabricated both active and passive display matrix prototypes on rigid and flexible substrates, achieving a fast switching rate of 0.1 s under a low operating voltage of 1.4 V (Bleaching time = 5 ms). This strategy exhibits a certain degree of generality, highlighting the potential of side‐chain‐engineered, solvent‐induced assembly for developing ultrafast electrochromic display materials.</w:t>
      </w:r>
    </w:p>
    <w:p>
      <w:pPr>
        <w:spacing w:before="120" w:after="120"/>
      </w:pPr>
      <w:r>
        <w:rPr>
          <w:sz w:val="18"/>
        </w:rPr>
        <w:t>——————————————————————————————————————————————————————————————————————</w:t>
      </w:r>
    </w:p>
    <w:p>
      <w:pPr>
        <w:spacing w:before="160" w:after="40" w:line="240" w:lineRule="auto"/>
      </w:pPr>
      <w:r>
        <w:rPr>
          <w:b/>
        </w:rPr>
        <w:t xml:space="preserve">[202] </w:t>
      </w:r>
      <w:hyperlink r:id="rId961">
        <w:r>
          <w:rPr>
            <w:color w:val="1155CC"/>
            <w:u w:val="single"/>
          </w:rPr>
          <w:t>具有水加速自愈能力的仿生柔性皱纹应变传感器，用于水下检测和运动交互</w:t>
        </w:r>
      </w:hyperlink>
    </w:p>
    <w:p>
      <w:pPr>
        <w:spacing w:before="0" w:after="80"/>
      </w:pPr>
      <w:r>
        <w:rPr>
          <w:i/>
          <w:sz w:val="20"/>
        </w:rPr>
        <w:t>EN: Bionic Flexible Wrinkled Strain Sensors With Water‑Accelerated Self‐healing Capability for Underwater Detection and Motion Interaction</w:t>
      </w:r>
    </w:p>
    <w:p>
      <w:pPr>
        <w:spacing w:before="0" w:after="120"/>
      </w:pPr>
      <w:r>
        <w:rPr>
          <w:b/>
        </w:rPr>
        <w:t xml:space="preserve">Source: </w:t>
      </w:r>
      <w:r>
        <w:t>Wiley: Advanced Materials: Table of Contents</w:t>
      </w:r>
      <w:r>
        <w:t xml:space="preserve">    </w:t>
      </w:r>
      <w:r>
        <w:rPr>
          <w:b/>
        </w:rPr>
        <w:t xml:space="preserve">Pub date: </w:t>
      </w:r>
      <w:r>
        <w:t>2026-08-09 10:07:59+00:00</w:t>
      </w:r>
      <w:r>
        <w:t xml:space="preserve">    </w:t>
      </w:r>
      <w:r>
        <w:rPr>
          <w:b/>
        </w:rPr>
        <w:t xml:space="preserve">DOI: </w:t>
      </w:r>
      <w:hyperlink r:id="rId962">
        <w:r>
          <w:rPr>
            <w:color w:val="1155CC"/>
            <w:u w:val="single"/>
          </w:rPr>
          <w:t>10.1002/adma.74573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能够对流场和运动相互作用进行长期、高灵敏度监测的灵活传感器对于推进无人水下作业至关重要。然而，柔性传感器始终面临着同时实现水下优异自愈性能和高灵敏度的挑战。在这里，受人类皮肤的启发，我们提出了一种将力驱动的羊毛螺旋调节与高温相结合的方法，以制造具有随机皱纹微结构的柔性传感器。重要的是，传感器在发生损坏后仅 8 分钟内就恢复了可用输出，因为动态硼酸酯键通过水解-再酯化反应加速了其水下自愈速率。这种仿生自愈皱纹柔性传感器实现了高水下灵敏度，平均响应时间和恢复时间分别仅为 124 毫秒和 112 毫秒，而大多数报道的同类型材料的水下柔性传感器超过 200 毫秒。值得注意的是，它在水下自愈后可保持超过 5,000 个周期的信号稳定性和功能连续性。我们进一步演示了其在水下航行器模型和人体运动中的应用，以确认其在水下持续输出稳定且灵敏的信号。这些发现推进了水下自愈柔性传感单元的发展，有可能解决水下机器人和防水人机界面的长期高灵敏度状态监测问题。</w:t>
      </w:r>
    </w:p>
    <w:p>
      <w:pPr>
        <w:spacing w:before="0" w:after="200" w:lineRule="auto" w:line="276"/>
      </w:pPr>
      <w:r>
        <w:rPr>
          <w:b/>
        </w:rPr>
        <w:t xml:space="preserve">Abstract (EN): </w:t>
      </w:r>
      <w:r>
        <w:t>Developing flexible sensors capable of long‐term, high‐sensitivity monitoring for flow fields and motion interactions is crucial for advancing unmanned underwater operations. However, flexible sensors always face challenges in achieving underwater superior self‐healing performance and high sensitivity simultaneously. Here, inspired by human skin, we present a method combining force‐driven wool spiral regulation with high‐temperature to fabricate a flexible sensor with random wrinkled microstructures. Importantly, the sensor resumed usable output within just 8 min of incurring damage because dynamic borate ester bonds were applied to accelerate its underwater self‐healing rate via hydrolysis‐re esterification reactions. This bionic self‐healing wrinkled flexible sensor achieves high underwater sensitivity, with average response and recovery time of only 124 ms and 112 ms, respectively, compared with most reported underwater flexible sensors with the same type of material of exceeding 200 ms. Notably, it maintains signal stability and functional continuity over 5,000 cycles following underwater self‐healing. We further demonstrated its use in underwater vehicle model and human motion for confirming its underwater continuously outputting stable and sensitive signals. These findings advance the underwater self‐healing flexible sensing units, with the potential to solve long‐term and high‐sensitivity condition monitoring towards underwater robotics, and water‐resistant human‐machine interfaces.</w:t>
      </w:r>
    </w:p>
    <w:p>
      <w:pPr>
        <w:spacing w:before="120" w:after="120"/>
      </w:pPr>
      <w:r>
        <w:rPr>
          <w:sz w:val="18"/>
        </w:rPr>
        <w:t>——————————————————————————————————————————————————————————————————————</w:t>
      </w:r>
    </w:p>
    <w:p>
      <w:pPr>
        <w:spacing w:before="160" w:after="40" w:line="240" w:lineRule="auto"/>
      </w:pPr>
      <w:r>
        <w:rPr>
          <w:b/>
        </w:rPr>
        <w:t xml:space="preserve">[203] </w:t>
      </w:r>
      <w:hyperlink r:id="rId963">
        <w:r>
          <w:rPr>
            <w:color w:val="1155CC"/>
            <w:u w:val="single"/>
          </w:rPr>
          <w:t>每日简报：人工智能代理嗅出科学文献中几十年前的错误</w:t>
        </w:r>
      </w:hyperlink>
    </w:p>
    <w:p>
      <w:pPr>
        <w:spacing w:before="0" w:after="80"/>
      </w:pPr>
      <w:r>
        <w:rPr>
          <w:i/>
          <w:sz w:val="20"/>
        </w:rPr>
        <w:t>EN: Daily briefing: AI agents sniff out decades-old errors in scientific literature</w:t>
      </w:r>
    </w:p>
    <w:p>
      <w:pPr>
        <w:spacing w:before="0" w:after="120"/>
      </w:pPr>
      <w:r>
        <w:rPr>
          <w:b/>
        </w:rPr>
        <w:t xml:space="preserve">Source: </w:t>
      </w:r>
      <w:r>
        <w:t>Nature</w:t>
      </w:r>
      <w:r>
        <w:t xml:space="preserve">    </w:t>
      </w:r>
      <w:r>
        <w:rPr>
          <w:b/>
        </w:rPr>
        <w:t xml:space="preserve">Pub date: </w:t>
      </w:r>
      <w:r>
        <w:t>2026-08-10 00:00:00+00:00</w:t>
      </w:r>
      <w:r>
        <w:t xml:space="preserve">    </w:t>
      </w:r>
      <w:r>
        <w:rPr>
          <w:b/>
        </w:rPr>
        <w:t xml:space="preserve">DOI: </w:t>
      </w:r>
      <w:hyperlink r:id="rId964">
        <w:r>
          <w:rPr>
            <w:color w:val="1155CC"/>
            <w:u w:val="single"/>
          </w:rPr>
          <w:t>10.1038/d41586-026-02500-w</w:t>
        </w:r>
      </w:hyperlink>
    </w:p>
    <w:p>
      <w:pPr>
        <w:spacing w:before="0" w:after="120"/>
      </w:pPr>
      <w:r>
        <w:rPr>
          <w:b/>
        </w:rPr>
        <w:t xml:space="preserve">Notes: </w:t>
      </w:r>
      <w:r>
        <w:t>abstract_source=rss_nature</w:t>
      </w:r>
    </w:p>
    <w:p>
      <w:pPr>
        <w:spacing w:before="0" w:after="80" w:lineRule="auto" w:line="276"/>
      </w:pPr>
      <w:r>
        <w:rPr>
          <w:b/>
        </w:rPr>
        <w:t xml:space="preserve">摘要（ZH）: </w:t>
      </w:r>
      <w:r>
        <w:t>研究人员表示，人工智能可以快速发现错误，但只能用于检查“客观”事实。另外，还有特百惠大小的磁场探测器和 Z 世代研究人员关于增强弹性的技巧。</w:t>
      </w:r>
    </w:p>
    <w:p>
      <w:pPr>
        <w:spacing w:before="0" w:after="200" w:lineRule="auto" w:line="276"/>
      </w:pPr>
      <w:r>
        <w:rPr>
          <w:b/>
        </w:rPr>
        <w:t xml:space="preserve">Abstract (EN): </w:t>
      </w:r>
      <w:r>
        <w:t>AI can spot errors quickly, but should only be used to check ‘objective’ facts, researchers say. Plus, a Tupperware-sized magnetic-field detector and Gen Z researchers’ tips on building resilience.</w:t>
      </w:r>
    </w:p>
    <w:p>
      <w:pPr>
        <w:spacing w:before="120" w:after="120"/>
      </w:pPr>
      <w:r>
        <w:rPr>
          <w:sz w:val="18"/>
        </w:rPr>
        <w:t>——————————————————————————————————————————————————————————————————————</w:t>
      </w:r>
    </w:p>
    <w:p>
      <w:pPr>
        <w:spacing w:before="160" w:after="40" w:line="240" w:lineRule="auto"/>
      </w:pPr>
      <w:r>
        <w:rPr>
          <w:b/>
        </w:rPr>
        <w:t xml:space="preserve">[204] </w:t>
      </w:r>
      <w:hyperlink r:id="rId965">
        <w:r>
          <w:rPr>
            <w:color w:val="1155CC"/>
            <w:u w:val="single"/>
          </w:rPr>
          <w:t>通过硫缩醛活化和深度电还原实现脂肪酮和醛的双官能化</w:t>
        </w:r>
      </w:hyperlink>
    </w:p>
    <w:p>
      <w:pPr>
        <w:spacing w:before="0" w:after="80"/>
      </w:pPr>
      <w:r>
        <w:rPr>
          <w:i/>
          <w:sz w:val="20"/>
        </w:rPr>
        <w:t>EN: Geminal Difunctionalizations of Aliphatic Ketones and Aldehydes Enabled by Thioacetal Activation and Deep Electroreduction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966">
        <w:r>
          <w:rPr>
            <w:color w:val="1155CC"/>
            <w:u w:val="single"/>
          </w:rPr>
          <w:t>10.1021/jacs.6c09867</w:t>
        </w:r>
      </w:hyperlink>
    </w:p>
    <w:p>
      <w:pPr>
        <w:spacing w:before="0" w:after="120"/>
      </w:pPr>
      <w:r>
        <w:rPr>
          <w:b/>
        </w:rPr>
        <w:t xml:space="preserve">Notes: </w:t>
      </w:r>
      <w:r>
        <w:t>abstract_source=crossref</w:t>
      </w:r>
    </w:p>
    <w:p>
      <w:pPr>
        <w:spacing w:before="0" w:after="80" w:lineRule="auto" w:line="276"/>
      </w:pPr>
      <w:r>
        <w:rPr>
          <w:b/>
        </w:rPr>
        <w:t xml:space="preserve">摘要（ZH）: </w:t>
      </w:r>
      <w:r>
        <w:t>摘要：在这项工作中，我们将二硫缩醛鉴定为可合成的、具有氧化还原活性且无痕的活化基团，能够实现脂肪酮和醛的电还原转化。该策略有效地将这些羰基化合物转化为双阴离子等价物，以利用各种亲电子试剂进行脱氧宝石双官能化。对反应化学选择性实现了法拉第控制，允许密集官能化的硅烷、硼酸酯和锗烷的组合结构。</w:t>
      </w:r>
    </w:p>
    <w:p>
      <w:pPr>
        <w:spacing w:before="0" w:after="200" w:lineRule="auto" w:line="276"/>
      </w:pPr>
      <w:r>
        <w:rPr>
          <w:b/>
        </w:rPr>
        <w:t xml:space="preserve">Abstract (EN): </w:t>
      </w:r>
      <w:r>
        <w:t>In this work, we identify dithioacetals as synthetically accessible, redox-active, and traceless activating groups that enable the electroreductive transformation of aliphatic ketones and aldehydes. This strategy effectively converts these carbonyl compounds into dianion equivalents to undergo deoxygenative gem-difunctionalization with various electrophiles. Faradaic control was achieved over reaction chemoselectivity, allowing for the combinatorial construction of densely functionalized silanes, boronates, and germanes.</w:t>
      </w:r>
    </w:p>
    <w:p>
      <w:pPr>
        <w:spacing w:before="120" w:after="120"/>
      </w:pPr>
      <w:r>
        <w:rPr>
          <w:sz w:val="18"/>
        </w:rPr>
        <w:t>——————————————————————————————————————————————————————————————————————</w:t>
      </w:r>
    </w:p>
    <w:p>
      <w:pPr>
        <w:spacing w:before="160" w:after="40" w:line="240" w:lineRule="auto"/>
      </w:pPr>
      <w:r>
        <w:rPr>
          <w:b/>
        </w:rPr>
        <w:t xml:space="preserve">[205] </w:t>
      </w:r>
      <w:hyperlink r:id="rId967">
        <w:r>
          <w:rPr>
            <w:color w:val="1155CC"/>
            <w:u w:val="single"/>
          </w:rPr>
          <w:t>阐明光诱导二蒽亚砜挤出一氧化硫的机理</w:t>
        </w:r>
      </w:hyperlink>
    </w:p>
    <w:p>
      <w:pPr>
        <w:spacing w:before="0" w:after="80"/>
      </w:pPr>
      <w:r>
        <w:rPr>
          <w:i/>
          <w:sz w:val="20"/>
        </w:rPr>
        <w:t>EN: Elucidating the Mechanism of Photoinduced Sulfur Monoxide Extrusion from Dianthryl Sulfoxide</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968">
        <w:r>
          <w:rPr>
            <w:color w:val="1155CC"/>
            <w:u w:val="single"/>
          </w:rPr>
          <w:t>10.1021/jacs.6c09333</w:t>
        </w:r>
      </w:hyperlink>
    </w:p>
    <w:p>
      <w:pPr>
        <w:spacing w:before="0" w:after="120"/>
      </w:pPr>
      <w:r>
        <w:rPr>
          <w:b/>
        </w:rPr>
        <w:t xml:space="preserve">Notes: </w:t>
      </w:r>
      <w:r>
        <w:t>abstract_source=crossref</w:t>
      </w:r>
    </w:p>
    <w:p>
      <w:pPr>
        <w:spacing w:before="0" w:after="80" w:lineRule="auto" w:line="276"/>
      </w:pPr>
      <w:r>
        <w:rPr>
          <w:b/>
        </w:rPr>
        <w:t xml:space="preserve">摘要（ZH）: </w:t>
      </w:r>
      <w:r>
        <w:t>摘要 光诱导的键断裂反应是在温和条件下构建复杂分子结构的有力工具。其中，挤出工艺通过消除小碎片实现骨架重组，从而获得其他具有综合挑战性的框架。由于在合成化学中具有广泛应用的可能性，导致碳-碳键形成的光挤出特别令人感兴趣。 9,9'-二蒽亚砜 (9-AnSO) 经历光诱导一氧化硫 (SO) 挤出，导致两个蒽基团之间形成 C-C 键。这种转变可以通过协调的 SO 消除或逐步激进途径进行，但激发态动力学仍不清楚。在 EPR 和质谱分析的支持下，9-AnSO 的 SO 捕获和自旋捕获实验证实了亚磺酰自由基的形成，并排除了涉及硫以 S 或 SO2 形式挤出的途径。三重态敏化实验和 DFT 计算支持三重态介导的途径，与在氧气存在下观察到的反应性降低一致。相比之下，1,1′-和2,2′-桥联异构体没有表现出光化学反应性，表明C-S均解反应具有很强的位置依赖性。这些发现为SO挤出的逐步自由基机制提供了直接证据，建立了控制二蒽亚砜中光化学C-S键断裂的结构特征，并为新的光响应分子提供了设计原理。</w:t>
      </w:r>
    </w:p>
    <w:p>
      <w:pPr>
        <w:spacing w:before="0" w:after="200" w:lineRule="auto" w:line="276"/>
      </w:pPr>
      <w:r>
        <w:rPr>
          <w:b/>
        </w:rPr>
        <w:t xml:space="preserve">Abstract (EN): </w:t>
      </w:r>
      <w:r>
        <w:t>Light-induced bond cleavage reactions are powerful tools for constructing complex molecular structures under mild conditions. Among these, extrusion processes enable skeletal reorganization through the elimination of small fragments, granting access to otherwise synthetically challenging frameworks. Photoextrusion that results in the formation of carbon–carbon bonds is particularly intriguing due to the possibility of broad applicability in synthetic chemistry. 9,9′-Dianthrylsulfoxide (9-AnSO) undergoes photoinduced sulfur monoxide (SO) extrusion, resulting in C–C bond formation between the two anthracene groups. This transformation could proceed via a concerted SO elimination or stepwise radical pathway, however the excited-state dynamics remain unclear. SO-trapping and spin-trapping experiments on 9-AnSO, supported by EPR and mass spectrometry, confirm the formation of sulfinyl radicals and rule out pathways involving sulfur extrusion as S or SO2. Triplet sensitization experiments and DFT calculations support a triplet-mediated pathway, consistent with the reduced reactivity observed in the presence of oxygen. In contrast, 1,1′- and 2,2′-bridged isomers show no photochemical reactivity, demonstrating strong positional dependence of the C–S homolysis reaction. These findings provide direct evidence for a stepwise radical mechanism for SO extrusion, establish the structural features controlling photochemical C–S bond cleavage in dianthryl sulfoxides, and offer design principles for new light-responsive molecules.</w:t>
      </w:r>
    </w:p>
    <w:p>
      <w:pPr>
        <w:spacing w:before="120" w:after="120"/>
      </w:pPr>
      <w:r>
        <w:rPr>
          <w:sz w:val="18"/>
        </w:rPr>
        <w:t>——————————————————————————————————————————————————————————————————————</w:t>
      </w:r>
    </w:p>
    <w:p>
      <w:pPr>
        <w:spacing w:before="160" w:after="40" w:line="240" w:lineRule="auto"/>
      </w:pPr>
      <w:r>
        <w:rPr>
          <w:b/>
        </w:rPr>
        <w:t xml:space="preserve">[206] </w:t>
      </w:r>
      <w:hyperlink r:id="rId969">
        <w:r>
          <w:rPr>
            <w:color w:val="1155CC"/>
            <w:u w:val="single"/>
          </w:rPr>
          <w:t>通过检查点抑制纳米抗体对非致病性细菌进行协同肿瘤靶向蛋白质降解和免疫治疗</w:t>
        </w:r>
      </w:hyperlink>
    </w:p>
    <w:p>
      <w:pPr>
        <w:spacing w:before="0" w:after="80"/>
      </w:pPr>
      <w:r>
        <w:rPr>
          <w:i/>
          <w:sz w:val="20"/>
        </w:rPr>
        <w:t>EN: Engineering Nonpathogenic Bacteria for Synergistic Tumor-Targeted Protein Degradation and Immunotherapy by Checkpoint-Inhibiting Nanobodies</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970">
        <w:r>
          <w:rPr>
            <w:color w:val="1155CC"/>
            <w:u w:val="single"/>
          </w:rPr>
          <w:t>10.1021/jacs.6c08082</w:t>
        </w:r>
      </w:hyperlink>
    </w:p>
    <w:p>
      <w:pPr>
        <w:spacing w:before="0" w:after="120"/>
      </w:pPr>
      <w:r>
        <w:rPr>
          <w:b/>
        </w:rPr>
        <w:t xml:space="preserve">Notes: </w:t>
      </w:r>
      <w:r>
        <w:t>abstract_source=crossref</w:t>
      </w:r>
    </w:p>
    <w:p>
      <w:pPr>
        <w:spacing w:before="0" w:after="80" w:lineRule="auto" w:line="276"/>
      </w:pPr>
      <w:r>
        <w:rPr>
          <w:b/>
        </w:rPr>
        <w:t xml:space="preserve">摘要（ZH）: </w:t>
      </w:r>
      <w:r>
        <w:t>摘要 微生物细胞疗法作为复杂生物环境中针对性干预的可编程和多功能模式具有广阔的前景。在这里，我们开发了一种活细菌递送平台，可以利用其内源代谢同步释放表面锚定的靶向蛋白降解（TPD）嵌合体和分泌免疫调节纳米抗体（Nbs）以增强抗肿瘤功效。通过代谢标记结合生物正交点击化学，将转铁蛋白 (Tf)-CD24 抗体嵌合体 (TransCAC) 共价展示在非致病性大肠杆菌 (E. coli) K12 表面。与此同时，该菌株配备了用于原位生物合成 PD-L1 阻断纳米抗体的组成型表达模块。利用细菌的天然肿瘤趋向性，我们的工程大肠杆菌 K12 实现了肿瘤靶向 CD24 降解，从而增强了巨噬细胞介导的吞噬作用，并与 PD-L1 阻断协同作用，引发强大的肿瘤特异性 CD8+ T 细胞免疫。体内施用工程微生物可在皮下乳腺癌和原位肝细胞癌模型中显着抑制肿瘤生长，并延长动物存活时间，这是通过 M1 样巨噬细胞和肿瘤驻留记忆 (TRM) 样 CD8+ T 细胞之间的协调串扰重塑抑制性肿瘤微环境所驱动的。总而言之，这种集成的基因工程和细菌代谢标记 (InGeM) 为开发下一代基于微生物的癌症开辟了途径</w:t>
      </w:r>
    </w:p>
    <w:p>
      <w:pPr>
        <w:spacing w:before="0" w:after="200" w:lineRule="auto" w:line="276"/>
      </w:pPr>
      <w:r>
        <w:rPr>
          <w:b/>
        </w:rPr>
        <w:t xml:space="preserve">Abstract (EN): </w:t>
      </w:r>
      <w:r>
        <w:t>Microbial cell therapies hold considerable promise as programmable and versatile modalities for targeted interventions in complex biological environments. Here, we developed a living bacterial delivery platform that could leverage its endogenous metabolism to synchronize the release of surface-anchored targeted protein degradation (TPD) chimeras and the secretion of immune-modulatory nanobodies (Nbs) for enhanced antitumor efficacy. By means of metabolic labeling coupled with bioorthogonal click chemistry, transferrin (Tf)-CD24 antibody chimeras (TransCACs) were covalently displayed on the surface of nonpathogenic Escherichia coli (E. coli) K12. In parallel, this strain was equipped with a constitutive expression module for the in situ biosynthesis of PD-L1-blocking nanobodies. Capitalizing on the natural tumor tropism of bacteria, our engineered E. coli K12 achieved tumor-targeted CD24 degradation, thereby augmenting macrophage-mediated phagocytosis and synergizing with PD-L1 blockade to elicit robust tumor-specific CD8+ T cell immunity. In vivo administration of engineered microbes led to marked tumor growth inhibition in both subcutaneous breast and orthotopic hepatocellular carcinoma models, along with prolonged animal survival, driven by remodeling of the suppressive tumor microenvironment through coordinated crosstalk between M1-like macrophages and tumor-resident memory (TRM)-like CD8+ T cells. Altogether, this integrated genetic engineering and metabolic labeling of bacteria (InGeM) opens avenues for the development of next-generation microbe-based cancer immunotherapies.</w:t>
      </w:r>
    </w:p>
    <w:p>
      <w:pPr>
        <w:spacing w:before="120" w:after="120"/>
      </w:pPr>
      <w:r>
        <w:rPr>
          <w:sz w:val="18"/>
        </w:rPr>
        <w:t>——————————————————————————————————————————————————————————————————————</w:t>
      </w:r>
    </w:p>
    <w:p>
      <w:pPr>
        <w:spacing w:before="160" w:after="40" w:line="240" w:lineRule="auto"/>
      </w:pPr>
      <w:r>
        <w:rPr>
          <w:b/>
        </w:rPr>
        <w:t xml:space="preserve">[207] </w:t>
      </w:r>
      <w:hyperlink r:id="rId971">
        <w:r>
          <w:rPr>
            <w:color w:val="1155CC"/>
            <w:u w:val="single"/>
          </w:rPr>
          <w:t>直接比较单一设计的蛋白质支架中的 CuB 和 CuSiR 位点揭示了酪氨酸在氧和亚硫酸盐还原中的核心作用</w:t>
        </w:r>
      </w:hyperlink>
    </w:p>
    <w:p>
      <w:pPr>
        <w:spacing w:before="0" w:after="80"/>
      </w:pPr>
      <w:r>
        <w:rPr>
          <w:i/>
          <w:sz w:val="20"/>
        </w:rPr>
        <w:t>EN: Direct Comparison of CuB and CuSiR Sites in a Single Designed Protein Scaffold Reveals a Central Role for Tyrosine in Oxygen and Sulfite 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972">
        <w:r>
          <w:rPr>
            <w:color w:val="1155CC"/>
            <w:u w:val="single"/>
          </w:rPr>
          <w:t>10.1021/jacs.6c00223</w:t>
        </w:r>
      </w:hyperlink>
    </w:p>
    <w:p>
      <w:pPr>
        <w:spacing w:before="0" w:after="120"/>
      </w:pPr>
      <w:r>
        <w:rPr>
          <w:b/>
        </w:rPr>
        <w:t xml:space="preserve">Notes: </w:t>
      </w:r>
      <w:r>
        <w:t>abstract_source=crossref</w:t>
      </w:r>
    </w:p>
    <w:p>
      <w:pPr>
        <w:spacing w:before="0" w:after="80" w:lineRule="auto" w:line="276"/>
      </w:pPr>
      <w:r>
        <w:rPr>
          <w:b/>
        </w:rPr>
        <w:t xml:space="preserve">摘要（ZH）: </w:t>
      </w:r>
      <w:r>
        <w:t>摘要 血红素铜氧化酶 (HCO) 和 A 型亚硫酸盐还原酶 (SiR-A) 都依赖于血红素旁边的铜中心来进行生物反应，但仍然存在一个问题，即为什么 HCO 中的 CuB 中心能够促进水的氧还原反应 (ORR)，而 ORR 对于产生质子动力以合成有氧生命中的 ATP 至关重要，而 SiR-A 中的 CuSiR 在亚硫酸盐还原反应中非常有效(SRR) 转化为硫化物，在厌氧细菌中产生质子动力。为了回答这个问题，我们在此报告了单一蛋白质大豆抗坏血酸过氧化物酶（APX）中 CuB 或 CuSiR 位点的设计，作为分别模拟 HCO 和 SiR-A 中的支架。通过消除不同天然支架的混杂因素，我们分离出铜配位环境和保守的 Tyr 在催化根本不同的反应中的内在作用，为这些中心如何控制这些反应提供了前所未有的清晰度。我们的结果表明，CuB 和 CuSiR 位点都可以支持 ORR，但只有 CuSiR 促进 SRR，这强调了 6e-/7H+ 转移相对于 4e-/4H+ 的更大挑战。令人惊讶的是，在 CuB 位点附近引入 Tyr 不仅增强了 ORR，而且还赋予了强大的 SRR 活性，在相同条件下甚至超过了 CuSiR。这一发现改变了铜配位单独决定催化特异性的观点，并强调了 Tyr-Cu 协同作用在实现多电子氧化还原化学中的主导作用。这些见解为理解进化设计原则和c提供了一个新的框架。</w:t>
      </w:r>
    </w:p>
    <w:p>
      <w:pPr>
        <w:spacing w:before="0" w:after="200" w:lineRule="auto" w:line="276"/>
      </w:pPr>
      <w:r>
        <w:rPr>
          <w:b/>
        </w:rPr>
        <w:t xml:space="preserve">Abstract (EN): </w:t>
      </w:r>
      <w:r>
        <w:t>Both heme-copper oxidase (HCO) and sulfite reductase type A (SiR-A) enzymes rely on a copper center next to heme to perform their biological reactions, but a question remains as to why the CuB center in HCO promotes the oxygen reduction reaction (ORR) to water that is essential for generating a proton motive force to synthesize ATP in aerobic life, while the CuSiR in SiR-A is efficient at the sulfite reduction reaction (SRR) to sulfide, generating a proton motive force in anaerobic bacteria. To answer this question, we report herein the design of either a CuB or a CuSiR site in a single protein, soybean ascorbate peroxidase (APX), as a scaffold to mimic those in HCO and SiR-A, respectively. By eliminating confounding factors from different native scaffolds, we isolate the intrinsic roles of copper coordination environments and a conserved Tyr in catalyzing fundamentally different reactions, offering unprecedented clarity on how these centers govern these reactions. Our results reveal that both CuB and CuSiR sites can support ORR, but only CuSiR promotes SRR, underscoring the greater challenge of 6e– /7H+ transfer versus 4e– /4H+. Surprisingly, introducing a Tyr near the CuB site not only enhances ORR but also confers robust SRR activity, surpassing even CuSiR under identical conditions. This finding changed the view that copper coordination alone dictates catalytic specificity and highlights the dominant role of Tyr–Cu synergy in enabling multielectron redox chemistry. These insights provide a new framework for understanding evolutionary design principles and for creating bioinspired catalysts for selective O2 and SO32– reductions.</w:t>
      </w:r>
    </w:p>
    <w:p>
      <w:pPr>
        <w:spacing w:before="120" w:after="120"/>
      </w:pPr>
      <w:r>
        <w:rPr>
          <w:sz w:val="18"/>
        </w:rPr>
        <w:t>——————————————————————————————————————————————————————————————————————</w:t>
      </w:r>
    </w:p>
    <w:p>
      <w:pPr>
        <w:spacing w:before="160" w:after="40" w:line="240" w:lineRule="auto"/>
      </w:pPr>
      <w:r>
        <w:rPr>
          <w:b/>
        </w:rPr>
        <w:t xml:space="preserve">[208] </w:t>
      </w:r>
      <w:hyperlink r:id="rId973">
        <w:r>
          <w:rPr>
            <w:color w:val="1155CC"/>
            <w:u w:val="single"/>
          </w:rPr>
          <w:t>单金属中心 O2 的四电子还原：铀 (II) 合成子的氧化还原化学</w:t>
        </w:r>
      </w:hyperlink>
    </w:p>
    <w:p>
      <w:pPr>
        <w:spacing w:before="0" w:after="80"/>
      </w:pPr>
      <w:r>
        <w:rPr>
          <w:i/>
          <w:sz w:val="20"/>
        </w:rPr>
        <w:t>EN: Four-Electron Reduction of O2 at a Single Metal Center: Redox Chemistry of a Uranium(II) Synthon</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974">
        <w:r>
          <w:rPr>
            <w:color w:val="1155CC"/>
            <w:u w:val="single"/>
          </w:rPr>
          <w:t>10.1021/jacs.6c12132</w:t>
        </w:r>
      </w:hyperlink>
    </w:p>
    <w:p>
      <w:pPr>
        <w:spacing w:before="0" w:after="120"/>
      </w:pPr>
      <w:r>
        <w:rPr>
          <w:b/>
        </w:rPr>
        <w:t xml:space="preserve">Notes: </w:t>
      </w:r>
      <w:r>
        <w:t>abstract_source=crossref</w:t>
      </w:r>
    </w:p>
    <w:p>
      <w:pPr>
        <w:spacing w:before="0" w:after="80" w:lineRule="auto" w:line="276"/>
      </w:pPr>
      <w:r>
        <w:rPr>
          <w:b/>
        </w:rPr>
        <w:t xml:space="preserve">摘要（ZH）: </w:t>
      </w:r>
      <w:r>
        <w:t>摘要 N,N'-束缚的 U(III) 配合物 κ2:η6-LArUI(THF) (A) 的单电子还原，以配体施加 η6-芳烃-金属相互作用为特征，以良好的产率生成还原物质 [K(2.2.2-cryptand)][(κ2:η6-LAr)UI] (1)。配合物 1 表现出锚定芳烃的严重变形，表明基于配体的还原而不是以金属为中心的还原。与此相符，对 1 的结构参数的仔细检查揭示了键定位与芳烃的双电子还原以及金属中心的还原诱导氧化一致，从而给出了形式上的 U(IV) 络合物。尽管如此，1 是一种有效的 U(II) 合成子，能够进行四电子转移化学，激活小分子 PhN3、PhNO 和 O2，产生多键六价产物 trans-(κ2:η6-LAr)U(NPh)2 (3) 和 trans-(κ2-LAr)U(E)(E')(THF)（E = NPh、E' = O (4)；且 E = E' = O (5)）。单核铀酰络合物 5 的形成尤其重要，因为它构成了第一个报道的通过从单个锕系中心的四电子转移激活 O2 的例子。</w:t>
      </w:r>
    </w:p>
    <w:p>
      <w:pPr>
        <w:spacing w:before="0" w:after="200" w:lineRule="auto" w:line="276"/>
      </w:pPr>
      <w:r>
        <w:rPr>
          <w:b/>
        </w:rPr>
        <w:t xml:space="preserve">Abstract (EN): </w:t>
      </w:r>
      <w:r>
        <w:t>One-electron reduction of the N,N′-tethered U(III) complex κ2:η6-LArUI(THF) (A), featuring a ligand imposed η6-arene-metal interaction, generates the reduced species [K(2.2.2-cryptand)][(κ2:η6-LAr)UI] (1) in good yield. Complex 1 exhibits severe distortion of the anchored arene, indicating ligand-based rather than metal-centered reduction. In line with this, close inspection of the structural parameters of 1 reveals bond localization consistent with two-electron reduction of the arene concomitant with reduction-induced oxidation of the metal center, giving a formally U(IV) complex. Nonetheless, 1 is a potent U(II) synthon capable of four-electron transfer chemistry, activating the small molecules PhN3, PhNO, and O2 to yield the multiply bonded, hexavalent products trans-(κ2:η6-LAr)U(NPh)2 (3) and trans-(κ2-LAr)U(E)(E’)(THF) (E = NPh, E′ = O (4); and E = E′ = O (5)). Formation of mononuclear uranyl complex 5 is especially significant, as it constitutes the first reported example of O2 activation via four-electron transfer from a single actinide center.</w:t>
      </w:r>
    </w:p>
    <w:p>
      <w:pPr>
        <w:spacing w:before="120" w:after="120"/>
      </w:pPr>
      <w:r>
        <w:rPr>
          <w:sz w:val="18"/>
        </w:rPr>
        <w:t>——————————————————————————————————————————————————————————————————————</w:t>
      </w:r>
    </w:p>
    <w:p>
      <w:pPr>
        <w:spacing w:before="160" w:after="40" w:line="240" w:lineRule="auto"/>
      </w:pPr>
      <w:r>
        <w:rPr>
          <w:b/>
        </w:rPr>
        <w:t xml:space="preserve">[209] </w:t>
      </w:r>
      <w:hyperlink r:id="rId975">
        <w:r>
          <w:rPr>
            <w:color w:val="1155CC"/>
            <w:u w:val="single"/>
          </w:rPr>
          <w:t>通过解耦界面传输和反应动力学在界面聚合中反离子控制的纳米级形态发生</w:t>
        </w:r>
      </w:hyperlink>
    </w:p>
    <w:p>
      <w:pPr>
        <w:spacing w:before="0" w:after="80"/>
      </w:pPr>
      <w:r>
        <w:rPr>
          <w:i/>
          <w:sz w:val="20"/>
        </w:rPr>
        <w:t>EN: Counterion-Controlled Nanoscale Morphogenesis in Interfacial Polymerization via Decoupled Interfacial Transport and Reaction Kinetics</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976">
        <w:r>
          <w:rPr>
            <w:color w:val="1155CC"/>
            <w:u w:val="single"/>
          </w:rPr>
          <w:t>10.1021/jacs.6c10549</w:t>
        </w:r>
      </w:hyperlink>
    </w:p>
    <w:p>
      <w:pPr>
        <w:spacing w:before="0" w:after="120"/>
      </w:pPr>
      <w:r>
        <w:rPr>
          <w:b/>
        </w:rPr>
        <w:t xml:space="preserve">Notes: </w:t>
      </w:r>
      <w:r>
        <w:t>abstract_source=crossref</w:t>
      </w:r>
    </w:p>
    <w:p>
      <w:pPr>
        <w:spacing w:before="0" w:after="80" w:lineRule="auto" w:line="276"/>
      </w:pPr>
      <w:r>
        <w:rPr>
          <w:b/>
        </w:rPr>
        <w:t xml:space="preserve">摘要（ZH）: </w:t>
      </w:r>
      <w:r>
        <w:t>摘要 薄膜复合膜的形态在界面聚合（IP）过程中通过竞争单体传输和反应动力学进行编码，但由于其内在耦合，分子控制仍然受到限制。在此，我们证明反离子将溶剂化控制的传输与过渡态能量解耦，从而能够对非平衡薄膜形态发生进行确定性控制。使用模型聚酯 IP 系统，我们证明不同的酚盐抗衡离子（Li+、Na+、K+、TBA+）揭示了异常的能量趋势，过渡态能量（ΔG‡ ≈ 6.9–21.7 kcal mol–1）和界面分配能量（ΔGpartition ≈ 11.2–0.7 kcal mol–1）跨越了一个数量级以上。尽管本征动力学更快，Li+ 仍可产生超薄、光滑的薄膜（厚度约为 9.4 nm；Rq ≈ 1.9 nm），而 TBA+ 则可产生具有粗糙结构的厚薄膜（约 32 nm；Rq ≈ 27-30 nm）。这种反转归因于动力学锁定状态，其中有限的超快反应在形态放大之前抑制了反应扩散不稳定性。因此，所得网络表现出可调节的表面粗糙度（~1.9 至~27 nm）。从聚锂到聚TBA，表面粗糙度受控增加约 14 倍，在相同的溶质截留率下，透水性提高了 75%。这些发现建立了一个预测能量框架，将界面能量学与反应扩散不稳定性、膜形态和传输行为联系起来。</w:t>
      </w:r>
    </w:p>
    <w:p>
      <w:pPr>
        <w:spacing w:before="0" w:after="200" w:lineRule="auto" w:line="276"/>
      </w:pPr>
      <w:r>
        <w:rPr>
          <w:b/>
        </w:rPr>
        <w:t xml:space="preserve">Abstract (EN): </w:t>
      </w:r>
      <w:r>
        <w:t>The morphology of thin-film composite membranes is encoded during interfacial polymerization (IP) by competing monomer transport and reaction kinetics, yet molecular control remains limited due to their intrinsic coupling. Herein, we show that counterions decouple solvation-controlled transport from transition-state energetics, enabling deterministic control over nonequilibrium thin-film morphogenesis. Using a model polyester IP system, we demonstrate that varying phenoxide counterions (Li+, Na+, K+, TBA+) reveals anomalous energetic trends, with transition-state energies (ΔG‡ ≈ 6.9–21.7 kcal mol–1) and interfacial partitioning energies (ΔGpartition ≈ 11.2–0.7 kcal mol–1) spanning more than an order of magnitude. Despite faster intrinsic kinetics, Li+ produces ultrathin, smooth films (≈9.4 nm thickness; Rq ≈ 1.9 nm), whereas TBA+ yields substantially thick films with rough architectures (≈32 nm; Rq ≈ 27–30 nm). This inversion is attributed to a kinetically locked regime, where confined ultrafast reactions suppress reaction–diffusion instabilities before morphological amplification. Consequently, resulting networks exhibit tunable surface roughness (∼1.9 to ∼27 nm). The controlled ∼14-fold increase in surface roughness from Poly-Li to Poly-TBA yields 75% enhanced water permeance at equivalent solute rejection. These findings establish a predictive energetic framework that connects interfacial energetics to reaction–diffusion instability, membrane morphology, and transport behavior.</w:t>
      </w:r>
    </w:p>
    <w:p>
      <w:pPr>
        <w:spacing w:before="120" w:after="120"/>
      </w:pPr>
      <w:r>
        <w:rPr>
          <w:sz w:val="18"/>
        </w:rPr>
        <w:t>——————————————————————————————————————————————————————————————————————</w:t>
      </w:r>
    </w:p>
    <w:p>
      <w:pPr>
        <w:spacing w:before="160" w:after="40" w:line="240" w:lineRule="auto"/>
      </w:pPr>
      <w:r>
        <w:rPr>
          <w:b/>
        </w:rPr>
        <w:t xml:space="preserve">[210] </w:t>
      </w:r>
      <w:hyperlink r:id="rId977">
        <w:r>
          <w:rPr>
            <w:color w:val="1155CC"/>
            <w:u w:val="single"/>
          </w:rPr>
          <w:t>非常规生物催化策略协调核苷类似物 Sinefungin 的合成</w:t>
        </w:r>
      </w:hyperlink>
    </w:p>
    <w:p>
      <w:pPr>
        <w:spacing w:before="0" w:after="80"/>
      </w:pPr>
      <w:r>
        <w:rPr>
          <w:i/>
          <w:sz w:val="20"/>
        </w:rPr>
        <w:t>EN: Unconventional Biocatalytic Strategies Orchestrate the Synthesis of the Nucleoside Analog Sinefungin</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978">
        <w:r>
          <w:rPr>
            <w:color w:val="1155CC"/>
            <w:u w:val="single"/>
          </w:rPr>
          <w:t>10.1021/jacs.6c10565</w:t>
        </w:r>
      </w:hyperlink>
    </w:p>
    <w:p>
      <w:pPr>
        <w:spacing w:before="0" w:after="120"/>
      </w:pPr>
      <w:r>
        <w:rPr>
          <w:b/>
        </w:rPr>
        <w:t xml:space="preserve">Notes: </w:t>
      </w:r>
      <w:r>
        <w:t>abstract_source=crossref</w:t>
      </w:r>
    </w:p>
    <w:p>
      <w:pPr>
        <w:spacing w:before="0" w:after="80" w:lineRule="auto" w:line="276"/>
      </w:pPr>
      <w:r>
        <w:rPr>
          <w:b/>
        </w:rPr>
        <w:t xml:space="preserve">摘要（ZH）: </w:t>
      </w:r>
      <w:r>
        <w:t>摘要 Sinefungin 是一种有效的 S-腺苷甲硫氨酸 (SAM) 核苷抗代谢物。自 20 世纪 70 年代发现以来，sinefungin 由于其作为 SAM 生物等排体的作用及其广泛的生物活性而引起了重大的科学兴趣。尽管在接下来的几年里，人们付出了巨大的努力来发现负责产生辛芬净的酶，但几十年来其生物合成仍然不清楚。在这里，我们描述了来自 Streptomyces incarnatus NRRL 8089 的完整 Sinefungin 生物合成基因簇 (sin BGC)。体外和体内分析支持了最近的一项发现，即定义的碳-碳 (C-C) 键不是由长期假设的依赖于 PLP 的过程形成的，而是由依赖于维生素 B12 的自由基 SAM 酶形成的。我们通过同位素标记的产品提供直接的机械证据，表明辛芬净的腺苷基团源自腺苷钴胺素，并且非典型地通过均裂 SH2 取代反应被消耗。我们还表征了两种肽氨酰-tRNA 连接酶 (PEARL)，它们使用 tRNA 激活的氨基酸将丙氨酸附加到核苷支架上。 PEARL 直接作用于小分子而不是大分子底物，其中一个 PEARL 能够反复延伸。此外，我们还对几种 BGC 编码酶进行体外底物分析。我们发现多种酶对磷酸化中间体表现出特异性，包括最早起作用的 PEARL 酶。这些观察结果为该途径中观察到的神秘磷酸化-去磷酸化策略提供了解释，因为</w:t>
      </w:r>
    </w:p>
    <w:p>
      <w:pPr>
        <w:spacing w:before="0" w:after="200" w:lineRule="auto" w:line="276"/>
      </w:pPr>
      <w:r>
        <w:rPr>
          <w:b/>
        </w:rPr>
        <w:t xml:space="preserve">Abstract (EN): </w:t>
      </w:r>
      <w:r>
        <w:t>Sinefungin is a potent nucleoside antimetabolite of S-adenosylmethionine (SAM). Since its discovery in the 1970s, sinefungin has generated significant scientific interest owing to its role as a bioisostere of SAM and its broad range of biological activities. Despite considerable efforts to uncover the enzymes responsible for sinefungin production in the following years, its biosynthesis remained unclear for decades. Here, we characterize the complete sinefungin biosynthetic gene cluster (sin BGC) from Streptomyces incarnatus NRRL 8089. In vitro and in vivo analyses support a recent finding that the defining carbon–carbon (C–C) bond is formed not by a long-hypothesized PLP-dependent process, but by a vitamin B12-dependent radical SAM enzyme. We provide direct mechanistic evidence, via isotope-labeled products, that the adenosyl group of sinefungin originates from adenosylcobalamin and is atypically consumed via a homolytic SH2 substitution reaction. We also characterize two peptide aminoacyl-tRNA ligases (PEARLs) that append alanines onto the nucleoside scaffold using tRNA-activated amino acids. The PEARLs act directly on small molecules rather than macromolecular substrates, with one PEARL capable of iterative elongation. In addition, we perform in-vitro substrate profiling of several sin BGC-encoded enzymes. We reveal that multiple enzymes show specificity toward phosphorylated intermediates, including the earliest-acting PEARL enzyme. These observations provide an explanation for a cryptic phosphorylation-dephosphorylation strategy observed in the pathway, as they prevent the formation of the highly toxic sinefungin inside the cell. Finally, we leverage these enzymes in a reduced multi-enzyme cascade to biosynthesize sinefungin. Together, these findings expand upon our current knowledge of radical-mediated C–C bond formation and PEARL enzyme catalysis, unlocking biocatalytic possibilities to produce amino acid-nucleoside conjugates.</w:t>
      </w:r>
    </w:p>
    <w:p>
      <w:pPr>
        <w:spacing w:before="120" w:after="120"/>
      </w:pPr>
      <w:r>
        <w:rPr>
          <w:sz w:val="18"/>
        </w:rPr>
        <w:t>——————————————————————————————————————————————————————————————————————</w:t>
      </w:r>
    </w:p>
    <w:p>
      <w:pPr>
        <w:spacing w:before="160" w:after="40" w:line="240" w:lineRule="auto"/>
      </w:pPr>
      <w:r>
        <w:rPr>
          <w:b/>
        </w:rPr>
        <w:t xml:space="preserve">[211] </w:t>
      </w:r>
      <w:hyperlink r:id="rId979">
        <w:r>
          <w:rPr>
            <w:color w:val="1155CC"/>
            <w:u w:val="single"/>
          </w:rPr>
          <w:t>实现以 P(III) 为中心的手性的有机催化控制，以构建 P(III)/(V) 立构化合物</w:t>
        </w:r>
      </w:hyperlink>
    </w:p>
    <w:p>
      <w:pPr>
        <w:spacing w:before="0" w:after="80"/>
      </w:pPr>
      <w:r>
        <w:rPr>
          <w:i/>
          <w:sz w:val="20"/>
        </w:rPr>
        <w:t>EN: Achieving Organocatalytic Control of P(III)-Centered Chirality for the Construction of P(III)/(V) Stereogenic Compounds</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980">
        <w:r>
          <w:rPr>
            <w:color w:val="1155CC"/>
            <w:u w:val="single"/>
          </w:rPr>
          <w:t>10.1021/jacs.6c12900</w:t>
        </w:r>
      </w:hyperlink>
    </w:p>
    <w:p>
      <w:pPr>
        <w:spacing w:before="0" w:after="120"/>
      </w:pPr>
      <w:r>
        <w:rPr>
          <w:b/>
        </w:rPr>
        <w:t xml:space="preserve">Notes: </w:t>
      </w:r>
      <w:r>
        <w:t>abstract_source=crossref</w:t>
      </w:r>
    </w:p>
    <w:p>
      <w:pPr>
        <w:spacing w:before="0" w:after="80" w:lineRule="auto" w:line="276"/>
      </w:pPr>
      <w:r>
        <w:rPr>
          <w:b/>
        </w:rPr>
        <w:t xml:space="preserve">摘要（ZH）: </w:t>
      </w:r>
      <w:r>
        <w:t>摘要 P(III)/(V)-手性化合物是不对称催化、药物和农用化学品中不可或缺的基序，但其催化不对称合成仍然具有本质上的挑战性。尽管过渡金属催化通过亲核 P(III) 中间体取得了重大进展，但直接激活三价磷作为亲电子试剂的有机催化策略仍然很大程度上尚未探索。在此，我们报道了一种有机催化不对称平台，用于通过用酚和醇直接亲核取代容易获得的氯膦来构建P(III)-立体亚次膦酸酯。该策略的核心是手性异硫脲催化剂，它与三价磷中心结合生成关键的手性 P-催化剂中间体，从而能够以高选择性实现催化剂控制的 P-O 键形成。密度泛函理论计算表明，磷中心的温和氯化物辅助金字塔反转能够实现有效的动态动力学解析过程。该方法提供了获得对映体富集的 P(III) 次膦酸酯的广泛途径，其可以通过合成后转化轻松多样化，以提供结构多样的 P(III) 和 P(V) 手性框架，包括手性金属膦配合物。所得化合物对代表性植物病原体表现出良好的抗菌活性，凸显了这种有机催化策略在磷基农用化学品开发中的潜力。</w:t>
      </w:r>
    </w:p>
    <w:p>
      <w:pPr>
        <w:spacing w:before="0" w:after="200" w:lineRule="auto" w:line="276"/>
      </w:pPr>
      <w:r>
        <w:rPr>
          <w:b/>
        </w:rPr>
        <w:t xml:space="preserve">Abstract (EN): </w:t>
      </w:r>
      <w:r>
        <w:t>P(III)/(V)-chiral compounds are indispensable motifs in asymmetric catalysis, pharmaceuticals, and agrochemicals, yet their catalytic asymmetric synthesis remains intrinsically challenging. Although transition-metal catalysis has enabled major advances via nucleophilic P(III) intermediates, organocatalytic strategies that directly activate trivalent phosphorus as an electrophile remain largely unexplored. Herein, we report an organocatalytic asymmetric platform for the construction of P(III)-stereogenic phosphinites through direct nucleophilic substitution of readily available chlorophosphines with phenols and alcohols. Central to this strategy is a chiral isothiourea catalyst that engages the trivalent phosphorus center to generate a key chiral P–catalyst intermediate, enabling catalyst-controlled P–O bond formation in high selectivity. Density functional theory calculations reveal that mild chloride-assisted pyramidal inversion of the phosphorus center enables an efficient dynamic kinetic resolution process. This method provides broad access to enantioenriched P(III) phosphinites, which can be readily diversified via postsynthetic transformations to furnish structurally diverse P(III) and P(V) chiral frameworks, including chiral metal–phosphine complexes. The resulting compounds exhibit promising antimicrobial activity against representative plant pathogens, highlighting the potential of this organocatalytic strategy for phosphorus-based agrochemical development.</w:t>
      </w:r>
    </w:p>
    <w:p>
      <w:pPr>
        <w:spacing w:before="120" w:after="120"/>
      </w:pPr>
      <w:r>
        <w:rPr>
          <w:sz w:val="18"/>
        </w:rPr>
        <w:t>——————————————————————————————————————————————————————————————————————</w:t>
      </w:r>
    </w:p>
    <w:p>
      <w:pPr>
        <w:spacing w:before="160" w:after="40" w:line="240" w:lineRule="auto"/>
      </w:pPr>
      <w:r>
        <w:rPr>
          <w:b/>
        </w:rPr>
        <w:t xml:space="preserve">[212] </w:t>
      </w:r>
      <w:hyperlink r:id="rId981">
        <w:r>
          <w:rPr>
            <w:color w:val="1155CC"/>
            <w:u w:val="single"/>
          </w:rPr>
          <w:t>你哪里怕痒？研究人员绘制了跨文化的感觉图</w:t>
        </w:r>
      </w:hyperlink>
    </w:p>
    <w:p>
      <w:pPr>
        <w:spacing w:before="0" w:after="80"/>
      </w:pPr>
      <w:r>
        <w:rPr>
          <w:i/>
          <w:sz w:val="20"/>
        </w:rPr>
        <w:t>EN: Where are you ticklish? Researchers map the sensation across cultures</w:t>
      </w:r>
    </w:p>
    <w:p>
      <w:pPr>
        <w:spacing w:before="0" w:after="120"/>
      </w:pPr>
      <w:r>
        <w:rPr>
          <w:b/>
        </w:rPr>
        <w:t xml:space="preserve">Source: </w:t>
      </w:r>
      <w:r>
        <w:t>Nature</w:t>
      </w:r>
      <w:r>
        <w:t xml:space="preserve">    </w:t>
      </w:r>
      <w:r>
        <w:rPr>
          <w:b/>
        </w:rPr>
        <w:t xml:space="preserve">Pub date: </w:t>
      </w:r>
      <w:r>
        <w:t>2026-08-10 00:00:00+00:00</w:t>
      </w:r>
      <w:r>
        <w:t xml:space="preserve">    </w:t>
      </w:r>
      <w:r>
        <w:rPr>
          <w:b/>
        </w:rPr>
        <w:t xml:space="preserve">DOI: </w:t>
      </w:r>
      <w:hyperlink r:id="rId982">
        <w:r>
          <w:rPr>
            <w:color w:val="1155CC"/>
            <w:u w:val="single"/>
          </w:rPr>
          <w:t>10.1038/d41586-026-02493-6</w:t>
        </w:r>
      </w:hyperlink>
    </w:p>
    <w:p>
      <w:pPr>
        <w:spacing w:before="0" w:after="120"/>
      </w:pPr>
      <w:r>
        <w:rPr>
          <w:b/>
        </w:rPr>
        <w:t xml:space="preserve">Notes: </w:t>
      </w:r>
      <w:r>
        <w:t>abstract_source=rss_nature</w:t>
      </w:r>
    </w:p>
    <w:p>
      <w:pPr>
        <w:spacing w:before="0" w:after="80" w:lineRule="auto" w:line="276"/>
      </w:pPr>
      <w:r>
        <w:rPr>
          <w:b/>
        </w:rPr>
        <w:t xml:space="preserve">摘要（ZH）: </w:t>
      </w:r>
      <w:r>
        <w:t>来自中国、荷兰和希腊文化背景的人身上都有相同的“痒痒热点”。在很少接触的地方，痒感更强烈。</w:t>
      </w:r>
    </w:p>
    <w:p>
      <w:pPr>
        <w:spacing w:before="0" w:after="200" w:lineRule="auto" w:line="276"/>
      </w:pPr>
      <w:r>
        <w:rPr>
          <w:b/>
        </w:rPr>
        <w:t xml:space="preserve">Abstract (EN): </w:t>
      </w:r>
      <w:r>
        <w:t>People from Chinese, Dutch and Greek cultural backgrounds have the same ‘tickle hotspots’ on the body. And ticklishness is stronger in rarely touched areas.</w:t>
      </w:r>
    </w:p>
    <w:p>
      <w:pPr>
        <w:spacing w:before="120" w:after="120"/>
      </w:pPr>
      <w:r>
        <w:rPr>
          <w:sz w:val="18"/>
        </w:rPr>
        <w:t>——————————————————————————————————————————————————————————————————————</w:t>
      </w:r>
    </w:p>
    <w:p>
      <w:pPr>
        <w:spacing w:before="160" w:after="40" w:line="240" w:lineRule="auto"/>
      </w:pPr>
      <w:r>
        <w:rPr>
          <w:b/>
        </w:rPr>
        <w:t xml:space="preserve">[213] </w:t>
      </w:r>
      <w:hyperlink r:id="rId983">
        <w:r>
          <w:rPr>
            <w:color w:val="1155CC"/>
            <w:u w:val="single"/>
          </w:rPr>
          <w:t>钙钛矿辐射探测器：新兴应用、测试协议和辐射硬度</w:t>
        </w:r>
      </w:hyperlink>
    </w:p>
    <w:p>
      <w:pPr>
        <w:spacing w:before="0" w:after="80"/>
      </w:pPr>
      <w:r>
        <w:rPr>
          <w:i/>
          <w:sz w:val="20"/>
        </w:rPr>
        <w:t>EN: Perovskite Radiation Detectors: Emerging Applications, Testing Protocols, and Radiation Hardness</w:t>
      </w:r>
    </w:p>
    <w:p>
      <w:pPr>
        <w:spacing w:before="0" w:after="120"/>
      </w:pPr>
      <w:r>
        <w:rPr>
          <w:b/>
        </w:rPr>
        <w:t xml:space="preserve">Source: </w:t>
      </w:r>
      <w:r>
        <w:t>Chemical Reviews: Latest Articles (ACS Publications)</w:t>
      </w:r>
      <w:r>
        <w:t xml:space="preserve">    </w:t>
      </w:r>
      <w:r>
        <w:rPr>
          <w:b/>
        </w:rPr>
        <w:t xml:space="preserve">Pub date: </w:t>
      </w:r>
      <w:r>
        <w:t>2026-08-10 00:00:00+00:00</w:t>
      </w:r>
      <w:r>
        <w:t xml:space="preserve">    </w:t>
      </w:r>
      <w:r>
        <w:rPr>
          <w:b/>
        </w:rPr>
        <w:t xml:space="preserve">DOI: </w:t>
      </w:r>
      <w:hyperlink r:id="rId984">
        <w:r>
          <w:rPr>
            <w:color w:val="1155CC"/>
            <w:u w:val="single"/>
          </w:rPr>
          <w:t>10.1021/acs.chemrev.5c00927</w:t>
        </w:r>
      </w:hyperlink>
    </w:p>
    <w:p>
      <w:pPr>
        <w:spacing w:before="0" w:after="120"/>
      </w:pPr>
      <w:r>
        <w:rPr>
          <w:b/>
        </w:rPr>
        <w:t xml:space="preserve">Notes: </w:t>
      </w:r>
      <w:r>
        <w:t>abstract_source=crossref</w:t>
      </w:r>
    </w:p>
    <w:p>
      <w:pPr>
        <w:spacing w:before="0" w:after="80" w:lineRule="auto" w:line="276"/>
      </w:pPr>
      <w:r>
        <w:rPr>
          <w:b/>
        </w:rPr>
        <w:t xml:space="preserve">摘要（ZH）: </w:t>
      </w:r>
      <w:r>
        <w:t>摘要 卤化物钙钛矿是新兴的半导体材料，可以低成本地从溶液中合成。最近，由于它们结合了高原子序数元素，能够有效衰减光子和粒子，因此在辐射检测应用中引起了极大的关注。尽管仍然存在重大挑战，但利用钙钛矿半导体进行辐射检测和成像已经取得了实质性进展。本综述通过对基于钙钛矿的探测器的表征协议、辐射引起的损伤机制和自愈行为进行全面分析，独特地解决了当前的空白。我们严格评估光束校准、离子迁移和空气电离伪影对灵敏度和检测限等性能指标的影响，这些因素在之前的审查中经常被忽视。此外，我们还探索了钙钛矿结构在高能光子和粒子暴露下的辐射硬度，从而深入了解其在极端环境下的运行可靠性。为了克服当前的限制，我们重点介绍新兴材料系统，包括混合金属硫属化物、MXene 和金属有机框架，它们表现出增强的稳定性、降低的毒性和多功能性。通过整合这些观点，本综述为推动钙钛矿辐射探测器走向稳健、可扩展和应用就绪的技术奠定了基础。</w:t>
      </w:r>
    </w:p>
    <w:p>
      <w:pPr>
        <w:spacing w:before="0" w:after="200" w:lineRule="auto" w:line="276"/>
      </w:pPr>
      <w:r>
        <w:rPr>
          <w:b/>
        </w:rPr>
        <w:t xml:space="preserve">Abstract (EN): </w:t>
      </w:r>
      <w:r>
        <w:t>Halide perovskites are emerging semiconductor materials that can be synthesized from solution at a low cost. Recently, they have garnered significant attention for radiation detection applications owing to their incorporation of high atomic number elements, which enable efficient attenuation of photons and particles. Substantial progress has been made in leveraging perovskite semiconductors for radiation detection and imaging, although significant challenges remain. This Review uniquely addresses current gaps by providing a comprehensive analysis of characterization protocols, radiation-induced damage mechanisms, and self-healing behaviors in perovskite-based detectors. We critically evaluate the impact of beam calibration, ion migration, and air ionization artifacts on performance metrics such as sensitivity and detection limits, factors that have often been overlooked in prior reviews. Furthermore, we explore the radiation hardness of perovskite architectures under high-energy photon and particle exposure, offering insights into their operational reliability in extreme environments. To overcome current limitations, we highlight emerging material systems, including hybrid metal chalcogenides, MXenes, and metal–organic frameworks, which demonstrate enhanced stability, reduced toxicity, and multifunctionality. By integrating these perspectives, this Review establishes a foundation for advancing perovskite radiation detectors toward robust, scalable, and application-ready technologies.</w:t>
      </w:r>
    </w:p>
    <w:p>
      <w:pPr>
        <w:spacing w:before="120" w:after="120"/>
      </w:pPr>
      <w:r>
        <w:rPr>
          <w:sz w:val="18"/>
        </w:rPr>
        <w:t>——————————————————————————————————————————————————————————————————————</w:t>
      </w:r>
    </w:p>
    <w:p>
      <w:pPr>
        <w:spacing w:before="160" w:after="40" w:line="240" w:lineRule="auto"/>
      </w:pPr>
      <w:r>
        <w:rPr>
          <w:b/>
        </w:rPr>
        <w:t xml:space="preserve">[214] </w:t>
      </w:r>
      <w:hyperlink r:id="rId985">
        <w:r>
          <w:rPr>
            <w:color w:val="1155CC"/>
            <w:u w:val="single"/>
          </w:rPr>
          <w:t>高纤维饮食衍生的微生物多酚代谢物可增强癌症免疫治疗中的 T 细胞干性</w:t>
        </w:r>
      </w:hyperlink>
    </w:p>
    <w:p>
      <w:pPr>
        <w:spacing w:before="0" w:after="80"/>
      </w:pPr>
      <w:r>
        <w:rPr>
          <w:i/>
          <w:sz w:val="20"/>
        </w:rPr>
        <w:t>EN: A high-fibre diet-derived microbial polyphenol metabolite boosts T-cell stemness in cancer immunotherapy</w:t>
      </w:r>
    </w:p>
    <w:p>
      <w:pPr>
        <w:spacing w:before="0" w:after="120"/>
      </w:pPr>
      <w:r>
        <w:rPr>
          <w:b/>
        </w:rPr>
        <w:t xml:space="preserve">Source: </w:t>
      </w:r>
      <w:r>
        <w:t>Nature Nanotechnology</w:t>
      </w:r>
      <w:r>
        <w:t xml:space="preserve">    </w:t>
      </w:r>
      <w:r>
        <w:rPr>
          <w:b/>
        </w:rPr>
        <w:t xml:space="preserve">Pub date: </w:t>
      </w:r>
      <w:r>
        <w:t>2026-08-10 00:00:00+00:00</w:t>
      </w:r>
      <w:r>
        <w:t xml:space="preserve">    </w:t>
      </w:r>
      <w:r>
        <w:rPr>
          <w:b/>
        </w:rPr>
        <w:t xml:space="preserve">DOI: </w:t>
      </w:r>
      <w:hyperlink r:id="rId986">
        <w:r>
          <w:rPr>
            <w:color w:val="1155CC"/>
            <w:u w:val="single"/>
          </w:rPr>
          <w:t>10.1038/s41565-026-02246-6</w:t>
        </w:r>
      </w:hyperlink>
    </w:p>
    <w:p>
      <w:pPr>
        <w:spacing w:before="0" w:after="120"/>
      </w:pPr>
      <w:r>
        <w:rPr>
          <w:b/>
        </w:rPr>
        <w:t xml:space="preserve">Notes: </w:t>
      </w:r>
      <w:r>
        <w:t>abstract_source=rss_nature</w:t>
      </w:r>
    </w:p>
    <w:p>
      <w:pPr>
        <w:spacing w:before="0" w:after="80" w:lineRule="auto" w:line="276"/>
      </w:pPr>
      <w:r>
        <w:rPr>
          <w:b/>
        </w:rPr>
        <w:t xml:space="preserve">摘要（ZH）: </w:t>
      </w:r>
      <w:r>
        <w:t>3,4-二羟基苯甲酸 (DHB) 是一种由膳食纤维中的肠道微生物产生的分子，可促进 T 细胞干性并增强多种小鼠肿瘤模型中免疫疗法的抗肿瘤功效。</w:t>
      </w:r>
    </w:p>
    <w:p>
      <w:pPr>
        <w:spacing w:before="0" w:after="200" w:lineRule="auto" w:line="276"/>
      </w:pPr>
      <w:r>
        <w:rPr>
          <w:b/>
        </w:rPr>
        <w:t xml:space="preserve">Abstract (EN): </w:t>
      </w:r>
      <w:r>
        <w:t>3,4-dihydroxybenzoic acid (DHB), a molecule produced by the gut microbiota from dietary fibre, promotes T cell stemness and boosts the anti-tumour efficacy of immunotherapies in multiple mouse tumour models.</w:t>
      </w:r>
    </w:p>
    <w:p>
      <w:pPr>
        <w:spacing w:before="120" w:after="120"/>
      </w:pPr>
      <w:r>
        <w:rPr>
          <w:sz w:val="18"/>
        </w:rPr>
        <w:t>——————————————————————————————————————————————————————————————————————</w:t>
      </w:r>
    </w:p>
    <w:p>
      <w:pPr>
        <w:spacing w:before="160" w:after="40" w:line="240" w:lineRule="auto"/>
      </w:pPr>
      <w:r>
        <w:rPr>
          <w:b/>
        </w:rPr>
        <w:t xml:space="preserve">[215] </w:t>
      </w:r>
      <w:hyperlink r:id="rId987">
        <w:r>
          <w:rPr>
            <w:color w:val="1155CC"/>
            <w:u w:val="single"/>
          </w:rPr>
          <w:t>肠道微生物代谢物的口服纳米递送可增强癌症免疫治疗的 T 细胞干性</w:t>
        </w:r>
      </w:hyperlink>
    </w:p>
    <w:p>
      <w:pPr>
        <w:spacing w:before="0" w:after="80"/>
      </w:pPr>
      <w:r>
        <w:rPr>
          <w:i/>
          <w:sz w:val="20"/>
        </w:rPr>
        <w:t>EN: Oral nano-delivery of a gut microbial metabolite enhances T cell stemness for cancer immunotherapy</w:t>
      </w:r>
    </w:p>
    <w:p>
      <w:pPr>
        <w:spacing w:before="0" w:after="120"/>
      </w:pPr>
      <w:r>
        <w:rPr>
          <w:b/>
        </w:rPr>
        <w:t xml:space="preserve">Source: </w:t>
      </w:r>
      <w:r>
        <w:t>Nature Nanotechnology</w:t>
      </w:r>
      <w:r>
        <w:t xml:space="preserve">    </w:t>
      </w:r>
      <w:r>
        <w:rPr>
          <w:b/>
        </w:rPr>
        <w:t xml:space="preserve">Pub date: </w:t>
      </w:r>
      <w:r>
        <w:t>2026-08-10 00:00:00+00:00</w:t>
      </w:r>
      <w:r>
        <w:t xml:space="preserve">    </w:t>
      </w:r>
      <w:r>
        <w:rPr>
          <w:b/>
        </w:rPr>
        <w:t xml:space="preserve">DOI: </w:t>
      </w:r>
      <w:hyperlink r:id="rId988">
        <w:r>
          <w:rPr>
            <w:color w:val="1155CC"/>
            <w:u w:val="single"/>
          </w:rPr>
          <w:t>10.1038/s41565-026-02235-9</w:t>
        </w:r>
      </w:hyperlink>
    </w:p>
    <w:p>
      <w:pPr>
        <w:spacing w:before="0" w:after="120"/>
      </w:pPr>
      <w:r>
        <w:rPr>
          <w:b/>
        </w:rPr>
        <w:t xml:space="preserve">Notes: </w:t>
      </w:r>
      <w:r>
        <w:t>abstract_source=openalex</w:t>
      </w:r>
    </w:p>
    <w:p>
      <w:pPr>
        <w:spacing w:before="0" w:after="80" w:lineRule="auto" w:line="276"/>
      </w:pPr>
      <w:r>
        <w:rPr>
          <w:b/>
        </w:rPr>
        <w:t xml:space="preserve">摘要（ZH）: </w:t>
      </w:r>
      <w:r>
        <w:t>肠道微生物代谢物在调节系统免疫方面发挥着至关重要的作用，但其机制和有限的药物特性仍未解决。在这里，我们报道了一种口服纳米制剂，它利用肠道微生物代谢物来调节 T 细胞代谢并增强抗肿瘤免疫力。通过对肠道微生物代谢物的体外筛选，我们发现 3,4-二羟基苯甲酸可以通过抑制糖酵解和调节 Akt-mTORC1-Myc 通路来改善过继性 T 细胞治疗并增强 CD8+ T 细胞干性。为了利用 3,4-二羟基苯甲酸用于全身癌症免疫治疗的效力，我们设计了一种 3,4-二羟基苯甲酸前药纳米乳剂，显着增加了其口服吸收和半衰期。在多种小鼠肿瘤模型中，口服纳米乳剂增强了抗原特异性干细胞样 CD8+ T 细胞的扩增，使肿瘤对抗 PD-1 阻断敏感，并发挥了强大的抗肿瘤功效。通过将纳米技术与基于微生物代谢物的免疫疗法相结合，这项研究在肠道微生物群和 T 细胞免疫之间建立了机制联系，为癌症免疫疗法提供了一种有前景的方法。一种纳米乳剂以前药形式提供肠道微生物代谢物 3,4-二羟基苯甲酸，可增强 T 细胞干性，并提高不同小鼠癌症模型中免疫治疗方法的疗效。</w:t>
      </w:r>
    </w:p>
    <w:p>
      <w:pPr>
        <w:spacing w:before="0" w:after="200" w:lineRule="auto" w:line="276"/>
      </w:pPr>
      <w:r>
        <w:rPr>
          <w:b/>
        </w:rPr>
        <w:t xml:space="preserve">Abstract (EN): </w:t>
      </w:r>
      <w:r>
        <w:t>Gut microbial metabolites play crucial roles in regulating systemic immunity, but their mechanisms and limited drug-like properties remain unresolved. Here we report an oral nano-formulation that leverages gut microbial metabolites to modulate T cell metabolism and amplify antitumour immunity. Through an in vitro screening of gut microbial metabolites, we identified 3,4-dihydroxybenzoic acid that improved adoptive T cell therapy and enhanced CD8+ T cell stemness by suppressing glycolysis and regulating the Akt-mTORC1-Myc pathway. To harness the potency of 3,4-dihydroxybenzoic acid for systemic cancer immunotherapy, we engineered a 3,4-dihydroxybenzoic acid prodrug nano-emulsion, significantly increasing its oral absorption and half-life. In multiple murine tumour models, the oral nano-emulsion enhanced the expansion of antigen-specific, stem-like CD8+ T cells, sensitizing tumours to anti-PD-1 blockade and exerting robust antitumour efficacy. By integrating nanotechnology with microbial-metabolite-based immunotherapy, this study establishes a mechanistic link between the gut microbiota and T cell immunity, offering a promising approach for cancer immunotherapy. A nano-emulsion that delivers the gut microbial metabolite 3,4-dihydroxybenzoic acid in a prodrug form enhances T cell stemness and boosts the efficacy of immunotherapy approaches in different murine cancer models.</w:t>
      </w:r>
    </w:p>
    <w:p>
      <w:pPr>
        <w:spacing w:before="120" w:after="120"/>
      </w:pPr>
      <w:r>
        <w:rPr>
          <w:sz w:val="18"/>
        </w:rPr>
        <w:t>——————————————————————————————————————————————————————————————————————</w:t>
      </w:r>
    </w:p>
    <w:p>
      <w:pPr>
        <w:spacing w:before="160" w:after="40" w:line="240" w:lineRule="auto"/>
      </w:pPr>
      <w:r>
        <w:rPr>
          <w:b/>
        </w:rPr>
        <w:t xml:space="preserve">[216] </w:t>
      </w:r>
      <w:hyperlink r:id="rId989">
        <w:r>
          <w:rPr>
            <w:color w:val="1155CC"/>
            <w:u w:val="single"/>
          </w:rPr>
          <w:t>作者更正：厄尔尼诺现象对过去和未来气候下预期寿命的持久影响</w:t>
        </w:r>
      </w:hyperlink>
    </w:p>
    <w:p>
      <w:pPr>
        <w:spacing w:before="0" w:after="80"/>
      </w:pPr>
      <w:r>
        <w:rPr>
          <w:i/>
          <w:sz w:val="20"/>
        </w:rPr>
        <w:t>EN: Author Correction: Enduring impacts of El Niño on life expectancy in past and future climates</w:t>
      </w:r>
    </w:p>
    <w:p>
      <w:pPr>
        <w:spacing w:before="0" w:after="120"/>
      </w:pPr>
      <w:r>
        <w:rPr>
          <w:b/>
        </w:rPr>
        <w:t xml:space="preserve">Source: </w:t>
      </w:r>
      <w:r>
        <w:t>Nature Climate Change</w:t>
      </w:r>
      <w:r>
        <w:t xml:space="preserve">    </w:t>
      </w:r>
      <w:r>
        <w:rPr>
          <w:b/>
        </w:rPr>
        <w:t xml:space="preserve">Pub date: </w:t>
      </w:r>
      <w:r>
        <w:t>2026-08-10 00:00:00+00:00</w:t>
      </w:r>
      <w:r>
        <w:t xml:space="preserve">    </w:t>
      </w:r>
      <w:r>
        <w:rPr>
          <w:b/>
        </w:rPr>
        <w:t xml:space="preserve">DOI: </w:t>
      </w:r>
      <w:hyperlink r:id="rId990">
        <w:r>
          <w:rPr>
            <w:color w:val="1155CC"/>
            <w:u w:val="single"/>
          </w:rPr>
          <w:t>10.1038/s41558-026-02735-5</w:t>
        </w:r>
      </w:hyperlink>
    </w:p>
    <w:p>
      <w:pPr>
        <w:spacing w:before="0" w:after="120"/>
      </w:pPr>
      <w:r>
        <w:rPr>
          <w:b/>
        </w:rPr>
        <w:t xml:space="preserve">Notes: </w:t>
      </w:r>
      <w:r>
        <w:t>abstract_source=openalex</w:t>
      </w:r>
    </w:p>
    <w:p>
      <w:pPr>
        <w:spacing w:before="0" w:after="80" w:lineRule="auto" w:line="276"/>
      </w:pPr>
      <w:r>
        <w:rPr>
          <w:b/>
        </w:rPr>
        <w:t xml:space="preserve">摘要（ZH）: </w:t>
      </w:r>
      <w:r>
        <w:t>本文发表后，在引言第三段的开头和方法“计量经济学模型”小节的第一段中添加了一个额外的句子。这些补充澄清了该研究相对于先前发表的作品的归属和方法背景。文章的分析、数据、结果和结论保持不变。这些更改是在文章的 HTML 和 PDF 版本中进行的。</w:t>
      </w:r>
    </w:p>
    <w:p>
      <w:pPr>
        <w:spacing w:before="0" w:after="200" w:lineRule="auto" w:line="276"/>
      </w:pPr>
      <w:r>
        <w:rPr>
          <w:b/>
        </w:rPr>
        <w:t xml:space="preserve">Abstract (EN): </w:t>
      </w:r>
      <w:r>
        <w:t>Following publication of this article, an additional sentence has been added to the start of the third paragraph of the introduction and to the first paragraph of the Methods “Econometric model” subsection. These additions clarify the attribution and methodological context of the study with respect to previously published work. The analyses, figures, results and conclusions of the article remain unchanged. The changes are made in the HTML and PDF versions of the article.</w:t>
      </w:r>
    </w:p>
    <w:p>
      <w:pPr>
        <w:spacing w:before="120" w:after="120"/>
      </w:pPr>
      <w:r>
        <w:rPr>
          <w:sz w:val="18"/>
        </w:rPr>
        <w:t>——————————————————————————————————————————————————————————————————————</w:t>
      </w:r>
    </w:p>
    <w:p>
      <w:pPr>
        <w:spacing w:before="160" w:after="40" w:line="240" w:lineRule="auto"/>
      </w:pPr>
      <w:r>
        <w:rPr>
          <w:b/>
        </w:rPr>
        <w:t xml:space="preserve">[217] </w:t>
      </w:r>
      <w:hyperlink r:id="rId991">
        <w:r>
          <w:rPr>
            <w:color w:val="1155CC"/>
            <w:u w:val="single"/>
          </w:rPr>
          <w:t>全球和代际间每小时遭受极端高温的机会不平等</w:t>
        </w:r>
      </w:hyperlink>
    </w:p>
    <w:p>
      <w:pPr>
        <w:spacing w:before="0" w:after="80"/>
      </w:pPr>
      <w:r>
        <w:rPr>
          <w:i/>
          <w:sz w:val="20"/>
        </w:rPr>
        <w:t>EN: Globally and intergenerationally unequal exposure to hourly heat extremes</w:t>
      </w:r>
    </w:p>
    <w:p>
      <w:pPr>
        <w:spacing w:before="0" w:after="120"/>
      </w:pPr>
      <w:r>
        <w:rPr>
          <w:b/>
        </w:rPr>
        <w:t xml:space="preserve">Source: </w:t>
      </w:r>
      <w:r>
        <w:t>Nature Climate Change</w:t>
      </w:r>
      <w:r>
        <w:t xml:space="preserve">    </w:t>
      </w:r>
      <w:r>
        <w:rPr>
          <w:b/>
        </w:rPr>
        <w:t xml:space="preserve">Pub date: </w:t>
      </w:r>
      <w:r>
        <w:t>2026-08-10 00:00:00+00:00</w:t>
      </w:r>
      <w:r>
        <w:t xml:space="preserve">    </w:t>
      </w:r>
      <w:r>
        <w:rPr>
          <w:b/>
        </w:rPr>
        <w:t xml:space="preserve">DOI: </w:t>
      </w:r>
      <w:hyperlink r:id="rId992">
        <w:r>
          <w:rPr>
            <w:color w:val="1155CC"/>
            <w:u w:val="single"/>
          </w:rPr>
          <w:t>10.1038/s41558-026-02724-8</w:t>
        </w:r>
      </w:hyperlink>
    </w:p>
    <w:p>
      <w:pPr>
        <w:spacing w:before="0" w:after="120"/>
      </w:pPr>
      <w:r>
        <w:rPr>
          <w:b/>
        </w:rPr>
        <w:t xml:space="preserve">Notes: </w:t>
      </w:r>
      <w:r>
        <w:t>abstract_source=rss_nature</w:t>
      </w:r>
    </w:p>
    <w:p>
      <w:pPr>
        <w:spacing w:before="0" w:after="80" w:lineRule="auto" w:line="276"/>
      </w:pPr>
      <w:r>
        <w:rPr>
          <w:b/>
        </w:rPr>
        <w:t xml:space="preserve">摘要（ZH）: </w:t>
      </w:r>
      <w:r>
        <w:t>作者量化了全球每小时极端高温 (HHE) 的出现情况，强调了日常指标所忽视的暴露程度。到本世纪末，在高排放的情况下，家庭健康企业将增加四倍，低收入和中等收入国家以及连续几代人将面临不成比例的暴露。</w:t>
      </w:r>
    </w:p>
    <w:p>
      <w:pPr>
        <w:spacing w:before="0" w:after="200" w:lineRule="auto" w:line="276"/>
      </w:pPr>
      <w:r>
        <w:rPr>
          <w:b/>
        </w:rPr>
        <w:t xml:space="preserve">Abstract (EN): </w:t>
      </w:r>
      <w:r>
        <w:t>The authors quantify the global emergence of hourly heat extremes (HHEs), highlighting exposure overlooked by daily metrics. HHEs will increase fourfold by the end of the century under high emissions, with low- and middle-income countries, as well as successive generations, facing disproportionate exposure.</w:t>
      </w:r>
    </w:p>
    <w:p>
      <w:pPr>
        <w:spacing w:before="120" w:after="120"/>
      </w:pPr>
      <w:r>
        <w:rPr>
          <w:sz w:val="18"/>
        </w:rPr>
        <w:t>——————————————————————————————————————————————————————————————————————</w:t>
      </w:r>
    </w:p>
    <w:p>
      <w:pPr>
        <w:spacing w:before="160" w:after="40" w:line="240" w:lineRule="auto"/>
      </w:pPr>
      <w:r>
        <w:rPr>
          <w:b/>
        </w:rPr>
        <w:t xml:space="preserve">[218] </w:t>
      </w:r>
      <w:hyperlink r:id="rId993">
        <w:r>
          <w:rPr>
            <w:color w:val="1155CC"/>
            <w:u w:val="single"/>
          </w:rPr>
          <w:t>作者更正：公共物品配置中合作与平等的冲突</w:t>
        </w:r>
      </w:hyperlink>
    </w:p>
    <w:p>
      <w:pPr>
        <w:spacing w:before="0" w:after="80"/>
      </w:pPr>
      <w:r>
        <w:rPr>
          <w:i/>
          <w:sz w:val="20"/>
        </w:rPr>
        <w:t>EN: Author Correction: Cooperation conflicts with equality when allocating public goods</w:t>
      </w:r>
    </w:p>
    <w:p>
      <w:pPr>
        <w:spacing w:before="0" w:after="120"/>
      </w:pPr>
      <w:r>
        <w:rPr>
          <w:b/>
        </w:rPr>
        <w:t xml:space="preserve">Source: </w:t>
      </w:r>
      <w:r>
        <w:t>Nature</w:t>
      </w:r>
      <w:r>
        <w:t xml:space="preserve">    </w:t>
      </w:r>
      <w:r>
        <w:rPr>
          <w:b/>
        </w:rPr>
        <w:t xml:space="preserve">Pub date: </w:t>
      </w:r>
      <w:r>
        <w:t>2026-08-10 00:00:00+00:00</w:t>
      </w:r>
      <w:r>
        <w:t xml:space="preserve">    </w:t>
      </w:r>
      <w:r>
        <w:rPr>
          <w:b/>
        </w:rPr>
        <w:t xml:space="preserve">DOI: </w:t>
      </w:r>
      <w:hyperlink r:id="rId994">
        <w:r>
          <w:rPr>
            <w:color w:val="1155CC"/>
            <w:u w:val="single"/>
          </w:rPr>
          <w:t>10.1038/s41586-026-10973-y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[219] </w:t>
      </w:r>
      <w:hyperlink r:id="rId995">
        <w:r>
          <w:rPr>
            <w:color w:val="1155CC"/>
            <w:u w:val="single"/>
          </w:rPr>
          <w:t>从 NMR 光谱中缺失的部分学习毫秒蛋白质动力学</w:t>
        </w:r>
      </w:hyperlink>
    </w:p>
    <w:p>
      <w:pPr>
        <w:spacing w:before="0" w:after="80"/>
      </w:pPr>
      <w:r>
        <w:rPr>
          <w:i/>
          <w:sz w:val="20"/>
        </w:rPr>
        <w:t>EN: Learning millisecond protein dynamics from what is missing in NMR spectra</w:t>
      </w:r>
    </w:p>
    <w:p>
      <w:pPr>
        <w:spacing w:before="0" w:after="120"/>
      </w:pPr>
      <w:r>
        <w:rPr>
          <w:b/>
        </w:rPr>
        <w:t xml:space="preserve">Source: </w:t>
      </w:r>
      <w:r>
        <w:t>Nature</w:t>
      </w:r>
      <w:r>
        <w:t xml:space="preserve">    </w:t>
      </w:r>
      <w:r>
        <w:rPr>
          <w:b/>
        </w:rPr>
        <w:t xml:space="preserve">Pub date: </w:t>
      </w:r>
      <w:r>
        <w:t>2026-08-10 00:00:00+00:00</w:t>
      </w:r>
      <w:r>
        <w:t xml:space="preserve">    </w:t>
      </w:r>
      <w:r>
        <w:rPr>
          <w:b/>
        </w:rPr>
        <w:t xml:space="preserve">DOI: </w:t>
      </w:r>
      <w:hyperlink r:id="rId996">
        <w:r>
          <w:rPr>
            <w:color w:val="1155CC"/>
            <w:u w:val="single"/>
          </w:rPr>
          <w:t>10.1038/s41586-026-10989-4</w:t>
        </w:r>
      </w:hyperlink>
    </w:p>
    <w:p>
      <w:pPr>
        <w:spacing w:before="0" w:after="120"/>
      </w:pPr>
      <w:r>
        <w:rPr>
          <w:b/>
        </w:rPr>
        <w:t xml:space="preserve">Notes: </w:t>
      </w:r>
      <w:r>
        <w:t>abstract_source=nature_html</w:t>
      </w:r>
    </w:p>
    <w:p>
      <w:pPr>
        <w:spacing w:before="0" w:after="80" w:lineRule="auto" w:line="276"/>
      </w:pPr>
      <w:r>
        <w:rPr>
          <w:b/>
        </w:rPr>
        <w:t xml:space="preserve">摘要（ZH）: </w:t>
      </w:r>
      <w:r>
        <w:t>许多蛋白质的生物功能依赖于微秒至毫秒 (μs-ms) 时间尺度内发生的多种构象之间的相互转换。缺乏标准化的大规模实验数据阻碍了对这些运动获得更具预测性的理解。在整理了超过 100 个核磁共振 (NMR) 弛豫数据集后，我们意识到 µs-ms 动力学的可观测值可能隐藏在人们的视线中。毫秒动力学会导致 NMR 信号扩大到检测范围之外，从而导致一些残基未在生物磁共振数据库 (BMRB) 1 中存放的约 10,000 个蛋白质的化学位移数据集中分配。我们大胆假设，由于 µs-ms 运动，缺失分配的残基会交换扩大，并训练了各种深度学习模型来预测丢失的分配。引人注目的是，这些模型还预测了通过 NMR 弛豫实验测量的交换，表明 µs-ms 动力学。这些模型中最好的一个，我们将其命名为 Dyna-1，它利用了多模式语言模型 ESM-32 的中间层。值得注意的是，Dyna-1 特别能很好地预测与生物功能直接相关的动力学，包括酶催化和配体结合，这与我们的发现相一致，即经历 µs-ms 交换的残基更加保守。我们预计这里提供的数据集和模型将在解锁动力学和功能的通用语言方面具有变革性。</w:t>
      </w:r>
    </w:p>
    <w:p>
      <w:pPr>
        <w:spacing w:before="0" w:after="200" w:lineRule="auto" w:line="276"/>
      </w:pPr>
      <w:r>
        <w:rPr>
          <w:b/>
        </w:rPr>
        <w:t xml:space="preserve">Abstract (EN): </w:t>
      </w:r>
      <w:r>
        <w:t>Many proteins’ biological functions rely on interconversions between multiple conformations occurring at micro- to millisecond (µs-ms) timescales. A lack of standardized, large-scale experimental data has hindered obtaining a more predictive understanding of these motions. After curating &gt;100 Nuclear Magnetic Resonance (NMR) relaxation datasets, we realized an observable for µs-ms dynamics might be hiding in plain sight. Millisecond dynamics can cause NMR signals to broaden beyond detection, leaving some residues not assigned in the chemical shift datasets of ~10,000 proteins deposited in the Biological Magnetic Resonance Data Bank (BMRB) 1. We made the bold assumption that residues missing assignments are exchange-broadened due to µs-ms motions and trained various deep learning models to predict missing assignments. Strikingly, these models also predict exchange measured via NMR relaxation experiments, indicative of µs-ms dynamics. The best of these models, which we named Dyna-1, leverages an intermediate layer of the multimodal language model ESM-32. Notably, dynamics directly linked to biological function, including enzyme catalysis and ligand binding, are particularly well predicted by Dyna-1, which parallels our findings that residues experiencing µs-ms exchange are more conserved. We anticipate the datasets and models presented here will be transformative in unlocking the common language of dynamics and function.</w:t>
      </w:r>
    </w:p>
    <w:p>
      <w:pPr>
        <w:spacing w:before="120" w:after="120"/>
      </w:pPr>
      <w:r>
        <w:rPr>
          <w:sz w:val="18"/>
        </w:rPr>
        <w:t>——————————————————————————————————————————————————————————————————————</w:t>
      </w:r>
    </w:p>
    <w:p>
      <w:pPr>
        <w:spacing w:before="160" w:after="40" w:line="240" w:lineRule="auto"/>
      </w:pPr>
      <w:r>
        <w:rPr>
          <w:b/>
        </w:rPr>
        <w:t xml:space="preserve">[220] </w:t>
      </w:r>
      <w:hyperlink r:id="rId997">
        <w:r>
          <w:rPr>
            <w:color w:val="1155CC"/>
            <w:u w:val="single"/>
          </w:rPr>
          <w:t>用于高浓度最小寡聚肽大环化的 SuFEx 酰基氟化化学</w:t>
        </w:r>
      </w:hyperlink>
    </w:p>
    <w:p>
      <w:pPr>
        <w:spacing w:before="0" w:after="80"/>
      </w:pPr>
      <w:r>
        <w:rPr>
          <w:i/>
          <w:sz w:val="20"/>
        </w:rPr>
        <w:t>EN: SuFEx-Enabled Acyl Fluoride Chemistry for High-Concentration Minimal-Oligomerization Peptide Macrocyclization</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998">
        <w:r>
          <w:rPr>
            <w:color w:val="1155CC"/>
            <w:u w:val="single"/>
          </w:rPr>
          <w:t>10.1021/jacs.6c12217</w:t>
        </w:r>
      </w:hyperlink>
    </w:p>
    <w:p>
      <w:pPr>
        <w:spacing w:before="0" w:after="120"/>
      </w:pPr>
      <w:r>
        <w:rPr>
          <w:b/>
        </w:rPr>
        <w:t xml:space="preserve">Notes: </w:t>
      </w:r>
      <w:r>
        <w:t>abstract_source=crossref</w:t>
      </w:r>
    </w:p>
    <w:p>
      <w:pPr>
        <w:spacing w:before="0" w:after="80" w:lineRule="auto" w:line="276"/>
      </w:pPr>
      <w:r>
        <w:rPr>
          <w:b/>
        </w:rPr>
        <w:t xml:space="preserve">摘要（ZH）: </w:t>
      </w:r>
      <w:r>
        <w:t>摘要 头尾大环化是环肽合成的基石转化，但其实际实施仍然受到浓缩条件下广泛低聚的限制。在这里，我们报告了一种 SuFEx 启用的酰基氟化物激活策略，该策略本质上使肽大环化偏向于分子内酰胺键的形成，从而在浓度高达 100 mM 时实现高度选择性的头尾环化。与在相同条件下产生复杂寡聚混合物的传统脲基和磷基偶联试剂相比，SuFEx 衍生的酰基氟化物途径始终能够在不同的肽序列中提供具有最小二聚化的环状单体。密度泛函理论计算表明，酰氟活化通过有利于不可逆闭环而不利于低聚物生长来重塑大环化能量景观，为观察到的化学选择性提供了机制基础。该方法具有广泛的底物范围，可耐受环大小、序列组成和功能化残基的变化，并且很容易转化为固相和自动化合成平台。这些结果表明，SuFEx 驱动的酰氟活化是一种在高浓度条件下进行肽大环化的根本上独特且实际上稳健的解决方案。</w:t>
      </w:r>
    </w:p>
    <w:p>
      <w:pPr>
        <w:spacing w:before="0" w:after="200" w:lineRule="auto" w:line="276"/>
      </w:pPr>
      <w:r>
        <w:rPr>
          <w:b/>
        </w:rPr>
        <w:t xml:space="preserve">Abstract (EN): </w:t>
      </w:r>
      <w:r>
        <w:t>Head-to-tail macrocyclization is a cornerstone transformation in cyclic peptide synthesis, yet its practical implementation remains constrained by extensive oligomerization under concentrated conditions. Here we report a SuFEx-enabled acyl fluoride activation strategy that intrinsically biases peptide macrocyclization toward intramolecular amide bond formation, enabling highly selective head-to-tail cyclization at concentrations up to 100 mM. In contrast to conventional uronium- and phosphonium-based coupling reagents, which generate complex oligomeric mixtures under identical conditions, the SuFEx-derived acyl fluoride pathway consistently affords cyclic monomers with minimal dimerization across diverse peptide sequences. Density functional theory calculations reveal that acyl fluoride activation reshapes the macrocyclization energy landscape by favoring irreversible ring closure while disfavoring oligomer growth, providing a mechanistic basis for the observed chemoselectivity. The method exhibits broad substrate scope, tolerating variations in ring size, sequence composition, and functionalized residues, and is readily translated to solid-phase and automated synthesis platforms. These results establish SuFEx-enabled acyl fluoride activation as a fundamentally distinct and practically robust solution to peptide macrocyclization under high-concentration conditions.</w:t>
      </w:r>
    </w:p>
    <w:p>
      <w:pPr>
        <w:spacing w:before="120" w:after="120"/>
      </w:pPr>
      <w:r>
        <w:rPr>
          <w:sz w:val="18"/>
        </w:rPr>
        <w:t>——————————————————————————————————————————————————————————————————————</w:t>
      </w:r>
    </w:p>
    <w:p>
      <w:pPr>
        <w:spacing w:before="160" w:after="40" w:line="240" w:lineRule="auto"/>
      </w:pPr>
      <w:r>
        <w:rPr>
          <w:b/>
        </w:rPr>
        <w:t xml:space="preserve">[221] </w:t>
      </w:r>
      <w:hyperlink r:id="rId999">
        <w:r>
          <w:rPr>
            <w:color w:val="1155CC"/>
            <w:u w:val="single"/>
          </w:rPr>
          <w:t>协调施氮对土壤硝化与酸化的影响</w:t>
        </w:r>
      </w:hyperlink>
    </w:p>
    <w:p>
      <w:pPr>
        <w:spacing w:before="0" w:after="80"/>
      </w:pPr>
      <w:r>
        <w:rPr>
          <w:i/>
          <w:sz w:val="20"/>
        </w:rPr>
        <w:t>EN: Reconciling nitrogen fertilization effects on soil nitrification with acidification</w:t>
      </w:r>
    </w:p>
    <w:p>
      <w:pPr>
        <w:spacing w:before="0" w:after="120"/>
      </w:pPr>
      <w:r>
        <w:rPr>
          <w:b/>
        </w:rPr>
        <w:t xml:space="preserve">Source: </w:t>
      </w:r>
      <w:r>
        <w:t>Earth and environmental sciences : Nature Communications subject feeds</w:t>
      </w:r>
      <w:r>
        <w:t xml:space="preserve">    </w:t>
      </w:r>
      <w:r>
        <w:rPr>
          <w:b/>
        </w:rPr>
        <w:t xml:space="preserve">Pub date: </w:t>
      </w:r>
      <w:r>
        <w:t>2026-08-10 00:00:00+00:00</w:t>
      </w:r>
    </w:p>
    <w:p>
      <w:pPr>
        <w:spacing w:before="0" w:after="120"/>
      </w:pPr>
      <w:r>
        <w:rPr>
          <w:b/>
        </w:rPr>
        <w:t xml:space="preserve">Notes: </w:t>
      </w:r>
      <w:r>
        <w:t>abstract_source=nature_html</w:t>
      </w:r>
    </w:p>
    <w:p>
      <w:pPr>
        <w:spacing w:before="0" w:after="80" w:lineRule="auto" w:line="276"/>
      </w:pPr>
      <w:r>
        <w:rPr>
          <w:b/>
        </w:rPr>
        <w:t xml:space="preserve">摘要（ZH）: </w:t>
      </w:r>
      <w:r>
        <w:t>氮 (N) 施肥养活了全球近一半的人口，但却扰乱了氮循环。虽然氮的添加被认为可以通过增加底物供应和硝化菌活性来刺激土壤硝化作用，但它也可能通过土壤酸化来抑制硝化作用。解决这一悖论是理解硝化反应对氮添加 (βnit) 的关键。使用全球数据集，我们表明最终土壤 pH 值和生态系统类型可以最好地解释 βnit。 βnit-pH 关系在农田中为正关系，在森林中为弱关系，在草地中为负关系。值得注意的是，农田 pH 值高于 5.7 时，βnit 从负值变为正值。结构方程模型表明，最终 pH 值通过改变氨氧化细菌的丰度和铵浓度来影响农田中的 βnit。我们的研究结果强调了 pH 在调节 βnit 和改善未来氮输入下生态系统氮动态和植物生产力的预测方面的关键作用。</w:t>
      </w:r>
    </w:p>
    <w:p>
      <w:pPr>
        <w:spacing w:before="0" w:after="200" w:lineRule="auto" w:line="276"/>
      </w:pPr>
      <w:r>
        <w:rPr>
          <w:b/>
        </w:rPr>
        <w:t xml:space="preserve">Abstract (EN): </w:t>
      </w:r>
      <w:r>
        <w:t>Nitrogen (N) fertilization supports nearly half of the global population but disrupts the N cycle. While N addition is assumed to stimulate soil nitrification by increasing substrate supply and nitrifier activity, it may also inhibit nitrification via soil acidification. Resolving this paradox is key to understanding the nitrification response to N addition (βnit). Using a global dataset, we show that βnit is best explained by final soil pH and ecosystem type. The βnit-pH relationship is positive in croplands, weak in forests, and negative in grasslands. Notably, βnit shifts from negative to positive above a pH threshold of 5.7 in croplands. Structural equation modeling reveals that final pH affects βnit in croplands by altering ammonia-oxidizing bacteria abundance and ammonium concentration in response to N addition. Our findings underscore the critical role of pH in regulating βnit and improving predictions of ecosystem N dynamics and plant productivity under future N inputs.</w:t>
      </w:r>
    </w:p>
    <w:p>
      <w:pPr>
        <w:spacing w:before="120" w:after="120"/>
      </w:pPr>
      <w:r>
        <w:rPr>
          <w:sz w:val="18"/>
        </w:rPr>
        <w:t>——————————————————————————————————————————————————————————————————————</w:t>
      </w:r>
    </w:p>
    <w:p>
      <w:pPr>
        <w:spacing w:before="160" w:after="40" w:line="240" w:lineRule="auto"/>
      </w:pPr>
      <w:r>
        <w:rPr>
          <w:b/>
        </w:rPr>
        <w:t xml:space="preserve">[222] </w:t>
      </w:r>
      <w:hyperlink r:id="rId1000">
        <w:r>
          <w:rPr>
            <w:color w:val="1155CC"/>
            <w:u w:val="single"/>
          </w:rPr>
          <w:t>控制表面动力学尺度 p 型二维半导体</w:t>
        </w:r>
      </w:hyperlink>
    </w:p>
    <w:p>
      <w:pPr>
        <w:spacing w:before="0" w:after="80"/>
      </w:pPr>
      <w:r>
        <w:rPr>
          <w:i/>
          <w:sz w:val="20"/>
        </w:rPr>
        <w:t>EN: Controlling surface kinetics scales p-type two-dimensional semiconductors</w:t>
      </w:r>
    </w:p>
    <w:p>
      <w:pPr>
        <w:spacing w:before="0" w:after="120"/>
      </w:pPr>
      <w:r>
        <w:rPr>
          <w:b/>
        </w:rPr>
        <w:t xml:space="preserve">Source: </w:t>
      </w:r>
      <w:r>
        <w:t>Nature Materials</w:t>
      </w:r>
      <w:r>
        <w:t xml:space="preserve">    </w:t>
      </w:r>
      <w:r>
        <w:rPr>
          <w:b/>
        </w:rPr>
        <w:t xml:space="preserve">Pub date: </w:t>
      </w:r>
      <w:r>
        <w:t>2026-08-10 00:00:00+00:00</w:t>
      </w:r>
      <w:r>
        <w:t xml:space="preserve">    </w:t>
      </w:r>
      <w:r>
        <w:rPr>
          <w:b/>
        </w:rPr>
        <w:t xml:space="preserve">DOI: </w:t>
      </w:r>
      <w:hyperlink r:id="rId1001">
        <w:r>
          <w:rPr>
            <w:color w:val="1155CC"/>
            <w:u w:val="single"/>
          </w:rPr>
          <w:t>10.1038/s41563-026-02704-5</w:t>
        </w:r>
      </w:hyperlink>
    </w:p>
    <w:p>
      <w:pPr>
        <w:spacing w:before="0" w:after="120"/>
      </w:pPr>
      <w:r>
        <w:rPr>
          <w:b/>
        </w:rPr>
        <w:t xml:space="preserve">Notes: </w:t>
      </w:r>
      <w:r>
        <w:t>abstract_source=rss_nature</w:t>
      </w:r>
    </w:p>
    <w:p>
      <w:pPr>
        <w:spacing w:before="0" w:after="80" w:lineRule="auto" w:line="276"/>
      </w:pPr>
      <w:r>
        <w:rPr>
          <w:b/>
        </w:rPr>
        <w:t xml:space="preserve">摘要（ZH）: </w:t>
      </w:r>
      <w:r>
        <w:t>对表面和近表面原子动力学的精确控制可在晶圆级生产环境稳定的 p 型二维 (2D) 半导体，为制造可扩展的 2D 互补电子产品提供途径。</w:t>
      </w:r>
    </w:p>
    <w:p>
      <w:pPr>
        <w:spacing w:before="0" w:after="200" w:lineRule="auto" w:line="276"/>
      </w:pPr>
      <w:r>
        <w:rPr>
          <w:b/>
        </w:rPr>
        <w:t xml:space="preserve">Abstract (EN): </w:t>
      </w:r>
      <w:r>
        <w:t>The precise control of surface and near-surface atomic kinetics produces environmentally stable p-type two-dimensional (2D) semiconductors at wafer scale, providing a pathway for the manufacture of scalable 2D complementary electronics.</w:t>
      </w:r>
    </w:p>
    <w:p>
      <w:pPr>
        <w:spacing w:before="120" w:after="120"/>
      </w:pPr>
      <w:r>
        <w:rPr>
          <w:sz w:val="18"/>
        </w:rPr>
        <w:t>——————————————————————————————————————————————————————————————————————</w:t>
      </w:r>
    </w:p>
    <w:p>
      <w:pPr>
        <w:spacing w:before="160" w:after="40" w:line="240" w:lineRule="auto"/>
      </w:pPr>
      <w:r>
        <w:rPr>
          <w:b/>
        </w:rPr>
        <w:t xml:space="preserve">[223] </w:t>
      </w:r>
      <w:hyperlink r:id="rId1002">
        <w:r>
          <w:rPr>
            <w:color w:val="1155CC"/>
            <w:u w:val="single"/>
          </w:rPr>
          <w:t>工程动态 Co2+ 位点解决了 C(sp3)–H 氧化的完整反应网络</w:t>
        </w:r>
      </w:hyperlink>
    </w:p>
    <w:p>
      <w:pPr>
        <w:spacing w:before="0" w:after="80"/>
      </w:pPr>
      <w:r>
        <w:rPr>
          <w:i/>
          <w:sz w:val="20"/>
        </w:rPr>
        <w:t>EN: Engineered Dynamic Co2+ Sites Resolve the Complete Reaction Network for C(sp3)–H 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1003">
        <w:r>
          <w:rPr>
            <w:color w:val="1155CC"/>
            <w:u w:val="single"/>
          </w:rPr>
          <w:t>10.1021/jacs.6c09906</w:t>
        </w:r>
      </w:hyperlink>
    </w:p>
    <w:p>
      <w:pPr>
        <w:spacing w:before="0" w:after="120"/>
      </w:pPr>
      <w:r>
        <w:rPr>
          <w:b/>
        </w:rPr>
        <w:t xml:space="preserve">Notes: </w:t>
      </w:r>
      <w:r>
        <w:t>abstract_source=crossref</w:t>
      </w:r>
    </w:p>
    <w:p>
      <w:pPr>
        <w:spacing w:before="0" w:after="80" w:lineRule="auto" w:line="276"/>
      </w:pPr>
      <w:r>
        <w:rPr>
          <w:b/>
        </w:rPr>
        <w:t xml:space="preserve">摘要（ZH）: </w:t>
      </w:r>
      <w:r>
        <w:t>摘要：操作条件下活性位点的动态演化从根本上决定了催化性能，但最先进的研究仍然局限于被动观察，即它们无法干预有害的动力学或将有益的动力学转化为通用设计原则。在这里，我们报告了一种精确设计的核壳Co@Co3O4催化剂，该催化剂在甲苯氧化过程中利用可逆固态氧化还原平衡（Co0(s) + 2Co3+(s) ↔ 3Co2+(s)），这是惰性C(sp3)-H键活化的基准转变。 Operando XAFS 和 XPS 结果表明，动态生成的 Co2+ 物质与催化活性直接相关。系统集成的操作表征、DFT 计算和控制实验将 Co2+ 确立为多功能中心，通过电子捐赠激活甲苯，同时促进表面氧空位处的 O2 激活，启动活性氧级联 (O2(g) → •O2–(ads) → •OH(ads))，通过低能垒路线驱动双通道氧化机制。该催化剂的周转频率为 33.8 h–1（超过报道的催化剂 4 至 360 倍），在间歇操作中选择性为 90%。我们进一步建立了连续流甲苯氧化系统，稳定运行260小时，周转数为45425，时空产率为362.3 g·gcat–1·h–1，产率约为100%。 3.25公斤苯甲酸。动态活性位点范式展示了广泛的实用性，42 种芳香烷烃的成功氧化证明了这一点</w:t>
      </w:r>
    </w:p>
    <w:p>
      <w:pPr>
        <w:spacing w:before="0" w:after="200" w:lineRule="auto" w:line="276"/>
      </w:pPr>
      <w:r>
        <w:rPr>
          <w:b/>
        </w:rPr>
        <w:t xml:space="preserve">Abstract (EN): </w:t>
      </w:r>
      <w:r>
        <w:t>The dynamic evolution of active sites under operating conditions fundamentally dictates catalytic performance, yet state-of-the-art studies remain confined to passive observation, i.e., they are unable to intervene in detrimental dynamics or translate beneficial ones into universal design principles. Here, we report a precisely engineered core–shell Co@Co3O4 catalyst that utilizes a reversible solid-state redox equilibrium (Co0(s) + 2Co3+(s) ↔ 3Co2+(s)) during toluene oxidation, a benchmark transformation for the activation of inert C(sp3)–H bonds. Operando XAFS and XPS results reveal that the dynamically generated Co2+ species correlate directly with catalytic activity. Systematically integrated operando characterizations, DFT calculations, and control experiments establish Co2+ as a multifunctional center that activates toluene via electronic donation and concurrently facilitates O2 activation at surface oxygen vacancies, initiating a reactive oxygen species cascade (O2(g) → •O2–(ads) → •OH(ads)) that drives a dual-channel oxidation mechanism through low-energy-barrier routes. The catalyst achieves a turnover frequency of 33.8 h–1 (surpassing reported catalysts by 4- to 360-fold) with 90% selectivity in batch operation. We further establish a continuous-flow toluene oxidation system, which delivers a turnover number of 45425 and a space-time yield of 362.3 g·gcat–1·h–1 over 260 h of stable operation, producing ca. 3.25 kg of benzoic acid. The dynamic active site paradigm demonstrates broad utility, as evidenced by the successful oxidation of 42 aromatic alkanes and its application in the synthesis of a cholesteric liquid crystal intermediate.</w:t>
      </w:r>
    </w:p>
    <w:p>
      <w:pPr>
        <w:spacing w:before="120" w:after="120"/>
      </w:pPr>
      <w:r>
        <w:rPr>
          <w:sz w:val="18"/>
        </w:rPr>
        <w:t>——————————————————————————————————————————————————————————————————————</w:t>
      </w:r>
    </w:p>
    <w:p>
      <w:pPr>
        <w:spacing w:before="160" w:after="40" w:line="240" w:lineRule="auto"/>
      </w:pPr>
      <w:r>
        <w:rPr>
          <w:b/>
        </w:rPr>
        <w:t xml:space="preserve">[224] </w:t>
      </w:r>
      <w:hyperlink r:id="rId1004">
        <w:r>
          <w:rPr>
            <w:color w:val="1155CC"/>
            <w:u w:val="single"/>
          </w:rPr>
          <w:t>作者更正：自然光合系统恢复动物细胞器相互作用网络的稳态</w:t>
        </w:r>
      </w:hyperlink>
    </w:p>
    <w:p>
      <w:pPr>
        <w:spacing w:before="0" w:after="80"/>
      </w:pPr>
      <w:r>
        <w:rPr>
          <w:i/>
          <w:sz w:val="20"/>
        </w:rPr>
        <w:t>EN: Author Correction: Natural photosynthetic system for restoring homeostasis of animal organelle interaction network</w:t>
      </w:r>
    </w:p>
    <w:p>
      <w:pPr>
        <w:spacing w:before="0" w:after="120"/>
      </w:pPr>
      <w:r>
        <w:rPr>
          <w:b/>
        </w:rPr>
        <w:t xml:space="preserve">Source: </w:t>
      </w:r>
      <w:r>
        <w:t>Physical sciences : Nature Communications subject feeds</w:t>
      </w:r>
      <w:r>
        <w:t xml:space="preserve">    </w:t>
      </w:r>
      <w:r>
        <w:rPr>
          <w:b/>
        </w:rPr>
        <w:t xml:space="preserve">Pub date: </w:t>
      </w:r>
      <w:r>
        <w:t>2026-08-10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[225] </w:t>
      </w:r>
      <w:hyperlink r:id="rId1005">
        <w:r>
          <w:rPr>
            <w:color w:val="1155CC"/>
            <w:u w:val="single"/>
          </w:rPr>
          <w:t>作者更正：用于高容量多维光互连的基于数字超材料的模式复用器的边缘引导逆向设计</w:t>
        </w:r>
      </w:hyperlink>
    </w:p>
    <w:p>
      <w:pPr>
        <w:spacing w:before="0" w:after="80"/>
      </w:pPr>
      <w:r>
        <w:rPr>
          <w:i/>
          <w:sz w:val="20"/>
        </w:rPr>
        <w:t>EN: Author Correction: Edge-guided inverse design of digital metamaterial-based mode multiplexers for high-capacity multi-dimensional optical interconnect</w:t>
      </w:r>
    </w:p>
    <w:p>
      <w:pPr>
        <w:spacing w:before="0" w:after="120"/>
      </w:pPr>
      <w:r>
        <w:rPr>
          <w:b/>
        </w:rPr>
        <w:t xml:space="preserve">Source: </w:t>
      </w:r>
      <w:r>
        <w:t>Physical sciences : Nature Communications subject feeds</w:t>
      </w:r>
      <w:r>
        <w:t xml:space="preserve">    </w:t>
      </w:r>
      <w:r>
        <w:rPr>
          <w:b/>
        </w:rPr>
        <w:t xml:space="preserve">Pub date: </w:t>
      </w:r>
      <w:r>
        <w:t>2026-08-10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[226] </w:t>
      </w:r>
      <w:hyperlink r:id="rId1006">
        <w:r>
          <w:rPr>
            <w:color w:val="1155CC"/>
            <w:u w:val="single"/>
          </w:rPr>
          <w:t>利用氧钒明轮中的核自旋存储和检索电子自旋相干性</w:t>
        </w:r>
      </w:hyperlink>
    </w:p>
    <w:p>
      <w:pPr>
        <w:spacing w:before="0" w:after="80"/>
      </w:pPr>
      <w:r>
        <w:rPr>
          <w:i/>
          <w:sz w:val="20"/>
        </w:rPr>
        <w:t>EN: Storage and Retrieval of Electronic Spin Coherence Using Nuclear Spins in a Vanadyl Paddlewheel</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1007">
        <w:r>
          <w:rPr>
            <w:color w:val="1155CC"/>
            <w:u w:val="single"/>
          </w:rPr>
          <w:t>10.1021/jacs.6c10524</w:t>
        </w:r>
      </w:hyperlink>
    </w:p>
    <w:p>
      <w:pPr>
        <w:spacing w:before="0" w:after="120"/>
      </w:pPr>
      <w:r>
        <w:rPr>
          <w:b/>
        </w:rPr>
        <w:t xml:space="preserve">Notes: </w:t>
      </w:r>
      <w:r>
        <w:t>abstract_source=crossref</w:t>
      </w:r>
    </w:p>
    <w:p>
      <w:pPr>
        <w:spacing w:before="0" w:after="80" w:lineRule="auto" w:line="276"/>
      </w:pPr>
      <w:r>
        <w:rPr>
          <w:b/>
        </w:rPr>
        <w:t xml:space="preserve">摘要（ZH）: </w:t>
      </w:r>
      <w:r>
        <w:t>摘要 电子和核自旋是量子信息的互补载体：核自旋具有适合信息存储的长相干时间，而电子自旋则确保快速寻址和读出。一个关键的挑战是通过转移两个旋转自由度之间的相干性来获得它们的好处。在这项工作中，我们通过研究一种分子结构来实现这一目标，该结构可以精确控制晶体主体内的超精细多重态、自旋色散和分子取向。作为模型系统，我们使用在 [TiOPt(SOCPh)4]·2THF 抗磁性晶体基质中稀释的异双金属桨轮复合物 [VOPt(SOCPh)4]（标称浓度为 1 和 10%）。在[VOPt(SOCPh)4]中，氧钒基电子自旋S = 1/2与51V的核自旋I = 7/2超精细耦合。使用在低温下运行的多频片上装置产生的射频（RF）和微波（MW）脉冲序列同时操纵这些电子和核自旋。首先，进行电子核双共振 (ENDOR) 实验，以显示通过电子自旋回波读出 51V 核自旋跃迁。使用专用 RF-MW 脉冲序列的进一步实验表明，电子相位相干性可以存储在核自旋中，并在大大超过电子相位记忆时间的总自由进动时间后检索（存储和检索，SR）。这一结果证明了同时操纵电子和核自旋的可能性</w:t>
      </w:r>
    </w:p>
    <w:p>
      <w:pPr>
        <w:spacing w:before="0" w:after="200" w:lineRule="auto" w:line="276"/>
      </w:pPr>
      <w:r>
        <w:rPr>
          <w:b/>
        </w:rPr>
        <w:t xml:space="preserve">Abstract (EN): </w:t>
      </w:r>
      <w:r>
        <w:t>Electronic and nuclear spins are complementary carriers of quantum information: whereas nuclear spins exhibit long coherence times suitable for information storage, electronic spins ensure rapid addressing and readout. A key challenge is harvesting the benefits of both spin degrees of freedom by transferring coherence between them. In this work, we achieved this goal by working on a molecular architecture that affords precise control over the hyperfine multiplets, spin dispersion, and molecular orientation within a crystalline host. As a model system, we used heterobimetallic paddlewheel complex [VOPt(SOCPh)4] diluted in [TiOPt(SOCPh)4]·2THF diamagnetic crystalline host matrix (nominal concentrations of 1 and 10%). In [VOPt(SOCPh)4], vanadyl electronic spin S = 1/2 is hyperfinely coupled to the nuclear spin I = 7/2 of 51V. These electronic and nuclear spins were simultaneously manipulated using sequences of radiofrequency (RF) and microwave (MW) pulses generated by a multifrequency on-chip setup operating at a cryogenic temperature. First, Electron-Nuclear DOuble Resonance (ENDOR) experiments were performed to show the readout of the 51V nuclear spin transitions through the electronic spin echo. Further experiments with a dedicated RF-MW pulse sequence demonstrated that electronic phase coherence can be stored in the nuclear spins and retrieved (Storage and Retrieval, SR) after a total free precession time that greatly exceeds the electronic phase memory time. This result demonstrates the possibility of simultaneous manipulation of electronic and nuclear spins and establishes a route for encoding quantum information on both degrees of freedom of a chemically tunable platform.</w:t>
      </w:r>
    </w:p>
    <w:p>
      <w:pPr>
        <w:spacing w:before="120" w:after="120"/>
      </w:pPr>
      <w:r>
        <w:rPr>
          <w:sz w:val="18"/>
        </w:rPr>
        <w:t>——————————————————————————————————————————————————————————————————————</w:t>
      </w:r>
    </w:p>
    <w:p>
      <w:pPr>
        <w:spacing w:before="160" w:after="40" w:line="240" w:lineRule="auto"/>
      </w:pPr>
      <w:r>
        <w:rPr>
          <w:b/>
        </w:rPr>
        <w:t xml:space="preserve">[227] </w:t>
      </w:r>
      <w:hyperlink r:id="rId1008">
        <w:r>
          <w:rPr>
            <w:color w:val="1155CC"/>
            <w:u w:val="single"/>
          </w:rPr>
          <w:t>Pt1/γ-Al2O3 单原子催化剂中的金属载体界面具有原子级精度</w:t>
        </w:r>
      </w:hyperlink>
    </w:p>
    <w:p>
      <w:pPr>
        <w:spacing w:before="0" w:after="80"/>
      </w:pPr>
      <w:r>
        <w:rPr>
          <w:i/>
          <w:sz w:val="20"/>
        </w:rPr>
        <w:t>EN: Metal–Support Interfaces in Pt1/γ-Al2O3 Single Atom Catalysts with Atomic-Level Precision</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1009">
        <w:r>
          <w:rPr>
            <w:color w:val="1155CC"/>
            <w:u w:val="single"/>
          </w:rPr>
          <w:t>10.1021/jacs.6c09006</w:t>
        </w:r>
      </w:hyperlink>
    </w:p>
    <w:p>
      <w:pPr>
        <w:spacing w:before="0" w:after="120"/>
      </w:pPr>
      <w:r>
        <w:rPr>
          <w:b/>
        </w:rPr>
        <w:t xml:space="preserve">Notes: </w:t>
      </w:r>
      <w:r>
        <w:t>abstract_source=crossref</w:t>
      </w:r>
    </w:p>
    <w:p>
      <w:pPr>
        <w:spacing w:before="0" w:after="80" w:lineRule="auto" w:line="276"/>
      </w:pPr>
      <w:r>
        <w:rPr>
          <w:b/>
        </w:rPr>
        <w:t xml:space="preserve">摘要（ZH）: </w:t>
      </w:r>
      <w:r>
        <w:t>摘要 单原子催化剂（SAC）是一类有前途的材料，其特征是孤立的金属原子固定在载体上，其中多相催化的优点与最大限度地利用贵金属原子相结合。在SAC中，每个金属原子都完全暴露在载体表面；因此，阐明金属-载体界面的性质以识别活性物质并设计定制的更高效的材料至关重要。在 SAC 中，Pt1/γ-Al2O3 对 CO 氧化和烯烃异构化具有活性，代表了一个典型系统。然而，γ-Al2O3 的化学复杂性和较差的结晶度阻碍了仅通过传统技术（XAS、TEM）进行原子描述。在此，我们报告了通过多核固态核磁共振和 DFT 建模，对 γ-Al2O3 载体上的一系列 Pt SAC 进行的研究，这些载体通过表面有机金属化学制备，然后进行煅烧。这种方法阐明了 Pt1/γ-Al2O3 的配位环境，揭示了高度氧化的 Pt 原子优先被 (110)b-(100) 边缘处的配位不足的 Al 位点锚定。 Pt 原子具有扭曲的方形平面或方形金字塔环境，并通过 [4-6]Al-O-Pt 和 [4]Al-OH-Pt 连接稳定。吡啶吸收研究通过 DFT 建模揭示了 Brønsted 酸性位点的存在，这些酸性位点被分配给 [4]Al-OH-Pt 边缘部分。研究结果确定了稳定 SAC 所需的 γ-Al2O3 支撑物的形态特征，并为使用 NMR 和 DFT 构建精确的 SAC 支撑物模型提供了路线图。</w:t>
      </w:r>
    </w:p>
    <w:p>
      <w:pPr>
        <w:spacing w:before="0" w:after="200" w:lineRule="auto" w:line="276"/>
      </w:pPr>
      <w:r>
        <w:rPr>
          <w:b/>
        </w:rPr>
        <w:t xml:space="preserve">Abstract (EN): </w:t>
      </w:r>
      <w:r>
        <w:t>Single atom catalysts (SACs) appear as a promising class of materials featuring isolated metal atoms anchored to supports, where the advantages of heterogeneous catalysis are combined with a maximized noble metal atom usage. In SACs, each metal atom is fully exposed to the support surface; it is therefore critical to elucidate the nature of the metal–support interface to identify the active species and design tailored, more efficient materials. Among SACs, Pt1/γ-Al2O3, active toward CO oxidation and isomerization of olefins, represents a prototypical system. However, the chemical complexity and poor crystallinity of γ-Al2O3 hinders an atomistic description via conventional techniques (XAS, TEM) only. Here, we report the study, via multinuclear solid-state NMR and DFT modeling, of a series of Pt SACs on γ-Al2O3 supports, prepared by surface organometallic chemistry followed by calcination. This approach clarifies the coordination environment of Pt1/γ-Al2O3, revealing that highly oxidized Pt atoms are preferentially anchored by undercoordinated Al sites at the (110)b-(100) edge. The Pt atoms have a distorted square planar or square pyramidal environment and are stabilized through [4–6]Al–O–Pt and [4]Al–OH–Pt linkages. Pyridine absorption studies reveal the presence of Brønsted acidic sites, assigned to [4]Al–OH–Pt edge moieties, through DFT modeling. The findings establish morphological features of γ-Al2O3 supports needed to stabilize SACs and provide a roadmap for building accurate SAC–support models using NMR and DFT.</w:t>
      </w:r>
    </w:p>
    <w:p>
      <w:pPr>
        <w:spacing w:before="120" w:after="120"/>
      </w:pPr>
      <w:r>
        <w:rPr>
          <w:sz w:val="18"/>
        </w:rPr>
        <w:t>——————————————————————————————————————————————————————————————————————</w:t>
      </w:r>
    </w:p>
    <w:p>
      <w:pPr>
        <w:spacing w:before="160" w:after="40" w:line="240" w:lineRule="auto"/>
      </w:pPr>
      <w:r>
        <w:rPr>
          <w:b/>
        </w:rPr>
        <w:t xml:space="preserve">[228] </w:t>
      </w:r>
      <w:hyperlink r:id="rId1010">
        <w:r>
          <w:rPr>
            <w:color w:val="1155CC"/>
            <w:u w:val="single"/>
          </w:rPr>
          <w:t>DNA 框架纳米反应器中几何定义的膜融合</w:t>
        </w:r>
      </w:hyperlink>
    </w:p>
    <w:p>
      <w:pPr>
        <w:spacing w:before="0" w:after="80"/>
      </w:pPr>
      <w:r>
        <w:rPr>
          <w:i/>
          <w:sz w:val="20"/>
        </w:rPr>
        <w:t>EN: Geometry-Defined Membrane Fusion in a DNA Framework Nanoreactor</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1011">
        <w:r>
          <w:rPr>
            <w:color w:val="1155CC"/>
            <w:u w:val="single"/>
          </w:rPr>
          <w:t>10.1021/jacs.6c09262</w:t>
        </w:r>
      </w:hyperlink>
    </w:p>
    <w:p>
      <w:pPr>
        <w:spacing w:before="0" w:after="120"/>
      </w:pPr>
      <w:r>
        <w:rPr>
          <w:b/>
        </w:rPr>
        <w:t xml:space="preserve">Notes: </w:t>
      </w:r>
      <w:r>
        <w:t>abstract_source=crossref</w:t>
      </w:r>
    </w:p>
    <w:p>
      <w:pPr>
        <w:spacing w:before="0" w:after="80" w:lineRule="auto" w:line="276"/>
      </w:pPr>
      <w:r>
        <w:rPr>
          <w:b/>
        </w:rPr>
        <w:t xml:space="preserve">摘要（ZH）: </w:t>
      </w:r>
      <w:r>
        <w:t>摘要 膜融合是必要的，但却难以进行系统的解剖，因为瞬时中间体、异质囊泡群以及缺乏明确的反应单元掩盖了结构、动力学和融合结果之间的直接关系。在这里，我们引入了一种 DNA 框架囊泡 (DFV) 纳米反应器，它将膜相互作用限制在纳米级反应窗口内，将膜融合转化为几何定义和定量可解析的过程。通过将脂质膜和 SNARE 蛋白嵌入到定义的 DNA 孔径内，DFV 将随机囊泡相遇转化为界面定义的融合反应。冷冻电子显微镜解析了六种融合中间体的完整序列，而荧光动力学和纳流细胞术提供了融合动力学的事件解析定量。融合效率和多重性由膜间距离、反应界面几何形状和囊泡化学计量控制，建立了纳米级空间约束和融合途径之间的定量关系。将这一策略扩展到活细胞，DFV 介导 SNARE 依赖性表面与 VAMP2 表达膜的融合，并通过融合驱动的转移实现功能性 siRNA 的直接胞质递送。总之，这些结果将 DNA 框架纳米反应器确立为稳定、量化和工程膜融合的通用策略，为研究复杂的膜相关界面过程提供了化学框架。</w:t>
      </w:r>
    </w:p>
    <w:p>
      <w:pPr>
        <w:spacing w:before="0" w:after="200" w:lineRule="auto" w:line="276"/>
      </w:pPr>
      <w:r>
        <w:rPr>
          <w:b/>
        </w:rPr>
        <w:t xml:space="preserve">Abstract (EN): </w:t>
      </w:r>
      <w:r>
        <w:t>Membrane fusion is essential yet has resisted systematic dissection because transient intermediates, heterogeneous vesicle populations, and the absence of defined reaction units obscure direct relationships among structure, dynamics, and fusion outcomes. Here, we introduce a DNA framework vesicle (DFV) nanoreactor that confines membrane interactions within nanoscale reaction windows, transforming membrane fusion into a geometry-defined and quantitatively resolvable process. By embedding lipid membranes and SNARE proteins within defined DNA apertures, DFVs convert stochastic vesicle encounters to interface-defined fusion reactions. Cryo-electron microscopy resolves a complete sequence of six fusion intermediates, while fluorescence kinetics and nanoflow cytometry provide event-resolved quantification of fusion dynamics. Fusion efficiency and multiplicity are governed by intermembrane distance, reaction interface geometry, and vesicle stoichiometry, establishing a quantitative relationship between nanoscale spatial constraints and fusion pathways. Extending this strategy to living cells, DFVs mediate SNARE-dependent surface fusion with VAMP2-expressing membranes and enable the direct cytosolic delivery of functional siRNA through fusion-driven transfer. Together, these results establish DNA framework nanoreactors as a general strategy for stabilizing, quantifying, and engineering membrane fusion, providing a chemical framework for interrogating complex membrane-associated interfacial processes.</w:t>
      </w:r>
    </w:p>
    <w:p>
      <w:pPr>
        <w:spacing w:before="120" w:after="120"/>
      </w:pPr>
      <w:r>
        <w:rPr>
          <w:sz w:val="18"/>
        </w:rPr>
        <w:t>——————————————————————————————————————————————————————————————————————</w:t>
      </w:r>
    </w:p>
    <w:p>
      <w:pPr>
        <w:spacing w:before="160" w:after="40" w:line="240" w:lineRule="auto"/>
      </w:pPr>
      <w:r>
        <w:rPr>
          <w:b/>
        </w:rPr>
        <w:t xml:space="preserve">[229] </w:t>
      </w:r>
      <w:hyperlink r:id="rId1012">
        <w:r>
          <w:rPr>
            <w:color w:val="1155CC"/>
            <w:u w:val="single"/>
          </w:rPr>
          <w:t>缺电子烯烃的电化学交叉偶联</w:t>
        </w:r>
      </w:hyperlink>
    </w:p>
    <w:p>
      <w:pPr>
        <w:spacing w:before="0" w:after="80"/>
      </w:pPr>
      <w:r>
        <w:rPr>
          <w:i/>
          <w:sz w:val="20"/>
        </w:rPr>
        <w:t>EN: Electrochemical Cross-Coupling of Electron-Deficient Olefins</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1013">
        <w:r>
          <w:rPr>
            <w:color w:val="1155CC"/>
            <w:u w:val="single"/>
          </w:rPr>
          <w:t>10.1021/jacs.6c08696</w:t>
        </w:r>
      </w:hyperlink>
    </w:p>
    <w:p>
      <w:pPr>
        <w:spacing w:before="0" w:after="120"/>
      </w:pPr>
      <w:r>
        <w:rPr>
          <w:b/>
        </w:rPr>
        <w:t xml:space="preserve">Notes: </w:t>
      </w:r>
      <w:r>
        <w:t>abstract_source=crossref</w:t>
      </w:r>
    </w:p>
    <w:p>
      <w:pPr>
        <w:spacing w:before="0" w:after="80" w:lineRule="auto" w:line="276"/>
      </w:pPr>
      <w:r>
        <w:rPr>
          <w:b/>
        </w:rPr>
        <w:t xml:space="preserve">摘要（ZH）: </w:t>
      </w:r>
      <w:r>
        <w:t>摘要 烯烃的偶联由于其在工业过程和有机合成中的广泛应用而引起了人们的广泛研究兴趣。然而，对于具有相似电子密度的烯烃，由于竞争性副反应（例如自偶联），实现选择性交叉偶联仍然是一个挑战。改变或调节两种偶联反应物之间相似氧化还原电位的方法对于实现高交叉选择性至关重要。为了解决这个问题，我们提出了一种策略，利用路易斯酸与不同底物相互作用的差异来实现不同程度的LUMO修饰，从而增强底物之间的还原电位差（ΔEred）并提高交叉偶联选择性。在催化量的路易斯酸的帮助下，实现了具有相似电化学性质的缺电子烯烃的选择性还原交叉偶联。这种温和的方案提供可调节的还原电位、放大底物之间微妙的电化学差异、广泛的底物范围以及与天然产物和药物衍生物的后期功能化的兼容性。</w:t>
      </w:r>
    </w:p>
    <w:p>
      <w:pPr>
        <w:spacing w:before="0" w:after="200" w:lineRule="auto" w:line="276"/>
      </w:pPr>
      <w:r>
        <w:rPr>
          <w:b/>
        </w:rPr>
        <w:t xml:space="preserve">Abstract (EN): </w:t>
      </w:r>
      <w:r>
        <w:t>The coupling of olefins has garnered significant research interest due to its wide-ranging applications in both industrial processes and organic synthesis. However, for olefins with similar electron densities, achieving selective cross-coupling remains a challenge due to competing side reactions, such as homocoupling. The approach taken to alter or regulate the similar redox potentials between two coupling reactants is crucial for achieving high cross-selectivity. To address this, we propose a strategy that leverages the difference in Lewis acid interactions with different substrates to achieve varying degrees of LUMO modification, thereby enhancing the reduction potential difference (ΔEred) between the substrates and improving cross-coupling selectivity. A selective reductive cross-coupling of electron-deficient olefins that possess similar electrochemical properties was achieved with the assistance of catalytic amounts of Lewis acids. This mild protocol offers tunable reduction potentials, amplification of subtle electrochemical differences between substrates, broad substrate scope, and compatibility with the late-stage functionalization of natural products and drug derivatives.</w:t>
      </w:r>
    </w:p>
    <w:p>
      <w:pPr>
        <w:spacing w:before="120" w:after="120"/>
      </w:pPr>
      <w:r>
        <w:rPr>
          <w:sz w:val="18"/>
        </w:rPr>
        <w:t>——————————————————————————————————————————————————————————————————————</w:t>
      </w:r>
    </w:p>
    <w:p>
      <w:pPr>
        <w:spacing w:before="160" w:after="40" w:line="240" w:lineRule="auto"/>
      </w:pPr>
      <w:r>
        <w:rPr>
          <w:b/>
        </w:rPr>
        <w:t xml:space="preserve">[230] </w:t>
      </w:r>
      <w:hyperlink r:id="rId1014">
        <w:r>
          <w:rPr>
            <w:color w:val="1155CC"/>
            <w:u w:val="single"/>
          </w:rPr>
          <w:t>氘代自由基发射器在 800 nm 处实现 10.8% EQE，运行稳定性显着增强</w:t>
        </w:r>
      </w:hyperlink>
    </w:p>
    <w:p>
      <w:pPr>
        <w:spacing w:before="0" w:after="80"/>
      </w:pPr>
      <w:r>
        <w:rPr>
          <w:i/>
          <w:sz w:val="20"/>
        </w:rPr>
        <w:t>EN: Deuterated Radical Emitters Achieve 10.8% EQE at 800 nm with Remarkably Enhanced Operational Stability</w:t>
      </w:r>
    </w:p>
    <w:p>
      <w:pPr>
        <w:spacing w:before="0" w:after="120"/>
      </w:pPr>
      <w:r>
        <w:rPr>
          <w:b/>
        </w:rPr>
        <w:t xml:space="preserve">Source: </w:t>
      </w:r>
      <w:r>
        <w:t>Physical sciences : Nature Communications subject feeds</w:t>
      </w:r>
      <w:r>
        <w:t xml:space="preserve">    </w:t>
      </w:r>
      <w:r>
        <w:rPr>
          <w:b/>
        </w:rPr>
        <w:t xml:space="preserve">Pub date: </w:t>
      </w:r>
      <w:r>
        <w:t>2026-08-10 00:00:00+00:00</w:t>
      </w:r>
    </w:p>
    <w:p>
      <w:pPr>
        <w:spacing w:before="0" w:after="120"/>
      </w:pPr>
      <w:r>
        <w:rPr>
          <w:b/>
        </w:rPr>
        <w:t xml:space="preserve">Notes: </w:t>
      </w:r>
      <w:r>
        <w:t>abstract_source=nature_html</w:t>
      </w:r>
    </w:p>
    <w:p>
      <w:pPr>
        <w:spacing w:before="0" w:after="80" w:lineRule="auto" w:line="276"/>
      </w:pPr>
      <w:r>
        <w:rPr>
          <w:b/>
        </w:rPr>
        <w:t xml:space="preserve">摘要（ZH）: </w:t>
      </w:r>
      <w:r>
        <w:t>近红外（NIR）自由基发射器在有机发光二极管（OLED）方面很有前景，但受到低发射效率和操作稳定性的限制。在这里，我们证明 C-H 重氘化显着增强了基准 TTM-TPA 基团和红移类似物 PyBTM-TPA 的性能。 TTM-TPA 的光致发光量子产率从 24.0% 增加到 30.7%，PyBTM-TPA 的光致发光量子产率从 7.3% 增加到 10.4%。氘化器件还表现出更高的性能，perD-TTM-TPA 和 perD-PyBTM-TPA 在峰值波长 800 nm 处达到创纪录的 10.81%，在 865 nm 处达到 3.56%，并具有更长的工作寿命。我们进一步揭示，同位素效应受分子重组能控制，分子重组能由有效黄-里斯因子和各个振动模式之间的振动耦合分布决定。这些发现将氘工程确立为改进自由基型近红外 OLED 的总体策略。</w:t>
      </w:r>
    </w:p>
    <w:p>
      <w:pPr>
        <w:spacing w:before="0" w:after="200" w:lineRule="auto" w:line="276"/>
      </w:pPr>
      <w:r>
        <w:rPr>
          <w:b/>
        </w:rPr>
        <w:t xml:space="preserve">Abstract (EN): </w:t>
      </w:r>
      <w:r>
        <w:t>Near-infrared (NIR) radical emitters are promising for organic light-emitting diodes (OLEDs) but are limited by low emission efficiency and operational stability. Here, we demonstrate that C–H perdeuteration markedly enhances the performance of both the benchmark TTM-TPA radical and a red-shifted analogue, PyBTM-TPA. Photoluminescence quantum yields increase from 24.0% to 30.7% for TTM-TPA and from 7.3% to 10.4% for PyBTM-TPA. Deuterated devices also exhibit improved performance, achieving record maximum external quantum efficiencies (EQEmax) of 10.81% at peak wavelength 800 nm and 3.56% at 865 nm for perD-TTM-TPA and perD-PyBTM-TPA, respectively, together with extended operational lifetimes. We further reveal that the isotope effect is governed by molecular reorganization energy, determined by both the effective Huang–Rhys factor and the distribution of vibronic coupling among individual vibrational modes. These findings establish deuterium engineering as a general strategy for improving radical-based NIR-OLEDs.</w:t>
      </w:r>
    </w:p>
    <w:p>
      <w:pPr>
        <w:spacing w:before="120" w:after="120"/>
      </w:pPr>
      <w:r>
        <w:rPr>
          <w:sz w:val="18"/>
        </w:rPr>
        <w:t>——————————————————————————————————————————————————————————————————————</w:t>
      </w:r>
    </w:p>
    <w:p>
      <w:pPr>
        <w:spacing w:before="160" w:after="40" w:line="240" w:lineRule="auto"/>
      </w:pPr>
      <w:r>
        <w:rPr>
          <w:b/>
        </w:rPr>
        <w:t xml:space="preserve">[231] </w:t>
      </w:r>
      <w:hyperlink r:id="rId1015">
        <w:r>
          <w:rPr>
            <w:color w:val="1155CC"/>
            <w:u w:val="single"/>
          </w:rPr>
          <w:t>作者更正：核仁 URB1 确保 3′ ETS rRNA 去除以防止外泌体监视</w:t>
        </w:r>
      </w:hyperlink>
    </w:p>
    <w:p>
      <w:pPr>
        <w:spacing w:before="0" w:after="80"/>
      </w:pPr>
      <w:r>
        <w:rPr>
          <w:i/>
          <w:sz w:val="20"/>
        </w:rPr>
        <w:t>EN: Author Correction: Nucleolar URB1 ensures 3′ ETS rRNA removal to prevent exosome surveillance</w:t>
      </w:r>
    </w:p>
    <w:p>
      <w:pPr>
        <w:spacing w:before="0" w:after="120"/>
      </w:pPr>
      <w:r>
        <w:rPr>
          <w:b/>
        </w:rPr>
        <w:t xml:space="preserve">Source: </w:t>
      </w:r>
      <w:r>
        <w:t>Nature</w:t>
      </w:r>
      <w:r>
        <w:t xml:space="preserve">    </w:t>
      </w:r>
      <w:r>
        <w:rPr>
          <w:b/>
        </w:rPr>
        <w:t xml:space="preserve">Pub date: </w:t>
      </w:r>
      <w:r>
        <w:t>2026-08-10 00:00:00+00:00</w:t>
      </w:r>
      <w:r>
        <w:t xml:space="preserve">    </w:t>
      </w:r>
      <w:r>
        <w:rPr>
          <w:b/>
        </w:rPr>
        <w:t xml:space="preserve">DOI: </w:t>
      </w:r>
      <w:hyperlink r:id="rId1016">
        <w:r>
          <w:rPr>
            <w:color w:val="1155CC"/>
            <w:u w:val="single"/>
          </w:rPr>
          <w:t>10.1038/s41586-026-10978-7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[232] </w:t>
      </w:r>
      <w:hyperlink r:id="rId1017">
        <w:r>
          <w:rPr>
            <w:color w:val="1155CC"/>
            <w:u w:val="single"/>
          </w:rPr>
          <w:t>我发现我的学生使用人工智能在考试中作弊——这是大学必须采取的措施来杜绝这种情况</w:t>
        </w:r>
      </w:hyperlink>
    </w:p>
    <w:p>
      <w:pPr>
        <w:spacing w:before="0" w:after="80"/>
      </w:pPr>
      <w:r>
        <w:rPr>
          <w:i/>
          <w:sz w:val="20"/>
        </w:rPr>
        <w:t>EN: I caught my students using AI to cheat in an exam — here’s what universities must do to stamp this out</w:t>
      </w:r>
    </w:p>
    <w:p>
      <w:pPr>
        <w:spacing w:before="0" w:after="120"/>
      </w:pPr>
      <w:r>
        <w:rPr>
          <w:b/>
        </w:rPr>
        <w:t xml:space="preserve">Source: </w:t>
      </w:r>
      <w:r>
        <w:t>Nature</w:t>
      </w:r>
      <w:r>
        <w:t xml:space="preserve">    </w:t>
      </w:r>
      <w:r>
        <w:rPr>
          <w:b/>
        </w:rPr>
        <w:t xml:space="preserve">Pub date: </w:t>
      </w:r>
      <w:r>
        <w:t>2026-08-10 00:00:00+00:00</w:t>
      </w:r>
      <w:r>
        <w:t xml:space="preserve">    </w:t>
      </w:r>
      <w:r>
        <w:rPr>
          <w:b/>
        </w:rPr>
        <w:t xml:space="preserve">DOI: </w:t>
      </w:r>
      <w:hyperlink r:id="rId1018">
        <w:r>
          <w:rPr>
            <w:color w:val="1155CC"/>
            <w:u w:val="single"/>
          </w:rPr>
          <w:t>10.1038/d41586-026-02447-y</w:t>
        </w:r>
      </w:hyperlink>
    </w:p>
    <w:p>
      <w:pPr>
        <w:spacing w:before="0" w:after="120"/>
      </w:pPr>
      <w:r>
        <w:rPr>
          <w:b/>
        </w:rPr>
        <w:t xml:space="preserve">Notes: </w:t>
      </w:r>
      <w:r>
        <w:t>abstract_source=rss_nature</w:t>
      </w:r>
    </w:p>
    <w:p>
      <w:pPr>
        <w:spacing w:before="0" w:after="80" w:lineRule="auto" w:line="276"/>
      </w:pPr>
      <w:r>
        <w:rPr>
          <w:b/>
        </w:rPr>
        <w:t xml:space="preserve">摘要（ZH）: </w:t>
      </w:r>
      <w:r>
        <w:t>如果没有强有力的标准和明智的监督，人工智能就有可能侵蚀高等教育的基础。</w:t>
      </w:r>
    </w:p>
    <w:p>
      <w:pPr>
        <w:spacing w:before="0" w:after="200" w:lineRule="auto" w:line="276"/>
      </w:pPr>
      <w:r>
        <w:rPr>
          <w:b/>
        </w:rPr>
        <w:t xml:space="preserve">Abstract (EN): </w:t>
      </w:r>
      <w:r>
        <w:t>Without strong standards and smart oversight, artificial intelligence risks eroding the foundations of higher education.</w:t>
      </w:r>
    </w:p>
    <w:p>
      <w:pPr>
        <w:spacing w:before="120" w:after="120"/>
      </w:pPr>
      <w:r>
        <w:rPr>
          <w:sz w:val="18"/>
        </w:rPr>
        <w:t>——————————————————————————————————————————————————————————————————————</w:t>
      </w:r>
    </w:p>
    <w:p>
      <w:pPr>
        <w:spacing w:before="160" w:after="40" w:line="240" w:lineRule="auto"/>
      </w:pPr>
      <w:r>
        <w:rPr>
          <w:b/>
        </w:rPr>
        <w:t xml:space="preserve">[233] </w:t>
      </w:r>
      <w:hyperlink r:id="rId1019">
        <w:r>
          <w:rPr>
            <w:color w:val="1155CC"/>
            <w:u w:val="single"/>
          </w:rPr>
          <w:t>基于Tröger碱的三维非共轭微孔有机聚合物：结合物理限制和化学吸附以增强NO x 捕获</w:t>
        </w:r>
      </w:hyperlink>
    </w:p>
    <w:p>
      <w:pPr>
        <w:spacing w:before="0" w:after="80"/>
      </w:pPr>
      <w:r>
        <w:rPr>
          <w:i/>
          <w:sz w:val="20"/>
        </w:rPr>
        <w:t>EN: Three-Dimensional Nonconjugated Microporous Organic Polymers Based on Tröger’s Base: Integrating Physical Confinement and Chemisorption for Enhanced NO x Capture</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20">
        <w:r>
          <w:rPr>
            <w:color w:val="1155CC"/>
            <w:u w:val="single"/>
          </w:rPr>
          <w:t>10.1021/acsami.6c12272</w:t>
        </w:r>
      </w:hyperlink>
    </w:p>
    <w:p>
      <w:pPr>
        <w:spacing w:before="0" w:after="120"/>
      </w:pPr>
      <w:r>
        <w:rPr>
          <w:b/>
        </w:rPr>
        <w:t xml:space="preserve">Notes: </w:t>
      </w:r>
      <w:r>
        <w:t>abstract_source=crossref</w:t>
      </w:r>
    </w:p>
    <w:p>
      <w:pPr>
        <w:spacing w:before="0" w:after="80" w:lineRule="auto" w:line="276"/>
      </w:pPr>
      <w:r>
        <w:rPr>
          <w:b/>
        </w:rPr>
        <w:t xml:space="preserve">摘要（ZH）: </w:t>
      </w:r>
      <w:r>
        <w:t>摘要 氮氧化物（NOx）需要紧急捕获，它们会引发硝化纤维素的自催化分解，在高温高湿下有燃烧或爆炸的危险。为了解决这个问题，将具有脂肪族C-H单元、扭曲的Tröger碱基（TB）单元的刚性非平面结构单元集成到微孔有机聚合物（MOP）中，其中微孔能够实现快速物理吸附，叔氮位点允许稳定的化学吸附，并且这些支架内的脂肪族C-H单元限制共轭并向苯环提供电子，进一步促进连续的NOx吸附。在聚合物中，三蝶烯基 TB（Trip-TB，1011 m2 g–1，3.36 mmol g–1）和四苯基金刚烷基 TB（TAPA-TB，826 m2 g–1，3.32 mmol g–1）优于三苯苯类似物（TAPB-TB，926 m2 g–1，2.99 mmol g–1）。仅添加 3 wt% Trip-TB，滴定测试中 NOx 释放量减少 70.2%，甲基紫变色时间延长 3.15 倍。这种增强归因于脂肪族核对苯环的共轭中断和给电子效应。表征和计算进一步阐明了吸附机制。总的来说，这些发现建立了有效捕获氮氧化物的协同物理化学机制，并为吸附剂设计提供了合理的蓝图。</w:t>
      </w:r>
    </w:p>
    <w:p>
      <w:pPr>
        <w:spacing w:before="0" w:after="200" w:lineRule="auto" w:line="276"/>
      </w:pPr>
      <w:r>
        <w:rPr>
          <w:b/>
        </w:rPr>
        <w:t xml:space="preserve">Abstract (EN): </w:t>
      </w:r>
      <w:r>
        <w:t>Nitrogen oxides (NOx) demand urgent capture—they can trigger self-catalytic decomposition in nitrocellulose, risking combustion or explosion under high temperature and humidity. To counteract this, rigid, nonplanar building blocks with aliphatic C–H units, contorted Tröger’s base (TB) units, are integrated into microporous organic polymers (MOPs), where micropores enable rapid physisorption, tertiary nitrogen sites allow stable chemisorption, and the aliphatic C–H units within these scaffolds restrict conjugation and donate electrons to benzene rings, further promoting continuous NOx adsorption. Among the polymers, triptycene-based TB (Trip-TB, 1011 m2 g–1, 3.36 mmol g–1) and tetraphenyladamantane-based TB (TAPA-TB, 826 m2 g–1, 3.32 mmol g–1) outperform the triphenylbenzene analog (TAPB-TB, 926 m2 g–1, 2.99 mmol g–1). With only 3 wt% Trip-TB, NOx release is reduced by 70.2 % in titration tests, and the methyl violet color-change time extends 3.15-fold. This enhancement is attributed to the conjugation-interrupting and electron-donating effects of the aliphatic cores to the benzene rings. Characterization and calculations further elucidate the adsorption mechanism. Collectively, these findings establish a cooperative physicochemical mechanism for efficient NOx capture and provide a rational blueprint for adsorbent design.</w:t>
      </w:r>
    </w:p>
    <w:p>
      <w:pPr>
        <w:spacing w:before="120" w:after="120"/>
      </w:pPr>
      <w:r>
        <w:rPr>
          <w:sz w:val="18"/>
        </w:rPr>
        <w:t>——————————————————————————————————————————————————————————————————————</w:t>
      </w:r>
    </w:p>
    <w:p>
      <w:pPr>
        <w:spacing w:before="160" w:after="40" w:line="240" w:lineRule="auto"/>
      </w:pPr>
      <w:r>
        <w:rPr>
          <w:b/>
        </w:rPr>
        <w:t xml:space="preserve">[234] </w:t>
      </w:r>
      <w:hyperlink r:id="rId1021">
        <w:r>
          <w:rPr>
            <w:color w:val="1155CC"/>
            <w:u w:val="single"/>
          </w:rPr>
          <w:t>用于压力串扰抑制应变传感的顺序堆叠石墨烯/炭黑 Langmuir-Blodgett 异质结构</w:t>
        </w:r>
      </w:hyperlink>
    </w:p>
    <w:p>
      <w:pPr>
        <w:spacing w:before="0" w:after="80"/>
      </w:pPr>
      <w:r>
        <w:rPr>
          <w:i/>
          <w:sz w:val="20"/>
        </w:rPr>
        <w:t>EN: Sequentially Stacked Graphene/Carbon Black Langmuir–Blodgett Heterostructures for Pressure-Crosstalk-Suppressed Strain Sensing</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22">
        <w:r>
          <w:rPr>
            <w:color w:val="1155CC"/>
            <w:u w:val="single"/>
          </w:rPr>
          <w:t>10.1021/acsami.6c11589</w:t>
        </w:r>
      </w:hyperlink>
    </w:p>
    <w:p>
      <w:pPr>
        <w:spacing w:before="0" w:after="120"/>
      </w:pPr>
      <w:r>
        <w:rPr>
          <w:b/>
        </w:rPr>
        <w:t xml:space="preserve">Notes: </w:t>
      </w:r>
      <w:r>
        <w:t>abstract_source=crossref</w:t>
      </w:r>
    </w:p>
    <w:p>
      <w:pPr>
        <w:spacing w:before="0" w:after="80" w:lineRule="auto" w:line="276"/>
      </w:pPr>
      <w:r>
        <w:rPr>
          <w:b/>
        </w:rPr>
        <w:t xml:space="preserve">摘要（ZH）: </w:t>
      </w:r>
      <w:r>
        <w:t>摘要 可靠的电阻应变传感器需要高拉伸灵敏度和最小的正常压力干扰，这对于无序导电网络仍然是一个挑战。在这里，我们报告了顺序堆叠的石墨烯/炭黑（Gr/CB）Langmuir-Blodgett（LB）类异质结构，用于压力串扰抑制应变传感。该薄膜是通过喷雾诱导的空气-水界面组装和循环水辅助转移制备的，从而能够在弹性体基材上沉积 Gr/CB。 Gr 层形成用于拉伸应变传导的裂纹敏感路径，而 CB 夹层则充当分布式导电桥。在拉伸过程中，CB 可改善裂纹演化并在较宽的应变范围内保持渗透传输。在正常压缩下，富含CB的界面可能会产生额外的导电接触，从而减轻电阻波动。优化的 3L Gr/CB 传感器可在高达 150% 的应变下工作，应变系数为 15.9、52.7 和 187.1。它保留了与 3L Gr 传感器相当的拉伸灵敏度，同时将压缩引起的串扰率降低至 3.2%。这些传感器集成到智能手套中，可将手势识别准确度从 88.0% 提高到 98.9%，并实现对机械手和无人机的无线控制。这项工作提出了一种用于可穿戴人机交互的压力串扰抑制、柔性应变传感器的界面堆叠策略。</w:t>
      </w:r>
    </w:p>
    <w:p>
      <w:pPr>
        <w:spacing w:before="0" w:after="200" w:lineRule="auto" w:line="276"/>
      </w:pPr>
      <w:r>
        <w:rPr>
          <w:b/>
        </w:rPr>
        <w:t xml:space="preserve">Abstract (EN): </w:t>
      </w:r>
      <w:r>
        <w:t>Reliable resistive strain sensors require high tensile sensitivity with minimal interference from normal pressure, which remains a challenge for disordered conductive networks. Here, we report sequentially stacked graphene/carbon black (Gr/CB) Langmuir–Blodgett (LB)-like heterostructures for pressure-crosstalk-suppressed strain sensing. The films are prepared by spray-induced air-water interfacial assembly and cyclic water-assisted transfer, enabling Gr/CB deposition on elastomeric substrates. Gr layers form crack-sensitive pathways for tensile strain transduction, while CB interlayers act as distributed conductive bridges. During stretching, CB refines crack evolution and preserves percolative transport over a broad strain range. Under normal compression, CB-rich interfaces likely create additional conductive contacts, mitigating resistance fluctuations. The optimized 3L Gr/CB sensor operates up to 150% strain, with gauge factors of 15.9, 52.7, and 187.1. It retains tensile sensitivity comparable to the 3L Gr sensor while reducing the compression-induced crosstalk ratio to 3.2%. Integrated into a smart glove, the sensors improve gesture recognition accuracy from 88.0% to 98.9% and enable wireless control of a robotic hand and unmanned aerial vehicle. This work presents an interfacial stacking strategy for pressure-crosstalk-suppressed, flexible strain sensors for wearable human-machine interaction.</w:t>
      </w:r>
    </w:p>
    <w:p>
      <w:pPr>
        <w:spacing w:before="120" w:after="120"/>
      </w:pPr>
      <w:r>
        <w:rPr>
          <w:sz w:val="18"/>
        </w:rPr>
        <w:t>——————————————————————————————————————————————————————————————————————</w:t>
      </w:r>
    </w:p>
    <w:p>
      <w:pPr>
        <w:spacing w:before="160" w:after="40" w:line="240" w:lineRule="auto"/>
      </w:pPr>
      <w:r>
        <w:rPr>
          <w:b/>
        </w:rPr>
        <w:t xml:space="preserve">[235] </w:t>
      </w:r>
      <w:hyperlink r:id="rId1023">
        <w:r>
          <w:rPr>
            <w:color w:val="1155CC"/>
            <w:u w:val="single"/>
          </w:rPr>
          <w:t>在科学工作申请中如何以及何时使用人工智能</w:t>
        </w:r>
      </w:hyperlink>
    </w:p>
    <w:p>
      <w:pPr>
        <w:spacing w:before="0" w:after="80"/>
      </w:pPr>
      <w:r>
        <w:rPr>
          <w:i/>
          <w:sz w:val="20"/>
        </w:rPr>
        <w:t>EN: How and when to use artificial intelligence in your science job application</w:t>
      </w:r>
    </w:p>
    <w:p>
      <w:pPr>
        <w:spacing w:before="0" w:after="120"/>
      </w:pPr>
      <w:r>
        <w:rPr>
          <w:b/>
        </w:rPr>
        <w:t xml:space="preserve">Source: </w:t>
      </w:r>
      <w:r>
        <w:t>Nature</w:t>
      </w:r>
      <w:r>
        <w:t xml:space="preserve">    </w:t>
      </w:r>
      <w:r>
        <w:rPr>
          <w:b/>
        </w:rPr>
        <w:t xml:space="preserve">Pub date: </w:t>
      </w:r>
      <w:r>
        <w:t>2026-08-10 00:00:00+00:00</w:t>
      </w:r>
      <w:r>
        <w:t xml:space="preserve">    </w:t>
      </w:r>
      <w:r>
        <w:rPr>
          <w:b/>
        </w:rPr>
        <w:t xml:space="preserve">DOI: </w:t>
      </w:r>
      <w:hyperlink r:id="rId1024">
        <w:r>
          <w:rPr>
            <w:color w:val="1155CC"/>
            <w:u w:val="single"/>
          </w:rPr>
          <w:t>10.1038/d41586-026-02435-2</w:t>
        </w:r>
      </w:hyperlink>
    </w:p>
    <w:p>
      <w:pPr>
        <w:spacing w:before="0" w:after="120"/>
      </w:pPr>
      <w:r>
        <w:rPr>
          <w:b/>
        </w:rPr>
        <w:t xml:space="preserve">Notes: </w:t>
      </w:r>
      <w:r>
        <w:t>abstract_source=nature_html</w:t>
      </w:r>
    </w:p>
    <w:p>
      <w:pPr>
        <w:spacing w:before="0" w:after="80" w:lineRule="auto" w:line="276"/>
      </w:pPr>
      <w:r>
        <w:rPr>
          <w:b/>
        </w:rPr>
        <w:t xml:space="preserve">摘要（ZH）: </w:t>
      </w:r>
      <w:r>
        <w:t>网络研讨会为招聘经理和求职者提供建议。</w:t>
      </w:r>
    </w:p>
    <w:p>
      <w:pPr>
        <w:spacing w:before="0" w:after="200" w:lineRule="auto" w:line="276"/>
      </w:pPr>
      <w:r>
        <w:rPr>
          <w:b/>
        </w:rPr>
        <w:t xml:space="preserve">Abstract (EN): </w:t>
      </w:r>
      <w:r>
        <w:t>A webinar offers advice to hiring managers and jobseekers.</w:t>
      </w:r>
    </w:p>
    <w:p>
      <w:pPr>
        <w:spacing w:before="120" w:after="120"/>
      </w:pPr>
      <w:r>
        <w:rPr>
          <w:sz w:val="18"/>
        </w:rPr>
        <w:t>——————————————————————————————————————————————————————————————————————</w:t>
      </w:r>
    </w:p>
    <w:p>
      <w:pPr>
        <w:spacing w:before="160" w:after="40" w:line="240" w:lineRule="auto"/>
      </w:pPr>
      <w:r>
        <w:rPr>
          <w:b/>
        </w:rPr>
        <w:t xml:space="preserve">[236] </w:t>
      </w:r>
      <w:hyperlink r:id="rId1025">
        <w:r>
          <w:rPr>
            <w:color w:val="1155CC"/>
            <w:u w:val="single"/>
          </w:rPr>
          <w:t>近红外激活肠溶前药微粒用于结直肠癌生物成像引导化疗</w:t>
        </w:r>
      </w:hyperlink>
    </w:p>
    <w:p>
      <w:pPr>
        <w:spacing w:before="0" w:after="80"/>
      </w:pPr>
      <w:r>
        <w:rPr>
          <w:i/>
          <w:sz w:val="20"/>
        </w:rPr>
        <w:t>EN: NIR-Activated Enteric Prodrug Microparticles for Bioimaging-Guided Chemotherapy of Colorectal Cancer</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26">
        <w:r>
          <w:rPr>
            <w:color w:val="1155CC"/>
            <w:u w:val="single"/>
          </w:rPr>
          <w:t>10.1021/acsami.6c14869</w:t>
        </w:r>
      </w:hyperlink>
    </w:p>
    <w:p>
      <w:pPr>
        <w:spacing w:before="0" w:after="120"/>
      </w:pPr>
      <w:r>
        <w:rPr>
          <w:b/>
        </w:rPr>
        <w:t xml:space="preserve">Notes: </w:t>
      </w:r>
      <w:r>
        <w:t>abstract_source=crossref</w:t>
      </w:r>
    </w:p>
    <w:p>
      <w:pPr>
        <w:spacing w:before="0" w:after="80" w:lineRule="auto" w:line="276"/>
      </w:pPr>
      <w:r>
        <w:rPr>
          <w:b/>
        </w:rPr>
        <w:t xml:space="preserve">摘要（ZH）: </w:t>
      </w:r>
      <w:r>
        <w:t>摘要结直肠癌（CRC）仍然是全球癌症死亡的主要原因。 5-氟尿嘧啶（5-FU）是广泛用于结直肠癌治疗的一线化疗药物，但其全身给药常常因生物分布不受控制而导致严重毒性。在此，我们提出了近红外（NIR）激活的肠溶前药微粒 HPMCP@L-UCNPs-ONB-5-FU，它能够在结肠中时空控制释放 5-FU。可光裂解的前药邻硝基苄基-5-氟尿嘧啶 (ONB-5-FU) 与大的上转换纳米颗粒 (L-UCNP) 缀合，并封装在肠溶聚合物羟丙基甲基纤维素邻苯二甲酸酯 (HPMCP) 内以抵抗胃降解。口服给药后，低功率 980 nm 激发产生用于生物成像的 800 nm 发射，而高功率激发产生强烈的 365 nm 发射，裂解 ONB 连接子并局部释放活性 5-FU。体外研究证实了光门控和功率依赖性药物释放，而细胞和原位 CRC 研究证明了有效的肿瘤抑制作用，且全身毒性最小。总的来说，这项工作为结直肠癌的口服化疗建立了一种精确且生物相容的近红外控制的前药激活范例。</w:t>
      </w:r>
    </w:p>
    <w:p>
      <w:pPr>
        <w:spacing w:before="0" w:after="200" w:lineRule="auto" w:line="276"/>
      </w:pPr>
      <w:r>
        <w:rPr>
          <w:b/>
        </w:rPr>
        <w:t xml:space="preserve">Abstract (EN): </w:t>
      </w:r>
      <w:r>
        <w:t>Colorectal cancer (CRC) remains a leading cause of cancer mortality worldwide. 5-Fluorouracil (5-FU) is a first-line chemotherapeutic widely used in CRC treatment, but its systemic administration often causes severe toxicity due to uncontrolled biodistribution. Herein, we present near-infrared (NIR)-activated enteric prodrug microparticles, HPMCP@L-UCNPs-ONB-5-FU, which enable spatiotemporally controlled release of 5-FU in the colon. The photocleavable prodrug o-nitrobenzyl-5-fluorouracil (ONB-5-FU) is conjugated to large upconversion nanoparticles (L-UCNPs) and encapsulated within the enteric polymer hydroxypropyl methylcellulose phthalate (HPMCP) to resist gastric degradation. After oral administration, low-power 980 nm excitation yields 800 nm emission for bioimaging, whereas high-power excitation generates strong 365 nm emission that cleaves the ONB linker and locally releases active 5-FU. In vitro studies confirmed light-gated and power-dependent drug release, while cellular and orthotopic CRC studies demonstrated potent tumor inhibition with minimal systemic toxicity. Overall, this work establishes a precise and biocompatible NIR-controlled prodrug activation paradigm for oral chemotherapy of CRC.</w:t>
      </w:r>
    </w:p>
    <w:p>
      <w:pPr>
        <w:spacing w:before="120" w:after="120"/>
      </w:pPr>
      <w:r>
        <w:rPr>
          <w:sz w:val="18"/>
        </w:rPr>
        <w:t>——————————————————————————————————————————————————————————————————————</w:t>
      </w:r>
    </w:p>
    <w:p>
      <w:pPr>
        <w:spacing w:before="160" w:after="40" w:line="240" w:lineRule="auto"/>
      </w:pPr>
      <w:r>
        <w:rPr>
          <w:b/>
        </w:rPr>
        <w:t xml:space="preserve">[237] </w:t>
      </w:r>
      <w:hyperlink r:id="rId1027">
        <w:r>
          <w:rPr>
            <w:color w:val="1155CC"/>
            <w:u w:val="single"/>
          </w:rPr>
          <w:t>多铜氧化酶蛋白复合物对锰的生物矿化</w:t>
        </w:r>
      </w:hyperlink>
    </w:p>
    <w:p>
      <w:pPr>
        <w:spacing w:before="0" w:after="80"/>
      </w:pPr>
      <w:r>
        <w:rPr>
          <w:i/>
          <w:sz w:val="20"/>
        </w:rPr>
        <w:t>EN: Manganese Biomineralization by a Multicopper Oxidase Protein Complex</w:t>
      </w:r>
    </w:p>
    <w:p>
      <w:pPr>
        <w:spacing w:before="0" w:after="120"/>
      </w:pPr>
      <w:r>
        <w:rPr>
          <w:b/>
        </w:rPr>
        <w:t xml:space="preserve">Source: </w:t>
      </w:r>
      <w:r>
        <w:t>Chemical Reviews: Latest Articles (ACS Publications)</w:t>
      </w:r>
      <w:r>
        <w:t xml:space="preserve">    </w:t>
      </w:r>
      <w:r>
        <w:rPr>
          <w:b/>
        </w:rPr>
        <w:t xml:space="preserve">Pub date: </w:t>
      </w:r>
      <w:r>
        <w:t>2026-08-10 00:00:00+00:00</w:t>
      </w:r>
      <w:r>
        <w:t xml:space="preserve">    </w:t>
      </w:r>
      <w:r>
        <w:rPr>
          <w:b/>
        </w:rPr>
        <w:t xml:space="preserve">DOI: </w:t>
      </w:r>
      <w:hyperlink r:id="rId1028">
        <w:r>
          <w:rPr>
            <w:color w:val="1155CC"/>
            <w:u w:val="single"/>
          </w:rPr>
          <w:t>10.1021/acs.chemrev.6c00213</w:t>
        </w:r>
      </w:hyperlink>
    </w:p>
    <w:p>
      <w:pPr>
        <w:spacing w:before="0" w:after="120"/>
      </w:pPr>
      <w:r>
        <w:rPr>
          <w:b/>
        </w:rPr>
        <w:t xml:space="preserve">Notes: </w:t>
      </w:r>
      <w:r>
        <w:t>abstract_source=crossref</w:t>
      </w:r>
    </w:p>
    <w:p>
      <w:pPr>
        <w:spacing w:before="0" w:after="80" w:lineRule="auto" w:line="276"/>
      </w:pPr>
      <w:r>
        <w:rPr>
          <w:b/>
        </w:rPr>
        <w:t xml:space="preserve">摘要（ZH）: </w:t>
      </w:r>
      <w:r>
        <w:t>摘要 在含氧环境中，锰的稳定形式是一种不溶性MnO2 矿物。然而，可溶性Mn(II)的非催化氧化非常缓慢。因此，这种氧化是全球锰循环的关键部分，在很大程度上受到生物控制，由细菌和真菌进行。许多芽孢杆菌属物种的休眠孢子利用多铜氧化酶 (MCO)，直接利用氧气氧化 Mn(II) 并形成 MnO2 矿物质。这提出了一个生化难题，因为 MCO 通过从其底物转移单电子来发挥作用，而 Mn(II) 向 MnO2 的转化是一种 2 电子氧化，涉及单电子步骤，由于高还原电位而具有高动力学势垒。这是如何实现的？第一个细菌锰氧化MCO复合物Mnx的表达和纯化开创了无机生物化学领域的新篇章：蛋白质控制的锰生物矿化。这篇综述记录了芽孢杆菌基因研究的历史。这导致了负责锰生物矿化的酶复合物 Mnx 的产生。随后的生化和冷冻电镜结构研究表明，Mnx 如何通过利用所有三种氧化态（II、III 和 IV）双核 Mn 配合物中氢桥和氧桥的稳定作用，解决了 Mn 氧化的高动力学势垒问题。我们对锰生物矿化研究的未来方向进行了展望，并将其与地球化学和地球微生物学领域更广泛的探索联系起来。</w:t>
      </w:r>
    </w:p>
    <w:p>
      <w:pPr>
        <w:spacing w:before="0" w:after="200" w:lineRule="auto" w:line="276"/>
      </w:pPr>
      <w:r>
        <w:rPr>
          <w:b/>
        </w:rPr>
        <w:t xml:space="preserve">Abstract (EN): </w:t>
      </w:r>
      <w:r>
        <w:t>In oxic environments, the stable form of manganese is an insoluble MnO2 mineral. However, the uncatalyzed oxidation of soluble Mn(II) is very slow. Consequently, this oxidation, a key part of the global manganese cycle, is largely under biological control, being carried out by bacteria and fungi. Dormant spores of many Bacillus species employ multicopper oxidase enzymes (MCOs) that use oxygen directly to oxidize Mn(II) and form MnO2 minerals. This presents a biochemical conundrum, because MCOs work through single electron transfers from their substrates, whereas conversion of Mn(II) to MnO2 is a 2-electron oxidation, involving one-electron steps with high kinetic barriers due to high reduction potentials. How is this accomplished? Expression and purification of the first bacterial manganese oxidizing MCO complex Mnx created a new chapter in the field of inorganic biochemistry: protein-controlled manganese biomineralization. This review documents the history of genetic studies in Bacillus sp. that led to production of the enzymatic complex Mnx responsible for Mn biomineralization. Biochemical and cryoelectron microscopy structural studies then showed how Mnx has solved the problem of high kinetic barriers to Mn oxidation by exploiting the stabilizing effect of hydroxo- and oxo-bridging in binuclear Mn complexes in all three oxidation states, II, III, and IV. We offer an outlook for future directions of manganese biomineralization research, connecting it to broader quests in the fields of geochemistry and geomicrobiology.</w:t>
      </w:r>
    </w:p>
    <w:p>
      <w:pPr>
        <w:spacing w:before="120" w:after="120"/>
      </w:pPr>
      <w:r>
        <w:rPr>
          <w:sz w:val="18"/>
        </w:rPr>
        <w:t>——————————————————————————————————————————————————————————————————————</w:t>
      </w:r>
    </w:p>
    <w:p>
      <w:pPr>
        <w:spacing w:before="160" w:after="40" w:line="240" w:lineRule="auto"/>
      </w:pPr>
      <w:r>
        <w:rPr>
          <w:b/>
        </w:rPr>
        <w:t xml:space="preserve">[238] </w:t>
      </w:r>
      <w:hyperlink r:id="rId1029">
        <w:r>
          <w:rPr>
            <w:color w:val="1155CC"/>
            <w:u w:val="single"/>
          </w:rPr>
          <w:t>聚合物嵌入纳米棒薄膜中等离子体彩色图像的激光打印</w:t>
        </w:r>
      </w:hyperlink>
    </w:p>
    <w:p>
      <w:pPr>
        <w:spacing w:before="0" w:after="80"/>
      </w:pPr>
      <w:r>
        <w:rPr>
          <w:i/>
          <w:sz w:val="20"/>
        </w:rPr>
        <w:t>EN: Laser Printing of Plasmonic Color Images in Polymer-Embedded Nanorod Films</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30">
        <w:r>
          <w:rPr>
            <w:color w:val="1155CC"/>
            <w:u w:val="single"/>
          </w:rPr>
          <w:t>10.1021/acsami.6c10403</w:t>
        </w:r>
      </w:hyperlink>
    </w:p>
    <w:p>
      <w:pPr>
        <w:spacing w:before="0" w:after="120"/>
      </w:pPr>
      <w:r>
        <w:rPr>
          <w:b/>
        </w:rPr>
        <w:t xml:space="preserve">Notes: </w:t>
      </w:r>
      <w:r>
        <w:t>abstract_source=crossref</w:t>
      </w:r>
    </w:p>
    <w:p>
      <w:pPr>
        <w:spacing w:before="0" w:after="80" w:lineRule="auto" w:line="276"/>
      </w:pPr>
      <w:r>
        <w:rPr>
          <w:b/>
        </w:rPr>
        <w:t xml:space="preserve">摘要（ZH）: </w:t>
      </w:r>
      <w:r>
        <w:t>摘要 支持表面等离子体激元的纳米级结构已被广泛用于在材料表面创建彩色图像。使用的方法包括纳米粒子的分散、薄膜的去湿、精确控制纳米结构的尺寸和分布的电子束光刻，以及产生半随机分布的纳米粒子的基于激光的技术。虽然已经渲染出一些令人印象深刻的调色板，但它们要么仅在样品表面产生，在制造后无法用激光调整，要么不嵌入聚合物基体中，要么仅限于很少的颜色。在这里，我们报告了嵌入聚乙烯醇薄膜中的金纳米棒的激光打印，用于原位彩色图像生成。通过光热加热激光诱导纳米棒长度的改变导致纳米棒的纵向等离子体峰发生偏移，从而将其吸光度带入可见光谱。紫外可见光谱和透射电子显微镜证实了纳米棒的光热重塑。使用电磁有限元模拟来预测所得的颜色，并且与实验结果非常吻合。这种等离子体激光打印方法可以在柔性聚合物薄膜内生成广泛的调色板和高分辨率图像，从而保护颜色免受环境退化的影响。</w:t>
      </w:r>
    </w:p>
    <w:p>
      <w:pPr>
        <w:spacing w:before="0" w:after="200" w:lineRule="auto" w:line="276"/>
      </w:pPr>
      <w:r>
        <w:rPr>
          <w:b/>
        </w:rPr>
        <w:t xml:space="preserve">Abstract (EN): </w:t>
      </w:r>
      <w:r>
        <w:t>Nanoscale structures that support surface plasmons have been used extensively to create colorful images at the surface of materials. Approaches used include dispersion of nanoparticles, the dewetting of thin films, e-beam lithography to precisely control the size and distribution of nanostructures, and laser-based techniques that produce semi-random distributions of nanoparticles. While some impressive palettes have been rendered, they are either only produced at the sample surface, cannot be tuned with a laser after fabrication, are not embedded in a polymer matrix, or are limited to very few colors. Here, we report the laser printing of gold nanorods embedded in polyvinyl alcohol films for in situ color image generation. Laser-induced modification of the nanorod length via photothermal heating results in a shift in the longitudinal plasmonic peak of the rods, bringing their absorbance into the visible spectrum. Photothermal reshaping of the nanorods is confirmed by UV–vis spectroscopy and transmission electron microscopy. Electromagnetic finite element simulations are used to predict the resulting colors and are in good agreement with the experimental results. This plasmonic laser-printing approach allows the generation of a broad color palette and high-resolution images within a flexible polymer film, protecting the colors from environmental degradation.</w:t>
      </w:r>
    </w:p>
    <w:p>
      <w:pPr>
        <w:spacing w:before="120" w:after="120"/>
      </w:pPr>
      <w:r>
        <w:rPr>
          <w:sz w:val="18"/>
        </w:rPr>
        <w:t>——————————————————————————————————————————————————————————————————————</w:t>
      </w:r>
    </w:p>
    <w:p>
      <w:pPr>
        <w:spacing w:before="160" w:after="40" w:line="240" w:lineRule="auto"/>
      </w:pPr>
      <w:r>
        <w:rPr>
          <w:b/>
        </w:rPr>
        <w:t xml:space="preserve">[239] </w:t>
      </w:r>
      <w:hyperlink r:id="rId1031">
        <w:r>
          <w:rPr>
            <w:color w:val="1155CC"/>
            <w:u w:val="single"/>
          </w:rPr>
          <w:t>通过原位还原碳量子点-纳米管分子杂化物进行模块化电化学传感</w:t>
        </w:r>
      </w:hyperlink>
    </w:p>
    <w:p>
      <w:pPr>
        <w:spacing w:before="0" w:after="80"/>
      </w:pPr>
      <w:r>
        <w:rPr>
          <w:i/>
          <w:sz w:val="20"/>
        </w:rPr>
        <w:t>EN: Modular Electrochemical Sensing via In Situ Reduced Carbon Quantum Dot–Nanotube Molecular Hybrids</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32">
        <w:r>
          <w:rPr>
            <w:color w:val="1155CC"/>
            <w:u w:val="single"/>
          </w:rPr>
          <w:t>10.1021/acsami.6c11584</w:t>
        </w:r>
      </w:hyperlink>
    </w:p>
    <w:p>
      <w:pPr>
        <w:spacing w:before="0" w:after="120"/>
      </w:pPr>
      <w:r>
        <w:rPr>
          <w:b/>
        </w:rPr>
        <w:t xml:space="preserve">Notes: </w:t>
      </w:r>
      <w:r>
        <w:t>abstract_source=crossref</w:t>
      </w:r>
    </w:p>
    <w:p>
      <w:pPr>
        <w:spacing w:before="0" w:after="80" w:lineRule="auto" w:line="276"/>
      </w:pPr>
      <w:r>
        <w:rPr>
          <w:b/>
        </w:rPr>
        <w:t xml:space="preserve">摘要（ZH）: </w:t>
      </w:r>
      <w:r>
        <w:t>摘要电化学传感是一种有前途的非侵入性即时健康监测途径，但实际的多重检测仍然受到电极材料的限制，电极材料无法同时提供高电导率、高密度的电化学活性位点和用于目标分析物特异性的模块化表面化学。在这里，我们引入了一种混合纳米碳结构，通过将富氧碳量子点（CQD）作为化学活性“皮肤”接枝到导电多壁碳纳米管（CNT）支架（CQD@CNT）上，然后应用原位电化学还原来加强界面电子耦合，同时保留促进分析物吸附和催化的官能团，从而将电荷传输与表面反应性解耦。通过系统地调整还原电位，我们确定了一种最佳方案，可以最大限度地提高 CQD-CNT 界面耦合和电荷传输，同时避免过度还原而损害传感器活性。光谱和电化学表征揭示了杂化材料内的部分脱氧和共轭恢复、电化学活性表面积的增加以及原位还原后电荷转移电阻的显着降低。使用差分脉冲伏安法，还原的分子杂化物表现出对尿酸的增强的敏感性，并支持在单次伏安扫描中对尿酸、多巴胺和抗坏血酸进行多重检测。通过将 18-crown-6 共价接枝到 CQD 上，进一步证明了传感器的模块化，从而能够通过以下方式检测 Pb2+ 和 Cd2+：</w:t>
      </w:r>
    </w:p>
    <w:p>
      <w:pPr>
        <w:spacing w:before="0" w:after="200" w:lineRule="auto" w:line="276"/>
      </w:pPr>
      <w:r>
        <w:rPr>
          <w:b/>
        </w:rPr>
        <w:t xml:space="preserve">Abstract (EN): </w:t>
      </w:r>
      <w:r>
        <w:t>Electrochemical sensing is a promising route to non-invasive, point-of-care health monitoring, yet practical multiplexing remains limited by electrode materials that cannot simultaneously deliver high conductivity, high densities of electrochemically active sites, and modular surface chemistry for targeted analyte specificity. Here, we introduce a hybrid nanocarbon architecture that decouples charge transport from surface reactivity by grafting oxygen-rich carbon quantum dots (CQDs) as a chemically active “skin” onto a conductive multiwalled carbon nanotube (CNT) scaffold (CQD@CNT), then applying in situ electrochemical reduction to strengthen interfacial electronic coupling while preserving functional groups that promote analyte adsorption and catalysis. By systematically tuning the reduction potential, we identify an optimal regime that maximizes CQD–CNT interfacial coupling and charge transport while avoiding over-reduction that compromises sensor activity. Spectroscopic and electrochemical characterization reveals partial deoxygenation and restoration of conjugation within the hybrid material, increased electrochemically active surface area, and a pronounced decrease in charge-transfer resistance after in situ reduction. Using differential pulse voltammetry, the reduced molecular hybrids exhibit enhanced sensitivity toward uric acid and support multiplexed detection of uric acid, dopamine, and ascorbic acid within a single voltammetric scan. Sensor modularity is further demonstrated by covalently grafting 18-crown-6 to CQDs to enable Pb2+ and Cd2+ detection via anodic stripping voltammetry while preserving the same conductive CNT scaffold. This result illustrates how molecular recognition motifs can be integrated into the CQD skin without re-engineering the electron-transport network. We further validate the CQD@CNT platform on screen-printed carbon electrodes (SPCEs), demonstrating its compatibility with low-cost, disposable electrode formats relevant to deployable sensing. Together, these results establish in situ electrochemical reduction as a scalable, post-fabrication strategy to overcome the conductivity–activity trade-off in electrochemical sensing and provide a generalizable CQD@CNT platform for multiplexed biosensing and environmental monitoring across multiple electrode platforms.</w:t>
      </w:r>
    </w:p>
    <w:p>
      <w:pPr>
        <w:spacing w:before="120" w:after="120"/>
      </w:pPr>
      <w:r>
        <w:rPr>
          <w:sz w:val="18"/>
        </w:rPr>
        <w:t>——————————————————————————————————————————————————————————————————————</w:t>
      </w:r>
    </w:p>
    <w:p>
      <w:pPr>
        <w:spacing w:before="160" w:after="40" w:line="240" w:lineRule="auto"/>
      </w:pPr>
      <w:r>
        <w:rPr>
          <w:b/>
        </w:rPr>
        <w:t xml:space="preserve">[240] </w:t>
      </w:r>
      <w:hyperlink r:id="rId1033">
        <w:r>
          <w:rPr>
            <w:color w:val="1155CC"/>
            <w:u w:val="single"/>
          </w:rPr>
          <w:t>用于癌症治疗中按需控制药物释放的多功能磁热响应智能水凝胶</w:t>
        </w:r>
      </w:hyperlink>
    </w:p>
    <w:p>
      <w:pPr>
        <w:spacing w:before="0" w:after="80"/>
      </w:pPr>
      <w:r>
        <w:rPr>
          <w:i/>
          <w:sz w:val="20"/>
        </w:rPr>
        <w:t>EN: Multifunctional Magnetothermo-Responsive Smart Hydrogel for On-Demand Controlled Drug Release in Cancer Therapy</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34">
        <w:r>
          <w:rPr>
            <w:color w:val="1155CC"/>
            <w:u w:val="single"/>
          </w:rPr>
          <w:t>10.1021/acsami.6c10083</w:t>
        </w:r>
      </w:hyperlink>
    </w:p>
    <w:p>
      <w:pPr>
        <w:spacing w:before="0" w:after="120"/>
      </w:pPr>
      <w:r>
        <w:rPr>
          <w:b/>
        </w:rPr>
        <w:t xml:space="preserve">Notes: </w:t>
      </w:r>
      <w:r>
        <w:t>abstract_source=crossref</w:t>
      </w:r>
    </w:p>
    <w:p>
      <w:pPr>
        <w:spacing w:before="0" w:after="80" w:lineRule="auto" w:line="276"/>
      </w:pPr>
      <w:r>
        <w:rPr>
          <w:b/>
        </w:rPr>
        <w:t xml:space="preserve">摘要（ZH）: </w:t>
      </w:r>
      <w:r>
        <w:t>摘要 靶向和按需给药技术引起了个性化癌症治疗的极大兴趣。在这项研究中，我们开发了一种可紫外线交联和热响应的甲基丙烯酸明胶（GelMa）-聚（N-异丙基丙烯酰胺）（PNIPAM）（G/P）混合水凝胶，与叶酸功能化的超顺磁性氧化铁纳米颗粒（SPION）集成。差示扫描量热法 (DSC) 和交变磁场 (AMF) 评估证实，引入 GelMa 将下临界溶液温度 (LCST) 调节至约 32 °C，同时实现高效的磁热响应。循环压缩测试显示出优异的机械性能。 2.5G/P 水凝胶在 78% 应变下实现了 0.06 MPa 的压缩强度，优于纯 GelMa (0.023 MPa) 和 PNIPAM (0.012 MPa)，在 25 和 37 °C 下具有最高的弹性模量。使用 L929 成纤维细胞的体外生物相容性测定表明其具有出色的细胞相容性，7 天内存活率 &gt;70%。此外，该水凝胶表现出优异的血液相容性，溶血率低于2%，符合ISO 10993-4标准。当药物负载和模拟 AMF 热刺激相结合时，在人肺腺癌 (NCI-H1975) 和成纤维样骨肉瘤 (MG-63) 细胞系中观察到细胞活力的协同降低。在 41°C 的高温触发下，水凝胶表现出由网络收缩驱动的高度受控的脉冲式“开/关”药物释放曲线，从而实现了最大累积释放量。</w:t>
      </w:r>
    </w:p>
    <w:p>
      <w:pPr>
        <w:spacing w:before="0" w:after="200" w:lineRule="auto" w:line="276"/>
      </w:pPr>
      <w:r>
        <w:rPr>
          <w:b/>
        </w:rPr>
        <w:t xml:space="preserve">Abstract (EN): </w:t>
      </w:r>
      <w:r>
        <w:t>Targeted and on-demand drug delivery technologies have attracted considerable interest for personalized cancer therapies. In this study, we developed a UV-crosslinkable and thermo-responsive gelatin methacrylate (GelMa)—poly(N-isopropylacrylamide) (PNIPAM) (G/P) hybrid hydrogel, integrated with folic acid-functionalized superparamagnetic iron oxide nanoparticles (SPIONs). Differential scanning calorimetry (DSC) and alternating magnetic field (AMF) evaluations confirmed that introducing GelMa modulated the lower critical solution temperature (LCST) to approximately 32 °C while enabling efficient magnetothermal response. Cyclic compression tests demonstrated superior mechanical properties. The 2.5G/P hydrogel achieved a compressive strength of 0.06 MPa at 78% strain, outperforming pure GelMa (0.023 MPa) and PNIPAM (0.012 MPa), with the highest modulus of elasticity at both 25 and 37 °C. In vitro biocompatibility assays using L929 fibroblasts indicated excellent cytocompatibility with &amp;gt;70% viability over 7 days. Furthermore, the hydrogel demonstrated excellent blood compatibility with a hemolysis ratio below 2%, complying with ISO 10993-4 standards. Synergistic reduction in cell viability was observed in human lung adenocarcinoma (NCI-H1975) and fibroblast-like osteosarcoma (MG-63) cell lines when combining drug loading and simulated AMF thermal stimulation. Triggered by hyperthermia at 41 °C, the hydrogel demonstrated a highly controlled, pulsatile ‘ON/OFF’ drug release profile of 5-fluorouracil (5-FU) driven by network shrinkage, achieving a maximum cumulative release of 72.6% over 28 days with a well-defined biphasic kinetic pattern. These results show that this dual-stimuli responsive hydrogel is a mechanically robust, highly efficient platform for controlled cancer therapy.</w:t>
      </w:r>
    </w:p>
    <w:p>
      <w:pPr>
        <w:spacing w:before="120" w:after="120"/>
      </w:pPr>
      <w:r>
        <w:rPr>
          <w:sz w:val="18"/>
        </w:rPr>
        <w:t>——————————————————————————————————————————————————————————————————————</w:t>
      </w:r>
    </w:p>
    <w:p>
      <w:pPr>
        <w:spacing w:before="160" w:after="40" w:line="240" w:lineRule="auto"/>
      </w:pPr>
      <w:r>
        <w:rPr>
          <w:b/>
        </w:rPr>
        <w:t xml:space="preserve">[241] </w:t>
      </w:r>
      <w:hyperlink r:id="rId1035">
        <w:r>
          <w:rPr>
            <w:color w:val="1155CC"/>
            <w:u w:val="single"/>
          </w:rPr>
          <w:t>离子液体介导的硫活化和真皮输送治疗牛皮癣</w:t>
        </w:r>
      </w:hyperlink>
    </w:p>
    <w:p>
      <w:pPr>
        <w:spacing w:before="0" w:after="80"/>
      </w:pPr>
      <w:r>
        <w:rPr>
          <w:i/>
          <w:sz w:val="20"/>
        </w:rPr>
        <w:t>EN: Ionic Liquid-Mediated Sulfur Activation and Dermal Delivery for Psoriasis Treatment</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36">
        <w:r>
          <w:rPr>
            <w:color w:val="1155CC"/>
            <w:u w:val="single"/>
          </w:rPr>
          <w:t>10.1021/acsami.6c07504</w:t>
        </w:r>
      </w:hyperlink>
    </w:p>
    <w:p>
      <w:pPr>
        <w:spacing w:before="0" w:after="120"/>
      </w:pPr>
      <w:r>
        <w:rPr>
          <w:b/>
        </w:rPr>
        <w:t xml:space="preserve">Notes: </w:t>
      </w:r>
      <w:r>
        <w:t>abstract_source=crossref</w:t>
      </w:r>
    </w:p>
    <w:p>
      <w:pPr>
        <w:spacing w:before="0" w:after="80" w:lineRule="auto" w:line="276"/>
      </w:pPr>
      <w:r>
        <w:rPr>
          <w:b/>
        </w:rPr>
        <w:t xml:space="preserve">摘要（ZH）: </w:t>
      </w:r>
      <w:r>
        <w:t>摘要 活性硫物质，包括超硫化物和硫化氢（H2S），因其抗炎和氧化还原调节特性而引起人们的关注。因此，这些硫物质具有治疗炎症和氧化应激相关疾病的潜力，例如牛皮癣。然而，由于不稳定、快速扩散以及难以在发炎部位维持有效的局部浓度，它们的临床应用仍然受到限制。在这项研究中，我们开发了一种硫醇功能化离子液体作为元素硫 S8 的氧化还原活性递送平台，以实现银屑病的局部硫基治疗。虽然 S8 不溶于水，但硫醇官能化离子液体以 15 mg/mL 溶解了 S8。拉曼光谱和亚甲蓝测定表明 S8 部分转化为氧化还原活性硫物质。该配方促进细胞内硫物质的吸收，并减少过氧化氢诱导的角质形成细胞中 96.7% 的氧化应激。此外，含硫离子液体还能清除发炎巨噬细胞释放的一氧化氮，其清除效率大约是不含 S8 的离子液体的两倍。使用弗朗兹扩散池，主要在表皮内检测到硫物质，且经皮渗透最小，从而表明局部保留有效。在咪喹莫特诱导的银屑病皮炎模型中，局部应用含硫离子液体可抑制表皮增生从 74.8 μm 至 32.8 μm，并减少趋化因子表达。总的来说，这些发现</w:t>
      </w:r>
    </w:p>
    <w:p>
      <w:pPr>
        <w:spacing w:before="0" w:after="200" w:lineRule="auto" w:line="276"/>
      </w:pPr>
      <w:r>
        <w:rPr>
          <w:b/>
        </w:rPr>
        <w:t xml:space="preserve">Abstract (EN): </w:t>
      </w:r>
      <w:r>
        <w:t>Reactive sulfur species, including supersulfides and hydrogen sulfide (H2S), have attracted attention for their anti-inflammatory and redox-modulating properties. Therefore, these sulfur species have the potential to treat inflammatory and oxidative stress-related diseases, such as psoriasis. However, their clinical application remains limited owing to instability, rapid diffusion, and difficulty in maintaining effective local concentrations at inflamed sites. In this study, we developed a thiol-functionalized ionic liquid as a redox-active delivery platform for elemental sulfur S8 to enable localized sulfur-based therapy for psoriasis. While S8 was insoluble in water, the thiol-functionalized ionic liquid solubilized S8 at 15 mg/mL. Raman spectroscopy and methylene blue assays indicated partial conversion of S8 into redox-active sulfur species. The formulation facilitated intracellular uptake of sulfur species, and it reduced 96.7% of oxidative stress in keratinocytes induced by hydrogen peroxide. Furthermore, the sulfur-containing ionic liquid also scavenged nitric oxide released from inflamed macrophages about twice as effectively as the ionic liquid without S8. Using Franz diffusion cells, sulfur species were predominantly detected within the epidermis with minimal transdermal permeation, thereby indicating effective local retention. In an imiquimod-induced psoriasiform dermatitis model, topical application of the sulfur-containing ionic liquid suppressed epidermal hyperplasia from 74.8 to 32.8 μm and reduced chemokine expression. Collectively, these findings demonstrate that a thiol-functionalized ionic liquid can function not only as a solvent but also as a reactive medium for generating and delivering redox-active sulfur species. This strategy is thought to provide a promising platform for localized redox modulation in inflammatory skin diseases, including psoriasis.</w:t>
      </w:r>
    </w:p>
    <w:p>
      <w:pPr>
        <w:spacing w:before="120" w:after="120"/>
      </w:pPr>
      <w:r>
        <w:rPr>
          <w:sz w:val="18"/>
        </w:rPr>
        <w:t>——————————————————————————————————————————————————————————————————————</w:t>
      </w:r>
    </w:p>
    <w:p>
      <w:pPr>
        <w:spacing w:before="160" w:after="40" w:line="240" w:lineRule="auto"/>
      </w:pPr>
      <w:r>
        <w:rPr>
          <w:b/>
        </w:rPr>
        <w:t xml:space="preserve">[242] </w:t>
      </w:r>
      <w:hyperlink r:id="rId1037">
        <w:r>
          <w:rPr>
            <w:color w:val="1155CC"/>
            <w:u w:val="single"/>
          </w:rPr>
          <w:t>用于伪装生物芳香族界面的光活性木质素衍生纳米层</w:t>
        </w:r>
      </w:hyperlink>
    </w:p>
    <w:p>
      <w:pPr>
        <w:spacing w:before="0" w:after="80"/>
      </w:pPr>
      <w:r>
        <w:rPr>
          <w:i/>
          <w:sz w:val="20"/>
        </w:rPr>
        <w:t>EN: Photoactive Lignin-Derived Nanolayers for Camouflaged Bioaromatic Interfaces</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38">
        <w:r>
          <w:rPr>
            <w:color w:val="1155CC"/>
            <w:u w:val="single"/>
          </w:rPr>
          <w:t>10.1021/acsami.6c08623</w:t>
        </w:r>
      </w:hyperlink>
    </w:p>
    <w:p>
      <w:pPr>
        <w:spacing w:before="0" w:after="120"/>
      </w:pPr>
      <w:r>
        <w:rPr>
          <w:b/>
        </w:rPr>
        <w:t xml:space="preserve">Notes: </w:t>
      </w:r>
      <w:r>
        <w:t>abstract_source=crossref</w:t>
      </w:r>
    </w:p>
    <w:p>
      <w:pPr>
        <w:spacing w:before="0" w:after="80" w:lineRule="auto" w:line="276"/>
      </w:pPr>
      <w:r>
        <w:rPr>
          <w:b/>
        </w:rPr>
        <w:t xml:space="preserve">摘要（ZH）: </w:t>
      </w:r>
      <w:r>
        <w:t>摘要：源自木质素的生物芳香族聚合物在很大程度上局限于散装材料或分散的（纳米）颗粒，限制了它们在纳米尺度上控制界面现象的能力。在这里，我们将木质素建立为可编程光活性生物芳香族纳米层的平台，该纳米层在固体、液体和软质基质上形成可转移的界面。解聚的木质素经过化学功能化，并与甘油衍生的三缩水甘油醚杂交，产生均质的生物树脂，可以直接紫外线固化成共形纳米限制网络。这些涂层形成纳米到微米厚的界面，结合了刚性基材、弹性体和水凝胶的机械鲁棒性、防水性和保形集成。芳香族-脂肪族混合结构可实现刚度和一致性，在变形和水性环境下支持稳定的性能。超薄限制使得固有颜色的木质素网络在环境光下在视觉上难以察觉，同时保留其界面功能。该生物芳香族网络无需外部染料即可表现出内在荧光，从而实现波长依赖的光学逻辑、不可见的图案和光可寻址的表面功能。这项工作建立了将木质素转化为多功能界面纳米材料的总体策略，为可持续涂料、光子表面和多功能水合界面开辟了新的机会。</w:t>
      </w:r>
    </w:p>
    <w:p>
      <w:pPr>
        <w:spacing w:before="0" w:after="200" w:lineRule="auto" w:line="276"/>
      </w:pPr>
      <w:r>
        <w:rPr>
          <w:b/>
        </w:rPr>
        <w:t xml:space="preserve">Abstract (EN): </w:t>
      </w:r>
      <w:r>
        <w:t>Bioaromatic polymers derived from lignin have largely been confined to bulk materials or dispersed (nano)particles, limiting their ability to control interfacial phenomena at the nanoscale. Here, we establish lignin as a platform for programmable photoactive bioaromatic nanolayers that form transferable interfaces across solid, liquid, and soft matter substrates. Depolymerized lignin is chemically functionalized and hybridized with a glycerol-derived triglycidyl ether to yield homogeneous bioresins that can be directly UV-cured into conformal nanoconfined networks. These coatings form nanometer- to micrometer-thick interfaces combining mechanical robustness, water repellency, and conformal integration across rigid substrates, elastomers, and hydrogels. The hybrid aromatic–aliphatic architecture enables both stiffness and conformability, supporting stable performance under deformation and in aqueous environments. Ultrathin confinement renders the inherently colored lignin network visually imperceptible under ambient light while preserving its interfacial functionality. The bioaromatic network exhibits intrinsic fluorescence without external dyes, enabling wavelength-dependent optical logic, invisible patterning, and light-addressable surface functions. This work establishes a general strategy to transform lignin into multifunctional interfacial nanomaterials, opening new opportunities for sustainable coatings, photonic surfaces, and multifunctional hydrated interfaces.</w:t>
      </w:r>
    </w:p>
    <w:p>
      <w:pPr>
        <w:spacing w:before="120" w:after="120"/>
      </w:pPr>
      <w:r>
        <w:rPr>
          <w:sz w:val="18"/>
        </w:rPr>
        <w:t>——————————————————————————————————————————————————————————————————————</w:t>
      </w:r>
    </w:p>
    <w:p>
      <w:pPr>
        <w:spacing w:before="160" w:after="40" w:line="240" w:lineRule="auto"/>
      </w:pPr>
      <w:r>
        <w:rPr>
          <w:b/>
        </w:rPr>
        <w:t xml:space="preserve">[243] </w:t>
      </w:r>
      <w:hyperlink r:id="rId1039">
        <w:r>
          <w:rPr>
            <w:color w:val="1155CC"/>
            <w:u w:val="single"/>
          </w:rPr>
          <w:t>针对多种金属基材的防腐、超润滑、抗菌一体化多功能复合涂层的通用化制造</w:t>
        </w:r>
      </w:hyperlink>
    </w:p>
    <w:p>
      <w:pPr>
        <w:spacing w:before="0" w:after="80"/>
      </w:pPr>
      <w:r>
        <w:rPr>
          <w:i/>
          <w:sz w:val="20"/>
        </w:rPr>
        <w:t>EN: Universal Manufacturing of Multifunctional Composite Coatings with Integrated Anticorrosion, Super-Lubrication, and Antibacterial Properties for Diverse Metallic Substrates</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40">
        <w:r>
          <w:rPr>
            <w:color w:val="1155CC"/>
            <w:u w:val="single"/>
          </w:rPr>
          <w:t>10.1021/acsami.6c13936</w:t>
        </w:r>
      </w:hyperlink>
    </w:p>
    <w:p>
      <w:pPr>
        <w:spacing w:before="0" w:after="120"/>
      </w:pPr>
      <w:r>
        <w:rPr>
          <w:b/>
        </w:rPr>
        <w:t xml:space="preserve">Notes: </w:t>
      </w:r>
      <w:r>
        <w:t>abstract_source=crossref</w:t>
      </w:r>
    </w:p>
    <w:p>
      <w:pPr>
        <w:spacing w:before="0" w:after="80" w:lineRule="auto" w:line="276"/>
      </w:pPr>
      <w:r>
        <w:rPr>
          <w:b/>
        </w:rPr>
        <w:t xml:space="preserve">摘要（ZH）: </w:t>
      </w:r>
      <w:r>
        <w:t>摘要 生物相容性多功能医用金属材料的制造是一个前沿挑战。同时，表面改性为增强其功能和扩大其应用范围提供了巨大的潜力。尽管如此，对医用金属材料的表面进行定制和改性以赋予其防腐、抗菌和耐磨等多种功能仍然至关重要。在这项研究中，我们设计了一个新概念，并实现了在CoCrMo、Ti6Al4V和316L等多种医用金属基材上成功制造具有分级结构的多功能复合涂层。该复合涂层系统由充当腐蚀屏障的硬质类金刚石碳（DLC）层、包含反应引发剂和抗菌剂的中间硅溶胶层组成，用于承载，以及由聚磺基甜菜碱甲基丙烯酸酯（PSPMA）刷组成的顶部软水化层，用于减少摩擦。制成的复合涂层在多种介质中表现出优异的亲水性、优异的耐腐蚀性以及持久的超润滑性能。这一制造理念已在弯曲的316L人工髋关节股骨头上得到验证。值得注意的是，该复合涂层甚至可以在三种金属基材表面经过50,000次摩擦滑动循环以及可忽略的磨损后仍保持稳定且超低的摩擦系数（COF：∼0.0035）。此外，复合涂层表现出出色的抗菌性</w:t>
      </w:r>
    </w:p>
    <w:p>
      <w:pPr>
        <w:spacing w:before="0" w:after="200" w:lineRule="auto" w:line="276"/>
      </w:pPr>
      <w:r>
        <w:rPr>
          <w:b/>
        </w:rPr>
        <w:t xml:space="preserve">Abstract (EN): </w:t>
      </w:r>
      <w:r>
        <w:t>The manufacture of biocompatible multifunctional medical metal materials constitutes a frontier challenge. Meanwhile, surface modification offers substantial potential for enhancing their functionality and broadening their application scope. Nevertheless, it remains crucial to customize and modify the surface of medical metal materials to endow them with multiple functionalities, including anticorrosive, antibacterial, and wear-resistance properties. In this study, we designed a new concept and realized the successful manufacture of a multifunctional composite coating with a hierarchical structure on diverse medical metal substrates, including CoCrMo, Ti6Al4V, and 316L. This composite coating system consists of a hard diamond-like carbon (DLC) layer serving as a corrosion barrier, an intermediate silica sol layer incorporating both reactive initiators and antibacterial agents for load-bearing, and a top-soft hydration layer composed of polysulfobetaine methacrylate (PSPMA) brush for friction reduction. The as-manufactured composite coating exhibits superior hydrophilicity, excellent corrosion resistance, as well as durable super-lubrication properties in diverse media. This manufacture concept has been validated on curved 316L artificial hip joint femoral head. Notably, the composite coating can even maintain a stable and super-low coefficient of friction (COF: ∼0.0035) on the surface of three kinds of metal substrates after encountering 50,000 friction sliding cycles, as well as ignorable wear. Furthermore, the composite coating demonstrates outstanding antibacterial performance against Gram-positive Staphylococcus aureus (S. aureus). This work presents a novel manufacture strategy for the design and development of multifunctional implantable/interventional metallic materials and devices, holding great promise for biomedical engineering applications.</w:t>
      </w:r>
    </w:p>
    <w:p>
      <w:pPr>
        <w:spacing w:before="120" w:after="120"/>
      </w:pPr>
      <w:r>
        <w:rPr>
          <w:sz w:val="18"/>
        </w:rPr>
        <w:t>——————————————————————————————————————————————————————————————————————</w:t>
      </w:r>
    </w:p>
    <w:p>
      <w:pPr>
        <w:spacing w:before="160" w:after="40" w:line="240" w:lineRule="auto"/>
      </w:pPr>
      <w:r>
        <w:rPr>
          <w:b/>
        </w:rPr>
        <w:t xml:space="preserve">[244] </w:t>
      </w:r>
      <w:hyperlink r:id="rId1041">
        <w:r>
          <w:rPr>
            <w:color w:val="1155CC"/>
            <w:u w:val="single"/>
          </w:rPr>
          <w:t>对“氮杂聚芳烃的表面合成及其溴辅助手性自组装”的修正</w:t>
        </w:r>
      </w:hyperlink>
    </w:p>
    <w:p>
      <w:pPr>
        <w:spacing w:before="0" w:after="80"/>
      </w:pPr>
      <w:r>
        <w:rPr>
          <w:i/>
          <w:sz w:val="20"/>
        </w:rPr>
        <w:t>EN: Correction to “On-Surface Synthesis of Azapolyarenes and Their Bromine-Assisted Chiral Self-Assembly”</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42">
        <w:r>
          <w:rPr>
            <w:color w:val="1155CC"/>
            <w:u w:val="single"/>
          </w:rPr>
          <w:t>10.1021/acsami.6c15461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[245] </w:t>
      </w:r>
      <w:hyperlink r:id="rId1043">
        <w:r>
          <w:rPr>
            <w:color w:val="1155CC"/>
            <w:u w:val="single"/>
          </w:rPr>
          <w:t>用于光电稳定忆阻突触的 PMMA 工程卤化物钙钛矿/银接口</w:t>
        </w:r>
      </w:hyperlink>
    </w:p>
    <w:p>
      <w:pPr>
        <w:spacing w:before="0" w:after="80"/>
      </w:pPr>
      <w:r>
        <w:rPr>
          <w:i/>
          <w:sz w:val="20"/>
        </w:rPr>
        <w:t>EN: PMMA-Engineered Halide Perovskite/Ag Interface for Optoelectronic Stable Memristive Synapse</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44">
        <w:r>
          <w:rPr>
            <w:color w:val="1155CC"/>
            <w:u w:val="single"/>
          </w:rPr>
          <w:t>10.1021/acsami.6c08360</w:t>
        </w:r>
      </w:hyperlink>
    </w:p>
    <w:p>
      <w:pPr>
        <w:spacing w:before="0" w:after="120"/>
      </w:pPr>
      <w:r>
        <w:rPr>
          <w:b/>
        </w:rPr>
        <w:t xml:space="preserve">Notes: </w:t>
      </w:r>
      <w:r>
        <w:t>abstract_source=crossref</w:t>
      </w:r>
    </w:p>
    <w:p>
      <w:pPr>
        <w:spacing w:before="0" w:after="80" w:lineRule="auto" w:line="276"/>
      </w:pPr>
      <w:r>
        <w:rPr>
          <w:b/>
        </w:rPr>
        <w:t xml:space="preserve">摘要（ZH）: </w:t>
      </w:r>
      <w:r>
        <w:t>摘要 设计一种在光学和电刺激下表现出突触可塑性的稳定混合钙钛矿忆阻器是充分利用混合钙钛矿前所未有的光电特性来充分发挥神经形态计算潜力的一个引人注目的方向。在这里，我们报告在 CH3NH3PbBr3 (MAPbBr3) 和 Ag 电极之间引入薄的聚甲基丙烯酸甲酯 (PMMA) 阻挡层，使得 Ag/PMMA/MAPbBr3/TiO2/FTO 忆阻器在光刺激下具有突触可塑性。使用和不使用 PMMA 的受控实验设计，结合电化学阻抗研究和瞬态光电流测量，表明钙钛矿/PMMA 界面处的光生空穴捕获可能会导致脉冲照明下的这种突触行为。此外，该装置在脉冲电刺激下表现出突触可塑性，证实了其光电突触特性。此外，利用实验测量的突触电导状态的模拟人工神经网络 (ANN) 在 MNIST 数据集上实现了 96.14% 的识别准确率，凸显了其在神经形态图像识别应用中的潜力。该器件在长时间光照、真空、高达 80°C 的高温或在环境条件下长期存储下没有表现出明显的退化，证明了具有 PMMA 涂层的器件的稳定性以及混合钙钛矿用于光电神经形态计算的有效性。</w:t>
      </w:r>
    </w:p>
    <w:p>
      <w:pPr>
        <w:spacing w:before="0" w:after="200" w:lineRule="auto" w:line="276"/>
      </w:pPr>
      <w:r>
        <w:rPr>
          <w:b/>
        </w:rPr>
        <w:t xml:space="preserve">Abstract (EN): </w:t>
      </w:r>
      <w:r>
        <w:t>Designing a stable hybrid perovskite memristor that exhibits synaptic plasticity under both optical and electrical stimuli is a compelling direction for exploiting the unprecedented optoelectronic properties of hybrid perovskites to their full potential towards neuromorphic computing. Here, we report that introducing a thin Polymethyl Methacrylate (PMMA) barrier layer between CH3NH3PbBr3 (MAPbBr3) and the Ag electrode enables synaptic plasticity under optical stimuli in the Ag/PMMA/MAPbBr3/TiO2/FTO memristor. A controlled experimental design with and without PMMA, in combination with electrochemical impedance studies and transient photocurrent measurements, suggests that photo-generated hole trapping at the perovskite/PMMA interface likely leads to such synaptic behavior under pulsed illumination. Moreover, the device exhibits synaptic plasticity under pulsed electrical stimuli, confirming its optoelectrical synaptic properties. Additionally, a simulated artificial neural network (ANN) utilizing experimentally measured synaptic conductance states achieves 96.14% recognition accuracy on the MNIST dataset, highlighting its potential for neuromorphic image recognition applications. The device shows no significant degradation under prolonged illumination, vacuum, elevated temperatures up to 80 °C, or long-term storage in ambient conditions, demonstrating the stability of the device with a PMMA coating and the effectiveness of the hybrid perovskite for optoelectronic neuromorphic computing.</w:t>
      </w:r>
    </w:p>
    <w:p>
      <w:pPr>
        <w:spacing w:before="120" w:after="120"/>
      </w:pPr>
      <w:r>
        <w:rPr>
          <w:sz w:val="18"/>
        </w:rPr>
        <w:t>——————————————————————————————————————————————————————————————————————</w:t>
      </w:r>
    </w:p>
    <w:p>
      <w:pPr>
        <w:spacing w:before="160" w:after="40" w:line="240" w:lineRule="auto"/>
      </w:pPr>
      <w:r>
        <w:rPr>
          <w:b/>
        </w:rPr>
        <w:t xml:space="preserve">[246] </w:t>
      </w:r>
      <w:hyperlink r:id="rId1045">
        <w:r>
          <w:rPr>
            <w:color w:val="1155CC"/>
            <w:u w:val="single"/>
          </w:rPr>
          <w:t>通过光电逻辑门金属-绝缘体-半导体型二维异质结构中的缺陷级激励操纵光响应</w:t>
        </w:r>
      </w:hyperlink>
    </w:p>
    <w:p>
      <w:pPr>
        <w:spacing w:before="0" w:after="80"/>
      </w:pPr>
      <w:r>
        <w:rPr>
          <w:i/>
          <w:sz w:val="20"/>
        </w:rPr>
        <w:t>EN: Manipulation of Photoresponse via Defect-Level Excitations in Metal–Insulator–Semiconductor-Type Two-Dimensional Heterostructure for Optoelectronic Logic Gates</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46">
        <w:r>
          <w:rPr>
            <w:color w:val="1155CC"/>
            <w:u w:val="single"/>
          </w:rPr>
          <w:t>10.1021/acsami.6c10578</w:t>
        </w:r>
      </w:hyperlink>
    </w:p>
    <w:p>
      <w:pPr>
        <w:spacing w:before="0" w:after="120"/>
      </w:pPr>
      <w:r>
        <w:rPr>
          <w:b/>
        </w:rPr>
        <w:t xml:space="preserve">Notes: </w:t>
      </w:r>
      <w:r>
        <w:t>abstract_source=crossref</w:t>
      </w:r>
    </w:p>
    <w:p>
      <w:pPr>
        <w:spacing w:before="0" w:after="80" w:lineRule="auto" w:line="276"/>
      </w:pPr>
      <w:r>
        <w:rPr>
          <w:b/>
        </w:rPr>
        <w:t xml:space="preserve">摘要（ZH）: </w:t>
      </w:r>
      <w:r>
        <w:t>摘要 近年来，基于金属-绝缘体-半导体（MIS）范德华异质结构的隧道二极管中的有效载流子-激子转换和缺陷工程引起了调制光电器件性能的广泛研究兴趣。有效地激发和控制此类设备中的缺陷，从而实现可调谐的光电响应，对于功能实现和性能增强都至关重要。在这里，我们报道了一种由单层石墨烯（Gr）、六方氮化硼（h-BN）和单层二硫化钼（MoS2）组成的MIS异质结构光电探测器。 h-BN 层内的缺陷态被成功激活，从而实现二维材料之间受控的层间电荷转移。在可见光照射下，该器件在 405 和 638 nm 处显示出波长选择性光响应。通过 h-BN 的缺陷态建模与能带排列分析相结合，阐明了选择性光电流产生的机制。值得注意的是，该器件具有高达 105 的高开关比和约 7-8 μs 的超快响应时间。这些特性使其能够展示其在光栅扫描光电流成像和光电逻辑操作等应用中的潜力。</w:t>
      </w:r>
    </w:p>
    <w:p>
      <w:pPr>
        <w:spacing w:before="0" w:after="200" w:lineRule="auto" w:line="276"/>
      </w:pPr>
      <w:r>
        <w:rPr>
          <w:b/>
        </w:rPr>
        <w:t xml:space="preserve">Abstract (EN): </w:t>
      </w:r>
      <w:r>
        <w:t>In recent years, effective carrier–exciton conversion and defect engineering in tunneling diodes based on metal–insulator–semiconductor (MIS) van der Waals heterostructures have attracted extensive research interest in modulating optoelectronic device performance. Effectively exciting and controlling defects in such devices, thereby enabling tunable optoelectronic responses, is critical for both functional realization and performance enhancement. Here, we report a MIS heterostructure photodetector consisting of monolayer graphene (Gr), hexagonal boron nitride (h-BN), and monolayer molybdenum disulfide (MoS2). Defect states within h-BN layers are successfully activated, allowing controlled interlayer charge transfer among the two-dimensional materials. Under visible-light illumination, the device reveals a wavelength-selective photoresponse at 405 and 638 nm. The mechanism underlying the selective photocurrent generation is elucidated through defect-state modeling of h-BN combined with energy-band alignment analysis. Notably, the device demonstrates a high switching ratio of up to 105 and an ultrafast response time of approximately 7–8 μs. These characteristics enable the demonstration of its potential for applications such as raster-scanned photocurrent imaging and optoelectronic logic operations.</w:t>
      </w:r>
    </w:p>
    <w:p>
      <w:pPr>
        <w:spacing w:before="120" w:after="120"/>
      </w:pPr>
      <w:r>
        <w:rPr>
          <w:sz w:val="18"/>
        </w:rPr>
        <w:t>——————————————————————————————————————————————————————————————————————</w:t>
      </w:r>
    </w:p>
    <w:p>
      <w:pPr>
        <w:spacing w:before="160" w:after="40" w:line="240" w:lineRule="auto"/>
      </w:pPr>
      <w:r>
        <w:rPr>
          <w:b/>
        </w:rPr>
        <w:t xml:space="preserve">[247] </w:t>
      </w:r>
      <w:hyperlink r:id="rId1047">
        <w:r>
          <w:rPr>
            <w:color w:val="1155CC"/>
            <w:u w:val="single"/>
          </w:rPr>
          <w:t>通过智能检测的能量转移提高 Cr3+ 掺杂 MgGa2O4 半导体微晶的近红外发射和热阻</w:t>
        </w:r>
      </w:hyperlink>
    </w:p>
    <w:p>
      <w:pPr>
        <w:spacing w:before="0" w:after="80"/>
      </w:pPr>
      <w:r>
        <w:rPr>
          <w:i/>
          <w:sz w:val="20"/>
        </w:rPr>
        <w:t>EN: Boosting NIR Emissions and Thermal Resistance in Cr3+-Doped MgGa2O4 Semiconductor Microcrystals by Energy Transfer for Smart Detection</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48">
        <w:r>
          <w:rPr>
            <w:color w:val="1155CC"/>
            <w:u w:val="single"/>
          </w:rPr>
          <w:t>10.1021/acsami.6c10021</w:t>
        </w:r>
      </w:hyperlink>
    </w:p>
    <w:p>
      <w:pPr>
        <w:spacing w:before="0" w:after="120"/>
      </w:pPr>
      <w:r>
        <w:rPr>
          <w:b/>
        </w:rPr>
        <w:t xml:space="preserve">Notes: </w:t>
      </w:r>
      <w:r>
        <w:t>abstract_source=crossref</w:t>
      </w:r>
    </w:p>
    <w:p>
      <w:pPr>
        <w:spacing w:before="0" w:after="80" w:lineRule="auto" w:line="276"/>
      </w:pPr>
      <w:r>
        <w:rPr>
          <w:b/>
        </w:rPr>
        <w:t xml:space="preserve">摘要（ZH）: </w:t>
      </w:r>
      <w:r>
        <w:t>摘要 高辐射强度宽带近红外 (NIR) 发射器非常适合无损检测、夜视成像和信息加密。然而，探索同时具有高发光效率和出色热稳定性的荧光粉仍然面临重大困难。在各种近红外荧光粉系统中，Cr3+ 掺杂的 MgGa2O4 (MGO:Cr3+) 表现出特征宽带发射。在此，Bi3+离子作为敏化剂加入到MGO:Cr3+荧光体系统中，从而显着增强了光致发光（PL）、机械发光（ML）和热稳定性。 Bi3+共掺杂将NIR PL强度提高至Cr3+单掺杂参比的4.0倍，ML输出提高至1.45倍，表明显着的敏化效应和提高的能量转移效率。此外，423 K 下的发射强度保留率从 49.29% 提高到 82.88%，证实近红外发射的热稳定性显着增强。通过将 Bi3+、Cr3+ 共掺杂 MGO 与蓝色 LED 耦合组装而成的宽带近红外荧光粉转换发光二极管 (pc-LED) 进一步证明了该材料在无损检测、夜视成像和防伪方面的潜力。</w:t>
      </w:r>
    </w:p>
    <w:p>
      <w:pPr>
        <w:spacing w:before="0" w:after="200" w:lineRule="auto" w:line="276"/>
      </w:pPr>
      <w:r>
        <w:rPr>
          <w:b/>
        </w:rPr>
        <w:t xml:space="preserve">Abstract (EN): </w:t>
      </w:r>
      <w:r>
        <w:t>High-radiant-intensity broadband near-infrared (NIR) emitters are highly desirable for nondestructive testing, night-vision imaging, and information encryption. However, the exploration of phosphors that possess both high luminous efficiency and outstanding thermal stability continues to pose significant difficulties. Among various NIR phosphor systems, Cr3+-doped MgGa2O4 (MGO:Cr3+) exhibits characteristic broadband emission. Herein, Bi3+ ions were incorporated as sensitizers into the MGO:Cr3+ phosphor system, resulting in substantial enhancements in photoluminescence (PL), mechanoluminescence (ML), and thermal stability. The Bi3+ co-doping enhanced the NIR PL intensity to 4.0 times and the ML output to 1.45 times those of the Cr3+ singly doped reference, indicating a pronounced sensitization effect and improved energy transfer efficiency. Furthermore, the emission-intensity retention at 423 K improved from 49.29 to 82.88%, confirming a significant enhancement in the thermal stability of the NIR emission. A broadband NIR phosphor-converted light-emitting diode (pc-LED) assembled by coupling the Bi3+, Cr3+-co-doped MGO with a blue LED further demonstrated the material’s potential for nondestructive testing, night-vision imaging, and anti-counterfeiting.</w:t>
      </w:r>
    </w:p>
    <w:p>
      <w:pPr>
        <w:spacing w:before="120" w:after="120"/>
      </w:pPr>
      <w:r>
        <w:rPr>
          <w:sz w:val="18"/>
        </w:rPr>
        <w:t>——————————————————————————————————————————————————————————————————————</w:t>
      </w:r>
    </w:p>
    <w:p>
      <w:pPr>
        <w:spacing w:before="160" w:after="40" w:line="240" w:lineRule="auto"/>
      </w:pPr>
      <w:r>
        <w:rPr>
          <w:b/>
        </w:rPr>
        <w:t xml:space="preserve">[248] </w:t>
      </w:r>
      <w:hyperlink r:id="rId1049">
        <w:r>
          <w:rPr>
            <w:color w:val="1155CC"/>
            <w:u w:val="single"/>
          </w:rPr>
          <w:t>当你有太多博士项目正在进行时该怎么办</w:t>
        </w:r>
      </w:hyperlink>
    </w:p>
    <w:p>
      <w:pPr>
        <w:spacing w:before="0" w:after="80"/>
      </w:pPr>
      <w:r>
        <w:rPr>
          <w:i/>
          <w:sz w:val="20"/>
        </w:rPr>
        <w:t>EN: What to do when you have too many PhD projects on the go</w:t>
      </w:r>
    </w:p>
    <w:p>
      <w:pPr>
        <w:spacing w:before="0" w:after="120"/>
      </w:pPr>
      <w:r>
        <w:rPr>
          <w:b/>
        </w:rPr>
        <w:t xml:space="preserve">Source: </w:t>
      </w:r>
      <w:r>
        <w:t>Nature</w:t>
      </w:r>
      <w:r>
        <w:t xml:space="preserve">    </w:t>
      </w:r>
      <w:r>
        <w:rPr>
          <w:b/>
        </w:rPr>
        <w:t xml:space="preserve">Pub date: </w:t>
      </w:r>
      <w:r>
        <w:t>2026-08-10 00:00:00+00:00</w:t>
      </w:r>
      <w:r>
        <w:t xml:space="preserve">    </w:t>
      </w:r>
      <w:r>
        <w:rPr>
          <w:b/>
        </w:rPr>
        <w:t xml:space="preserve">DOI: </w:t>
      </w:r>
      <w:hyperlink r:id="rId1050">
        <w:r>
          <w:rPr>
            <w:color w:val="1155CC"/>
            <w:u w:val="single"/>
          </w:rPr>
          <w:t>10.1038/d41586-026-01681-8</w:t>
        </w:r>
      </w:hyperlink>
    </w:p>
    <w:p>
      <w:pPr>
        <w:spacing w:before="0" w:after="120"/>
      </w:pPr>
      <w:r>
        <w:rPr>
          <w:b/>
        </w:rPr>
        <w:t xml:space="preserve">Notes: </w:t>
      </w:r>
      <w:r>
        <w:t>abstract_source=rss_nature</w:t>
      </w:r>
    </w:p>
    <w:p>
      <w:pPr>
        <w:spacing w:before="0" w:after="80" w:lineRule="auto" w:line="276"/>
      </w:pPr>
      <w:r>
        <w:rPr>
          <w:b/>
        </w:rPr>
        <w:t xml:space="preserve">摘要（ZH）: </w:t>
      </w:r>
      <w:r>
        <w:t>通过无情地缩小自己的优先事项，扎卡里·森特尔成功地在博士的最后一年发表了几篇论文并按时毕业。</w:t>
      </w:r>
    </w:p>
    <w:p>
      <w:pPr>
        <w:spacing w:before="0" w:after="200" w:lineRule="auto" w:line="276"/>
      </w:pPr>
      <w:r>
        <w:rPr>
          <w:b/>
        </w:rPr>
        <w:t xml:space="preserve">Abstract (EN): </w:t>
      </w:r>
      <w:r>
        <w:t>By ruthlessly narrowing down his priorities, Zachary Sentell managed to publish several papers in the final year of his PhD and graduate on time.</w:t>
      </w:r>
    </w:p>
    <w:p>
      <w:pPr>
        <w:spacing w:before="120" w:after="120"/>
      </w:pPr>
      <w:r>
        <w:rPr>
          <w:sz w:val="18"/>
        </w:rPr>
        <w:t>——————————————————————————————————————————————————————————————————————</w:t>
      </w:r>
    </w:p>
    <w:p>
      <w:pPr>
        <w:spacing w:before="160" w:after="40" w:line="240" w:lineRule="auto"/>
      </w:pPr>
      <w:r>
        <w:rPr>
          <w:b/>
        </w:rPr>
        <w:t xml:space="preserve">[249] </w:t>
      </w:r>
      <w:hyperlink r:id="rId1051">
        <w:r>
          <w:rPr>
            <w:color w:val="1155CC"/>
            <w:u w:val="single"/>
          </w:rPr>
          <w:t>为什么环境条约还必须解决心理健康问题</w:t>
        </w:r>
      </w:hyperlink>
    </w:p>
    <w:p>
      <w:pPr>
        <w:spacing w:before="0" w:after="80"/>
      </w:pPr>
      <w:r>
        <w:rPr>
          <w:i/>
          <w:sz w:val="20"/>
        </w:rPr>
        <w:t>EN: Why environmental treaties must also address mental health</w:t>
      </w:r>
    </w:p>
    <w:p>
      <w:pPr>
        <w:spacing w:before="0" w:after="120"/>
      </w:pPr>
      <w:r>
        <w:rPr>
          <w:b/>
        </w:rPr>
        <w:t xml:space="preserve">Source: </w:t>
      </w:r>
      <w:r>
        <w:t>Nature</w:t>
      </w:r>
      <w:r>
        <w:t xml:space="preserve">    </w:t>
      </w:r>
      <w:r>
        <w:rPr>
          <w:b/>
        </w:rPr>
        <w:t xml:space="preserve">Pub date: </w:t>
      </w:r>
      <w:r>
        <w:t>2026-08-10 00:00:00+00:00</w:t>
      </w:r>
      <w:r>
        <w:t xml:space="preserve">    </w:t>
      </w:r>
      <w:r>
        <w:rPr>
          <w:b/>
        </w:rPr>
        <w:t xml:space="preserve">DOI: </w:t>
      </w:r>
      <w:hyperlink r:id="rId1052">
        <w:r>
          <w:rPr>
            <w:color w:val="1155CC"/>
            <w:u w:val="single"/>
          </w:rPr>
          <w:t>10.1038/d41586-026-02450-3</w:t>
        </w:r>
      </w:hyperlink>
    </w:p>
    <w:p>
      <w:pPr>
        <w:spacing w:before="0" w:after="120"/>
      </w:pPr>
      <w:r>
        <w:rPr>
          <w:b/>
        </w:rPr>
        <w:t xml:space="preserve">Notes: </w:t>
      </w:r>
      <w:r>
        <w:t>abstract_source=rss_nature</w:t>
      </w:r>
    </w:p>
    <w:p>
      <w:pPr>
        <w:spacing w:before="0" w:after="80" w:lineRule="auto" w:line="276"/>
      </w:pPr>
      <w:r>
        <w:rPr>
          <w:b/>
        </w:rPr>
        <w:t xml:space="preserve">摘要（ZH）: </w:t>
      </w:r>
      <w:r>
        <w:t>全球公约主要忽视了气候变化、生物多样性丧失和污染的心理和社会影响。以下是如何改变这一点。</w:t>
      </w:r>
    </w:p>
    <w:p>
      <w:pPr>
        <w:spacing w:before="0" w:after="200" w:lineRule="auto" w:line="276"/>
      </w:pPr>
      <w:r>
        <w:rPr>
          <w:b/>
        </w:rPr>
        <w:t xml:space="preserve">Abstract (EN): </w:t>
      </w:r>
      <w:r>
        <w:t>Global conventions have mainly overlooked the psychological and social impacts of climate change, biodiversity loss and pollution. Here’s how to change that.</w:t>
      </w:r>
    </w:p>
    <w:p>
      <w:pPr>
        <w:spacing w:before="120" w:after="120"/>
      </w:pPr>
      <w:r>
        <w:rPr>
          <w:sz w:val="18"/>
        </w:rPr>
        <w:t>——————————————————————————————————————————————————————————————————————</w:t>
      </w:r>
    </w:p>
    <w:p>
      <w:pPr>
        <w:spacing w:before="160" w:after="40" w:line="240" w:lineRule="auto"/>
      </w:pPr>
      <w:r>
        <w:rPr>
          <w:b/>
        </w:rPr>
        <w:t xml:space="preserve">[250] </w:t>
      </w:r>
      <w:hyperlink r:id="rId1053">
        <w:r>
          <w:rPr>
            <w:color w:val="1155CC"/>
            <w:u w:val="single"/>
          </w:rPr>
          <w:t>这个人工智能工具声称可以挑选出前 1% 的预印本。研究人员应该相信它吗？</w:t>
        </w:r>
      </w:hyperlink>
    </w:p>
    <w:p>
      <w:pPr>
        <w:spacing w:before="0" w:after="80"/>
      </w:pPr>
      <w:r>
        <w:rPr>
          <w:i/>
          <w:sz w:val="20"/>
        </w:rPr>
        <w:t>EN: This AI tool claims to pick the top 1% of preprints. Should researchers trust it?</w:t>
      </w:r>
    </w:p>
    <w:p>
      <w:pPr>
        <w:spacing w:before="0" w:after="120"/>
      </w:pPr>
      <w:r>
        <w:rPr>
          <w:b/>
        </w:rPr>
        <w:t xml:space="preserve">Source: </w:t>
      </w:r>
      <w:r>
        <w:t>Nature</w:t>
      </w:r>
      <w:r>
        <w:t xml:space="preserve">    </w:t>
      </w:r>
      <w:r>
        <w:rPr>
          <w:b/>
        </w:rPr>
        <w:t xml:space="preserve">Pub date: </w:t>
      </w:r>
      <w:r>
        <w:t>2026-08-10 00:00:00+00:00</w:t>
      </w:r>
      <w:r>
        <w:t xml:space="preserve">    </w:t>
      </w:r>
      <w:r>
        <w:rPr>
          <w:b/>
        </w:rPr>
        <w:t xml:space="preserve">DOI: </w:t>
      </w:r>
      <w:hyperlink r:id="rId1054">
        <w:r>
          <w:rPr>
            <w:color w:val="1155CC"/>
            <w:u w:val="single"/>
          </w:rPr>
          <w:t>10.1038/d41586-026-02276-z</w:t>
        </w:r>
      </w:hyperlink>
    </w:p>
    <w:p>
      <w:pPr>
        <w:spacing w:before="0" w:after="120"/>
      </w:pPr>
      <w:r>
        <w:rPr>
          <w:b/>
        </w:rPr>
        <w:t xml:space="preserve">Notes: </w:t>
      </w:r>
      <w:r>
        <w:t>abstract_source=rss_nature</w:t>
      </w:r>
    </w:p>
    <w:p>
      <w:pPr>
        <w:spacing w:before="0" w:after="80" w:lineRule="auto" w:line="276"/>
      </w:pPr>
      <w:r>
        <w:rPr>
          <w:b/>
        </w:rPr>
        <w:t xml:space="preserve">摘要（ZH）: </w:t>
      </w:r>
      <w:r>
        <w:t>QED Science 表示，其指标仅根据论文的原创性和有效性来评估论文，从而减少偏见。</w:t>
      </w:r>
    </w:p>
    <w:p>
      <w:pPr>
        <w:spacing w:before="0" w:after="200" w:lineRule="auto" w:line="276"/>
      </w:pPr>
      <w:r>
        <w:rPr>
          <w:b/>
        </w:rPr>
        <w:t xml:space="preserve">Abstract (EN): </w:t>
      </w:r>
      <w:r>
        <w:t>QED Science says that its metrics reduce bias by assessing papers solely on the basis of their originality and validity.</w:t>
      </w:r>
    </w:p>
    <w:p>
      <w:pPr>
        <w:spacing w:before="120" w:after="120"/>
      </w:pPr>
      <w:r>
        <w:rPr>
          <w:sz w:val="18"/>
        </w:rPr>
        <w:t>——————————————————————————————————————————————————————————————————————</w:t>
      </w:r>
    </w:p>
    <w:p>
      <w:pPr>
        <w:spacing w:before="160" w:after="40" w:line="240" w:lineRule="auto"/>
      </w:pPr>
      <w:r>
        <w:rPr>
          <w:b/>
        </w:rPr>
        <w:t xml:space="preserve">[251] </w:t>
      </w:r>
      <w:hyperlink r:id="rId1055">
        <w:r>
          <w:rPr>
            <w:color w:val="1155CC"/>
            <w:u w:val="single"/>
          </w:rPr>
          <w:t>尽管全球动荡，Z 世代研究人员并没有放弃</w:t>
        </w:r>
      </w:hyperlink>
    </w:p>
    <w:p>
      <w:pPr>
        <w:spacing w:before="0" w:after="80"/>
      </w:pPr>
      <w:r>
        <w:rPr>
          <w:i/>
          <w:sz w:val="20"/>
        </w:rPr>
        <w:t>EN: Despite global turmoil, Gen Z researchers are not giving up</w:t>
      </w:r>
    </w:p>
    <w:p>
      <w:pPr>
        <w:spacing w:before="0" w:after="120"/>
      </w:pPr>
      <w:r>
        <w:rPr>
          <w:b/>
        </w:rPr>
        <w:t xml:space="preserve">Source: </w:t>
      </w:r>
      <w:r>
        <w:t>Nature</w:t>
      </w:r>
      <w:r>
        <w:t xml:space="preserve">    </w:t>
      </w:r>
      <w:r>
        <w:rPr>
          <w:b/>
        </w:rPr>
        <w:t xml:space="preserve">Pub date: </w:t>
      </w:r>
      <w:r>
        <w:t>2026-08-10 00:00:00+00:00</w:t>
      </w:r>
      <w:r>
        <w:t xml:space="preserve">    </w:t>
      </w:r>
      <w:r>
        <w:rPr>
          <w:b/>
        </w:rPr>
        <w:t xml:space="preserve">DOI: </w:t>
      </w:r>
      <w:hyperlink r:id="rId1056">
        <w:r>
          <w:rPr>
            <w:color w:val="1155CC"/>
            <w:u w:val="single"/>
          </w:rPr>
          <w:t>10.1038/d41586-026-02453-0</w:t>
        </w:r>
      </w:hyperlink>
    </w:p>
    <w:p>
      <w:pPr>
        <w:spacing w:before="0" w:after="120"/>
      </w:pPr>
      <w:r>
        <w:rPr>
          <w:b/>
        </w:rPr>
        <w:t xml:space="preserve">Notes: </w:t>
      </w:r>
      <w:r>
        <w:t>abstract_source=rss_nature</w:t>
      </w:r>
    </w:p>
    <w:p>
      <w:pPr>
        <w:spacing w:before="0" w:after="80" w:lineRule="auto" w:line="276"/>
      </w:pPr>
      <w:r>
        <w:rPr>
          <w:b/>
        </w:rPr>
        <w:t xml:space="preserve">摘要（ZH）: </w:t>
      </w:r>
      <w:r>
        <w:t>四位 1997 年之后出生的研究人员描述了他们如何在困难时期保持积极性并培养韧性。</w:t>
      </w:r>
    </w:p>
    <w:p>
      <w:pPr>
        <w:spacing w:before="0" w:after="200" w:lineRule="auto" w:line="276"/>
      </w:pPr>
      <w:r>
        <w:rPr>
          <w:b/>
        </w:rPr>
        <w:t xml:space="preserve">Abstract (EN): </w:t>
      </w:r>
      <w:r>
        <w:t>Four researchers born after 1997 describe how they stay motivated and cultivate resilience during difficult times.</w:t>
      </w:r>
    </w:p>
    <w:p>
      <w:pPr>
        <w:spacing w:before="120" w:after="120"/>
      </w:pPr>
      <w:r>
        <w:rPr>
          <w:sz w:val="18"/>
        </w:rPr>
        <w:t>——————————————————————————————————————————————————————————————————————</w:t>
      </w:r>
    </w:p>
    <w:p>
      <w:pPr>
        <w:spacing w:before="160" w:after="40" w:line="240" w:lineRule="auto"/>
      </w:pPr>
      <w:r>
        <w:rPr>
          <w:b/>
        </w:rPr>
        <w:t xml:space="preserve">[252] </w:t>
      </w:r>
      <w:hyperlink r:id="rId1057">
        <w:r>
          <w:rPr>
            <w:color w:val="1155CC"/>
            <w:u w:val="single"/>
          </w:rPr>
          <w:t>扭转局势：恢复莫桑比克红树林——照片中</w:t>
        </w:r>
      </w:hyperlink>
    </w:p>
    <w:p>
      <w:pPr>
        <w:spacing w:before="0" w:after="80"/>
      </w:pPr>
      <w:r>
        <w:rPr>
          <w:i/>
          <w:sz w:val="20"/>
        </w:rPr>
        <w:t>EN: Turning the tide: restoring Mozambican mangroves — in photos</w:t>
      </w:r>
    </w:p>
    <w:p>
      <w:pPr>
        <w:spacing w:before="0" w:after="120"/>
      </w:pPr>
      <w:r>
        <w:rPr>
          <w:b/>
        </w:rPr>
        <w:t xml:space="preserve">Source: </w:t>
      </w:r>
      <w:r>
        <w:t>Nature</w:t>
      </w:r>
      <w:r>
        <w:t xml:space="preserve">    </w:t>
      </w:r>
      <w:r>
        <w:rPr>
          <w:b/>
        </w:rPr>
        <w:t xml:space="preserve">Pub date: </w:t>
      </w:r>
      <w:r>
        <w:t>2026-08-10 00:00:00+00:00</w:t>
      </w:r>
      <w:r>
        <w:t xml:space="preserve">    </w:t>
      </w:r>
      <w:r>
        <w:rPr>
          <w:b/>
        </w:rPr>
        <w:t xml:space="preserve">DOI: </w:t>
      </w:r>
      <w:hyperlink r:id="rId1058">
        <w:r>
          <w:rPr>
            <w:color w:val="1155CC"/>
            <w:u w:val="single"/>
          </w:rPr>
          <w:t>10.1038/d41586-026-02199-9</w:t>
        </w:r>
      </w:hyperlink>
    </w:p>
    <w:p>
      <w:pPr>
        <w:spacing w:before="0" w:after="120"/>
      </w:pPr>
      <w:r>
        <w:rPr>
          <w:b/>
        </w:rPr>
        <w:t xml:space="preserve">Notes: </w:t>
      </w:r>
      <w:r>
        <w:t>abstract_source=rss_nature</w:t>
      </w:r>
    </w:p>
    <w:p>
      <w:pPr>
        <w:spacing w:before="0" w:after="80" w:lineRule="auto" w:line="276"/>
      </w:pPr>
      <w:r>
        <w:rPr>
          <w:b/>
        </w:rPr>
        <w:t xml:space="preserve">摘要（ZH）: </w:t>
      </w:r>
      <w:r>
        <w:t>由于马普托的城市扩张威胁着红树林，海洋生物学家西莉亚·马卡莫正在研究如何拯救它们。</w:t>
      </w:r>
    </w:p>
    <w:p>
      <w:pPr>
        <w:spacing w:before="0" w:after="200" w:lineRule="auto" w:line="276"/>
      </w:pPr>
      <w:r>
        <w:rPr>
          <w:b/>
        </w:rPr>
        <w:t xml:space="preserve">Abstract (EN): </w:t>
      </w:r>
      <w:r>
        <w:t>As urban expansion in Maputo threatens to destroy mangrove forests, marine biologist Célia Macamo is studying how to save them.</w:t>
      </w:r>
    </w:p>
    <w:p>
      <w:pPr>
        <w:spacing w:before="120" w:after="120"/>
      </w:pPr>
      <w:r>
        <w:rPr>
          <w:sz w:val="18"/>
        </w:rPr>
        <w:t>——————————————————————————————————————————————————————————————————————</w:t>
      </w:r>
    </w:p>
    <w:p>
      <w:pPr>
        <w:spacing w:before="160" w:after="40" w:line="240" w:lineRule="auto"/>
      </w:pPr>
      <w:r>
        <w:rPr>
          <w:b/>
        </w:rPr>
        <w:t xml:space="preserve">[253] </w:t>
      </w:r>
      <w:hyperlink r:id="rId1059">
        <w:r>
          <w:rPr>
            <w:color w:val="1155CC"/>
            <w:u w:val="single"/>
          </w:rPr>
          <w:t>薄膜铌酸锂光子电路多通道高速倒装芯片封装平台</w:t>
        </w:r>
      </w:hyperlink>
    </w:p>
    <w:p>
      <w:pPr>
        <w:spacing w:before="0" w:after="80"/>
      </w:pPr>
      <w:r>
        <w:rPr>
          <w:i/>
          <w:sz w:val="20"/>
        </w:rPr>
        <w:t>EN: Multi-channel high-speed flip-chip packaging platform for thin-film lithium niobate photonic circuits</w:t>
      </w:r>
    </w:p>
    <w:p>
      <w:pPr>
        <w:spacing w:before="0" w:after="120"/>
      </w:pPr>
      <w:r>
        <w:rPr>
          <w:b/>
        </w:rPr>
        <w:t xml:space="preserve">Source: </w:t>
      </w:r>
      <w:r>
        <w:t>National Science Review Advance Access</w:t>
      </w:r>
      <w:r>
        <w:t xml:space="preserve">    </w:t>
      </w:r>
      <w:r>
        <w:rPr>
          <w:b/>
        </w:rPr>
        <w:t xml:space="preserve">Pub date: </w:t>
      </w:r>
      <w:r>
        <w:t>2026-08-10 00:00:00+00:00</w:t>
      </w:r>
      <w:r>
        <w:t xml:space="preserve">    </w:t>
      </w:r>
      <w:r>
        <w:rPr>
          <w:b/>
        </w:rPr>
        <w:t xml:space="preserve">DOI: </w:t>
      </w:r>
      <w:hyperlink r:id="rId1060">
        <w:r>
          <w:rPr>
            <w:color w:val="1155CC"/>
            <w:u w:val="single"/>
          </w:rPr>
          <w:t>10.1093/nsr/nwag480</w:t>
        </w:r>
      </w:hyperlink>
    </w:p>
    <w:p>
      <w:pPr>
        <w:spacing w:before="0" w:after="120"/>
      </w:pPr>
      <w:r>
        <w:rPr>
          <w:b/>
        </w:rPr>
        <w:t xml:space="preserve">Notes: </w:t>
      </w:r>
      <w:r>
        <w:t>abstract_source=rss_oup</w:t>
      </w:r>
    </w:p>
    <w:p>
      <w:pPr>
        <w:spacing w:before="0" w:after="80" w:lineRule="auto" w:line="276"/>
      </w:pPr>
      <w:r>
        <w:rPr>
          <w:b/>
        </w:rPr>
        <w:t xml:space="preserve">摘要（ZH）: </w:t>
      </w:r>
      <w:r>
        <w:t>为了满足薄膜铌酸锂（TFLN）光子电路多通道高速电接口的迫切需求，我们实现了一种倒装芯片封装平台，能够同时向厘米尺寸的TFLN芯片传输13个高速和32个低速电子信号。该平台在高达 50 GHz 的宽带宽上表现出低倒装芯片键合损耗和低通道间串扰。利用该封装平台，我们演示了与两个概念验证 TFLN 光子电路（即 2 × 8 光开关和基于电光梳的发射器）的高速电气接口。该交换机可实现任意 8 通道路由，插入损耗约为 3 dB，串扰 &lt; -20 dB，设备限制切换时间 ≤ 34 ps。发射器电路包括一个平坦度为 2.8dB 的 50 GHz 电光梳发生器、一个可任意过滤一根梳状线的可调谐微环，以及一个用于 20 Gbit/s 数据传输的调制器。该封装平台可以显着推进光通信、微波光子学和光子计算领域的大规模 TFLN 电路。</w:t>
      </w:r>
    </w:p>
    <w:p>
      <w:pPr>
        <w:spacing w:before="0" w:after="200" w:lineRule="auto" w:line="276"/>
      </w:pPr>
      <w:r>
        <w:rPr>
          <w:b/>
        </w:rPr>
        <w:t xml:space="preserve">Abstract (EN): </w:t>
      </w:r>
      <w:r>
        <w:t>To address the urgent need for multi-channel high-speed electrical interfacing of thin-film lithium niobate (TFLN) photonic circuits, we realize a flip-chip packaging platform capable of simultaneously delivering 13 high-speed and 32 low-speed electronic signals to a centimeter-sized TFLN chip. The platform exhibits low flip-chip bonding loss and low inter-channel crosstalk over a broad bandwidth up to 50 GHz. Leveraging this packaging platform, we demonstrate high-speed electrical interfacing with two proof-of-concept TFLN photonic circuits, namely a 2 × 8 optical switch and an electro-optic comb-based transmitter. The switch achieves arbitrary 8-channel routing with ~3 dB insertion loss, &lt; -20 dB crosstalk, and an equipment-limited switching time of ≤ 34 ps. The transmitter circuit includes a 50 GHz electro-optic comb generator with 2.8-dB flatness, a tunable microring to arbitrarily filter one comb line, and a modulator for data transmission at 20 Gbit/s. The packaging platform could significantly advance large-scale TFLN circuits in optical communications, microwave photonics, and photonic computing.</w:t>
      </w:r>
    </w:p>
    <w:p>
      <w:pPr>
        <w:spacing w:before="120" w:after="120"/>
      </w:pPr>
      <w:r>
        <w:rPr>
          <w:sz w:val="18"/>
        </w:rPr>
        <w:t>——————————————————————————————————————————————————————————————————————</w:t>
      </w:r>
    </w:p>
    <w:p>
      <w:pPr>
        <w:spacing w:before="160" w:after="40" w:line="240" w:lineRule="auto"/>
      </w:pPr>
      <w:r>
        <w:rPr>
          <w:b/>
        </w:rPr>
        <w:t xml:space="preserve">[254] </w:t>
      </w:r>
      <w:hyperlink r:id="rId1061">
        <w:r>
          <w:rPr>
            <w:color w:val="1155CC"/>
            <w:u w:val="single"/>
          </w:rPr>
          <w:t>硒黄基盐─低能量光氧化还原催化有机光催化剂</w:t>
        </w:r>
      </w:hyperlink>
    </w:p>
    <w:p>
      <w:pPr>
        <w:spacing w:before="0" w:after="80"/>
      </w:pPr>
      <w:r>
        <w:rPr>
          <w:i/>
          <w:sz w:val="20"/>
        </w:rPr>
        <w:t>EN: Selenoxanthylium Salts─Organic Photocatalysts for Low-Energy Photoredox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1062">
        <w:r>
          <w:rPr>
            <w:color w:val="1155CC"/>
            <w:u w:val="single"/>
          </w:rPr>
          <w:t>10.1021/jacs.6c13607</w:t>
        </w:r>
      </w:hyperlink>
    </w:p>
    <w:p>
      <w:pPr>
        <w:spacing w:before="0" w:after="120"/>
      </w:pPr>
      <w:r>
        <w:rPr>
          <w:b/>
        </w:rPr>
        <w:t xml:space="preserve">Notes: </w:t>
      </w:r>
      <w:r>
        <w:t>abstract_source=crossref</w:t>
      </w:r>
    </w:p>
    <w:p>
      <w:pPr>
        <w:spacing w:before="0" w:after="80" w:lineRule="auto" w:line="276"/>
      </w:pPr>
      <w:r>
        <w:rPr>
          <w:b/>
        </w:rPr>
        <w:t xml:space="preserve">摘要（ZH）: </w:t>
      </w:r>
      <w:r>
        <w:t>摘要 低能有机光氧化还原催化剂的设计主要依赖于π-扩展框架。相对于较轻的硫属元素（O 和 S），将硒掺入 Xanthylium 核心会将吸收转移到红色区域，从而能够使用 650 nm 光源进行催化。硒黄基盐是低能量吸收有机光催化剂，具有明确的激发态拓扑结构，可区分局部激发态和电荷转移态。掺入较重的硫属元素构成了与有机光催化剂中常用的扩展 π 框架互补的设计原则。在红光照射下，催化剂发生还原猝灭，并在高达 5.0 mmol 的规模上运行。催化活性在多种转化中得到证明，包括 [4 + 2] 和 [2 + 2] 环加成、C–H 胺化、硼酸氧化、氮杂亨利反应和三氟甲基化。</w:t>
      </w:r>
    </w:p>
    <w:p>
      <w:pPr>
        <w:spacing w:before="0" w:after="200" w:lineRule="auto" w:line="276"/>
      </w:pPr>
      <w:r>
        <w:rPr>
          <w:b/>
        </w:rPr>
        <w:t xml:space="preserve">Abstract (EN): </w:t>
      </w:r>
      <w:r>
        <w:t>The design of low energy organic photoredox catalysts relies predominantly on π-extended frameworks. Incorporation of selenium into the xanthylium core shifts absorption toward the red region relative to lighter chalcogens (O and S), enabling catalysis with 650 nm light-sources. Selenoxanthylium salts are low-energy-absorbing organic photocatalysts with defined excited-state topology, distinguishing locally excited and charge-transfer states. Incorporation of a heavier chalcogen constitutes a design principle complementary to extended π-frameworks commonly used in organic photocatalysts. Under red-light irradiation, the catalysts engage in reductive quenching and operate on up to 5.0 mmol scale. Catalytic activity is demonstrated across multiple transformations, including [4 + 2] and [2 + 2] cycloadditions, C–H aminations, boronic acid oxidations, aza-Henry reactions, and trifluoromethylations.</w:t>
      </w:r>
    </w:p>
    <w:p>
      <w:pPr>
        <w:spacing w:before="120" w:after="120"/>
      </w:pPr>
      <w:r>
        <w:rPr>
          <w:sz w:val="18"/>
        </w:rPr>
        <w:t>——————————————————————————————————————————————————————————————————————</w:t>
      </w:r>
    </w:p>
    <w:p>
      <w:pPr>
        <w:spacing w:before="160" w:after="40" w:line="240" w:lineRule="auto"/>
      </w:pPr>
      <w:r>
        <w:rPr>
          <w:b/>
        </w:rPr>
        <w:t xml:space="preserve">[255] </w:t>
      </w:r>
      <w:hyperlink r:id="rId1063">
        <w:r>
          <w:rPr>
            <w:color w:val="1155CC"/>
            <w:u w:val="single"/>
          </w:rPr>
          <w:t>晶体取向控制二维磁性异质结构中的接触和自旋光响应</w:t>
        </w:r>
      </w:hyperlink>
    </w:p>
    <w:p>
      <w:pPr>
        <w:spacing w:before="0" w:after="80"/>
      </w:pPr>
      <w:r>
        <w:rPr>
          <w:i/>
          <w:sz w:val="20"/>
        </w:rPr>
        <w:t>EN: Crystallographic Orientation Controls Contact and Spin-Photoresponse in 2D Magnetic Heterostructures</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64">
        <w:r>
          <w:rPr>
            <w:color w:val="1155CC"/>
            <w:u w:val="single"/>
          </w:rPr>
          <w:t>10.1021/acsami.6c08112</w:t>
        </w:r>
      </w:hyperlink>
    </w:p>
    <w:p>
      <w:pPr>
        <w:spacing w:before="0" w:after="120"/>
      </w:pPr>
      <w:r>
        <w:rPr>
          <w:b/>
        </w:rPr>
        <w:t xml:space="preserve">Notes: </w:t>
      </w:r>
      <w:r>
        <w:t>abstract_source=crossref</w:t>
      </w:r>
    </w:p>
    <w:p>
      <w:pPr>
        <w:spacing w:before="0" w:after="80" w:lineRule="auto" w:line="276"/>
      </w:pPr>
      <w:r>
        <w:rPr>
          <w:b/>
        </w:rPr>
        <w:t xml:space="preserve">摘要（ZH）: </w:t>
      </w:r>
      <w:r>
        <w:t>摘要 CrSBr 等二维铁磁半导体具有出色的空气稳定性、强磁各向异性和丰富的磁光耦合，但低效的电接触仍然限制了实际器件中的载流子注入和自旋传输。在这里，我们表明 CrSBr/MnSBr 异质结中的晶体取向提供了对接触类型、内置电场方向、界面电荷转移和自旋相关光电流的原子尺度控制。使用密度泛函理论和非平衡格林函数输运模拟，我们比较了横向（x 型和 y 型）和垂直（z 型）界面。横向异质结通过强界面杂化形成低势垒n型或p型欧姆接触。相反，垂直配置由于弱范德华耦合而产生肖特基势垒。这些依赖于方向的接触直接转化为不同的量子传输和整流行为。在光照下，异质结构表现出强烈的各向异性、自旋极化光电流，具有明显的光谱选择性：平行磁性配置在红外光中显示出明显的光响应，而反平行配置在紫外光中选择性响应。这些结果建立了两个基本设计原则——界面维数决定了欧姆与肖特基特性，磁性配置控制红外/紫外光谱选择性——为可编程自旋光电器件解锁了新的自由度</w:t>
      </w:r>
    </w:p>
    <w:p>
      <w:pPr>
        <w:spacing w:before="0" w:after="200" w:lineRule="auto" w:line="276"/>
      </w:pPr>
      <w:r>
        <w:rPr>
          <w:b/>
        </w:rPr>
        <w:t xml:space="preserve">Abstract (EN): </w:t>
      </w:r>
      <w:r>
        <w:t>Two-dimensional ferromagnetic semiconductors such as CrSBr offer exceptional air stability, strong magnetic anisotropy, and rich magneto-optoelectronic coupling, yet inefficient electrical contacts continue to limit carrier injection and spin transport in practical devices. Here, we show that crystallographic orientation in CrSBr/MnSBr heterojunctions provides atomic-scale control over contact type, the direction of the built-in electric field, interfacial charge transfer, and spin-dependent photocurrent. Using density functional theory and non-equilibrium Green function transport simulations, we compare lateral (x- and y-type) and vertical (z-type) interfaces. Lateral heterojunctions form low-barrier n-type or p-type Ohmic contacts through strong interfacial hybridization. In contrast, the vertical configuration yields a Schottky barrier due to weak van der Waals coupling. These orientation-dependent contacts translate directly into distinct quantum transport and rectification behaviors. Under illumination, the heterostructures exhibit strongly anisotropic, spin-polarized photocurrents with pronounced spectral selectivity: parallel magnetic configurations show a pronounced photoresponse in the infrared, while antiparallel configurations are selectively responsive in the ultraviolet. These results establish two fundamental design principles—interface dimensionality dictates Ohmic versus Schottky character and magnetic configuration controls infrared/ultraviolet spectral selectivity—unlocking a new degree of freedom for programmable spin-optoelectronic devices beyond conventional vertical heterostructures.</w:t>
      </w:r>
    </w:p>
    <w:p>
      <w:pPr>
        <w:spacing w:before="120" w:after="120"/>
      </w:pPr>
      <w:r>
        <w:rPr>
          <w:sz w:val="18"/>
        </w:rPr>
        <w:t>——————————————————————————————————————————————————————————————————————</w:t>
      </w:r>
    </w:p>
    <w:p>
      <w:pPr>
        <w:spacing w:before="160" w:after="40" w:line="240" w:lineRule="auto"/>
      </w:pPr>
      <w:r>
        <w:rPr>
          <w:b/>
        </w:rPr>
        <w:t xml:space="preserve">[256] </w:t>
      </w:r>
      <w:hyperlink r:id="rId1065">
        <w:r>
          <w:rPr>
            <w:color w:val="1155CC"/>
            <w:u w:val="single"/>
          </w:rPr>
          <w:t>磷氮笼自组装单层膜</w:t>
        </w:r>
      </w:hyperlink>
    </w:p>
    <w:p>
      <w:pPr>
        <w:spacing w:before="0" w:after="80"/>
      </w:pPr>
      <w:r>
        <w:rPr>
          <w:i/>
          <w:sz w:val="20"/>
        </w:rPr>
        <w:t>EN: Self-Assembled Monolayers of Phosphorus–Nitrogen Cages</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1066">
        <w:r>
          <w:rPr>
            <w:color w:val="1155CC"/>
            <w:u w:val="single"/>
          </w:rPr>
          <w:t>10.1021/jacs.6c04585</w:t>
        </w:r>
      </w:hyperlink>
    </w:p>
    <w:p>
      <w:pPr>
        <w:spacing w:before="0" w:after="120"/>
      </w:pPr>
      <w:r>
        <w:rPr>
          <w:b/>
        </w:rPr>
        <w:t xml:space="preserve">Notes: </w:t>
      </w:r>
      <w:r>
        <w:t>abstract_source=crossref</w:t>
      </w:r>
    </w:p>
    <w:p>
      <w:pPr>
        <w:spacing w:before="0" w:after="80" w:lineRule="auto" w:line="276"/>
      </w:pPr>
      <w:r>
        <w:rPr>
          <w:b/>
        </w:rPr>
        <w:t xml:space="preserve">摘要（ZH）: </w:t>
      </w:r>
      <w:r>
        <w:t>摘要 本研究采用气相和溶液相方法研究了磷氮 (PN) 笼 P2N6 在 Au 和 Cu 表面上的沉积。 P2N6 笼会完全升华，并在接近 83 °C 时开始挥发，适合气相沉积工艺。 Au 的石英晶体微天平实验表明，自限制吸收 61.1 ng·cm–2，相当于 1.56 ± 0.16 个分子·nm–2，并且与计算的密堆积单层覆盖度密切相关。扫描隧道显微镜揭示了 Au(111) 上长程有序之字形带域的形成，测得的结构密度为 1.55 个分子·nm–2，与 QCM 和建模非常一致。收集了 Au 和 Cu 表面上的 P2N6 的 X 射线光电子能谱，并显示了与完整 PN 笼环境相匹配的 P 2p 和 N 1s 信号。气相沉积后，P2N6 在 Au 上吸附时功函数下降 4.3 至 3.1 eV，Cu 吸附时功函数从 4.2 eV 下降至 3.5 eV，这表明单层形成。值得注意的是，P2N6 在 Cu 上的溶液相沉积过程会导致基板蚀刻，从而确定气相沉积是 Cu 功能化的可靠途径。飞行时间 SIMS 检测到 237 m/z 的分子离子，证实笼保留在表面和特征质量碎片上。图案化 Au/SiO2 和 Cu/SiO2 基板的选择性吸附研究揭示了具有高选择性系数的金属选择性吸附（Au，S = 0.96；Cu，S = 0.93）。这些结果确立了 PN 笼的热稳定性和现代化潜力</w:t>
      </w:r>
    </w:p>
    <w:p>
      <w:pPr>
        <w:spacing w:before="0" w:after="200" w:lineRule="auto" w:line="276"/>
      </w:pPr>
      <w:r>
        <w:rPr>
          <w:b/>
        </w:rPr>
        <w:t xml:space="preserve">Abstract (EN): </w:t>
      </w:r>
      <w:r>
        <w:t>This study investigates the deposition of the phosphorus–nitrogen (PN) cage P2N6 onto Au and Cu surfaces using both vapor-phase and solution-phase methods. The P2N6 cage sublimes cleanly and reaches an onset of volatility near 83 °C, suitable for vapor-phase deposition processes. Quartz crystal microbalance experiments on Au show self-limiting uptake of 61.1 ng·cm–2 that corresponds to 1.56 ± 0.16 molecules·nm–2 and closely aligned with computational close-packed monolayer coverage. Scanning tunneling microscopy reveals the formation of long-range ordered zigzag ribbon domains on Au(111), with a measured structural density of 1.55 molecules·nm–2, in excellent agreement with both the QCM and modeling. X-ray photoelectron spectra were collected of P2N6 on Au and Cu surfaces and displayed P 2p and N 1s signals that match intact PN cage environments. Work functions decreased upon adsorption of 4.3 to 3.1 eV for P2N6 on Au after vapor deposition, and from 4.2 to 3.5 eV for Cu, which indicates monolayer formation. Notably, the solution-phase deposition process of P2N6 on Cu causes substrate etching, identifying vapor deposition as the reliable pathway for Cu functionalization. Time-of-flight SIMS detected 237 m/z of the molecular ion that confirm cage retention on the surface and the characteristic mass fragments. Selective adsorption studies of patterned Au/SiO2 and Cu/SiO2 substrates revealed a metal-selective adsorption with high selectivity coefficients (Au, S = 0.96; Cu, S = 0.93). These results establish PN cages for their potential to be a thermally stable and modular platform for selective surface functionalization, with vapor-phase compatibility.</w:t>
      </w:r>
    </w:p>
    <w:p>
      <w:pPr>
        <w:spacing w:before="120" w:after="120"/>
      </w:pPr>
      <w:r>
        <w:rPr>
          <w:sz w:val="18"/>
        </w:rPr>
        <w:t>——————————————————————————————————————————————————————————————————————</w:t>
      </w:r>
    </w:p>
    <w:p>
      <w:pPr>
        <w:spacing w:before="160" w:after="40" w:line="240" w:lineRule="auto"/>
      </w:pPr>
      <w:r>
        <w:rPr>
          <w:b/>
        </w:rPr>
        <w:t xml:space="preserve">[257] </w:t>
      </w:r>
      <w:hyperlink r:id="rId1067">
        <w:r>
          <w:rPr>
            <w:color w:val="1155CC"/>
            <w:u w:val="single"/>
          </w:rPr>
          <w:t>用于二次调频的住宅负荷聚合：一种基于隐私保护的在线学习方法</w:t>
        </w:r>
      </w:hyperlink>
    </w:p>
    <w:p>
      <w:pPr>
        <w:spacing w:before="0" w:after="80"/>
      </w:pPr>
      <w:r>
        <w:rPr>
          <w:i/>
          <w:sz w:val="20"/>
        </w:rPr>
        <w:t>EN: Residential load aggregation for secondary frequency regulation: A privacy-preserving online learning-based approach</w:t>
      </w:r>
    </w:p>
    <w:p>
      <w:pPr>
        <w:spacing w:before="0" w:after="120"/>
      </w:pPr>
      <w:r>
        <w:rPr>
          <w:b/>
        </w:rPr>
        <w:t xml:space="preserve">Source: </w:t>
      </w:r>
      <w:r>
        <w:t>ScienceDirect Publication: Applied Energy</w:t>
      </w:r>
      <w:r>
        <w:t xml:space="preserve">    </w:t>
      </w:r>
      <w:r>
        <w:rPr>
          <w:b/>
        </w:rPr>
        <w:t xml:space="preserve">Pub date: </w:t>
      </w:r>
      <w:r>
        <w:t>2026-08-10 00:00:00+00:00</w:t>
      </w:r>
      <w:r>
        <w:t xml:space="preserve">    </w:t>
      </w:r>
      <w:r>
        <w:rPr>
          <w:b/>
        </w:rPr>
        <w:t xml:space="preserve">DOI: </w:t>
      </w:r>
      <w:hyperlink r:id="rId1068">
        <w:r>
          <w:rPr>
            <w:color w:val="1155CC"/>
            <w:u w:val="single"/>
          </w:rPr>
          <w:t>10.1016/j.apenergy.2026.128613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[258] </w:t>
      </w:r>
      <w:hyperlink r:id="rId1069">
        <w:r>
          <w:rPr>
            <w:color w:val="1155CC"/>
            <w:u w:val="single"/>
          </w:rPr>
          <w:t>CuCrP2S6 中具有可调波动性的速率可编程界面电阻开关</w:t>
        </w:r>
      </w:hyperlink>
    </w:p>
    <w:p>
      <w:pPr>
        <w:spacing w:before="0" w:after="80"/>
      </w:pPr>
      <w:r>
        <w:rPr>
          <w:i/>
          <w:sz w:val="20"/>
        </w:rPr>
        <w:t>EN: Rate-Programmable Interfacial Resistive Switching with Tunable Volatility in CuCrP2S6</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70">
        <w:r>
          <w:rPr>
            <w:color w:val="1155CC"/>
            <w:u w:val="single"/>
          </w:rPr>
          <w:t>10.1021/acsami.6c04417</w:t>
        </w:r>
      </w:hyperlink>
    </w:p>
    <w:p>
      <w:pPr>
        <w:spacing w:before="0" w:after="120"/>
      </w:pPr>
      <w:r>
        <w:rPr>
          <w:b/>
        </w:rPr>
        <w:t xml:space="preserve">Notes: </w:t>
      </w:r>
      <w:r>
        <w:t>abstract_source=crossref</w:t>
      </w:r>
    </w:p>
    <w:p>
      <w:pPr>
        <w:spacing w:before="0" w:after="80" w:lineRule="auto" w:line="276"/>
      </w:pPr>
      <w:r>
        <w:rPr>
          <w:b/>
        </w:rPr>
        <w:t xml:space="preserve">摘要（ZH）: </w:t>
      </w:r>
      <w:r>
        <w:t>摘要 金属硫代磷酸盐由于其可接近的极性相和生物相关时间尺度上的离子动力学而成为神经形态电子学的多功能材料平台。虽然这些材料中的电阻切换通常归因于铁电或反铁电极化，但离子动力学的内在作用仍未得到充分探索。在这里，我们分离并演示了纯由顺电 CuCrP2S6 中的离子跳跃驱动的界面电阻开关。在没有可测量的铁电性的情况下观察到鲁棒且可再现的电阻切换。电导可以通过电压幅度和扫描速率进行调节，揭示离子动力学的速率依赖性特征。由此产生的电阻状态表现出可控的波动性，其中切换速率决定了读出电流的衰减时间常数，归因于离子弛豫。使用惰性或反应性电极，我们观察到与天然 Cu+ 离子的界面还原相关的固态氧化还原活性的电学证据，从而能够控制丝状传导通路的形成。对该过程的分析可以提取 Cu+ 扩散系数，从而定量了解潜在的传输动力学。了解 CuCrP2S6 中基于离子氧化还原的电阻开关对于充分发挥其作为双模或多模操作材料平台的潜力至关重要。</w:t>
      </w:r>
    </w:p>
    <w:p>
      <w:pPr>
        <w:spacing w:before="0" w:after="200" w:lineRule="auto" w:line="276"/>
      </w:pPr>
      <w:r>
        <w:rPr>
          <w:b/>
        </w:rPr>
        <w:t xml:space="preserve">Abstract (EN): </w:t>
      </w:r>
      <w:r>
        <w:t>Metal thiophosphates are emerging as a multifunctional material platform for neuromorphic electronics due to their accessible polar phases and ion dynamics on biologically relevant timescales. While resistive switching in these materials is frequently attributed to ferroelectric or antiferroelectric polarization, the intrinsic role of ion dynamics remains underexplored. Here, we isolate and demonstrate interfacial resistive switching driven purely by ionic hopping in paraelectric CuCrP2S6. Robust and reproducible resistive switching is observed in the absence of measurable ferroelectricity. The conductance can be tuned through both voltage amplitude and sweep rate, revealing a rate dependence characteristic of ion dynamics. The resulting resistance states exhibit controllable volatility, where the switching rate determines the decay time constant of the readout current, attributed to ionic relaxation. Using either inert or reactive electrodes, we observe electrical evidence of solid-state redox activity associated with the interfacial reduction of native Cu+ ions, enabling the controlled formation of filamentary conduction pathways. Analysis of this process allows the extraction of the Cu+ diffusion coefficient, providing quantitative insight into the underlying transport kinetics. The understanding of ionic-redox-based resistive switching in CuCrP2S6 is crucial for unleashing its full potential as a material platform for dual- or multi-mode operation.</w:t>
      </w:r>
    </w:p>
    <w:p>
      <w:pPr>
        <w:spacing w:before="120" w:after="120"/>
      </w:pPr>
      <w:r>
        <w:rPr>
          <w:sz w:val="18"/>
        </w:rPr>
        <w:t>——————————————————————————————————————————————————————————————————————</w:t>
      </w:r>
    </w:p>
    <w:p>
      <w:pPr>
        <w:spacing w:before="160" w:after="40" w:line="240" w:lineRule="auto"/>
      </w:pPr>
      <w:r>
        <w:rPr>
          <w:b/>
        </w:rPr>
        <w:t xml:space="preserve">[259] </w:t>
      </w:r>
      <w:hyperlink r:id="rId1071">
        <w:r>
          <w:rPr>
            <w:color w:val="1155CC"/>
            <w:u w:val="single"/>
          </w:rPr>
          <w:t>在 VO2 上演示的室温自由基络合湿法蚀刻化学</w:t>
        </w:r>
      </w:hyperlink>
    </w:p>
    <w:p>
      <w:pPr>
        <w:spacing w:before="0" w:after="80"/>
      </w:pPr>
      <w:r>
        <w:rPr>
          <w:i/>
          <w:sz w:val="20"/>
        </w:rPr>
        <w:t>EN: Room-Temperature Radical–Complexation Wet Etch Chemistry Demonstrated on VO2</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72">
        <w:r>
          <w:rPr>
            <w:color w:val="1155CC"/>
            <w:u w:val="single"/>
          </w:rPr>
          <w:t>10.1021/acsami.6c11371</w:t>
        </w:r>
      </w:hyperlink>
    </w:p>
    <w:p>
      <w:pPr>
        <w:spacing w:before="0" w:after="120"/>
      </w:pPr>
      <w:r>
        <w:rPr>
          <w:b/>
        </w:rPr>
        <w:t xml:space="preserve">Notes: </w:t>
      </w:r>
      <w:r>
        <w:t>abstract_source=crossref</w:t>
      </w:r>
    </w:p>
    <w:p>
      <w:pPr>
        <w:spacing w:before="0" w:after="80" w:lineRule="auto" w:line="276"/>
      </w:pPr>
      <w:r>
        <w:rPr>
          <w:b/>
        </w:rPr>
        <w:t xml:space="preserve">摘要（ZH）: </w:t>
      </w:r>
      <w:r>
        <w:t>摘要 尽管金属氧化物器件技术取得了进步，但蚀刻策略仍然受到在低热预算下实现高图案保真度的困难的限制。在这里，我们提出了一种基于 HCl/H2O2 系统的 VO2 薄膜的室温湿法蚀刻策略，该系统将自由基辅助氧化与氯化物络合结合起来。在这种化学反应中，H2O2 促进低势垒氧化，而氯化物络合则促进氧化钒物质的持续溶解，从而无需外部热活化即可有效去除材料。与传统的 APS 和 HF/HNO3 蚀刻剂相比，HCl/H2O2 系统实现了 5.64 nm min-1 的高 VO2 蚀刻速率，VO2 与蓝宝石衬底的选择性为 806:1，总横向宽度损失最小化为 0.47 µm，相当于选择性增加了约 2.7–2.9 倍，横向宽度减少了约 1.8–2.0 倍。损失。结构、形态和电学分析支持蚀刻后保留 VO2 的固有特性。器件级测量进一步表明，改进的蚀刻质量降低了开关可变性，与传统蚀刻工艺相比，开关可变性降低了约 38%，特别是在沟道宽度减小的情况下。更重要的是，这些结果为氧化物电子学建立了直接的工艺-结构-器件关系，展示了机制驱动的湿化学如何同时提高图案保真度、材料保存和器件再现性。这项工作为设计功能性氧化物器件中可靠的制造工艺提供了一个实用的框架。</w:t>
      </w:r>
    </w:p>
    <w:p>
      <w:pPr>
        <w:spacing w:before="0" w:after="200" w:lineRule="auto" w:line="276"/>
      </w:pPr>
      <w:r>
        <w:rPr>
          <w:b/>
        </w:rPr>
        <w:t xml:space="preserve">Abstract (EN): </w:t>
      </w:r>
      <w:r>
        <w:t>Despite advances in metal oxide device technology, etching strategies remain limited by the difficulty of achieving high pattern fidelity under low thermal budgets. Here, we present a room-temperature wet etching strategy for VO2 thin films based on a HCl/H2O2 system that couples radical-assisted oxidation with chloride complexation. In this chemistry, H2O2 promotes low-barrier oxidation, while chloride complexation facilitates the continuous dissolution of oxidized vanadium species, enabling efficient material removal without external thermal activation. Compared with conventional APS and HF/HNO3 etchants, the HCl/H2O2 system achieves a high VO2 etch rate of 5.64 nm min–1, a VO2-to-sapphire substrate selectivity of 806:1, and a minimized total lateral width loss of 0.47 µm, corresponding to a ∼2.7–2.9× increase in selectivity and a ∼1.8–2.0× reduction in lateral loss. Structural, morphological, and electrical analyses support the preservation of intrinsic VO2 properties after etching. Device-level measurements further show that improved etching quality reduces switching variability, with up to ∼38% reduction compared with conventional etching processes, particularly at reduced channel widths. More importantly, these results establish a direct process–structure–device relationship for oxide electronics, demonstrating how mechanism-driven wet chemistry can simultaneously improve pattern fidelity, material preservation, and device reproducibility. This work provides a practical framework for designing reliable fabrication processes in functional oxide devices.</w:t>
      </w:r>
    </w:p>
    <w:p>
      <w:pPr>
        <w:spacing w:before="120" w:after="120"/>
      </w:pPr>
      <w:r>
        <w:rPr>
          <w:sz w:val="18"/>
        </w:rPr>
        <w:t>——————————————————————————————————————————————————————————————————————</w:t>
      </w:r>
    </w:p>
    <w:p>
      <w:pPr>
        <w:spacing w:before="160" w:after="40" w:line="240" w:lineRule="auto"/>
      </w:pPr>
      <w:r>
        <w:rPr>
          <w:b/>
        </w:rPr>
        <w:t xml:space="preserve">[260] </w:t>
      </w:r>
      <w:hyperlink r:id="rId1073">
        <w:r>
          <w:rPr>
            <w:color w:val="1155CC"/>
            <w:u w:val="single"/>
          </w:rPr>
          <w:t>通过光刻诱导的湿度可切换自组装多层实现可持续可逆图案化</w:t>
        </w:r>
      </w:hyperlink>
    </w:p>
    <w:p>
      <w:pPr>
        <w:spacing w:before="0" w:after="80"/>
      </w:pPr>
      <w:r>
        <w:rPr>
          <w:i/>
          <w:sz w:val="20"/>
        </w:rPr>
        <w:t>EN: Sustainable Reversible Patterning via Humidity-Switchable Self-Assembled Multilayers Induced by Photolithography</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74">
        <w:r>
          <w:rPr>
            <w:color w:val="1155CC"/>
            <w:u w:val="single"/>
          </w:rPr>
          <w:t>10.1021/acsami.6c10022</w:t>
        </w:r>
      </w:hyperlink>
    </w:p>
    <w:p>
      <w:pPr>
        <w:spacing w:before="0" w:after="120"/>
      </w:pPr>
      <w:r>
        <w:rPr>
          <w:b/>
        </w:rPr>
        <w:t xml:space="preserve">Notes: </w:t>
      </w:r>
      <w:r>
        <w:t>abstract_source=crossref</w:t>
      </w:r>
    </w:p>
    <w:p>
      <w:pPr>
        <w:spacing w:before="0" w:after="80" w:lineRule="auto" w:line="276"/>
      </w:pPr>
      <w:r>
        <w:rPr>
          <w:b/>
        </w:rPr>
        <w:t xml:space="preserve">摘要（ZH）: </w:t>
      </w:r>
      <w:r>
        <w:t>摘要 光刻在复杂图案的制造中起着至关重要的作用。兼具光刻能力和刺激响应特性的材料能够实现动态且可控的信息处理。在这项工作中，通过使用光刻胶作为光响应层和聚乙烯亚胺（PEI）作为附加层获得了具有光刻特性的自组装材料。有趣的是，基于甲基丙烯酸2-硝基苄酯合成的光刻胶经历了结构转变，形成聚丙烯酸（PAA）结构。因此，在光刻之后，可以在暴露区域选择性地形成PEI/PAA结构。暴露和非暴露区域的结构表现出不同的湿度响应行为；从而实现光刻信息的动态可控处理。与强酸/碱或紫外光环境下的其他刺激响应过程不同，这些湿度响应过程具有条件温和、环境友好的优点。这种基于与H2O相互作用的动态可控过程是非破坏性的，可以实现长期循环。此外，硝基苄基光刻胶对 254 nm 和电子束光刻 (EBL) 表现出优异的响应性，最终实现了 40 nm 的最高分辨率。使用紫外可见 (UV-vis) 光谱、傅里叶变换红外 (FT-IR) 光谱和 X 射线照片研究了光刻过程中发生的结构变化</w:t>
      </w:r>
    </w:p>
    <w:p>
      <w:pPr>
        <w:spacing w:before="0" w:after="200" w:lineRule="auto" w:line="276"/>
      </w:pPr>
      <w:r>
        <w:rPr>
          <w:b/>
        </w:rPr>
        <w:t xml:space="preserve">Abstract (EN): </w:t>
      </w:r>
      <w:r>
        <w:t>Lithography plays a crucial role in the fabrication of intricate patterns. Materials that possess both lithographic capabilities and stimuli-responsive characteristics enable the realization of dynamic and controllable information processing. In this work, a self-assembled material with lithographic characteristics was obtained by using a photoresist as the photo-responsive layer and polyethyleneimine (PEI) as the additional layer. Interestingly, the synthesized photoresist based on 2-nitro-benzyl methacrylate undergoes a structural transition to form a polyacrylic acid (PAA) structure. Consequently, after lithography, the PEI/PAA structure could be selectively formed in the exposed areas. The structures in the exposed and non-exposed areas exhibit different humidity-responsive behaviors; thus, dynamic and controllable processing of lithographic information can be achieved. Unlike other stimuli-responsive processes under strong acid/base or ultraviolet light environments, these humidity-responsive processes have the advantages of mild conditions and environmental friendliness. This dynamic and controllable process based on the interaction with H2O is non-destructive and can achieve long-term cycling. Moreover, the nitrobenzyl-based photoresist exhibited excellent responsivity to 254 nm and electron-beam lithography (EBL), ultimately achieving a highest resolution of 40 nm. The structural changes occurring during the lithography process were investigated using ultraviolet–visible (UV–vis) spectroscopy, Fourier-transform infrared (FT-IR) spectroscopy, and X-ray photoelectron spectroscopy (XPS). The integration of lithography technique and responsive materials provides a novel approach for achieving dynamic and controllable information manipulation, with significant potential for diverse applications.</w:t>
      </w:r>
    </w:p>
    <w:p>
      <w:pPr>
        <w:spacing w:before="120" w:after="120"/>
      </w:pPr>
      <w:r>
        <w:rPr>
          <w:sz w:val="18"/>
        </w:rPr>
        <w:t>——————————————————————————————————————————————————————————————————————</w:t>
      </w:r>
    </w:p>
    <w:p>
      <w:pPr>
        <w:spacing w:before="160" w:after="40" w:line="240" w:lineRule="auto"/>
      </w:pPr>
      <w:r>
        <w:rPr>
          <w:b/>
        </w:rPr>
        <w:t xml:space="preserve">[261] </w:t>
      </w:r>
      <w:hyperlink r:id="rId1075">
        <w:r>
          <w:rPr>
            <w:color w:val="1155CC"/>
            <w:u w:val="single"/>
          </w:rPr>
          <w:t>用于防污应用的液态金属复合离子液体水凝胶的制备</w:t>
        </w:r>
      </w:hyperlink>
    </w:p>
    <w:p>
      <w:pPr>
        <w:spacing w:before="0" w:after="80"/>
      </w:pPr>
      <w:r>
        <w:rPr>
          <w:i/>
          <w:sz w:val="20"/>
        </w:rPr>
        <w:t>EN: Fabrication of Liquid Metal Composite Ionic Liquid Hydrogels for Antifouling Application</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76">
        <w:r>
          <w:rPr>
            <w:color w:val="1155CC"/>
            <w:u w:val="single"/>
          </w:rPr>
          <w:t>10.1021/acsami.6c09270</w:t>
        </w:r>
      </w:hyperlink>
    </w:p>
    <w:p>
      <w:pPr>
        <w:spacing w:before="0" w:after="120"/>
      </w:pPr>
      <w:r>
        <w:rPr>
          <w:b/>
        </w:rPr>
        <w:t xml:space="preserve">Notes: </w:t>
      </w:r>
      <w:r>
        <w:t>abstract_source=crossref</w:t>
      </w:r>
    </w:p>
    <w:p>
      <w:pPr>
        <w:spacing w:before="0" w:after="80" w:lineRule="auto" w:line="276"/>
      </w:pPr>
      <w:r>
        <w:rPr>
          <w:b/>
        </w:rPr>
        <w:t xml:space="preserve">摘要（ZH）: </w:t>
      </w:r>
      <w:r>
        <w:t>摘要 海洋生物污垢仍然是海事工业的一个主要挑战，推动了对低毒性和耐用防污涂料的需求。在此，我们提出了一种复合水凝胶涂层（IL-GLM@Gel），其通过将镓基液态金属（GLM）纳米液滴和卤化离子液体（[Bmim]·ZnCl2）集成在聚（丙烯酰胺-共-丙烯酸）水凝胶基质中而构建。首先通过原位聚合将 GLM 纳米液滴均匀分散并固定在水凝胶内，然后进行溶剂交换以引入离子液体。 SEM表明，所得IL-GLM@Gel涂层呈现出致密交联的网络结构，并表现出出色的协同防污性能。对大肠杆菌和金黄色葡萄球菌的抗菌率分别为 96.6% 和 99.2%，对杜氏藻和紫球藻的除藻率分别为 90.6% 和 98.1%。性能的增强归因于 Ga3+ 诱导的氧化应激和咪唑鎓阳离子引起的膜破坏的综合作用。此外，该涂层还具有环境稳定性，包括低水膨胀率（3.7%）、可调节的机械性能（基于 Fe3+ 的 IL 的拉伸应力高达 0.36 MPa，基于 Zn2+ 的 IL 的应变高达 957%）、优异的保水性和 0.045 的低摩擦系数。总的来说，这项工作为潜在的长期海洋防污应用的高性能、多功能水凝胶涂层的设计提供了一种有前景的策略。</w:t>
      </w:r>
    </w:p>
    <w:p>
      <w:pPr>
        <w:spacing w:before="0" w:after="200" w:lineRule="auto" w:line="276"/>
      </w:pPr>
      <w:r>
        <w:rPr>
          <w:b/>
        </w:rPr>
        <w:t xml:space="preserve">Abstract (EN): </w:t>
      </w:r>
      <w:r>
        <w:t>Marine biofouling remains a major challenge for maritime industries, driving the need for low‑toxicity and durable antifouling coatings. Herein, we present a composite hydrogel coating (IL-GLM@Gel) constructed by integrating gallium-based liquid metal (GLM) nanodroplets and a halogenated ionic liquid ([Bmim]·ZnCl2) within a poly(acrylamide-co-acrylic acid) hydrogel matrix. The GLM nanodroplets were first uniformly dispersed and immobilized within the hydrogel via in situ polymerization, followed by solvent exchange to introduce the ionic liquid. The resulting IL-GLM@Gel coating exhibits a densely crosslinked network structure, as indicated by SEM, and demonstrates outstanding synergistic antifouling properties. It achieves antibacterial rates of 96.6% against E. coli and 99.2% against S. aureus, along with algal removal rates of 90.6% for Dunaliella and 98.1% for Porphyridium. The enhanced performance is attributed to the combined effects of Ga3+-induced oxidative stress and the membrane disruption caused by the imidazolium cations. Furthermore, the coating displays environmental stability, including a low water swelling ratio (3.7%), tunable mechanical properties (tensile stress up to 0.36 MPa for Fe3+-based IL and strain up to 957% for Zn2+-based IL), superior water retention, and a low friction coefficient of 0.045. Overall, this work presents a promising strategy for the design of high-performance, multifunctional hydrogel coatings for potential long-term marine antifouling applications.</w:t>
      </w:r>
    </w:p>
    <w:p>
      <w:pPr>
        <w:spacing w:before="120" w:after="120"/>
      </w:pPr>
      <w:r>
        <w:rPr>
          <w:sz w:val="18"/>
        </w:rPr>
        <w:t>——————————————————————————————————————————————————————————————————————</w:t>
      </w:r>
    </w:p>
    <w:p>
      <w:pPr>
        <w:spacing w:before="160" w:after="40" w:line="240" w:lineRule="auto"/>
      </w:pPr>
      <w:r>
        <w:rPr>
          <w:b/>
        </w:rPr>
        <w:t xml:space="preserve">[262] </w:t>
      </w:r>
      <w:hyperlink r:id="rId1077">
        <w:r>
          <w:rPr>
            <w:color w:val="1155CC"/>
            <w:u w:val="single"/>
          </w:rPr>
          <w:t>适用于高功率应用的长寿命涡轮层石墨烯场发射器</w:t>
        </w:r>
      </w:hyperlink>
    </w:p>
    <w:p>
      <w:pPr>
        <w:spacing w:before="0" w:after="80"/>
      </w:pPr>
      <w:r>
        <w:rPr>
          <w:i/>
          <w:sz w:val="20"/>
        </w:rPr>
        <w:t>EN: Long-Lifespan Turbostratic Graphene Field Emitters for High-Power Applications</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78">
        <w:r>
          <w:rPr>
            <w:color w:val="1155CC"/>
            <w:u w:val="single"/>
          </w:rPr>
          <w:t>10.1021/acsami.6c07423</w:t>
        </w:r>
      </w:hyperlink>
    </w:p>
    <w:p>
      <w:pPr>
        <w:spacing w:before="0" w:after="120"/>
      </w:pPr>
      <w:r>
        <w:rPr>
          <w:b/>
        </w:rPr>
        <w:t xml:space="preserve">Notes: </w:t>
      </w:r>
      <w:r>
        <w:t>abstract_source=crossref</w:t>
      </w:r>
    </w:p>
    <w:p>
      <w:pPr>
        <w:spacing w:before="0" w:after="80" w:lineRule="auto" w:line="276"/>
      </w:pPr>
      <w:r>
        <w:rPr>
          <w:b/>
        </w:rPr>
        <w:t xml:space="preserve">摘要（ZH）: </w:t>
      </w:r>
      <w:r>
        <w:t>摘要 冷阴极提供无需加热器、可即时切换的电子源，但传统的尖头设计通常会在连续热负载下性能退化，从而限制了高功率应用。我们通过独立式边缘发射乱层石墨烯薄膜 (GF) 克服了这一问题。其乱层堆叠层通过氧化石墨烯的溶液相预凝胶化组装，然后进行热修复和致密化。 300 nm 厚、1 cm 宽的 GF 发射边缘可维持 1.5 mA (52 A cm–2) 直流电流 588 小时，且降解率极低，低于 0.042% h–1。在相似的电流密度下，这种耐用性比以前的碳阴极好一个数量级。该性能满足现代高功率真空电子应用的关键要求。我们经济高效、可扩展的架构将纳米级场增强与宏观热管理结合起来，显着拓宽了冷阴极应用。</w:t>
      </w:r>
    </w:p>
    <w:p>
      <w:pPr>
        <w:spacing w:before="0" w:after="200" w:lineRule="auto" w:line="276"/>
      </w:pPr>
      <w:r>
        <w:rPr>
          <w:b/>
        </w:rPr>
        <w:t xml:space="preserve">Abstract (EN): </w:t>
      </w:r>
      <w:r>
        <w:t>Cold cathodes offer heater-free, instantly switchable electron sources, but conventional sharp-tip designs often degrade under continuous thermal loads, limiting high-power applications. We overcome this with a freestanding, edge-emitting turbostratic graphene film (GF). Its turbostratic stacked layers are assembled via solution-phase pre-gelation of graphene oxide, followed by thermal restoration and densification. A 300 nm-thick, 1 cm-wide GF emission edge can sustain 1.5 mA (52 A cm–2) DC current for 588 h, with an exceptionally low degradation rate below 0.042% h–1. This durability is an order of magnitude better than previous carbon cathodes at similar current densities. This performance meets critical requirements for modern high-power vacuum electron applications. Our cost-effective, scalable architecture bridges nanoscopic field enhancement with macroscopic heat management, significantly broadening cold cathode applications.</w:t>
      </w:r>
    </w:p>
    <w:p>
      <w:pPr>
        <w:spacing w:before="120" w:after="120"/>
      </w:pPr>
      <w:r>
        <w:rPr>
          <w:sz w:val="18"/>
        </w:rPr>
        <w:t>——————————————————————————————————————————————————————————————————————</w:t>
      </w:r>
    </w:p>
    <w:p>
      <w:pPr>
        <w:spacing w:before="160" w:after="40" w:line="240" w:lineRule="auto"/>
      </w:pPr>
      <w:r>
        <w:rPr>
          <w:b/>
        </w:rPr>
        <w:t xml:space="preserve">[263] </w:t>
      </w:r>
      <w:hyperlink r:id="rId1079">
        <w:r>
          <w:rPr>
            <w:color w:val="1155CC"/>
            <w:u w:val="single"/>
          </w:rPr>
          <w:t>0D/3D 稀土卤化物异质结构中的电荷转移工程可实现可调谐、高效的白光发光二极管</w:t>
        </w:r>
      </w:hyperlink>
    </w:p>
    <w:p>
      <w:pPr>
        <w:spacing w:before="0" w:after="80"/>
      </w:pPr>
      <w:r>
        <w:rPr>
          <w:i/>
          <w:sz w:val="20"/>
        </w:rPr>
        <w:t>EN: Charge-Transfer Engineering in 0D/3D Rare-Earth Halide Heterostructures Enables Tunable and Efficient White Light-Emitting Diodes</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80">
        <w:r>
          <w:rPr>
            <w:color w:val="1155CC"/>
            <w:u w:val="single"/>
          </w:rPr>
          <w:t>10.1021/acsami.6c12186</w:t>
        </w:r>
      </w:hyperlink>
    </w:p>
    <w:p>
      <w:pPr>
        <w:spacing w:before="0" w:after="120"/>
      </w:pPr>
      <w:r>
        <w:rPr>
          <w:b/>
        </w:rPr>
        <w:t xml:space="preserve">Notes: </w:t>
      </w:r>
      <w:r>
        <w:t>abstract_source=crossref</w:t>
      </w:r>
    </w:p>
    <w:p>
      <w:pPr>
        <w:spacing w:before="0" w:after="80" w:lineRule="auto" w:line="276"/>
      </w:pPr>
      <w:r>
        <w:rPr>
          <w:b/>
        </w:rPr>
        <w:t xml:space="preserve">摘要（ZH）: </w:t>
      </w:r>
      <w:r>
        <w:t>摘要：无铅稀土金属卤化物对于固态白光 LED 具有广阔的前景，但高效且光谱可调的白光发射仍然具有挑战性。在此，我们采用Ag+离子的原位合金化策略设计并合成了掺杂Bi3+离子的0D/3D（Cs3LuCl6/Cs2AgLuCl6）稀土卤化物异质结构。有利的 I 型能带排列和内置电场驱动有效的界面电荷转移，从而显着促进辐射复合。该异质结构在440和590 nm处产生双峰自陷激子发射，光致发光量子产率高达92.12%。通过调节 Bi3+ 掺杂浓度，可以在白光区域连续调节相关色温。相应的荧光粉转换白光LED实现了超过90的显色指数、优异的热稳定性以及工作100小时后90%的亮度保持率。这些发现为固态照明用高性能白光发光材料的设计和制造提供了新的见解。</w:t>
      </w:r>
    </w:p>
    <w:p>
      <w:pPr>
        <w:spacing w:before="0" w:after="200" w:lineRule="auto" w:line="276"/>
      </w:pPr>
      <w:r>
        <w:rPr>
          <w:b/>
        </w:rPr>
        <w:t xml:space="preserve">Abstract (EN): </w:t>
      </w:r>
      <w:r>
        <w:t>Lead-free rare-earth metal halides hold great promise for solid-state white-light LEDs, yet efficient and spectrally tunable white emission remains challenging. Herein, we adopt an in situ alloying strategy with Ag+ ions to design and synthesize a 0D/3D (Cs3LuCl6/Cs2AgLuCl6) rare-earth halide heterostructure doped with Bi3+ ions. The favorable type-I band alignment and built-in electric field drive efficient interfacial charge transfer, thereby significantly boosting radiative recombination. The heterostructure yields dual-peak self-trapped exciton emissions at 440 and 590 nm, with a photoluminescence quantum yield of up to 92.12%. By tuning the Bi3+ doping concentration, the correlated color temperature can be continuously tuned across the white-light region. The corresponding phosphor-converted white LEDs achieve a color rendering index exceeding 90, excellent thermal stability, and 90% luminance retention after 100 h of operation. These findings provide new insights into the design and fabrication of high-performance white light-emitting luminescent materials for solid-state lighting.</w:t>
      </w:r>
    </w:p>
    <w:p>
      <w:pPr>
        <w:spacing w:before="120" w:after="120"/>
      </w:pPr>
      <w:r>
        <w:rPr>
          <w:sz w:val="18"/>
        </w:rPr>
        <w:t>——————————————————————————————————————————————————————————————————————</w:t>
      </w:r>
    </w:p>
    <w:p>
      <w:pPr>
        <w:spacing w:before="160" w:after="40" w:line="240" w:lineRule="auto"/>
      </w:pPr>
      <w:r>
        <w:rPr>
          <w:b/>
        </w:rPr>
        <w:t xml:space="preserve">[264] </w:t>
      </w:r>
      <w:hyperlink r:id="rId1081">
        <w:r>
          <w:rPr>
            <w:color w:val="1155CC"/>
            <w:u w:val="single"/>
          </w:rPr>
          <w:t>使用共价适体靶向适应性和先天免疫反应</w:t>
        </w:r>
      </w:hyperlink>
    </w:p>
    <w:p>
      <w:pPr>
        <w:spacing w:before="0" w:after="80"/>
      </w:pPr>
      <w:r>
        <w:rPr>
          <w:i/>
          <w:sz w:val="20"/>
        </w:rPr>
        <w:t>EN: Targeting Adaptive and Innate Immune Responses with Covalent Aptamers</w:t>
      </w:r>
    </w:p>
    <w:p>
      <w:pPr>
        <w:spacing w:before="0" w:after="120"/>
      </w:pPr>
      <w:r>
        <w:rPr>
          <w:b/>
        </w:rPr>
        <w:t xml:space="preserve">Source: </w:t>
      </w:r>
      <w:r>
        <w:t>Journal of the American Chemical Society: Latest Articles (ACS Publications)</w:t>
      </w:r>
      <w:r>
        <w:t xml:space="preserve">    </w:t>
      </w:r>
      <w:r>
        <w:rPr>
          <w:b/>
        </w:rPr>
        <w:t xml:space="preserve">Pub date: </w:t>
      </w:r>
      <w:r>
        <w:t>2026-08-10 00:00:00+00:00</w:t>
      </w:r>
      <w:r>
        <w:t xml:space="preserve">    </w:t>
      </w:r>
      <w:r>
        <w:rPr>
          <w:b/>
        </w:rPr>
        <w:t xml:space="preserve">DOI: </w:t>
      </w:r>
      <w:hyperlink r:id="rId1082">
        <w:r>
          <w:rPr>
            <w:color w:val="1155CC"/>
            <w:u w:val="single"/>
          </w:rPr>
          <w:t>10.1021/jacs.6c10475</w:t>
        </w:r>
      </w:hyperlink>
    </w:p>
    <w:p>
      <w:pPr>
        <w:spacing w:before="0" w:after="120"/>
      </w:pPr>
      <w:r>
        <w:rPr>
          <w:b/>
        </w:rPr>
        <w:t xml:space="preserve">Notes: </w:t>
      </w:r>
      <w:r>
        <w:t>abstract_source=crossref</w:t>
      </w:r>
    </w:p>
    <w:p>
      <w:pPr>
        <w:spacing w:before="0" w:after="80" w:lineRule="auto" w:line="276"/>
      </w:pPr>
      <w:r>
        <w:rPr>
          <w:b/>
        </w:rPr>
        <w:t xml:space="preserve">摘要（ZH）: </w:t>
      </w:r>
      <w:r>
        <w:t>摘要 共价适体最近作为将标记快速选择性转移至靶蛋白的工具已取得初步成功。在这里，靶向蛋白酪氨酸激酶 7 (PTK7) 和间充质上皮转化因子 (cMet) 的适体用能够共价转移小分子免疫招募剂的亲电子试剂进行功能化。利用生物素转移，利用适体触发通用抗生物素嵌合抗原受体 (CAR) T 细胞的激活，从而选择性裂解 PTK7 和 cMet 阳性细胞。此外，合成了 2,4-二硝基苯基 (DNP) 半抗原转移的可裂解亲电子试剂，并将其用于细胞表面 PTK7 和 cMet 的选择性修饰。 DNP 修饰引发补体依赖性细胞毒性 (CDC) 的选择性激活。这些结果证明了共价适体作为免疫激活剂和癌细胞杀死剂的潜力。</w:t>
      </w:r>
    </w:p>
    <w:p>
      <w:pPr>
        <w:spacing w:before="0" w:after="200" w:lineRule="auto" w:line="276"/>
      </w:pPr>
      <w:r>
        <w:rPr>
          <w:b/>
        </w:rPr>
        <w:t xml:space="preserve">Abstract (EN): </w:t>
      </w:r>
      <w:r>
        <w:t>Covalent aptamers have recently found initial success as tools for fast and selective transfer of labels to target proteins. Here, aptamers targeting protein tyrosine kinase 7 (PTK7) and the mesenchymal-epithelial transition factor (cMet) were functionalized with electrophiles capable of covalently transferring small-molecule immune recruiters. Capitalizing on biotin transfer, aptamers were utilized to trigger activation of universal anti-biotin chimeric antigen receptor (CAR) T cells resulting in selective lysis of PTK7- and cMet-positive cells. Additionally, a cleavable electrophile of 2,4-dinitrophenyl (DNP) hapten transfer was synthesized and utilized for the selective modification of cell surface PTK7 and cMet. The DNP modification elicited the selective activation of complement-dependent cytotoxicity (CDC). These results demonstrate the potential of covalent aptamers as immune-activating and cancer-cell-killing agents.</w:t>
      </w:r>
    </w:p>
    <w:p>
      <w:pPr>
        <w:spacing w:before="120" w:after="120"/>
      </w:pPr>
      <w:r>
        <w:rPr>
          <w:sz w:val="18"/>
        </w:rPr>
        <w:t>——————————————————————————————————————————————————————————————————————</w:t>
      </w:r>
    </w:p>
    <w:p>
      <w:pPr>
        <w:spacing w:before="160" w:after="40" w:line="240" w:lineRule="auto"/>
      </w:pPr>
      <w:r>
        <w:rPr>
          <w:b/>
        </w:rPr>
        <w:t xml:space="preserve">[265] </w:t>
      </w:r>
      <w:hyperlink r:id="rId1083">
        <w:r>
          <w:rPr>
            <w:color w:val="1155CC"/>
            <w:u w:val="single"/>
          </w:rPr>
          <w:t>用于多参数测压的超宽范围压力可调 CaZrO3:Ce3+ 发光</w:t>
        </w:r>
      </w:hyperlink>
    </w:p>
    <w:p>
      <w:pPr>
        <w:spacing w:before="0" w:after="80"/>
      </w:pPr>
      <w:r>
        <w:rPr>
          <w:i/>
          <w:sz w:val="20"/>
        </w:rPr>
        <w:t>EN: Ultra Broad Range Pressure Tunable CaZrO3:Ce3+ Luminescence for Multiparametric Manometry</w:t>
      </w:r>
    </w:p>
    <w:p>
      <w:pPr>
        <w:spacing w:before="0" w:after="120"/>
      </w:pPr>
      <w:r>
        <w:rPr>
          <w:b/>
        </w:rPr>
        <w:t xml:space="preserve">Source: </w:t>
      </w:r>
      <w:r>
        <w:t>ACS Applied Materials &amp; Interfaces: Latest Articles (ACS Publications)</w:t>
      </w:r>
      <w:r>
        <w:t xml:space="preserve">    </w:t>
      </w:r>
      <w:r>
        <w:rPr>
          <w:b/>
        </w:rPr>
        <w:t xml:space="preserve">Pub date: </w:t>
      </w:r>
      <w:r>
        <w:t>2026-08-10 00:00:00+00:00</w:t>
      </w:r>
      <w:r>
        <w:t xml:space="preserve">    </w:t>
      </w:r>
      <w:r>
        <w:rPr>
          <w:b/>
        </w:rPr>
        <w:t xml:space="preserve">DOI: </w:t>
      </w:r>
      <w:hyperlink r:id="rId1084">
        <w:r>
          <w:rPr>
            <w:color w:val="1155CC"/>
            <w:u w:val="single"/>
          </w:rPr>
          <w:t>10.1021/acsami.6c13720</w:t>
        </w:r>
      </w:hyperlink>
    </w:p>
    <w:p>
      <w:pPr>
        <w:spacing w:before="0" w:after="120"/>
      </w:pPr>
      <w:r>
        <w:rPr>
          <w:b/>
        </w:rPr>
        <w:t xml:space="preserve">Notes: </w:t>
      </w:r>
      <w:r>
        <w:t>abstract_source=crossref</w:t>
      </w:r>
    </w:p>
    <w:p>
      <w:pPr>
        <w:spacing w:before="0" w:after="80" w:lineRule="auto" w:line="276"/>
      </w:pPr>
      <w:r>
        <w:rPr>
          <w:b/>
        </w:rPr>
        <w:t xml:space="preserve">摘要（ZH）: </w:t>
      </w:r>
      <w:r>
        <w:t>摘要 光学测压法在金刚石砧座实验中至关重要，它激发了压敏荧光粉在宽压力范围内提供稳定的宽带读数。在这里，我们报道了一种 Ce3+ 激活的 CaZrO3 钙钛矿荧光粉，其掺杂剂水平较低，通过 EDS 定量，Ce 含量约为 0.40 原子%，并评估了其压力依赖性发光响应。粉末 XRD 和 SEM-EDS 证实了单相 CaZrO3 主体并成功掺入了 Ce 活化剂。温度依赖性光致发光和寿命测量表明该材料表现出良好的热稳定性。在高达 45 GPa 的压缩下，宽带 Ce3+ 5d-4f 发射表现出能带质心的几乎线性红移，dλ/dP 约为 2.45 nm GPa-1，同时 FWHM 展宽，dFWHM/dP 约为 1.15 nm GPa-1。与此同时，源自完整发射光谱的 CIE 1931 色度坐标随压力有规律地变化，从而实现从蓝色到绿色的连续颜色变化，并提供方便的视觉读数。高压拉曼光谱表明在 30 GPa 附近发生结构转变，与 CaZrO3 的同步加速器 XRD 报告一致，但在发光参数的压力依赖性方面没有观察到不连续性。第一性原理计算表明，压缩主要通过 ZrO6 八面体倾斜和各向异性多面体压缩来调节，而局部 Ce-O 晶体场环境平稳演化，解释了过渡过程中的连续光学响应。这些结果表明 CaZrO3:Ce3+ 是一种广泛的、</w:t>
      </w:r>
    </w:p>
    <w:p>
      <w:pPr>
        <w:spacing w:before="0" w:after="200" w:lineRule="auto" w:line="276"/>
      </w:pPr>
      <w:r>
        <w:rPr>
          <w:b/>
        </w:rPr>
        <w:t xml:space="preserve">Abstract (EN): </w:t>
      </w:r>
      <w:r>
        <w:t>Optical manometry is essential in diamond anvil cell experiments, motivating pressure-sensitive phosphors that provide robust broadband readouts over a wide pressure range. Here we report a Ce3+-activated CaZrO3 perovskite phosphor with a low dopant level of about 0.40 atom % Ce quantified by EDS, and we evaluate its pressure-dependent luminescence response. Powder XRD and SEM–EDS confirm a single-phase CaZrO3 host and successful incorporation of the Ce activator. Temperature-dependent photoluminescence and lifetime measurements reveal that the material exhibits good thermal stability. Under compression up to 45 GPa, the broadband Ce3+ 5d–4f emission exhibits an almost linear redshift of the band centroid with dλ/dP about 2.45 nm GPa–1 and a concurrent broadening of FWHM with dFWHM/dP about 1.15 nm GPa–1. In parallel, the CIE 1931 chromaticity coordinates derived from the full emission spectrum evolve regularly with pressure, enabling a continuous color change from blue to green and offering a convenient visual readout. High-pressure Raman spectra indicate a structural transition near 30 GPa, consistent with synchrotron XRD reports for CaZrO3, yet no discontinuity is observed in the pressure dependences of the luminescence parameters. First-principles calculations suggest that compression is mainly accommodated by ZrO6 octahedral tilting and anisotropic polyhedral compression, whereas the local Ce-O crystal-field environment evolves smoothly, accounting for the continuous optical response through the transition. These results establish CaZrO3:Ce3+ as a wide-range, multi-parameter optical manometer for high-pressure calibration at room temperature.</w:t>
      </w:r>
    </w:p>
    <w:p>
      <w:pPr>
        <w:spacing w:before="120" w:after="120"/>
      </w:pPr>
      <w:r>
        <w:rPr>
          <w:sz w:val="18"/>
        </w:rPr>
        <w:t>——————————————————————————————————————————————————————————————————————</w:t>
      </w:r>
    </w:p>
    <w:p>
      <w:pPr>
        <w:spacing w:before="160" w:after="40" w:line="240" w:lineRule="auto"/>
      </w:pPr>
      <w:r>
        <w:rPr>
          <w:b/>
        </w:rPr>
        <w:t xml:space="preserve">[266] </w:t>
      </w:r>
      <w:hyperlink r:id="rId1085">
        <w:r>
          <w:rPr>
            <w:color w:val="1155CC"/>
            <w:u w:val="single"/>
          </w:rPr>
          <w:t>地球倒数第二个冰库期间短暂的全球变暖事件</w:t>
        </w:r>
      </w:hyperlink>
    </w:p>
    <w:p>
      <w:pPr>
        <w:spacing w:before="0" w:after="80"/>
      </w:pPr>
      <w:r>
        <w:rPr>
          <w:i/>
          <w:sz w:val="20"/>
        </w:rPr>
        <w:t>EN: A transient global warming event during Earth’s penultimate icehouse</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086">
        <w:r>
          <w:rPr>
            <w:color w:val="1155CC"/>
            <w:u w:val="single"/>
          </w:rPr>
          <w:t>10.1073/pnas.2601643123</w:t>
        </w:r>
      </w:hyperlink>
    </w:p>
    <w:p>
      <w:pPr>
        <w:spacing w:before="0" w:after="120"/>
      </w:pPr>
      <w:r>
        <w:rPr>
          <w:b/>
        </w:rPr>
        <w:t xml:space="preserve">Notes: </w:t>
      </w:r>
      <w:r>
        <w:t>abstract_source=crossref</w:t>
      </w:r>
    </w:p>
    <w:p>
      <w:pPr>
        <w:spacing w:before="0" w:after="80" w:lineRule="auto" w:line="276"/>
      </w:pPr>
      <w:r>
        <w:rPr>
          <w:b/>
        </w:rPr>
        <w:t xml:space="preserve">摘要（ZH）: </w:t>
      </w:r>
      <w:r>
        <w:t>深层高温/短暂变暖事件为现代气候变暖及其影响提供了关键的类比。然而，迄今为止记录的所有古代高温都​​发生在温室气候状态下，限制了它们对于理解当今气候变化轨迹的相关性。在这里，我们展示了大约 304 Ma 的卡西莫夫-格哲利安热最大值 (KGTM) 的牙形刺氧同位素数据和气候模型。据推测，这一短暂的变暖事件的特点是全球平均表面温度上升约 7.5 ± 1 °C，大气中二氧化碳含量增加</w:t>
      </w:r>
      <w:r>
        <w:rPr>
          <w:vertAlign w:val="subscript"/>
        </w:rPr>
        <w:t>2</w:t>
      </w:r>
      <w:r>
        <w:t>浓度从~</w:t>
      </w:r>
      <w:r>
        <w:t xml:space="preserve"> </w:t>
      </w:r>
      <w:r>
        <w:rPr>
          <w:vertAlign w:val="subscript"/>
        </w:rPr>
        <w:t>300</w:t>
      </w:r>
      <w:r>
        <w:t xml:space="preserve"> </w:t>
      </w:r>
      <w:r>
        <w:t>-50</w:t>
      </w:r>
      <w:r>
        <w:t xml:space="preserve"> </w:t>
      </w:r>
      <w:r>
        <w:t>+100</w:t>
      </w:r>
      <w:r>
        <w:t xml:space="preserve"> </w:t>
      </w:r>
      <w:r>
        <w:t>在晚古生代冰河时期，在约 175 kyr 内达到约 700 ± 100 ppm。碳和汞同位素记录表明，在 KGTM 期间发生了大规模的碳释放和透光带的发展，与海洋生物危机同时发生。 KGTM是由适度的碳释放和温度升高引发的，这可能与轨道偏心率最大值处的火山活动增强有关，这可能跨越气候临界点并引发大量碳释放和突然的大规模变暖。这些发现表明，短暂的变暖事件和严重的海洋恶化可能是由适度的热力造成的。</w:t>
      </w:r>
    </w:p>
    <w:p>
      <w:pPr>
        <w:spacing w:before="0" w:after="200" w:lineRule="auto" w:line="276"/>
      </w:pPr>
      <w:r>
        <w:rPr>
          <w:b/>
        </w:rPr>
        <w:t xml:space="preserve">Abstract (EN): </w:t>
      </w:r>
      <w:r>
        <w:t>Deep-time hyperthermal/transient warming events provide critical analogs for modern climatic warming and its impacts. However, all ancient hyperthermals documented to date have occurred under greenhouse climate states, limiting their relevance for understanding the trajectory of present-day climate change. Here, we present conodont oxygen isotope data and climate modeling for the Kasimovian–Gzhelian Thermal Maximum (KGTM) at ~304 Ma. This transient warming event is inferred to have been marked by a ~7.5 ± 1 °C rise in global mean surface temperature and an increase in atmospheric CO</w:t>
      </w:r>
      <w:r>
        <w:rPr>
          <w:vertAlign w:val="subscript"/>
        </w:rPr>
        <w:t>2</w:t>
      </w:r>
      <w:r>
        <w:t>concentrations from ~</w:t>
      </w:r>
      <w:r>
        <w:t xml:space="preserve"> </w:t>
      </w:r>
      <w:r>
        <w:rPr>
          <w:vertAlign w:val="subscript"/>
        </w:rPr>
        <w:t>300</w:t>
      </w:r>
      <w:r>
        <w:t xml:space="preserve"> </w:t>
      </w:r>
      <w:r>
        <w:t>-50</w:t>
      </w:r>
      <w:r>
        <w:t xml:space="preserve"> </w:t>
      </w:r>
      <w:r>
        <w:t>+100</w:t>
      </w:r>
      <w:r>
        <w:t xml:space="preserve"> </w:t>
      </w:r>
      <w:r>
        <w:t>to ~700 ± 100 ppm over ~175 kyr during the Late Paleozoic Ice Age. Carbon and mercury isotope records indicate large-scale carbon release and the development of photic-zone euxinia during the KGTM, coincident with a marine biocrisis. The KGTM was initiated by a modest carbon release and temperature increase potentially associated with enhanced volcanic activity at an orbital eccentricity maximum, which likely crossed a climatic tipping point and triggered massive carbon release and abrupt large-scale warming. These findings demonstrate that transient warming events and severe oceanic deterioration can be caused by a modest thermal perturbation within an icehouse climate state analogous to that of the modern Earth.</w:t>
      </w:r>
    </w:p>
    <w:p>
      <w:pPr>
        <w:spacing w:before="120" w:after="120"/>
      </w:pPr>
      <w:r>
        <w:rPr>
          <w:sz w:val="18"/>
        </w:rPr>
        <w:t>——————————————————————————————————————————————————————————————————————</w:t>
      </w:r>
    </w:p>
    <w:p>
      <w:pPr>
        <w:spacing w:before="160" w:after="40" w:line="240" w:lineRule="auto"/>
      </w:pPr>
      <w:r>
        <w:rPr>
          <w:b/>
        </w:rPr>
        <w:t xml:space="preserve">[267] </w:t>
      </w:r>
      <w:hyperlink r:id="rId1087">
        <w:r>
          <w:rPr>
            <w:color w:val="1155CC"/>
            <w:u w:val="single"/>
          </w:rPr>
          <w:t>Sorcin 将膜联蛋白 A11 募集与 ESCRT-III 组装结合以进行质膜修复</w:t>
        </w:r>
      </w:hyperlink>
    </w:p>
    <w:p>
      <w:pPr>
        <w:spacing w:before="0" w:after="80"/>
      </w:pPr>
      <w:r>
        <w:rPr>
          <w:i/>
          <w:sz w:val="20"/>
        </w:rPr>
        <w:t>EN: Sorcin couples Annexin A11 recruitment to ESCRT-III assembly for plasma membrane repair</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088">
        <w:r>
          <w:rPr>
            <w:color w:val="1155CC"/>
            <w:u w:val="single"/>
          </w:rPr>
          <w:t>10.1073/pnas.2610420123</w:t>
        </w:r>
      </w:hyperlink>
    </w:p>
    <w:p>
      <w:pPr>
        <w:spacing w:before="0" w:after="120"/>
      </w:pPr>
      <w:r>
        <w:rPr>
          <w:b/>
        </w:rPr>
        <w:t xml:space="preserve">Notes: </w:t>
      </w:r>
      <w:r>
        <w:t>abstract_source=crossref</w:t>
      </w:r>
    </w:p>
    <w:p>
      <w:pPr>
        <w:spacing w:before="0" w:after="80" w:lineRule="auto" w:line="276"/>
      </w:pPr>
      <w:r>
        <w:rPr>
          <w:b/>
        </w:rPr>
        <w:t xml:space="preserve">摘要（ZH）: </w:t>
      </w:r>
      <w:r>
        <w:t>细胞壁的缺失为动物细胞提供了多种功能，但代价是对质膜（PM）损伤的急性敏感性。因此，动物细胞密切监测并维持 PM 完整性以防止细胞死亡。 PM 修复因子的遗传缺失与肌肉营养不良等人类疾病有关。尽管有证据表明运输所需的膜联蛋白和内体分选复合物 (ESCRT) 蛋白是 PM 修复所必需的，但它们在膜损伤部位的募集协调程度仍不清楚。在这里，利用定量细胞器蛋白质组学和全基因组 CRISPR 干扰筛选，我们将 sorcin 确定为一种 PM 修复因子，它将膜联蛋白 A11 (ANXA11) 介导的 PM 损伤传感与 ESCRT-III 组装相耦合。我们表明，在 Ca 存在的情况下，sorcin 直接结合 ANXA11 和 ALIX</w:t>
      </w:r>
      <w:r>
        <w:t xml:space="preserve"> </w:t>
      </w:r>
      <w:r>
        <w:t>2+</w:t>
      </w:r>
      <w:r>
        <w:t xml:space="preserve"> </w:t>
      </w:r>
      <w:r>
        <w:t>分别通过其五-EF-手结构域和柔性 N 末端，并且是 ESCRT-III 募集到 PM 损伤和膜重新密封所必需的。我们的数据支持一个模型，其中 ANXA11 在损伤诱导的 Ca 后被招募到 PM</w:t>
      </w:r>
      <w:r>
        <w:t xml:space="preserve"> </w:t>
      </w:r>
      <w:r>
        <w:t>2+</w:t>
      </w:r>
      <w:r>
        <w:t xml:space="preserve"> </w:t>
      </w:r>
      <w:r>
        <w:t>流入，作为一个锚，促进在 PM 病变处顺序募集 sorcin 和 ESCRT-III。总之，这些发现建立了 Ca</w:t>
      </w:r>
      <w:r>
        <w:t xml:space="preserve"> </w:t>
      </w:r>
      <w:r>
        <w:t>2+</w:t>
      </w:r>
      <w:r>
        <w:t xml:space="preserve"> </w:t>
      </w:r>
      <w:r>
        <w:t>依赖支架机制，将 PM 损伤传感与 ESRT-III 组件耦合以进行 PM 修复。</w:t>
      </w:r>
    </w:p>
    <w:p>
      <w:pPr>
        <w:spacing w:before="0" w:after="200" w:lineRule="auto" w:line="276"/>
      </w:pPr>
      <w:r>
        <w:rPr>
          <w:b/>
        </w:rPr>
        <w:t xml:space="preserve">Abstract (EN): </w:t>
      </w:r>
      <w:r>
        <w:t>The absence of a cell wall affords animal cells diverse functionality at the cost of acute sensitization to plasma membrane (PM) damage. Thus, animal cells tightly monitor and maintain PM integrity to prevent cell death. Genetic loss of PM repair factors is associated with human diseases such as muscular dystrophy. Despite evidence that annexin and endosomal sorting complex required for transport (ESCRT) proteins are required for PM repair, the extent to which their recruitment is coordinated at sites of membrane damage remains unclear. Here, leveraging quantitative organellar proteomics and genome-wide CRISPR interference screens, we identify sorcin as a PM repair factor that couples annexin A11 (ANXA11)-mediated sensing of PM damage to ESCRT-III assembly. We show that sorcin directly binds ANXA11 and ALIX in the presence of Ca</w:t>
      </w:r>
      <w:r>
        <w:t xml:space="preserve"> </w:t>
      </w:r>
      <w:r>
        <w:t>2+</w:t>
      </w:r>
      <w:r>
        <w:t xml:space="preserve"> </w:t>
      </w:r>
      <w:r>
        <w:t>via its penta-EF-hand domain and flexible N terminus, respectively, and is required for ESCRT-III recruitment to PM lesions and membrane resealing. Our data support a model in which ANXA11, recruited to the PM upon damage-induced Ca</w:t>
      </w:r>
      <w:r>
        <w:t xml:space="preserve"> </w:t>
      </w:r>
      <w:r>
        <w:t>2+</w:t>
      </w:r>
      <w:r>
        <w:t xml:space="preserve"> </w:t>
      </w:r>
      <w:r>
        <w:t>influx, serves as an anchor that facilitates the sequential recruitment of sorcin and ESCRT-III at PM lesions. Together, these findings establish a Ca</w:t>
      </w:r>
      <w:r>
        <w:t xml:space="preserve"> </w:t>
      </w:r>
      <w:r>
        <w:t>2+</w:t>
      </w:r>
      <w:r>
        <w:t xml:space="preserve"> </w:t>
      </w:r>
      <w:r>
        <w:t>-dependent scaffolding mechanism that couples PM damage sensing to ESCRT-III assembly for PM repair.</w:t>
      </w:r>
    </w:p>
    <w:p>
      <w:pPr>
        <w:spacing w:before="120" w:after="120"/>
      </w:pPr>
      <w:r>
        <w:rPr>
          <w:sz w:val="18"/>
        </w:rPr>
        <w:t>——————————————————————————————————————————————————————————————————————</w:t>
      </w:r>
    </w:p>
    <w:p>
      <w:pPr>
        <w:spacing w:before="160" w:after="40" w:line="240" w:lineRule="auto"/>
      </w:pPr>
      <w:r>
        <w:rPr>
          <w:b/>
        </w:rPr>
        <w:t xml:space="preserve">[268] </w:t>
      </w:r>
      <w:hyperlink r:id="rId1089">
        <w:r>
          <w:rPr>
            <w:color w:val="1155CC"/>
            <w:u w:val="single"/>
          </w:rPr>
          <w:t>光合反应中心沿替代路径的高产电荷分离：X射线结构和静电分析</w:t>
        </w:r>
      </w:hyperlink>
    </w:p>
    <w:p>
      <w:pPr>
        <w:spacing w:before="0" w:after="80"/>
      </w:pPr>
      <w:r>
        <w:rPr>
          <w:i/>
          <w:sz w:val="20"/>
        </w:rPr>
        <w:t>EN: High-yield charge separation along the alternative path in a photosynthetic reaction center: X-ray structure and electrostatic analysis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090">
        <w:r>
          <w:rPr>
            <w:color w:val="1155CC"/>
            <w:u w:val="single"/>
          </w:rPr>
          <w:t>10.1073/pnas.2609063123</w:t>
        </w:r>
      </w:hyperlink>
    </w:p>
    <w:p>
      <w:pPr>
        <w:spacing w:before="0" w:after="120"/>
      </w:pPr>
      <w:r>
        <w:rPr>
          <w:b/>
        </w:rPr>
        <w:t xml:space="preserve">Notes: </w:t>
      </w:r>
      <w:r>
        <w:t>abstract_source=crossref</w:t>
      </w:r>
    </w:p>
    <w:p>
      <w:pPr>
        <w:spacing w:before="0" w:after="80" w:lineRule="auto" w:line="276"/>
      </w:pPr>
      <w:r>
        <w:rPr>
          <w:b/>
        </w:rPr>
        <w:t xml:space="preserve">摘要（ZH）: </w:t>
      </w:r>
      <w:r>
        <w:t>在所有光合反应中心（RC）中，跨膜电子转移（ET）辅因子途径由同源肽协调并以近似C排列</w:t>
      </w:r>
      <w:r>
        <w:rPr>
          <w:vertAlign w:val="subscript"/>
        </w:rPr>
        <w:t>2</w:t>
      </w:r>
      <w:r>
        <w:t>对称性，提供两种可能的电荷分离路径（指定为 A 和 B）。在 II 型 RC（光系统 II 和紫色细菌 RC）中，只有 A 分支对 ET 具有活性。设计了一种含有 9 个氨基酸取代的变体细菌 RC，可沿着通常无功能的 B 分支产生高产 ET。将结构和理论研究相结合，以了解控制复合体中独特 ET 反应的因素。在 X 射线自由电子激光器上进行的系列飞秒晶体学提供了变体 RC 的室温 X 射线无损伤晶体结构，揭示了取代的氨基酸和 ET 辅因子之间的相互作用。菌绿素辅因子在对称相关通路上的位置不受影响，这强调了取代改变了 ET 的能量学，导致功能变化。在末端电子受体醌的结合袋中，相邻氨基酸和水分子位置的变化与取代侧链的变化相协调。修饰使 A 分支 ET 失活，并激活沿 B 分支的跨膜电荷分离。基于结构的静电计算揭示了蛋白质环境对电荷分离态稳定性的差异如何导致电子 f 方向的变化</w:t>
      </w:r>
    </w:p>
    <w:p>
      <w:pPr>
        <w:spacing w:before="0" w:after="200" w:lineRule="auto" w:line="276"/>
      </w:pPr>
      <w:r>
        <w:rPr>
          <w:b/>
        </w:rPr>
        <w:t xml:space="preserve">Abstract (EN): </w:t>
      </w:r>
      <w:r>
        <w:t>In all photosynthetic reaction centers (RC), transmembrane electron-transfer (ET) cofactor pathways are coordinated by homologous peptides and arranged with approximate C</w:t>
      </w:r>
      <w:r>
        <w:rPr>
          <w:vertAlign w:val="subscript"/>
        </w:rPr>
        <w:t>2</w:t>
      </w:r>
      <w:r>
        <w:t>symmetry, providing two possible paths for charge separation (designated A and B). In type II RCs—Photosystem II and the purple bacterial RCs—only the A branch is active for ET. A variant bacterial RC containing nine amino acid substitutions that result in high-yield ET along the normally nonfunctional B branch was designed. Structural and theoretical studies were combined to understand factors that control unique ET reactions in the complex. Serial femtosecond crystallography performed at an X-ray Free Electron Laser afforded the room temperature X-ray-damage-free crystal structure of the variant RC, revealing interactions between the substituted amino acids and the ET cofactors. The positions of the bacteriochlorin cofactors on the symmetry-related pathways are unaffected, underscoring that the substitutions alter the energetics of ET, leading to the functional changes. In the binding pockets for the terminal electron acceptor quinones, alterations in the positions of neighboring amino acids and water molecules are coordinated with the change of the substituted side chains. Modifications deactivated A-branch ET and activated transmembrane charge separation along the B branch. Electrostatic calculations based on the structure reveal how differences in stabilization of charge-separated states by the protein environment underlie the change in direction of electron flow in this variant RC and provide insights into mechanisms by which B-branch charge separation across the photosynthetic membrane can be achieved in high yield.</w:t>
      </w:r>
    </w:p>
    <w:p>
      <w:pPr>
        <w:spacing w:before="120" w:after="120"/>
      </w:pPr>
      <w:r>
        <w:rPr>
          <w:sz w:val="18"/>
        </w:rPr>
        <w:t>——————————————————————————————————————————————————————————————————————</w:t>
      </w:r>
    </w:p>
    <w:p>
      <w:pPr>
        <w:spacing w:before="160" w:after="40" w:line="240" w:lineRule="auto"/>
      </w:pPr>
      <w:r>
        <w:rPr>
          <w:b/>
        </w:rPr>
        <w:t xml:space="preserve">[269] </w:t>
      </w:r>
      <w:hyperlink r:id="rId1091">
        <w:r>
          <w:rPr>
            <w:color w:val="1155CC"/>
            <w:u w:val="single"/>
          </w:rPr>
          <w:t>中新世西北非洲稀树草原的起源和发展</w:t>
        </w:r>
      </w:hyperlink>
    </w:p>
    <w:p>
      <w:pPr>
        <w:spacing w:before="0" w:after="80"/>
      </w:pPr>
      <w:r>
        <w:rPr>
          <w:i/>
          <w:sz w:val="20"/>
        </w:rPr>
        <w:t>EN: The origin and development of the Miocene northwest African savanna</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092">
        <w:r>
          <w:rPr>
            <w:color w:val="1155CC"/>
            <w:u w:val="single"/>
          </w:rPr>
          <w:t>10.1073/pnas.2527340123</w:t>
        </w:r>
      </w:hyperlink>
    </w:p>
    <w:p>
      <w:pPr>
        <w:spacing w:before="0" w:after="120"/>
      </w:pPr>
      <w:r>
        <w:rPr>
          <w:b/>
        </w:rPr>
        <w:t xml:space="preserve">Notes: </w:t>
      </w:r>
      <w:r>
        <w:t>abstract_source=crossref</w:t>
      </w:r>
    </w:p>
    <w:p>
      <w:pPr>
        <w:spacing w:before="0" w:after="80" w:lineRule="auto" w:line="276"/>
      </w:pPr>
      <w:r>
        <w:rPr>
          <w:b/>
        </w:rPr>
        <w:t xml:space="preserve">摘要（ZH）: </w:t>
      </w:r>
      <w:r>
        <w:t>与地球上许多亚热带开放生态系统一样，非洲稀树草原起源于中新世（23.0 至 5.3 Ma），这是未来气候状态的最佳历史模拟之一。第一个C</w:t>
      </w:r>
      <w:r>
        <w:rPr>
          <w:vertAlign w:val="subscript"/>
        </w:rPr>
        <w:t>4</w:t>
      </w:r>
      <w:r>
        <w:t>草，C</w:t>
      </w:r>
      <w:r>
        <w:rPr>
          <w:vertAlign w:val="subscript"/>
        </w:rPr>
        <w:t>3</w:t>
      </w:r>
      <w:r>
        <w:t>约10Ma后，非洲西北部亚热带的乔木和灌木稀树草原开始发育，但该地区的陆地沉积记录保存得并不好，因此很难确定非洲景观何时、如何以及为何开放。在这里，我们利用从海洋沉积档案中提取的植物蜡生物标记来记录中新世西北非洲开放生态系统的起源和历史。我们证明了一个C</w:t>
      </w:r>
      <w:r>
        <w:rPr>
          <w:vertAlign w:val="subscript"/>
        </w:rPr>
        <w:t>3</w:t>
      </w:r>
      <w:r>
        <w:t>在中新世中期（约 15 至 14 Ma），全球变冷和干旱的时期，茂盛的稀树草原取代了封闭的林地和森林。这个非模拟生态系统转变为 C</w:t>
      </w:r>
      <w:r>
        <w:rPr>
          <w:vertAlign w:val="subscript"/>
        </w:rPr>
        <w:t>4</w:t>
      </w:r>
      <w:r>
        <w:t>随着全球气温变冷和干旱增加，稀树草原在中新世晚期（7.4 至 6.4 Ma 之间速度最快）分阶段出现，大致与几个 C 一致</w:t>
      </w:r>
      <w:r>
        <w:rPr>
          <w:vertAlign w:val="subscript"/>
        </w:rPr>
        <w:t>4</w:t>
      </w:r>
      <w:r>
        <w:t>其他亚热带地区的扩张。我们新的植被历史，放在其他记录的背景下，将最初的生态系统开放和 C</w:t>
      </w:r>
      <w:r>
        <w:rPr>
          <w:vertAlign w:val="subscript"/>
        </w:rPr>
        <w:t>4</w:t>
      </w:r>
      <w:r>
        <w:t>扩展到全球变冷和干燥时期。它与气候、消费者（食草动物和火）和植物性状相互作用之间的非线性反馈系统一致。</w:t>
      </w:r>
    </w:p>
    <w:p>
      <w:pPr>
        <w:spacing w:before="0" w:after="200" w:lineRule="auto" w:line="276"/>
      </w:pPr>
      <w:r>
        <w:rPr>
          <w:b/>
        </w:rPr>
        <w:t xml:space="preserve">Abstract (EN): </w:t>
      </w:r>
      <w:r>
        <w:t>Like many of Earth’s subtropical open ecosystems, the African savanna originated in the Miocene Epoch (23.0 to 5.3 Ma), one of the best historical analogs for future climate states. The first C</w:t>
      </w:r>
      <w:r>
        <w:rPr>
          <w:vertAlign w:val="subscript"/>
        </w:rPr>
        <w:t>4</w:t>
      </w:r>
      <w:r>
        <w:t>grass, C</w:t>
      </w:r>
      <w:r>
        <w:rPr>
          <w:vertAlign w:val="subscript"/>
        </w:rPr>
        <w:t>3</w:t>
      </w:r>
      <w:r>
        <w:t>tree, and shrub savanna developed in the subtropics after ~10 Ma in northwest Africa, but the terrestrial sedimentary record of the region is not well preserved, making it difficult to determine when, how, and why the African landscape opened. Here, we leverage plant-wax biomarkers extracted from the marine sedimentary archive to document the origination and history of open ecosystems through Miocene northwest Africa. We show that a C</w:t>
      </w:r>
      <w:r>
        <w:rPr>
          <w:vertAlign w:val="subscript"/>
        </w:rPr>
        <w:t>3</w:t>
      </w:r>
      <w:r>
        <w:t>grass-rich savanna with no modern analog replaced closed woodlands and forests during the middle Miocene (~15 to 14 Ma), a period of global cooling and aridification. This nonanalog ecosystem transitioned into the C</w:t>
      </w:r>
      <w:r>
        <w:rPr>
          <w:vertAlign w:val="subscript"/>
        </w:rPr>
        <w:t>4</w:t>
      </w:r>
      <w:r>
        <w:t>savanna in stages in the late Miocene (most rapidly between 7.4 to 6.4 Ma) as global temperatures cooled and aridity increased, roughly coincident with several C</w:t>
      </w:r>
      <w:r>
        <w:rPr>
          <w:vertAlign w:val="subscript"/>
        </w:rPr>
        <w:t>4</w:t>
      </w:r>
      <w:r>
        <w:t>expansions in other subtropical regions. Our new vegetation history, put in the context of other records, links initial ecosystem opening and C</w:t>
      </w:r>
      <w:r>
        <w:rPr>
          <w:vertAlign w:val="subscript"/>
        </w:rPr>
        <w:t>4</w:t>
      </w:r>
      <w:r>
        <w:t>expansion to periods of global cooling and drying. It is consistent with a nonlinear system of feedbacks between climate, consumers (herbivory and fire), and plant-trait interactions that allows small changes in one parameter to have dramatic effects on regional vegetation structure and composition. The geologic record indicates that the response of subtropical open ecosystems to future climate perturbations will depend on the nature and strength of these feedbacks.</w:t>
      </w:r>
    </w:p>
    <w:p>
      <w:pPr>
        <w:spacing w:before="120" w:after="120"/>
      </w:pPr>
      <w:r>
        <w:rPr>
          <w:sz w:val="18"/>
        </w:rPr>
        <w:t>——————————————————————————————————————————————————————————————————————</w:t>
      </w:r>
    </w:p>
    <w:p>
      <w:pPr>
        <w:spacing w:before="160" w:after="40" w:line="240" w:lineRule="auto"/>
      </w:pPr>
      <w:r>
        <w:rPr>
          <w:b/>
        </w:rPr>
        <w:t xml:space="preserve">[270] </w:t>
      </w:r>
      <w:hyperlink r:id="rId1093">
        <w:r>
          <w:rPr>
            <w:color w:val="1155CC"/>
            <w:u w:val="single"/>
          </w:rPr>
          <w:t>高效外显子跳跃的反义方法及其在杜氏肌营养不良症中的应用</w:t>
        </w:r>
      </w:hyperlink>
    </w:p>
    <w:p>
      <w:pPr>
        <w:spacing w:before="0" w:after="80"/>
      </w:pPr>
      <w:r>
        <w:rPr>
          <w:i/>
          <w:sz w:val="20"/>
        </w:rPr>
        <w:t>EN: An antisense method for efficient exon skipping and its application to Duchenne muscular dystrophy</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094">
        <w:r>
          <w:rPr>
            <w:color w:val="1155CC"/>
            <w:u w:val="single"/>
          </w:rPr>
          <w:t>10.1073/pnas.2606494123</w:t>
        </w:r>
      </w:hyperlink>
    </w:p>
    <w:p>
      <w:pPr>
        <w:spacing w:before="0" w:after="120"/>
      </w:pPr>
      <w:r>
        <w:rPr>
          <w:b/>
        </w:rPr>
        <w:t xml:space="preserve">Notes: </w:t>
      </w:r>
      <w:r>
        <w:t>abstract_source=crossref</w:t>
      </w:r>
    </w:p>
    <w:p>
      <w:pPr>
        <w:spacing w:before="0" w:after="80" w:lineRule="auto" w:line="276"/>
      </w:pPr>
      <w:r>
        <w:rPr>
          <w:b/>
        </w:rPr>
        <w:t xml:space="preserve">摘要（ZH）: </w:t>
      </w:r>
      <w:r>
        <w:t>反义介导的外显子跳跃已被用于通过恢复</w:t>
      </w:r>
      <w:r>
        <w:t xml:space="preserve"> </w:t>
      </w:r>
      <w:r>
        <w:t>DMD</w:t>
      </w:r>
      <w:r>
        <w:t xml:space="preserve"> </w:t>
      </w:r>
      <w:r>
        <w:t>表达部分功能性肌营养不良蛋白的阅读框架。然而，设计有效的反义寡核苷酸（ASO）的困难阻碍了临床有效疗法的开发。在这里，我们描述了一种稳健的二分 ASO 设计，称为 5' 剪接位点诱饵 (5D)-ASO，其中采用短尾序列来增强反义部分施加的剪接抑制。与无尾 ASO 相比，反义部分携带的尾部连接到目标前 mRNA 中感兴趣的外显子，会干扰 U1 snRNA 对外显子 5' 剪接位点的识别，并显着增强外显子跳跃。基于多个基因测试，5D-ASO 具有广泛的适用性。特别是，当附加到靶向序列时，8-nt 尾部</w:t>
      </w:r>
      <w:r>
        <w:t xml:space="preserve"> </w:t>
      </w:r>
      <w:r>
        <w:t>DMD</w:t>
      </w:r>
      <w:r>
        <w:t xml:space="preserve"> </w:t>
      </w:r>
      <w:r>
        <w:t>外显子 51 引起小鼠模型中外显子跳跃的显着增加，恢复了肌肉组织中肌营养不良蛋白的表达并改善了表型，且没有明显的毒性迹象。主要 ASO 进一步证明了在猴子中显着的外显子跳跃效应和整体安全性。我们的数据为 RNA 靶向治疗建立了一个有价值的平台技术。</w:t>
      </w:r>
    </w:p>
    <w:p>
      <w:pPr>
        <w:spacing w:before="0" w:after="200" w:lineRule="auto" w:line="276"/>
      </w:pPr>
      <w:r>
        <w:rPr>
          <w:b/>
        </w:rPr>
        <w:t xml:space="preserve">Abstract (EN): </w:t>
      </w:r>
      <w:r>
        <w:t>Antisense-mediated exon skipping has been used to treat Duchenne muscular dystrophy (DMD) by restoring the</w:t>
      </w:r>
      <w:r>
        <w:t xml:space="preserve"> </w:t>
      </w:r>
      <w:r>
        <w:t>DMD</w:t>
      </w:r>
      <w:r>
        <w:t xml:space="preserve"> </w:t>
      </w:r>
      <w:r>
        <w:t>reading frame to express partially functional dystrophin. However, difficulty in designing effective antisense oligonucleotides (ASOs) has hindered the development of clinically effective therapies. Here we describe a robust bipartite ASO design, termed 5′ splice site decoy (5D)-ASO, in which a short tail sequence is employed to enhance the splicing repression exerted by an antisense moiety. The tail carried by the antisense moiety to an exon of interest in a target pre-mRNA interferes with the recognition of the exon’s 5′ splice site by U1 snRNA and markedly enhances exon skipping, compared to tail-less ASOs. 5D-ASO has broad applicability, based on multiple genes tested. Particularly, an 8-nt tail, when appended to sequences targeting</w:t>
      </w:r>
      <w:r>
        <w:t xml:space="preserve"> </w:t>
      </w:r>
      <w:r>
        <w:t>DMD</w:t>
      </w:r>
      <w:r>
        <w:t xml:space="preserve"> </w:t>
      </w:r>
      <w:r>
        <w:t>exon 51, elicited a pronounced increase in exon skipping in mouse models, restored dystrophin expression in muscle tissues and improved the phenotype, without obvious signs of toxicity. The lead ASO further demonstrated a marked exon-skipping effect and an overall safe profile in monkeys. Our data establish a valuable platform technology for RNA-targeted therapeutics.</w:t>
      </w:r>
    </w:p>
    <w:p>
      <w:pPr>
        <w:spacing w:before="120" w:after="120"/>
      </w:pPr>
      <w:r>
        <w:rPr>
          <w:sz w:val="18"/>
        </w:rPr>
        <w:t>——————————————————————————————————————————————————————————————————————</w:t>
      </w:r>
    </w:p>
    <w:p>
      <w:pPr>
        <w:spacing w:before="160" w:after="40" w:line="240" w:lineRule="auto"/>
      </w:pPr>
      <w:r>
        <w:rPr>
          <w:b/>
        </w:rPr>
        <w:t xml:space="preserve">[271] </w:t>
      </w:r>
      <w:hyperlink r:id="rId1095">
        <w:r>
          <w:rPr>
            <w:color w:val="1155CC"/>
            <w:u w:val="single"/>
          </w:rPr>
          <w:t>用于肺治疗中个性化光剂量测定的解剖学解析数字孪生框架</w:t>
        </w:r>
      </w:hyperlink>
    </w:p>
    <w:p>
      <w:pPr>
        <w:spacing w:before="0" w:after="80"/>
      </w:pPr>
      <w:r>
        <w:rPr>
          <w:i/>
          <w:sz w:val="20"/>
        </w:rPr>
        <w:t>EN: Anatomy-resolved digital twin framework for personalized light dosimetry in lung therapies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096">
        <w:r>
          <w:rPr>
            <w:color w:val="1155CC"/>
            <w:u w:val="single"/>
          </w:rPr>
          <w:t>10.1073/pnas.2612370123</w:t>
        </w:r>
      </w:hyperlink>
    </w:p>
    <w:p>
      <w:pPr>
        <w:spacing w:before="0" w:after="120"/>
      </w:pPr>
      <w:r>
        <w:rPr>
          <w:b/>
        </w:rPr>
        <w:t xml:space="preserve">Notes: </w:t>
      </w:r>
      <w:r>
        <w:t>abstract_source=crossref</w:t>
      </w:r>
    </w:p>
    <w:p>
      <w:pPr>
        <w:spacing w:before="0" w:after="80" w:lineRule="auto" w:line="276"/>
      </w:pPr>
      <w:r>
        <w:rPr>
          <w:b/>
        </w:rPr>
        <w:t xml:space="preserve">摘要（ZH）: </w:t>
      </w:r>
      <w:r>
        <w:t>光疗法，例如光生物调节和光动力疗法，已证明有效的治疗反应。然而，由于高光衰减和个体间的解剖变异性，外部照射和靶向内脏器官具有挑战性，强烈影响光剂量测定。当考虑肺炎和炎症等肺部疾病时，使用经皮传输的光剂量测定必须考虑从皮肤耦合通过胸部组织到到达肺部的注量率的总光路。我们在此提出一种基于内部开发的蒙特卡罗模拟的计算模型，用于确定正常和患病肺部不同波长的肺部光剂量测定。该模拟使用源自人体 CT 扫描的实际解剖模型来生成胸腔的 3D 表示，包括 12 种不同的组织类型。将肺分为正常区域、塌陷区域、浸润区域和血管。每种组织类型的波长相关吸收和散射系数根据文献中报道的数据进行估计。我们的分析重点是归一化能量沉积分布，定义为 µ</w:t>
      </w:r>
      <w:r>
        <w:t xml:space="preserve"> </w:t>
      </w:r>
      <w:r>
        <w:t>一个</w:t>
      </w:r>
      <w:r>
        <w:t xml:space="preserve"> </w:t>
      </w:r>
      <w:r>
        <w:t>*不同照射位置下正常、局灶性和弥漫性肺炎以及 COVID-19 条件下每个肺叶内的注量率和注量率分布。结果揭示了不同肺部条件和照射参数下能量沉积和注量率分布的显着变化，强调了需要</w:t>
      </w:r>
    </w:p>
    <w:p>
      <w:pPr>
        <w:spacing w:before="0" w:after="200" w:lineRule="auto" w:line="276"/>
      </w:pPr>
      <w:r>
        <w:rPr>
          <w:b/>
        </w:rPr>
        <w:t xml:space="preserve">Abstract (EN): </w:t>
      </w:r>
      <w:r>
        <w:t>Light therapies, such as photobiomodulation and photodynamic therapy, have demonstrated effective therapeutical response. However, external irradiation and targeting internal organs is challenging due to high light attenuation and the interindividual anatomical variability, strongly affecting light dosimetry. When considering lung diseases, such as pneumonia and inflammatory conditions, light dosimetry using transcutaneous delivery must consider the total light path from skin coupling through thoracic tissues to the fluence rate reaching the lungs. We here present a computational model based on Monte Carlo simulation developed in house to determine the light dosimetry in the lungs for different wavelengths in normal and diseased lungs. The simulation uses the actual anatomical models derived from human CT scans to generate 3D representations of the thoracic cavity, including 12 distinct tissue types. The lungs were segmented into normal, collapsed regions, infiltrate, and blood vessels. Wavelength-dependent absorption and scattering coefficients for each tissue type were estimated by the reported data in the literature. Our analysis focused on normalized energy deposition profiles defined as µ</w:t>
      </w:r>
      <w:r>
        <w:t xml:space="preserve"> </w:t>
      </w:r>
      <w:r>
        <w:t>a</w:t>
      </w:r>
      <w:r>
        <w:t xml:space="preserve"> </w:t>
      </w:r>
      <w:r>
        <w:t>*fluence rate and fluence rate distributions within each lobe from normal, focal, and diffuse pneumonia, and COVID-19 conditions, under different irradiation positions. The results reveal significant variations in energy deposition and fluence rate distribution across different lung conditions and irradiation parameters, highlighting the need for individualized light dosimetry planning.</w:t>
      </w:r>
    </w:p>
    <w:p>
      <w:pPr>
        <w:spacing w:before="120" w:after="120"/>
      </w:pPr>
      <w:r>
        <w:rPr>
          <w:sz w:val="18"/>
        </w:rPr>
        <w:t>——————————————————————————————————————————————————————————————————————</w:t>
      </w:r>
    </w:p>
    <w:p>
      <w:pPr>
        <w:spacing w:before="160" w:after="40" w:line="240" w:lineRule="auto"/>
      </w:pPr>
      <w:r>
        <w:rPr>
          <w:b/>
        </w:rPr>
        <w:t xml:space="preserve">[272] </w:t>
      </w:r>
      <w:hyperlink r:id="rId1097">
        <w:r>
          <w:rPr>
            <w:color w:val="1155CC"/>
            <w:u w:val="single"/>
          </w:rPr>
          <w:t>Gomez Roldan 等人的修正，WIP 转录调节因子调节苔藓两个生命周期阶段的发育进程</w:t>
        </w:r>
      </w:hyperlink>
    </w:p>
    <w:p>
      <w:pPr>
        <w:spacing w:before="0" w:after="80"/>
      </w:pPr>
      <w:r>
        <w:rPr>
          <w:i/>
          <w:sz w:val="20"/>
        </w:rPr>
        <w:t>EN: Correction for Gomez Roldan et al., WIP transcriptional regulators modulate developmental progression in both life cycle phases of a moss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098">
        <w:r>
          <w:rPr>
            <w:color w:val="1155CC"/>
            <w:u w:val="single"/>
          </w:rPr>
          <w:t>10.1073/pnas.2626771123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[273] </w:t>
      </w:r>
      <w:hyperlink r:id="rId1099">
        <w:r>
          <w:rPr>
            <w:color w:val="1155CC"/>
            <w:u w:val="single"/>
          </w:rPr>
          <w:t>对Zhang等人的修正，具有坚固皮肤和设备连接的可涂漆皮肤干电极，用于无线传感和人机界面</w:t>
        </w:r>
      </w:hyperlink>
    </w:p>
    <w:p>
      <w:pPr>
        <w:spacing w:before="0" w:after="80"/>
      </w:pPr>
      <w:r>
        <w:rPr>
          <w:i/>
          <w:sz w:val="20"/>
        </w:rPr>
        <w:t>EN: Correction for Zhang et al., Paintable on-skin dry electrodes with robust skin and device connection for wireless sensing and human–machine interfaces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00">
        <w:r>
          <w:rPr>
            <w:color w:val="1155CC"/>
            <w:u w:val="single"/>
          </w:rPr>
          <w:t>10.1073/pnas.2626525123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[274] </w:t>
      </w:r>
      <w:hyperlink r:id="rId1101">
        <w:r>
          <w:rPr>
            <w:color w:val="1155CC"/>
            <w:u w:val="single"/>
          </w:rPr>
          <w:t>巨型病毒编码基于维生素 K 的氧化还原模块，用于脂质修饰</w:t>
        </w:r>
      </w:hyperlink>
    </w:p>
    <w:p>
      <w:pPr>
        <w:spacing w:before="0" w:after="80"/>
      </w:pPr>
      <w:r>
        <w:rPr>
          <w:i/>
          <w:sz w:val="20"/>
        </w:rPr>
        <w:t>EN: Giant viruses encode vitamin K–based redox modules for lipid modification</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02">
        <w:r>
          <w:rPr>
            <w:color w:val="1155CC"/>
            <w:u w:val="single"/>
          </w:rPr>
          <w:t>10.1073/pnas.2610764123</w:t>
        </w:r>
      </w:hyperlink>
    </w:p>
    <w:p>
      <w:pPr>
        <w:spacing w:before="0" w:after="120"/>
      </w:pPr>
      <w:r>
        <w:rPr>
          <w:b/>
        </w:rPr>
        <w:t xml:space="preserve">Notes: </w:t>
      </w:r>
      <w:r>
        <w:t>abstract_source=crossref</w:t>
      </w:r>
    </w:p>
    <w:p>
      <w:pPr>
        <w:spacing w:before="0" w:after="80" w:lineRule="auto" w:line="276"/>
      </w:pPr>
      <w:r>
        <w:rPr>
          <w:b/>
        </w:rPr>
        <w:t xml:space="preserve">摘要（ZH）: </w:t>
      </w:r>
      <w:r>
        <w:t>具有大型 DNA 基因组的病毒通常携带辅助代谢基因，可重新编程宿主生理机能，但它们对宿主氧化还原和膜稳态的贡献仍知之甚少。在此，我们报告了巨型病毒编码的维生素 K 环氧化物还原酶 (VKOR) 病毒同源物的发现和功能重建。通过系统发育和基因组背景分析，我们发现病毒 VKOR 基因经常位于 γ-羧化酶样环氧化酶和脂肪酸去饱和酶结构域附近，这与膜脂修饰的假定模块化氧化还原途径一致。为了研究它们的功能，我们在</w:t>
      </w:r>
      <w:r>
        <w:t xml:space="preserve"> </w:t>
      </w:r>
      <w:r>
        <w:t>大肠杆菌</w:t>
      </w:r>
      <w:r>
        <w:t xml:space="preserve"> </w:t>
      </w:r>
      <w:r>
        <w:t>缺乏二硫键形成酶的菌株并检查了它们的膜拓扑和活性。值得注意的是，一组最小的残基取代能够实现正确的膜插入并恢复细菌的运动性，这表明病毒 VKOR 是具有催化能力的电子穿梭机。结构模型支持它们整合​​到宿主的内质网样环境中。最后，我们发现 VKOR 和 γ-羧化酶样环氧化酶去饱和酶来自</w:t>
      </w:r>
      <w:r>
        <w:t xml:space="preserve"> </w:t>
      </w:r>
      <w:r>
        <w:t>法多利病毒属</w:t>
      </w:r>
      <w:r>
        <w:t xml:space="preserve"> </w:t>
      </w:r>
      <w:r>
        <w:t>和</w:t>
      </w:r>
      <w:r>
        <w:t xml:space="preserve"> </w:t>
      </w:r>
      <w:r>
        <w:t>雅丝米病毒</w:t>
      </w:r>
      <w:r>
        <w:t xml:space="preserve"> </w:t>
      </w:r>
      <w:r>
        <w:t>巨型病毒在感染期间表达</w:t>
      </w:r>
      <w:r>
        <w:t xml:space="preserve"> </w:t>
      </w:r>
      <w:r>
        <w:t>蠕形阿米巴</w:t>
      </w:r>
      <w:r>
        <w:t xml:space="preserve"> </w:t>
      </w:r>
      <w:r>
        <w:t>，他们可能将维生素 K 环氧化与去饱和驱动的脂质重塑结合起来。这些发现扩展了巨型病毒的已知功能库，并强调了病毒策略</w:t>
      </w:r>
    </w:p>
    <w:p>
      <w:pPr>
        <w:spacing w:before="0" w:after="200" w:lineRule="auto" w:line="276"/>
      </w:pPr>
      <w:r>
        <w:rPr>
          <w:b/>
        </w:rPr>
        <w:t xml:space="preserve">Abstract (EN): </w:t>
      </w:r>
      <w:r>
        <w:t>Viruses with large DNA genomes often carry auxiliary metabolic genes that reprogram host physiology, yet their contributions to host redox and membrane homeostasis remain poorly understood. Here, we report the finding and functional reconstitution of viral homologs of vitamin K epoxide reductase (VKOR) encoded by giant viruses. Using phylogenetic and genomic context analysis, we find that viral VKOR genes are frequently located adjacent to γ-carboxylase-like epoxidase and fatty acid desaturase domains, consistent with a putative modular redox pathway for membrane lipid modification. To investigate their function, we expressed viral VKORs in an</w:t>
      </w:r>
      <w:r>
        <w:t xml:space="preserve"> </w:t>
      </w:r>
      <w:r>
        <w:t>Escherichia coli</w:t>
      </w:r>
      <w:r>
        <w:t xml:space="preserve"> </w:t>
      </w:r>
      <w:r>
        <w:t>strain lacking disulfide bond–forming enzymes and examined both their membrane topology and activity. Remarkably, a minimal set of residue substitutions enabled proper membrane insertion and restored bacterial motility, demonstrating that viral VKORs are catalytically competent electron shuttles. Structural modeling supports their integration into the endoplasmic reticulum–like environment in the host. Finally, we show that VKORs and γ-carboxylase-like epoxidase-desaturases from</w:t>
      </w:r>
      <w:r>
        <w:t xml:space="preserve"> </w:t>
      </w:r>
      <w:r>
        <w:t>Fadolivirus</w:t>
      </w:r>
      <w:r>
        <w:t xml:space="preserve"> </w:t>
      </w:r>
      <w:r>
        <w:t>and</w:t>
      </w:r>
      <w:r>
        <w:t xml:space="preserve"> </w:t>
      </w:r>
      <w:r>
        <w:t>Yasminevirus</w:t>
      </w:r>
      <w:r>
        <w:t xml:space="preserve"> </w:t>
      </w:r>
      <w:r>
        <w:t>giant viruses are expressed during infection of</w:t>
      </w:r>
      <w:r>
        <w:t xml:space="preserve"> </w:t>
      </w:r>
      <w:r>
        <w:t>Vermamoeba vermiformis</w:t>
      </w:r>
      <w:r>
        <w:t xml:space="preserve"> </w:t>
      </w:r>
      <w:r>
        <w:t>, where they may couple vitamin K epoxidation to desaturation-driven lipid remodeling. These findings expand the known functional repertoire of giant viruses and highlight a viral strategy for manipulating host redox metabolism and membrane composition.</w:t>
      </w:r>
    </w:p>
    <w:p>
      <w:pPr>
        <w:spacing w:before="120" w:after="120"/>
      </w:pPr>
      <w:r>
        <w:rPr>
          <w:sz w:val="18"/>
        </w:rPr>
        <w:t>——————————————————————————————————————————————————————————————————————</w:t>
      </w:r>
    </w:p>
    <w:p>
      <w:pPr>
        <w:spacing w:before="160" w:after="40" w:line="240" w:lineRule="auto"/>
      </w:pPr>
      <w:r>
        <w:rPr>
          <w:b/>
        </w:rPr>
        <w:t xml:space="preserve">[275] </w:t>
      </w:r>
      <w:hyperlink r:id="rId1103">
        <w:r>
          <w:rPr>
            <w:color w:val="1155CC"/>
            <w:u w:val="single"/>
          </w:rPr>
          <w:t>除了油菜素类固醇：BSL 磷酸酶控制拟南芥合子中的不对称细胞分裂</w:t>
        </w:r>
      </w:hyperlink>
    </w:p>
    <w:p>
      <w:pPr>
        <w:spacing w:before="0" w:after="80"/>
      </w:pPr>
      <w:r>
        <w:rPr>
          <w:i/>
          <w:sz w:val="20"/>
        </w:rPr>
        <w:t>EN: Beyond brassinosteroids: BSL phosphatases control asymmetric cell division in the Arabidopsis zygote</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04">
        <w:r>
          <w:rPr>
            <w:color w:val="1155CC"/>
            <w:u w:val="single"/>
          </w:rPr>
          <w:t>10.1073/pnas.2621712123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[276] </w:t>
      </w:r>
      <w:hyperlink r:id="rId1105">
        <w:r>
          <w:rPr>
            <w:color w:val="1155CC"/>
            <w:u w:val="single"/>
          </w:rPr>
          <w:t>中央引导-目标配对通过解耦 N-PAZ 和 MID-PIWI 叶激活人类 Argonaute2</w:t>
        </w:r>
      </w:hyperlink>
    </w:p>
    <w:p>
      <w:pPr>
        <w:spacing w:before="0" w:after="80"/>
      </w:pPr>
      <w:r>
        <w:rPr>
          <w:i/>
          <w:sz w:val="20"/>
        </w:rPr>
        <w:t>EN: Central guide–target pairing activates human Argonaute2 by uncoupling the N-PAZ and MID–PIWI lobes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06">
        <w:r>
          <w:rPr>
            <w:color w:val="1155CC"/>
            <w:u w:val="single"/>
          </w:rPr>
          <w:t>10.1073/pnas.2614802123</w:t>
        </w:r>
      </w:hyperlink>
    </w:p>
    <w:p>
      <w:pPr>
        <w:spacing w:before="0" w:after="120"/>
      </w:pPr>
      <w:r>
        <w:rPr>
          <w:b/>
        </w:rPr>
        <w:t xml:space="preserve">Notes: </w:t>
      </w:r>
      <w:r>
        <w:t>abstract_source=crossref</w:t>
      </w:r>
    </w:p>
    <w:p>
      <w:pPr>
        <w:spacing w:before="0" w:after="80" w:lineRule="auto" w:line="276"/>
      </w:pPr>
      <w:r>
        <w:rPr>
          <w:b/>
        </w:rPr>
        <w:t xml:space="preserve">摘要（ZH）: </w:t>
      </w:r>
      <w:r>
        <w:t>小干扰 RNA (siRNA) 广泛用于抑制基因表达。为了使人类 Argonaute2 (AGO2) 裂解靶标 RNA，siRNA 必须与其靶标几乎完全互补，特别是在中心区域，但这一要求的机制基础仍不清楚。在这里，冷冻电镜结构和生化分析表明，中心不匹配的靶标沿着双叶AGO2的核酸结合通道传播，而中心匹配的靶标形成双链体，撬开锥形通道，将双链体结构塌陷成双链体结合的MID-PIWI叶和无RNA的N-PAZ叶。这种重排产生了一个预活性开放中间体，可容纳广泛配对的双链体。然后，解偶联的 N-PAZ 叶必须向后摆动并重新组装双叶结构，从而将双链体定位在 PIWI 催化中心并促进目标裂解。</w:t>
      </w:r>
    </w:p>
    <w:p>
      <w:pPr>
        <w:spacing w:before="0" w:after="200" w:lineRule="auto" w:line="276"/>
      </w:pPr>
      <w:r>
        <w:rPr>
          <w:b/>
        </w:rPr>
        <w:t xml:space="preserve">Abstract (EN): </w:t>
      </w:r>
      <w:r>
        <w:t>Small interfering RNAs (siRNAs) are widely used to repress gene expression. For human Argonaute2 (AGO2) to cleave target RNA, siRNAs must be almost perfectly complementary to their targets, particularly in the central region, yet the mechanistic basis for this requirement has remained unclear. Here, cryo-EM structures and biochemical analyses show that centrally mismatched targets propagate along the nucleic acid–binding channel of bilobed AGO2, whereas centrally matched targets form a duplex that pries open the tapered channel, collapsing the bilobed architecture into a duplex-bound MID–PIWI lobe and an RNA-free N–PAZ lobe. This rearrangement generates a preactive open intermediate that accommodates the extensively paired duplex. The uncoupled N–PAZ lobe must then swing back and reassemble the bilobed architecture, thereby positioning the duplex in the PIWI catalytic center and promoting target cleavage.</w:t>
      </w:r>
    </w:p>
    <w:p>
      <w:pPr>
        <w:spacing w:before="120" w:after="120"/>
      </w:pPr>
      <w:r>
        <w:rPr>
          <w:sz w:val="18"/>
        </w:rPr>
        <w:t>——————————————————————————————————————————————————————————————————————</w:t>
      </w:r>
    </w:p>
    <w:p>
      <w:pPr>
        <w:spacing w:before="160" w:after="40" w:line="240" w:lineRule="auto"/>
      </w:pPr>
      <w:r>
        <w:rPr>
          <w:b/>
        </w:rPr>
        <w:t xml:space="preserve">[277] </w:t>
      </w:r>
      <w:hyperlink r:id="rId1107">
        <w:r>
          <w:rPr>
            <w:color w:val="1155CC"/>
            <w:u w:val="single"/>
          </w:rPr>
          <w:t>在波动性加剧的情况下，低积雪上有强烈的人类指纹</w:t>
        </w:r>
      </w:hyperlink>
    </w:p>
    <w:p>
      <w:pPr>
        <w:spacing w:before="0" w:after="80"/>
      </w:pPr>
      <w:r>
        <w:rPr>
          <w:i/>
          <w:sz w:val="20"/>
        </w:rPr>
        <w:t>EN: Strong human fingerprint on low snowpack amid increasing volatility</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08">
        <w:r>
          <w:rPr>
            <w:color w:val="1155CC"/>
            <w:u w:val="single"/>
          </w:rPr>
          <w:t>10.1073/pnas.2620765123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[278] </w:t>
      </w:r>
      <w:hyperlink r:id="rId1109">
        <w:r>
          <w:rPr>
            <w:color w:val="1155CC"/>
            <w:u w:val="single"/>
          </w:rPr>
          <w:t>假冒产品市场的描述性分析</w:t>
        </w:r>
      </w:hyperlink>
    </w:p>
    <w:p>
      <w:pPr>
        <w:spacing w:before="0" w:after="80"/>
      </w:pPr>
      <w:r>
        <w:rPr>
          <w:i/>
          <w:sz w:val="20"/>
        </w:rPr>
        <w:t>EN: A descriptive analysis for the markets for counterfeit products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10">
        <w:r>
          <w:rPr>
            <w:color w:val="1155CC"/>
            <w:u w:val="single"/>
          </w:rPr>
          <w:t>10.1073/pnas.2522322123</w:t>
        </w:r>
      </w:hyperlink>
    </w:p>
    <w:p>
      <w:pPr>
        <w:spacing w:before="0" w:after="120"/>
      </w:pPr>
      <w:r>
        <w:rPr>
          <w:b/>
        </w:rPr>
        <w:t xml:space="preserve">Notes: </w:t>
      </w:r>
      <w:r>
        <w:t>abstract_source=crossref</w:t>
      </w:r>
    </w:p>
    <w:p>
      <w:pPr>
        <w:spacing w:before="0" w:after="80" w:lineRule="auto" w:line="276"/>
      </w:pPr>
      <w:r>
        <w:rPr>
          <w:b/>
        </w:rPr>
        <w:t xml:space="preserve">摘要（ZH）: </w:t>
      </w:r>
      <w:r>
        <w:t>产品假冒是一种普遍存在的犯罪行为，涉及未经授权使用合法商标、侵犯知识产权的行为。假冒产品也是全球非法贸易的多种形式之一，其结构和范围与合法市场相似。假冒商品几乎涵盖从奢侈品和电子产品到药品和军用零部件的所有产品类别，构成从欺骗消费者到威胁公共健康的风险。商业和贸易的全球化以及电子商务和社交媒体的兴起极大地扩大了造假者的影响范围，使他们能够利用合法的供应链和市场，接触到世界各地的消费者。假冒商品的生产和分销往往涉及复杂的网络，包括合法企业和跨国犯罪组织，有时还与人口贩运和强迫劳动有关。尽管监管努力和公私合作旨在遏制假冒行为，但由于全球供应链的复杂性以及区分假冒行为和合法行为的难度，执法仍然具有挑战性。本文介绍了什么是产品假冒，并讨论假冒商品市场如何代表非法平行市场，该市场在许多方面与合法市场的各个方面混杂在一起。讨论了消费者作为假冒产品需求驱动因素的作用，并探讨了消费者故意购买假冒商品的动机。本文还提供了探索</w:t>
      </w:r>
    </w:p>
    <w:p>
      <w:pPr>
        <w:spacing w:before="0" w:after="200" w:lineRule="auto" w:line="276"/>
      </w:pPr>
      <w:r>
        <w:rPr>
          <w:b/>
        </w:rPr>
        <w:t xml:space="preserve">Abstract (EN): </w:t>
      </w:r>
      <w:r>
        <w:t>Product counterfeiting is a pervasive crime that involves the unauthorized use of a legitimate trademark, a violation of intellectual property rights. Counterfeiting is also one of many forms of global illicit trade, mirroring legitimate markets in structure and reach. Counterfeit goods span nearly every product category from luxury items and electronics to pharmaceuticals and military components, posing risks that range from consumer deception to threats to public health. The globalization of commerce and trade and the rise of e-commerce and social media have significantly expanded counterfeiters’ reach, enabling them to exploit legitimate supply chains and marketplaces and reach consumers around the world. The production and distribution of counterfeit goods often involve sophisticated networks, including legitimate businesses and transnational criminal organizations, and are sometimes linked to human trafficking and forced labor. Despite regulatory efforts and public–private partnerships aimed at curbing counterfeiting, enforcement remains challenging due to the complexity of global supply chains and the difficulty in distinguishing counterfeit operations from legitimate ones. This article describes what product counterfeiting is and addresses how markets for counterfeit goods represent an illicit parallel market that is in many ways intermingled with aspects of legitimate markets. The role of consumers as drivers of demand for counterfeits is addressed, and motivations for consumers’ willful purchase of counterfeit goods are explored. This article also provides exploratory insights about the supply chains for some of these products</w:t>
      </w:r>
    </w:p>
    <w:p>
      <w:pPr>
        <w:spacing w:before="120" w:after="120"/>
      </w:pPr>
      <w:r>
        <w:rPr>
          <w:sz w:val="18"/>
        </w:rPr>
        <w:t>——————————————————————————————————————————————————————————————————————</w:t>
      </w:r>
    </w:p>
    <w:p>
      <w:pPr>
        <w:spacing w:before="160" w:after="40" w:line="240" w:lineRule="auto"/>
      </w:pPr>
      <w:r>
        <w:rPr>
          <w:b/>
        </w:rPr>
        <w:t xml:space="preserve">[279] </w:t>
      </w:r>
      <w:hyperlink r:id="rId1111">
        <w:r>
          <w:rPr>
            <w:color w:val="1155CC"/>
            <w:u w:val="single"/>
          </w:rPr>
          <w:t>G51D α-突触核蛋白小鼠初级纤毛和神经营养信号的选择性丧失凸显了帕金森病的常见途径</w:t>
        </w:r>
      </w:hyperlink>
    </w:p>
    <w:p>
      <w:pPr>
        <w:spacing w:before="0" w:after="80"/>
      </w:pPr>
      <w:r>
        <w:rPr>
          <w:i/>
          <w:sz w:val="20"/>
        </w:rPr>
        <w:t>EN: Selective loss of primary cilia and neurotrophic signaling in G51D α-synuclein mice highlights a common pathway to Parkinson’s disease</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12">
        <w:r>
          <w:rPr>
            <w:color w:val="1155CC"/>
            <w:u w:val="single"/>
          </w:rPr>
          <w:t>10.1073/pnas.2619797123</w:t>
        </w:r>
      </w:hyperlink>
    </w:p>
    <w:p>
      <w:pPr>
        <w:spacing w:before="0" w:after="120"/>
      </w:pPr>
      <w:r>
        <w:rPr>
          <w:b/>
        </w:rPr>
        <w:t xml:space="preserve">Notes: </w:t>
      </w:r>
      <w:r>
        <w:t>abstract_source=crossref</w:t>
      </w:r>
    </w:p>
    <w:p>
      <w:pPr>
        <w:spacing w:before="0" w:after="80" w:lineRule="auto" w:line="276"/>
      </w:pPr>
      <w:r>
        <w:rPr>
          <w:b/>
        </w:rPr>
        <w:t xml:space="preserve">摘要（ZH）: </w:t>
      </w:r>
      <w:r>
        <w:t>帕金森病的特点是多巴胺能神经元丢失和大脑中 α-突触核蛋白聚集体的积累。 G51D α-突触核蛋白敲入小鼠提供了遗传和临床相关的疾病模型，表现出早期嗅觉缺陷、年龄依赖性运动障碍和进行性磷酸-α-突触核蛋白积累。在多种帕金森病模型中，纹状体胆碱能和小白蛋白中间神经元以及星形胶质细胞失去了初级纤毛和维持多巴胺能神经元所需的神经营养信号。我们在此表明​​ G51D α-突触核蛋白小鼠具有这些表型。磷酸-Ser129 α-突触核蛋白积累与胆碱能中间神经元中的纤毛损失相关，但与积累较高磷酸-α-突触核蛋白水平的多刺投射神经元无关。在梨状皮质中，小白蛋白神经元失去初级纤毛并下调 Neurturin，可能导致嗅觉功能障碍。在外周嗅上皮内，水平基底细胞失去纤毛，而多纤毛嗅觉感觉神经元纤毛保持完整。这些发现揭示了帕金森病模型中趋同的细胞脆弱性，并强调了纤毛信号传导受损的致病作用。</w:t>
      </w:r>
    </w:p>
    <w:p>
      <w:pPr>
        <w:spacing w:before="0" w:after="200" w:lineRule="auto" w:line="276"/>
      </w:pPr>
      <w:r>
        <w:rPr>
          <w:b/>
        </w:rPr>
        <w:t xml:space="preserve">Abstract (EN): </w:t>
      </w:r>
      <w:r>
        <w:t>Parkinson’s disease is characterized by dopaminergic neuron loss and accumulation of α-synuclein aggregates in the brain. G51D α-synuclein knock-in mice provide a genetically and clinically relevant model of disease, exhibiting early olfactory deficits, age-dependent motor impairment, and progressive phospho-α-synuclein accumulation. In multiple Parkinson’s disease models, striatal cholinergic and parvalbumin interneurons, as well as astrocytes, lose primary cilia and the neurotrophic signaling needed to sustain dopaminergic neurons. We show here that G51D α-synuclein mice share these phenotypes. Phospho-Ser129 α-synuclein accumulation correlates with cilia loss in cholinergic interneurons but not in spiny projection neurons that accumulate higher phospho-α-synuclein levels. In the piriform cortex, parvalbumin neurons lose primary cilia and downregulate Neurturin, potentially contributing to olfactory dysfunction. Within the peripheral olfactory epithelium, horizontal basal cells lose cilia, whereas multiciliated olfactory sensory neuron cilia remain intact. These findings reveal convergent cellular vulnerabilities across Parkinson’s disease models and highlight a pathogenic role for impaired ciliary signaling.</w:t>
      </w:r>
    </w:p>
    <w:p>
      <w:pPr>
        <w:spacing w:before="120" w:after="120"/>
      </w:pPr>
      <w:r>
        <w:rPr>
          <w:sz w:val="18"/>
        </w:rPr>
        <w:t>——————————————————————————————————————————————————————————————————————</w:t>
      </w:r>
    </w:p>
    <w:p>
      <w:pPr>
        <w:spacing w:before="160" w:after="40" w:line="240" w:lineRule="auto"/>
      </w:pPr>
      <w:r>
        <w:rPr>
          <w:b/>
        </w:rPr>
        <w:t xml:space="preserve">[280] </w:t>
      </w:r>
      <w:hyperlink r:id="rId1113">
        <w:r>
          <w:rPr>
            <w:color w:val="1155CC"/>
            <w:u w:val="single"/>
          </w:rPr>
          <w:t>通过局部 mRNA 组织 Stentor 身体计划</w:t>
        </w:r>
      </w:hyperlink>
    </w:p>
    <w:p>
      <w:pPr>
        <w:spacing w:before="0" w:after="80"/>
      </w:pPr>
      <w:r>
        <w:rPr>
          <w:i/>
          <w:sz w:val="20"/>
        </w:rPr>
        <w:t>EN: Organization of the Stentor body plan by localized mRNAs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14">
        <w:r>
          <w:rPr>
            <w:color w:val="1155CC"/>
            <w:u w:val="single"/>
          </w:rPr>
          <w:t>10.1073/pnas.2619787123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[281] </w:t>
      </w:r>
      <w:hyperlink r:id="rId1115">
        <w:r>
          <w:rPr>
            <w:color w:val="1155CC"/>
            <w:u w:val="single"/>
          </w:rPr>
          <w:t>分子组装作为可通过质谱测量的通用生物特征</w:t>
        </w:r>
      </w:hyperlink>
    </w:p>
    <w:p>
      <w:pPr>
        <w:spacing w:before="0" w:after="80"/>
      </w:pPr>
      <w:r>
        <w:rPr>
          <w:i/>
          <w:sz w:val="20"/>
        </w:rPr>
        <w:t>EN: Molecular assembly as a universal biosignature measurable by mass spectrometry</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16">
        <w:r>
          <w:rPr>
            <w:color w:val="1155CC"/>
            <w:u w:val="single"/>
          </w:rPr>
          <w:t>10.1073/pnas.2619198123</w:t>
        </w:r>
      </w:hyperlink>
    </w:p>
    <w:p>
      <w:pPr>
        <w:spacing w:before="0" w:after="120"/>
      </w:pPr>
      <w:r>
        <w:rPr>
          <w:b/>
        </w:rPr>
        <w:t xml:space="preserve">Notes: </w:t>
      </w:r>
      <w:r>
        <w:t>abstract_source=crossref</w:t>
      </w:r>
    </w:p>
    <w:p>
      <w:pPr>
        <w:spacing w:before="0" w:after="80" w:lineRule="auto" w:line="276"/>
      </w:pPr>
      <w:r>
        <w:rPr>
          <w:b/>
        </w:rPr>
        <w:t xml:space="preserve">摘要（ZH）: </w:t>
      </w:r>
      <w:r>
        <w:t>探测地球以外的生命需要不依赖于已知生物体化学成分的生物特征。分子组装 (MA) 源自组装理论，量化了从基本构件构建分子的难度，将复杂性直接与选择和进化联系起来。在这里，我们证明 MA 可以作为一种通用的生物特征，既可解释又可通过实验测量。与信息论测量不同，MA 可以直接从质谱数据推断出来，无需结构阐明。我们使用在标准化单阶段（MS</w:t>
      </w:r>
      <w:r>
        <w:rPr>
          <w:vertAlign w:val="subscript"/>
        </w:rPr>
        <w:t>1</w:t>
      </w:r>
      <w:r>
        <w:t>）谱，其预测 MA 的误差比基线方法低三倍。模拟多级（MS</w:t>
      </w:r>
      <w:r>
        <w:t xml:space="preserve"> </w:t>
      </w:r>
      <w:r>
        <w:t>n</w:t>
      </w:r>
      <w:r>
        <w:t xml:space="preserve"> </w:t>
      </w:r>
      <w:r>
        <w:t>）数据表明，微小的仪器变化会使预测误差加倍，凸显了校准的重要性。这些发现将分子组装确立为一种物理基础、可量化的生物特征，可通过质谱法测量，其解释取决于对仪器效应的仔细控制，为未来行星任务中的生命探测提供了一条可扩展的途径。</w:t>
      </w:r>
    </w:p>
    <w:p>
      <w:pPr>
        <w:spacing w:before="0" w:after="200" w:lineRule="auto" w:line="276"/>
      </w:pPr>
      <w:r>
        <w:rPr>
          <w:b/>
        </w:rPr>
        <w:t xml:space="preserve">Abstract (EN): </w:t>
      </w:r>
      <w:r>
        <w:t>Detecting life beyond Earth requires biosignatures that do not depend on the chemistry of known organisms. Molecular assembly (MA), derived from Assembly Theory, quantifies how difficult it is to build a molecule from basic building blocks, linking complexity directly to selection and evolution. Here, we show that MA can serve as a universal biosignature that is both interpretable and experimentally measurable. Unlike information-theoretic measures, MA can be inferred directly from mass spectrometry data without structural elucidation. We demonstrate this using a machine learning model trained on standardized single-stage (MS</w:t>
      </w:r>
      <w:r>
        <w:rPr>
          <w:vertAlign w:val="subscript"/>
        </w:rPr>
        <w:t>1</w:t>
      </w:r>
      <w:r>
        <w:t>) spectra, which predicts MA with three-fold lower error than baseline methods. Simulated multistage (MS</w:t>
      </w:r>
      <w:r>
        <w:t xml:space="preserve"> </w:t>
      </w:r>
      <w:r>
        <w:t>n</w:t>
      </w:r>
      <w:r>
        <w:t xml:space="preserve"> </w:t>
      </w:r>
      <w:r>
        <w:t>) data reveal that small instrumental variations can double prediction error, highlighting the importance of calibration. These findings establish molecular assembly as a physically grounded, quantifiable biosignature measurable by mass spectrometry whose interpretation depends on careful control of instrumental effects, offering a scalable route to life detection on future planetary missions.</w:t>
      </w:r>
    </w:p>
    <w:p>
      <w:pPr>
        <w:spacing w:before="120" w:after="120"/>
      </w:pPr>
      <w:r>
        <w:rPr>
          <w:sz w:val="18"/>
        </w:rPr>
        <w:t>——————————————————————————————————————————————————————————————————————</w:t>
      </w:r>
    </w:p>
    <w:p>
      <w:pPr>
        <w:spacing w:before="160" w:after="40" w:line="240" w:lineRule="auto"/>
      </w:pPr>
      <w:r>
        <w:rPr>
          <w:b/>
        </w:rPr>
        <w:t xml:space="preserve">[282] </w:t>
      </w:r>
      <w:hyperlink r:id="rId1117">
        <w:r>
          <w:rPr>
            <w:color w:val="1155CC"/>
            <w:u w:val="single"/>
          </w:rPr>
          <w:t>美国人青睐预分配经济政策而非再分配经济政策</w:t>
        </w:r>
      </w:hyperlink>
    </w:p>
    <w:p>
      <w:pPr>
        <w:spacing w:before="0" w:after="80"/>
      </w:pPr>
      <w:r>
        <w:rPr>
          <w:i/>
          <w:sz w:val="20"/>
        </w:rPr>
        <w:t>EN: Americans favor predistributive over redistributive economic policies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18">
        <w:r>
          <w:rPr>
            <w:color w:val="1155CC"/>
            <w:u w:val="single"/>
          </w:rPr>
          <w:t>10.1073/pnas.2617191123</w:t>
        </w:r>
      </w:hyperlink>
    </w:p>
    <w:p>
      <w:pPr>
        <w:spacing w:before="0" w:after="120"/>
      </w:pPr>
      <w:r>
        <w:rPr>
          <w:b/>
        </w:rPr>
        <w:t xml:space="preserve">Notes: </w:t>
      </w:r>
      <w:r>
        <w:t>abstract_source=crossref</w:t>
      </w:r>
    </w:p>
    <w:p>
      <w:pPr>
        <w:spacing w:before="0" w:after="80" w:lineRule="auto" w:line="276"/>
      </w:pPr>
      <w:r>
        <w:rPr>
          <w:b/>
        </w:rPr>
        <w:t xml:space="preserve">摘要（ZH）: </w:t>
      </w:r>
      <w:r>
        <w:t>旨在通过税收和转移支付（例如，由累进税资助的安全网福利）减少经济不平等的再分配政策在美国得到的支持少于许多西方民主国家。最近的研究表明，美国人可能更容易接受“预分配”政策，这些政策旨在减少税收和转移支付之前的经济不平等（例如，提高最低工资）。然而，现有证据尚不清楚这种支持差距是否是当代美国人的整体特征，以及当相同的政策提案以预分配与再分配术语描述且其核心条款保持不变时，这种支持差距是否仍然存在。 2015 年至 2024 年美国 31 个国家的调查浪潮（总计</w:t>
      </w:r>
      <w:r>
        <w:t xml:space="preserve"> </w:t>
      </w:r>
      <w:r>
        <w:t>氮</w:t>
      </w:r>
      <w:r>
        <w:t xml:space="preserve"> </w:t>
      </w:r>
      <w:r>
        <w:t>=</w:t>
      </w:r>
      <w:r>
        <w:t xml:space="preserve"> </w:t>
      </w:r>
      <w:r>
        <w:t>第384章</w:t>
      </w:r>
      <w:r>
        <w:t xml:space="preserve"> </w:t>
      </w:r>
      <w:r>
        <w:t>,</w:t>
      </w:r>
      <w:r>
        <w:rPr>
          <w:vertAlign w:val="subscript"/>
        </w:rPr>
        <w:t>248</w:t>
      </w:r>
      <w:r>
        <w:t xml:space="preserve"> </w:t>
      </w:r>
      <w:r>
        <w:t>），我们发现对预分配政策的支持比对再分配政策的支持更大。然后，我们对美国全国样本进行了预先注册的实验（</w:t>
      </w:r>
      <w:r>
        <w:t xml:space="preserve"> </w:t>
      </w:r>
      <w:r>
        <w:t>氮</w:t>
      </w:r>
      <w:r>
        <w:t xml:space="preserve"> </w:t>
      </w:r>
      <w:r>
        <w:t>=</w:t>
      </w:r>
      <w:r>
        <w:rPr>
          <w:vertAlign w:val="subscript"/>
        </w:rPr>
        <w:t>1</w:t>
      </w:r>
      <w:r>
        <w:t>,</w:t>
      </w:r>
      <w:r>
        <w:rPr>
          <w:vertAlign w:val="subscript"/>
        </w:rPr>
        <w:t>009</w:t>
      </w:r>
      <w:r>
        <w:t xml:space="preserve"> </w:t>
      </w:r>
      <w:r>
        <w:t>），随机改变其他方面相同的政策建议是否被描述为增加收入</w:t>
      </w:r>
    </w:p>
    <w:p>
      <w:pPr>
        <w:spacing w:before="0" w:after="200" w:lineRule="auto" w:line="276"/>
      </w:pPr>
      <w:r>
        <w:rPr>
          <w:b/>
        </w:rPr>
        <w:t xml:space="preserve">Abstract (EN): </w:t>
      </w:r>
      <w:r>
        <w:t>Redistributive policies designed to reduce economic inequality through taxes and transfers (e.g., safety-net benefits funded by progressive taxation) receive less support in the United States than in many Western democracies. Recent work suggests Americans may be more receptive to “predistributive” policies, which seek to reduce economic inequality before taxes and transfers (e.g., minimum-wage increases). Yet existing evidence leaves open whether this support gap characterizes contemporary Americans overall, and whether it persists when the same policy proposals are described in predistributive vs. redistributive terms, with their core provisions held constant. Across 31 national U.S. survey waves from 2015 to 2024 (total</w:t>
      </w:r>
      <w:r>
        <w:t xml:space="preserve"> </w:t>
      </w:r>
      <w:r>
        <w:t>N</w:t>
      </w:r>
      <w:r>
        <w:t xml:space="preserve"> </w:t>
      </w:r>
      <w:r>
        <w:t>=</w:t>
      </w:r>
      <w:r>
        <w:rPr>
          <w:vertAlign w:val="subscript"/>
        </w:rPr>
        <w:t>384</w:t>
      </w:r>
      <w:r>
        <w:t>,</w:t>
      </w:r>
      <w:r>
        <w:rPr>
          <w:vertAlign w:val="subscript"/>
        </w:rPr>
        <w:t>248</w:t>
      </w:r>
      <w:r>
        <w:t xml:space="preserve"> </w:t>
      </w:r>
      <w:r>
        <w:t>), we find greater support for policies classified as predistributive than redistributive. We then fielded a preregistered experiment with a national U.S. sample (</w:t>
      </w:r>
      <w:r>
        <w:t xml:space="preserve"> </w:t>
      </w:r>
      <w:r>
        <w:t>N</w:t>
      </w:r>
      <w:r>
        <w:t xml:space="preserve"> </w:t>
      </w:r>
      <w:r>
        <w:t>=</w:t>
      </w:r>
      <w:r>
        <w:rPr>
          <w:vertAlign w:val="subscript"/>
        </w:rPr>
        <w:t>1</w:t>
      </w:r>
      <w:r>
        <w:t>,</w:t>
      </w:r>
      <w:r>
        <w:rPr>
          <w:vertAlign w:val="subscript"/>
        </w:rPr>
        <w:t>009</w:t>
      </w:r>
      <w:r>
        <w:t xml:space="preserve"> </w:t>
      </w:r>
      <w:r>
        <w:t>), randomly varying whether otherwise identical policy proposals were described as increasing earnings for people lower in the income distribution, shifting resources from higher- to lower-income individuals, or presented only with the policy description given in all conditions. Support was higher under predistributive than redistributive descriptions. Comparison with the control condition clarifies this difference: Predistributive descriptions received support comparable to control, whereas redistributive descriptions received lower support. Exploratory analyses suggest perceived respect for hard work and beneficiary deservingness were associated with the support gap. Together, these results suggest Americans prefer policies that reduce inequality by influencing earnings more than through taxes and transfers.</w:t>
      </w:r>
    </w:p>
    <w:p>
      <w:pPr>
        <w:spacing w:before="120" w:after="120"/>
      </w:pPr>
      <w:r>
        <w:rPr>
          <w:sz w:val="18"/>
        </w:rPr>
        <w:t>——————————————————————————————————————————————————————————————————————</w:t>
      </w:r>
    </w:p>
    <w:p>
      <w:pPr>
        <w:spacing w:before="160" w:after="40" w:line="240" w:lineRule="auto"/>
      </w:pPr>
      <w:r>
        <w:rPr>
          <w:b/>
        </w:rPr>
        <w:t xml:space="preserve">[283] </w:t>
      </w:r>
      <w:hyperlink r:id="rId1119">
        <w:r>
          <w:rPr>
            <w:color w:val="1155CC"/>
            <w:u w:val="single"/>
          </w:rPr>
          <w:t>通过硫氧还蛋白还原酶损失对白色念珠菌细胞造成级联损害</w:t>
        </w:r>
      </w:hyperlink>
    </w:p>
    <w:p>
      <w:pPr>
        <w:spacing w:before="0" w:after="80"/>
      </w:pPr>
      <w:r>
        <w:rPr>
          <w:i/>
          <w:sz w:val="20"/>
        </w:rPr>
        <w:t>EN: Cascading damage to Candida albicans cells through thioredoxin reductase loss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20">
        <w:r>
          <w:rPr>
            <w:color w:val="1155CC"/>
            <w:u w:val="single"/>
          </w:rPr>
          <w:t>10.1073/pnas.2615451123</w:t>
        </w:r>
      </w:hyperlink>
    </w:p>
    <w:p>
      <w:pPr>
        <w:spacing w:before="0" w:after="120"/>
      </w:pPr>
      <w:r>
        <w:rPr>
          <w:b/>
        </w:rPr>
        <w:t xml:space="preserve">Notes: </w:t>
      </w:r>
      <w:r>
        <w:t>abstract_source=crossref</w:t>
      </w:r>
    </w:p>
    <w:p>
      <w:pPr>
        <w:spacing w:before="0" w:after="80" w:lineRule="auto" w:line="276"/>
      </w:pPr>
      <w:r>
        <w:rPr>
          <w:b/>
        </w:rPr>
        <w:t xml:space="preserve">摘要（ZH）: </w:t>
      </w:r>
      <w:r>
        <w:t>白色念珠菌</w:t>
      </w:r>
      <w:r>
        <w:t xml:space="preserve"> </w:t>
      </w:r>
      <w:r>
        <w:t>是最常见的侵入人类的真菌病原体。我们表明</w:t>
      </w:r>
      <w:r>
        <w:t xml:space="preserve"> </w:t>
      </w:r>
      <w:r>
        <w:t>白色念珠菌</w:t>
      </w:r>
      <w:r>
        <w:t xml:space="preserve"> </w:t>
      </w:r>
      <w:r>
        <w:t>硫氧还蛋白还原酶 Trr1 是一个有吸引力的抗真菌靶点：它在人体温度下至关重要，并且真菌和人类硫氧还蛋白还原酶在结构上存在差异，这预示着真菌靶向抑制剂的高选择性。</w:t>
      </w:r>
      <w:r>
        <w:t xml:space="preserve"> </w:t>
      </w:r>
      <w:r>
        <w:t>TRR1</w:t>
      </w:r>
      <w:r>
        <w:t xml:space="preserve"> </w:t>
      </w:r>
      <w:r>
        <w:t>耗尽会直接损害氧化损伤修复，还会引发应激信号传导和代谢适应的级联破坏。氧化应激耐受力受损和随之而来的两性霉素过敏是预期的影响</w:t>
      </w:r>
      <w:r>
        <w:t xml:space="preserve"> </w:t>
      </w:r>
      <w:r>
        <w:t>TRR1</w:t>
      </w:r>
      <w:r>
        <w:t xml:space="preserve"> </w:t>
      </w:r>
      <w:r>
        <w:t>耗尽。我们意外地发现它也敏感</w:t>
      </w:r>
      <w:r>
        <w:t xml:space="preserve"> </w:t>
      </w:r>
      <w:r>
        <w:t>念珠菌属</w:t>
      </w:r>
      <w:r>
        <w:t xml:space="preserve"> </w:t>
      </w:r>
      <w:r>
        <w:t>细胞壁应激和一线棘白菌素抗真菌剂。</w:t>
      </w:r>
      <w:r>
        <w:t xml:space="preserve"> </w:t>
      </w:r>
      <w:r>
        <w:t>TRR1</w:t>
      </w:r>
      <w:r>
        <w:t xml:space="preserve"> </w:t>
      </w:r>
      <w:r>
        <w:t>-耗尽的细胞的细胞壁葡聚糖含量降低。在 NADPH 还原当量需求的驱动下，这些细胞增加了进入戊糖磷酸途径 (PPP) 的葡萄糖-6-磷酸通量，PPP 第一个限速酶的活性急剧升高就证明了这一点。由于 UDP-葡萄糖（细胞壁葡聚糖生物合成的底物）也源自葡萄糖-6-磷酸，因此我们认为 NADPH 产生和细胞壁葡聚糖生物合成之间这种共享中间体的代谢途径竞争是细胞壁弱点的基础。</w:t>
      </w:r>
      <w:r>
        <w:t xml:space="preserve"> </w:t>
      </w:r>
      <w:r>
        <w:t>TRR1</w:t>
      </w:r>
      <w:r>
        <w:t xml:space="preserve"> </w:t>
      </w:r>
      <w:r>
        <w:t>- 耗尽的细胞。关键 UDP-葡萄糖生物活性降低</w:t>
      </w:r>
    </w:p>
    <w:p>
      <w:pPr>
        <w:spacing w:before="0" w:after="200" w:lineRule="auto" w:line="276"/>
      </w:pPr>
      <w:r>
        <w:rPr>
          <w:b/>
        </w:rPr>
        <w:t xml:space="preserve">Abstract (EN): </w:t>
      </w:r>
      <w:r>
        <w:t>Candida albicans</w:t>
      </w:r>
      <w:r>
        <w:t xml:space="preserve"> </w:t>
      </w:r>
      <w:r>
        <w:t>is the most common invasive human fungal pathogen. We show that</w:t>
      </w:r>
      <w:r>
        <w:t xml:space="preserve"> </w:t>
      </w:r>
      <w:r>
        <w:t>C. albicans</w:t>
      </w:r>
      <w:r>
        <w:t xml:space="preserve"> </w:t>
      </w:r>
      <w:r>
        <w:t>thioredoxin reductase, Trr1, is an attractive antifungal target: it is essential at human body temperature, and fungal and human thioredoxin reductases are structurally divergent, predicting high selectivity of fungal-targeted inhibitors.</w:t>
      </w:r>
      <w:r>
        <w:t xml:space="preserve"> </w:t>
      </w:r>
      <w:r>
        <w:t>TRR1</w:t>
      </w:r>
      <w:r>
        <w:t xml:space="preserve"> </w:t>
      </w:r>
      <w:r>
        <w:t>depletion directly impairs oxidative damage repair, but also triggers cascading disruption of stress signaling and metabolic adaptation. Impaired oxidative stress endurance and consequent amphotericin hypersensitivity are anticipated effects of</w:t>
      </w:r>
      <w:r>
        <w:t xml:space="preserve"> </w:t>
      </w:r>
      <w:r>
        <w:t>TRR1</w:t>
      </w:r>
      <w:r>
        <w:t xml:space="preserve"> </w:t>
      </w:r>
      <w:r>
        <w:t>depletion. We unexpectedly find it also sensitizes</w:t>
      </w:r>
      <w:r>
        <w:t xml:space="preserve"> </w:t>
      </w:r>
      <w:r>
        <w:t>Candida</w:t>
      </w:r>
      <w:r>
        <w:t xml:space="preserve"> </w:t>
      </w:r>
      <w:r>
        <w:t>to cell wall stress and to a first-line echinocandin antifungal agent.</w:t>
      </w:r>
      <w:r>
        <w:t xml:space="preserve"> </w:t>
      </w:r>
      <w:r>
        <w:t>TRR1</w:t>
      </w:r>
      <w:r>
        <w:t xml:space="preserve"> </w:t>
      </w:r>
      <w:r>
        <w:t>-depleted cells have decreased cell wall glucan content. Driven by demand for NADPH reducing equivalents, these cells increase glucose-6-phosphate flux into the pentose phosphate pathway (PPP) as evinced by sharply elevated activity of the PPP’s first, rate-limiting enzyme. Since UDP-glucose—the substrate for cell wall glucan biosynthesis—is also derived from glucose-6-phosphate, we propose that metabolic pathway competition for this shared intermediate between NADPH production and cell wall glucan biosynthesis underlies the cell wall weakness of</w:t>
      </w:r>
      <w:r>
        <w:t xml:space="preserve"> </w:t>
      </w:r>
      <w:r>
        <w:t>TRR1</w:t>
      </w:r>
      <w:r>
        <w:t xml:space="preserve"> </w:t>
      </w:r>
      <w:r>
        <w:t>-depleted cells. Decreased activity of a key UDP-glucose biosynthetic enzyme supports this mechanism. Trr1 loss of function further drives feed-forward damage cycles: it accelerates respiration which increases reactive oxygen species, reduces gluconeogenesis which further limits glucose-6-phosphate availability, and suppresses oxidative- and cell wall stress signaling pathways. Our findings support Trr1 inhibition as a promising approach to improved treatment of</w:t>
      </w:r>
      <w:r>
        <w:t xml:space="preserve"> </w:t>
      </w:r>
      <w:r>
        <w:t>C. albicans</w:t>
      </w:r>
      <w:r>
        <w:t xml:space="preserve"> </w:t>
      </w:r>
      <w:r>
        <w:t>infections.</w:t>
      </w:r>
    </w:p>
    <w:p>
      <w:pPr>
        <w:spacing w:before="120" w:after="120"/>
      </w:pPr>
      <w:r>
        <w:rPr>
          <w:sz w:val="18"/>
        </w:rPr>
        <w:t>——————————————————————————————————————————————————————————————————————</w:t>
      </w:r>
    </w:p>
    <w:p>
      <w:pPr>
        <w:spacing w:before="160" w:after="40" w:line="240" w:lineRule="auto"/>
      </w:pPr>
      <w:r>
        <w:rPr>
          <w:b/>
        </w:rPr>
        <w:t xml:space="preserve">[284] </w:t>
      </w:r>
      <w:hyperlink r:id="rId1121">
        <w:r>
          <w:rPr>
            <w:color w:val="1155CC"/>
            <w:u w:val="single"/>
          </w:rPr>
          <w:t>巴西的经济一体化和向上流动</w:t>
        </w:r>
      </w:hyperlink>
    </w:p>
    <w:p>
      <w:pPr>
        <w:spacing w:before="0" w:after="80"/>
      </w:pPr>
      <w:r>
        <w:rPr>
          <w:i/>
          <w:sz w:val="20"/>
        </w:rPr>
        <w:t>EN: Economic integration and upward mobility in Brazil</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22">
        <w:r>
          <w:rPr>
            <w:color w:val="1155CC"/>
            <w:u w:val="single"/>
          </w:rPr>
          <w:t>10.1073/pnas.2604542123</w:t>
        </w:r>
      </w:hyperlink>
    </w:p>
    <w:p>
      <w:pPr>
        <w:spacing w:before="0" w:after="120"/>
      </w:pPr>
      <w:r>
        <w:rPr>
          <w:b/>
        </w:rPr>
        <w:t xml:space="preserve">Notes: </w:t>
      </w:r>
      <w:r>
        <w:t>abstract_source=crossref</w:t>
      </w:r>
    </w:p>
    <w:p>
      <w:pPr>
        <w:spacing w:before="0" w:after="80" w:lineRule="auto" w:line="276"/>
      </w:pPr>
      <w:r>
        <w:rPr>
          <w:b/>
        </w:rPr>
        <w:t xml:space="preserve">摘要（ZH）: </w:t>
      </w:r>
      <w:r>
        <w:t>新兴经济体的城市是贫困陷阱还是机遇引擎？我们使用涵盖巴西所有正式工人的 13 年雇主-雇员关联数据来探索集聚促进最初贫困工人流动的机制。我们发现，巴西南部那些似乎能够实现更多向上流动的城市的特点是，与流动性较低的同等规模的北部城市相比，熟练和非熟练劳动力的混合程度更高，而北部的熟练工人不成比例地集中在公共部门。这些发现表明，城市化的好处不仅源于城市群的规模或其正规教育水平，还源于生产的社会组织。</w:t>
      </w:r>
    </w:p>
    <w:p>
      <w:pPr>
        <w:spacing w:before="0" w:after="200" w:lineRule="auto" w:line="276"/>
      </w:pPr>
      <w:r>
        <w:rPr>
          <w:b/>
        </w:rPr>
        <w:t xml:space="preserve">Abstract (EN): </w:t>
      </w:r>
      <w:r>
        <w:t>Are cities in emerging economies poverty traps or engines of opportunity? We use 13 y of linked employer–employee data covering all formal workers in Brazil to explore the mechanisms through which agglomeration promotes mobility for initially poor workers. We find that the cities that appear to enable more upward mobility in Brazil’s south are characterized by greater mixing of skilled and unskilled labor than similarly sized cities with less mobility in the north, where skilled workers disproportionately concentrate in the public sector. These findings suggest that the benefits of urbanization stem not only from the size of the agglomeration or its level of formal schooling but also from the social organization of production.</w:t>
      </w:r>
    </w:p>
    <w:p>
      <w:pPr>
        <w:spacing w:before="120" w:after="120"/>
      </w:pPr>
      <w:r>
        <w:rPr>
          <w:sz w:val="18"/>
        </w:rPr>
        <w:t>——————————————————————————————————————————————————————————————————————</w:t>
      </w:r>
    </w:p>
    <w:p>
      <w:pPr>
        <w:spacing w:before="160" w:after="40" w:line="240" w:lineRule="auto"/>
      </w:pPr>
      <w:r>
        <w:rPr>
          <w:b/>
        </w:rPr>
        <w:t xml:space="preserve">[285] </w:t>
      </w:r>
      <w:hyperlink r:id="rId1123">
        <w:r>
          <w:rPr>
            <w:color w:val="1155CC"/>
            <w:u w:val="single"/>
          </w:rPr>
          <w:t>非法野生动物贸易如何坚持和挑战传统市场行为</w:t>
        </w:r>
      </w:hyperlink>
    </w:p>
    <w:p>
      <w:pPr>
        <w:spacing w:before="0" w:after="80"/>
      </w:pPr>
      <w:r>
        <w:rPr>
          <w:i/>
          <w:sz w:val="20"/>
        </w:rPr>
        <w:t>EN: How illegal wildlife trade adheres to and defies conventional market behavior</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24">
        <w:r>
          <w:rPr>
            <w:color w:val="1155CC"/>
            <w:u w:val="single"/>
          </w:rPr>
          <w:t>10.1073/pnas.2525056123</w:t>
        </w:r>
      </w:hyperlink>
    </w:p>
    <w:p>
      <w:pPr>
        <w:spacing w:before="0" w:after="120"/>
      </w:pPr>
      <w:r>
        <w:rPr>
          <w:b/>
        </w:rPr>
        <w:t xml:space="preserve">Notes: </w:t>
      </w:r>
      <w:r>
        <w:t>abstract_source=crossref</w:t>
      </w:r>
    </w:p>
    <w:p>
      <w:pPr>
        <w:spacing w:before="0" w:after="80" w:lineRule="auto" w:line="276"/>
      </w:pPr>
      <w:r>
        <w:rPr>
          <w:b/>
        </w:rPr>
        <w:t xml:space="preserve">摘要（ZH）: </w:t>
      </w:r>
      <w:r>
        <w:t>非法野生动物市场构成了复杂的全球经济，在损害生物多样性和生计的同时产生犯罪利润。生物多样性丧失、生态系统不稳定和人畜共患疾病风险带来的负面外部性可能比每年数十亿美元的总市场价值大几个数量级。尽管数十年来受到国际政策的关注，但人们对这些市场的基本经济特征仍然知之甚少。我们建议根据产品的耐用性和预期用途区分三类非法交易的野生动物产品：豪华耐用品、加工成食品或药品的非耐用产品以及活体或易腐烂的外来宠物和植物。通过对象牙、穿山甲鳞片和多肉植物的案例研究，我们描述了跨产品类型的市场组织、定价结构、供应网络架构和监管漏洞。我们的分析表明，非法野生动物市场表现出与其他非法市场不同的经济特征，包括造成绝对供应限制的生物生产限制、利用现有合法贸易基础设施的机会主义供应网络，以及使采伐者仅获得最终零售价值一小部分的极端加价结构。最后，我们提出了加速对新颖或独特资产的需求（AD NOXA）的概念，它描述了稀缺性如何可能矛盾地增加而不是减少消费某些野生动物市场的吸引力。这种悖论产生的反馈循环可能会导致物种灭绝</w:t>
      </w:r>
    </w:p>
    <w:p>
      <w:pPr>
        <w:spacing w:before="0" w:after="200" w:lineRule="auto" w:line="276"/>
      </w:pPr>
      <w:r>
        <w:rPr>
          <w:b/>
        </w:rPr>
        <w:t xml:space="preserve">Abstract (EN): </w:t>
      </w:r>
      <w:r>
        <w:t>Illegal wildlife markets comprise a complex global economy generating criminal profits while harming biodiversity and livelihoods. The negative externalities from biodiversity loss, ecosystem destabilization, and zoonotic disease risk may be orders of magnitude larger than the multibillion dollar annual total market value. Despite decades of international policy attention, fundamental economic characteristics of these markets remain poorly understood. We suggest distinguishing three categories of illegally traded wildlife products based on product durability and intended use: luxury durable goods, nondurable products processed to be food or medicine, and live or perishable exotic pets and plants. Through case studies of elephant ivory, pangolin scales, and succulent plants, we characterize market organization, pricing structures, supply network architecture, and regulatory vulnerabilities across product types. Our analysis suggests illegal wildlife markets exhibit economic characteristics distinguishing them from other illegal markets, including biological production constraints creating absolute supply limits, opportunistic supply networks exploiting existing legal trade infrastructure, and extreme markup structures leaving harvesters with a fraction of final retail value. We conclude by proposing the concept of Accelerating Demand for Novel or eXclusive Assets, or AD NOXA, which describes how scarcity may paradoxically increase rather than decrease the appeal of consuming certain wildlife markets. This paradox creates feedback loops that may drive species toward extinction, despite—or because of—protective regulations and fundamentally limits the effectiveness of supply-side interventions. Policy responses may be more effective when they integrate supply-side enforcement with demand reduction strategies tailored to the distinct characteristics of illegal wildlife markets.</w:t>
      </w:r>
    </w:p>
    <w:p>
      <w:pPr>
        <w:spacing w:before="120" w:after="120"/>
      </w:pPr>
      <w:r>
        <w:rPr>
          <w:sz w:val="18"/>
        </w:rPr>
        <w:t>——————————————————————————————————————————————————————————————————————</w:t>
      </w:r>
    </w:p>
    <w:p>
      <w:pPr>
        <w:spacing w:before="160" w:after="40" w:line="240" w:lineRule="auto"/>
      </w:pPr>
      <w:r>
        <w:rPr>
          <w:b/>
        </w:rPr>
        <w:t xml:space="preserve">[286] </w:t>
      </w:r>
      <w:hyperlink r:id="rId1125">
        <w:r>
          <w:rPr>
            <w:color w:val="1155CC"/>
            <w:u w:val="single"/>
          </w:rPr>
          <w:t>美国的非法性市场：经济研究的见解</w:t>
        </w:r>
      </w:hyperlink>
    </w:p>
    <w:p>
      <w:pPr>
        <w:spacing w:before="0" w:after="80"/>
      </w:pPr>
      <w:r>
        <w:rPr>
          <w:i/>
          <w:sz w:val="20"/>
        </w:rPr>
        <w:t>EN: The illegal market for sex in the United States: Insights from economic research</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26">
        <w:r>
          <w:rPr>
            <w:color w:val="1155CC"/>
            <w:u w:val="single"/>
          </w:rPr>
          <w:t>10.1073/pnas.2512375122</w:t>
        </w:r>
      </w:hyperlink>
    </w:p>
    <w:p>
      <w:pPr>
        <w:spacing w:before="0" w:after="120"/>
      </w:pPr>
      <w:r>
        <w:rPr>
          <w:b/>
        </w:rPr>
        <w:t xml:space="preserve">Notes: </w:t>
      </w:r>
      <w:r>
        <w:t>abstract_source=crossref</w:t>
      </w:r>
    </w:p>
    <w:p>
      <w:pPr>
        <w:spacing w:before="0" w:after="80" w:lineRule="auto" w:line="276"/>
      </w:pPr>
      <w:r>
        <w:rPr>
          <w:b/>
        </w:rPr>
        <w:t xml:space="preserve">摘要（ZH）: </w:t>
      </w:r>
      <w:r>
        <w:t>美国的非法性市场产生了巨大的经济活动，但由于其非法性和秘密性，仍然没有得到充分研究。本文综合了现有的经验证据，记录了市场结构、监管影响以及随时间推移发生的显着变化。刑事定罪虽然旨在压制市场，但往往会通过将活动转移到地下、增加针对性工作者的暴力行为以及增加疾病传播风险来加剧危害。自然实验，包括罗德岛州的非刑事化事件和欧洲的政策转变，表明非刑事化可以减少性传播感染和针对妇女的暴力行为。此外，技术变革——尤其是互联网带来的在线平台的兴起——重塑了市场组织。这些发现挑战了传统的法律和道德框架，并强调需要以证据为基础的决策来指导性市场的有效监管。</w:t>
      </w:r>
    </w:p>
    <w:p>
      <w:pPr>
        <w:spacing w:before="0" w:after="200" w:lineRule="auto" w:line="276"/>
      </w:pPr>
      <w:r>
        <w:rPr>
          <w:b/>
        </w:rPr>
        <w:t xml:space="preserve">Abstract (EN): </w:t>
      </w:r>
      <w:r>
        <w:t>The illegal market for sex in the United States generates significant economic activity yet remains understudied due to its illegality and clandestine nature. This paper synthesizes existing empirical evidence documenting aspects of market structure, impacts of regulation, and notable changes over time. Criminalization, while intended to suppress the market, often exacerbates harms by displacing activity underground, increasing violence against sex workers, and elevating disease transmission risks. Natural experiments, including decriminalization episodes in Rhode Island and policy shifts in Europe, reveal that decriminalization can reduce sexually transmitted infections and violence against women. Additionally, technological shifts-particularly the rise of online platforms due to the internet-have reshaped market organization. These findings challenge conventional legal and moral frameworks and underscore the need for evidence-based policymaking to guide effective regulation of sex markets.</w:t>
      </w:r>
    </w:p>
    <w:p>
      <w:pPr>
        <w:spacing w:before="120" w:after="120"/>
      </w:pPr>
      <w:r>
        <w:rPr>
          <w:sz w:val="18"/>
        </w:rPr>
        <w:t>——————————————————————————————————————————————————————————————————————</w:t>
      </w:r>
    </w:p>
    <w:p>
      <w:pPr>
        <w:spacing w:before="160" w:after="40" w:line="240" w:lineRule="auto"/>
      </w:pPr>
      <w:r>
        <w:rPr>
          <w:b/>
        </w:rPr>
        <w:t xml:space="preserve">[287] </w:t>
      </w:r>
      <w:hyperlink r:id="rId1127">
        <w:r>
          <w:rPr>
            <w:color w:val="1155CC"/>
            <w:u w:val="single"/>
          </w:rPr>
          <w:t>通过环境DNA追踪海洋传染性癌症的突然爆发</w:t>
        </w:r>
      </w:hyperlink>
    </w:p>
    <w:p>
      <w:pPr>
        <w:spacing w:before="0" w:after="80"/>
      </w:pPr>
      <w:r>
        <w:rPr>
          <w:i/>
          <w:sz w:val="20"/>
        </w:rPr>
        <w:t>EN: Emergent outbreak of marine transmissible cancer traced through environmental DNA</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28">
        <w:r>
          <w:rPr>
            <w:color w:val="1155CC"/>
            <w:u w:val="single"/>
          </w:rPr>
          <w:t>10.1073/pnas.2620766123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[288] </w:t>
      </w:r>
      <w:hyperlink r:id="rId1129">
        <w:r>
          <w:rPr>
            <w:color w:val="1155CC"/>
            <w:u w:val="single"/>
          </w:rPr>
          <w:t>EGFR 信号传导的抑制和药物诱导的增强是致癌 RTK 融合的普遍特征</w:t>
        </w:r>
      </w:hyperlink>
    </w:p>
    <w:p>
      <w:pPr>
        <w:spacing w:before="0" w:after="80"/>
      </w:pPr>
      <w:r>
        <w:rPr>
          <w:i/>
          <w:sz w:val="20"/>
        </w:rPr>
        <w:t>EN: Suppression of EGFR signaling and drug-induced potentiation are widespread features of oncogenic RTK fusions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30">
        <w:r>
          <w:rPr>
            <w:color w:val="1155CC"/>
            <w:u w:val="single"/>
          </w:rPr>
          <w:t>10.1073/pnas.2529373123</w:t>
        </w:r>
      </w:hyperlink>
    </w:p>
    <w:p>
      <w:pPr>
        <w:spacing w:before="0" w:after="120"/>
      </w:pPr>
      <w:r>
        <w:rPr>
          <w:b/>
        </w:rPr>
        <w:t xml:space="preserve">Notes: </w:t>
      </w:r>
      <w:r>
        <w:t>abstract_source=crossref</w:t>
      </w:r>
    </w:p>
    <w:p>
      <w:pPr>
        <w:spacing w:before="0" w:after="80" w:lineRule="auto" w:line="276"/>
      </w:pPr>
      <w:r>
        <w:rPr>
          <w:b/>
        </w:rPr>
        <w:t xml:space="preserve">摘要（ZH）: </w:t>
      </w:r>
      <w:r>
        <w:t>癌细胞受到环境的调节有助于肿瘤发生和药物反应，尽管致癌状态可以在多大程度上改变细胞对其环境的感知尚不清楚。 EML4-ALK 是一种受体酪氨酸激酶 (RTK) 融合癌蛋白，可抑制癌细胞中的跨膜 EGFR 信号传导。 ALK 抑制可恢复通过 EGFR 的信号传导，从而促进生存和药物耐受性。在这里，我们测试了这种 EGFR 活性调节在其他 RTK 融合中是否常见，这些融合总共存在于约 5% 的所有癌症中。在同基因细胞系和患者来源的细胞系中使用活细胞和固定细胞显微镜，我们发现多种 RTK 融合通过包括接头蛋白 Grb2 隔离在内的机制抑制跨膜 EGFR。靶向治疗迅速将 Grb2 从隔离状态中释放出来，并增强 EGFR。 RTK 融合的合成光遗传学类似物证实，Grb2 的细胞质隔离足以抑制细胞外 EGF 的感知，并且可以在不驱动来自合成融合本身的信号传导的情况下实现这一点，这表明融合信号传导和 EGFR 信号传导的抑制可以在功能上解耦。我们的研究发现，大量 RTK 融合同时充当信号传导的激活剂和抑制剂，其机制可用于增强细胞杀伤和抑制药物耐受的仿生疗法。</w:t>
      </w:r>
    </w:p>
    <w:p>
      <w:pPr>
        <w:spacing w:before="0" w:after="200" w:lineRule="auto" w:line="276"/>
      </w:pPr>
      <w:r>
        <w:rPr>
          <w:b/>
        </w:rPr>
        <w:t xml:space="preserve">Abstract (EN): </w:t>
      </w:r>
      <w:r>
        <w:t>Regulation of cancer cells by their environment contributes to tumorigenesis and drug response, though the extent to which the oncogenic state can alter a cell’s perception of its environment is not clear. EML4-ALK is a receptor tyrosine kinase (RTK) fusion oncoprotein that suppresses transmembrane EGFR signaling in cancer cells. ALK inhibition restores signaling through EGFR, thereby promoting survival and drug tolerance. Here, we tested whether such modulation of EGFR activity was common among other RTK fusions, which collectively are found in ~5% of all cancers. Using live- and fixed-cell microscopy in isogenic and patient-derived cell lines, we found that a wide variety of RTK fusions suppress transmembrane EGFR, through mechanisms that include the sequestration of the adaptor protein Grb2. Targeted therapies rapidly released Grb2 from sequestration and potentiated EGFR. Synthetic optogenetic analogs of RTK fusions confirmed that cytoplasmic sequestration of Grb2 was sufficient to suppress perception of extracellular EGF and could do so without driving signaling from the synthetic fusion itself, demonstrating that fusion signaling and suppression of EGFR signaling could be functionally decoupled. Our study uncovers that a large number of RTK fusions simultaneously act as both activators and suppressors of signaling, the mechanisms of which could be exploited for biomimetic therapies that enhance cell killing and suppress drug tolerance.</w:t>
      </w:r>
    </w:p>
    <w:p>
      <w:pPr>
        <w:spacing w:before="120" w:after="120"/>
      </w:pPr>
      <w:r>
        <w:rPr>
          <w:sz w:val="18"/>
        </w:rPr>
        <w:t>——————————————————————————————————————————————————————————————————————</w:t>
      </w:r>
    </w:p>
    <w:p>
      <w:pPr>
        <w:spacing w:before="160" w:after="40" w:line="240" w:lineRule="auto"/>
      </w:pPr>
      <w:r>
        <w:rPr>
          <w:b/>
        </w:rPr>
        <w:t xml:space="preserve">[289] </w:t>
      </w:r>
      <w:hyperlink r:id="rId1131">
        <w:r>
          <w:rPr>
            <w:color w:val="1155CC"/>
            <w:u w:val="single"/>
          </w:rPr>
          <w:t>DMD 基因的完全缺失可深入了解肌营养不良蛋白的功能</w:t>
        </w:r>
      </w:hyperlink>
    </w:p>
    <w:p>
      <w:pPr>
        <w:spacing w:before="0" w:after="80"/>
      </w:pPr>
      <w:r>
        <w:rPr>
          <w:i/>
          <w:sz w:val="20"/>
        </w:rPr>
        <w:t>EN: Complete deletion of the DMD gene provides insights into the function of dystrophin</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32">
        <w:r>
          <w:rPr>
            <w:color w:val="1155CC"/>
            <w:u w:val="single"/>
          </w:rPr>
          <w:t>10.1073/pnas.2620761123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[290] </w:t>
      </w:r>
      <w:hyperlink r:id="rId1133">
        <w:r>
          <w:rPr>
            <w:color w:val="1155CC"/>
            <w:u w:val="single"/>
          </w:rPr>
          <w:t>单细胞多组学鉴定了 ALDH9A1-肉碱信号轴驱动 NSCLC 对免疫治疗的抵抗</w:t>
        </w:r>
      </w:hyperlink>
    </w:p>
    <w:p>
      <w:pPr>
        <w:spacing w:before="0" w:after="80"/>
      </w:pPr>
      <w:r>
        <w:rPr>
          <w:i/>
          <w:sz w:val="20"/>
        </w:rPr>
        <w:t>EN: Single-cell multiomics identifies an ALDH9A1–carnitine signaling axis driving resistance of NSCLC to immunotherapy</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34">
        <w:r>
          <w:rPr>
            <w:color w:val="1155CC"/>
            <w:u w:val="single"/>
          </w:rPr>
          <w:t>10.1073/pnas.2535328123</w:t>
        </w:r>
      </w:hyperlink>
    </w:p>
    <w:p>
      <w:pPr>
        <w:spacing w:before="0" w:after="120"/>
      </w:pPr>
      <w:r>
        <w:rPr>
          <w:b/>
        </w:rPr>
        <w:t xml:space="preserve">Notes: </w:t>
      </w:r>
      <w:r>
        <w:t>abstract_source=crossref</w:t>
      </w:r>
    </w:p>
    <w:p>
      <w:pPr>
        <w:spacing w:before="0" w:after="80" w:lineRule="auto" w:line="276"/>
      </w:pPr>
      <w:r>
        <w:rPr>
          <w:b/>
        </w:rPr>
        <w:t xml:space="preserve">摘要（ZH）: </w:t>
      </w:r>
      <w:r>
        <w:t>免疫治疗耐药性仍然是非小细胞肺癌（NSCLC）患者实现持续改善的主要障碍。在这里，通过整合来自 NSCLC 肿瘤的 CODEX、代谢组学、CyTOF、ATAC-seq 和单细胞空间转录组学，我们发现了 ALDH9A1 在促进抗 PD-1 治疗耐药性方面未被认识到的作用。在免疫功能正常但免疫功能低下的小鼠模型中，ALDH9A1 的缺失可显着抑制肿瘤生长。这种效应伴随着三级淋巴结构的成熟增加和肿瘤免疫微环境中促肿瘤 MDSC 的积累减少。从机制上讲，ALDH9A1 驱动的肉碱产生可提高乙酰辅酶 A 水平，重塑染色质可及性，并激活肿瘤细胞中的 Il1b 超级增强子，从而促进 MDSC 极化和 CD8</w:t>
      </w:r>
      <w:r>
        <w:t xml:space="preserve"> </w:t>
      </w:r>
      <w:r>
        <w:t>+</w:t>
      </w:r>
      <w:r>
        <w:t xml:space="preserve"> </w:t>
      </w:r>
      <w:r>
        <w:t>T 细胞耗竭。在体内，ALDH9A1 的遗传或药理学抑制或抗体介导的 IL-1β 中和可抑制肿瘤进展并恢复对抗 PD-1 治疗的敏感性。 IL-1β 进一步激活 NF-κB 并上调 ALDH9A1，建立反馈 ALDH9A1-IL-1β 环。重要的是，ALDH9A1/IL-1β 轴在 NSCLC 患者中经常过度激活，并与抗 PD-1 免疫治疗的较差反应相关。总之，这项研究揭示了一个以前未被重视的 NSCLC 特异性免疫调节途径，并将 ALDH9A1 确定为提高免疫治疗功效的有前途的治疗靶点。</w:t>
      </w:r>
    </w:p>
    <w:p>
      <w:pPr>
        <w:spacing w:before="0" w:after="200" w:lineRule="auto" w:line="276"/>
      </w:pPr>
      <w:r>
        <w:rPr>
          <w:b/>
        </w:rPr>
        <w:t xml:space="preserve">Abstract (EN): </w:t>
      </w:r>
      <w:r>
        <w:t>Immunotherapy resistance remains a major barrier to achieving sustained patient improvement in non–small cell lung cancer (NSCLCs). Here, through integrating CODEX, metabolomics, CyTOF, ATAC-seq, and single-cell spatial transcriptomics from NSCLC tumors, we uncover an unrecognized role of ALDH9A1 in promoting resistance to anti-PD-1 therapy. In immunocompetent, but not immunocompromised mouse models, loss of ALDH9A1 markedly restrains tumor growth. This effect is accompanied by increased maturation of tertiary lymphoid structures and reduced accumulation of protumorigenic MDSCs within tumor immune microenvironment. Mechanistically, ALDH9A1-driven carnitine production elevates acetyl-CoA levels, remodels chromatin accessibility, and activates Il1b superenhancers in tumor cells, thereby promoting MDSC polarization and CD8</w:t>
      </w:r>
      <w:r>
        <w:t xml:space="preserve"> </w:t>
      </w:r>
      <w:r>
        <w:t>+</w:t>
      </w:r>
      <w:r>
        <w:t xml:space="preserve"> </w:t>
      </w:r>
      <w:r>
        <w:t>T cell exhaustion. In vivo, genetic or pharmacological inhibition of ALDH9A1, or antibody-mediated IL-1β neutralization, suppresses tumor progression and restores sensitivity to anti-PD-1 therapy. IL-1β further activates NF-κB and upregulates ALDH9A1, establishing a feedback ALDH9A1-IL-1β loop. Importantly, the ALDH9A1/IL-1β axis is frequently hyperactivated in NSCLC patients and correlates with inferior responses to anti-PD-1 immunotherapy. Together, this study reveals a previously unappreciated NSCLC-specific immunoregulatory pathway and identifies ALDH9A1 as a promising therapeutic target for improving immunotherapy efficacy.</w:t>
      </w:r>
    </w:p>
    <w:p>
      <w:pPr>
        <w:spacing w:before="120" w:after="120"/>
      </w:pPr>
      <w:r>
        <w:rPr>
          <w:sz w:val="18"/>
        </w:rPr>
        <w:t>——————————————————————————————————————————————————————————————————————</w:t>
      </w:r>
    </w:p>
    <w:p>
      <w:pPr>
        <w:spacing w:before="160" w:after="40" w:line="240" w:lineRule="auto"/>
      </w:pPr>
      <w:r>
        <w:rPr>
          <w:b/>
        </w:rPr>
        <w:t xml:space="preserve">[291] </w:t>
      </w:r>
      <w:hyperlink r:id="rId1135">
        <w:r>
          <w:rPr>
            <w:color w:val="1155CC"/>
            <w:u w:val="single"/>
          </w:rPr>
          <w:t>抑制性受体 CD200R 训练 ILC1 以获得最佳细胞毒性</w:t>
        </w:r>
      </w:hyperlink>
    </w:p>
    <w:p>
      <w:pPr>
        <w:spacing w:before="0" w:after="80"/>
      </w:pPr>
      <w:r>
        <w:rPr>
          <w:i/>
          <w:sz w:val="20"/>
        </w:rPr>
        <w:t>EN: The inhibitory receptor CD200R educates ILC1s for optimal cytotoxicity</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36">
        <w:r>
          <w:rPr>
            <w:color w:val="1155CC"/>
            <w:u w:val="single"/>
          </w:rPr>
          <w:t>10.1073/pnas.2532767123</w:t>
        </w:r>
      </w:hyperlink>
    </w:p>
    <w:p>
      <w:pPr>
        <w:spacing w:before="0" w:after="120"/>
      </w:pPr>
      <w:r>
        <w:rPr>
          <w:b/>
        </w:rPr>
        <w:t xml:space="preserve">Notes: </w:t>
      </w:r>
      <w:r>
        <w:t>abstract_source=crossref</w:t>
      </w:r>
    </w:p>
    <w:p>
      <w:pPr>
        <w:spacing w:before="0" w:after="80" w:lineRule="auto" w:line="276"/>
      </w:pPr>
      <w:r>
        <w:rPr>
          <w:b/>
        </w:rPr>
        <w:t xml:space="preserve">摘要（ZH）: </w:t>
      </w:r>
      <w:r>
        <w:t>传统的自然杀伤 (cNK) 细胞通过抑制性受体与 MHC-I 配体的结合进行培养，这赋予它们强大的细胞毒性和强大的 IFN-γ 产生。尽管 1 型先天淋巴细胞 (ILC1) 表现出类似的功能，但它们是否经历了类似的教育过程仍不清楚。我们的研究表明，抑制性受体 CD200R 可以教育 ILC1 获得最佳细胞毒性能力，但对于 IFN-γ 的产生来说是可有可无的。与 cNK 细胞不同，ILC1 细胞毒性在缺乏 MHC-I 分子的小鼠中保持完整，并且 IFN-γ 的产生仅显示出有限的、与环境相关的减少。虽然 CD200R 在体外与 CD200 结合后选择性抑制 ILC1 细胞毒性，但 CD200R 缺陷小鼠的 ILC1 表现出脱颗粒和细胞毒性活性受损，但 IFN-γ 的产生未改变。与 cNK 细胞教育类似，CD200R 主要通过 WNT/β-连环蛋白途径来教育 ILC1 细胞毒性。重要的是，未受过教育的 ILC1 受损的效应器功能可以通过暴露于炎症细胞因子来恢复。总体而言，我们的研究明确了抑制性受体 CD200R 在教育 ILC1 实现细胞毒性成熟中的关键作用，揭示了与 cNK 细胞教育平行但不同的机制。</w:t>
      </w:r>
    </w:p>
    <w:p>
      <w:pPr>
        <w:spacing w:before="0" w:after="200" w:lineRule="auto" w:line="276"/>
      </w:pPr>
      <w:r>
        <w:rPr>
          <w:b/>
        </w:rPr>
        <w:t xml:space="preserve">Abstract (EN): </w:t>
      </w:r>
      <w:r>
        <w:t>Conventional natural killer (cNK) cells are educated through inhibitory receptor engagement with MHC-I ligands, which endows them with potent cytotoxicity and robust IFN-γ production. Although type 1 innate lymphoid cells (ILC1s) exhibit analogous functionality, whether they undergo a similar education process remains unclear. Our study reveals that the inhibitory receptor CD200R educates ILC1s for optimal cytotoxic competence but is dispensable for IFN-γ production. Unlike cNK cells, ILC1 cytotoxicity remains intact in mice lacking MHC-I molecules, and IFN-γ production shows only a limited, context-dependent reduction. While CD200R selectively suppresses ILC1 cytotoxicity upon CD200 engagement in vitro, ILC1s from CD200R-deficient mice exhibit impaired degranulation and cytotoxic activity, with unaltered IFN-γ production. Analogous to cNK cell education, CD200R educates ILC1 cytotoxicity primarily through the WNT/β-catenin pathway. Importantly, the impaired effector functions of uneducated ILC1s could be restored by exposure to inflammatory cytokines. Overall, our study defines a critical role for the inhibitory receptor CD200R in educating ILC1s to achieve cytotoxic maturity, revealing a parallel yet distinct mechanism from cNK cell education.</w:t>
      </w:r>
    </w:p>
    <w:p>
      <w:pPr>
        <w:spacing w:before="120" w:after="120"/>
      </w:pPr>
      <w:r>
        <w:rPr>
          <w:sz w:val="18"/>
        </w:rPr>
        <w:t>——————————————————————————————————————————————————————————————————————</w:t>
      </w:r>
    </w:p>
    <w:p>
      <w:pPr>
        <w:spacing w:before="160" w:after="40" w:line="240" w:lineRule="auto"/>
      </w:pPr>
      <w:r>
        <w:rPr>
          <w:b/>
        </w:rPr>
        <w:t xml:space="preserve">[292] </w:t>
      </w:r>
      <w:hyperlink r:id="rId1137">
        <w:r>
          <w:rPr>
            <w:color w:val="1155CC"/>
            <w:u w:val="single"/>
          </w:rPr>
          <w:t>揭露非法渔业市场的运作</w:t>
        </w:r>
      </w:hyperlink>
    </w:p>
    <w:p>
      <w:pPr>
        <w:spacing w:before="0" w:after="80"/>
      </w:pPr>
      <w:r>
        <w:rPr>
          <w:i/>
          <w:sz w:val="20"/>
        </w:rPr>
        <w:t>EN: Casting light on the workings of illegal fishing markets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38">
        <w:r>
          <w:rPr>
            <w:color w:val="1155CC"/>
            <w:u w:val="single"/>
          </w:rPr>
          <w:t>10.1073/pnas.2512081123</w:t>
        </w:r>
      </w:hyperlink>
    </w:p>
    <w:p>
      <w:pPr>
        <w:spacing w:before="0" w:after="120"/>
      </w:pPr>
      <w:r>
        <w:rPr>
          <w:b/>
        </w:rPr>
        <w:t xml:space="preserve">Notes: </w:t>
      </w:r>
      <w:r>
        <w:t>abstract_source=crossref</w:t>
      </w:r>
    </w:p>
    <w:p>
      <w:pPr>
        <w:spacing w:before="0" w:after="80" w:lineRule="auto" w:line="276"/>
      </w:pPr>
      <w:r>
        <w:rPr>
          <w:b/>
        </w:rPr>
        <w:t xml:space="preserve">摘要（ZH）: </w:t>
      </w:r>
      <w:r>
        <w:t>大约 350 万艘渔船在世界海洋中航行，为数百万人提供生计和食物。健全的管理是渔业可持续发展的关键，但非法捕捞、普遍捕捞能力过剩和环境变化使许多渔业面临风险。非法捕捞是一种全球普遍存在但分布不均的现象，以多种形式表现在小型和工业规模船队中，后者约占全球年度非法海洋野生鱼类海鲜贸易量 8.4 至 1,540 万吨、价值 6.2 至 122 亿美元的 82% 至 93%。自 1950 年以来捕捞量的大幅增加并没有相应的适当监管和执法，特别是对于发展中国家水域的工业规模捕捞。按价值计算，约三分之二的非法贸易源自西非（27%）、东亚（24%）和东南亚（16%）的渔场。遥感和人工智能技术正在改善对非法捕捞的侦查，但由于成本高昂，而且通过海上转运、港口监管不善以及海鲜供应链上的欺诈性文件来洗钱非法渔获相对容易，执法仍然是一个问题。非法捕捞市场需要基于透明度、国际合作和社会经济正义的多层政策应对措施。拟议的措施，从强制性电子船舶识别和补贴改革到手工渔业保护和加强港口管制，需要进一步研究其实施和效果</w:t>
      </w:r>
    </w:p>
    <w:p>
      <w:pPr>
        <w:spacing w:before="0" w:after="200" w:lineRule="auto" w:line="276"/>
      </w:pPr>
      <w:r>
        <w:rPr>
          <w:b/>
        </w:rPr>
        <w:t xml:space="preserve">Abstract (EN): </w:t>
      </w:r>
      <w:r>
        <w:t>About 3.5 million fishing vessels ply the world’s oceans, providing livelihoods and food for millions of people. Sound management is key to fisheries’ sustainability, but illegal fishing, along with fishing overcapacity generally and environmental change, are putting many fisheries at risk. Illegal fishing is a globally pervasive yet unevenly distributed phenomenon, manifesting in diverse forms across both small-scale and industrial-scale fleets, the latter accounting for about 82 to 93% of the 8.4 to 15.4 million metric tons global annual illicit marine wild fish seafood trade valued at US$6.2 to 12.2 billion. The massive rise in fishing effort since 1950 has not been matched by adequate regulations and enforcement, especially for industrial-scale fishing in the waters of developing countries. About two-thirds of the illicit trade by value originates from fishing grounds in West Africa (27%), East Asia (24%), and Southeast Asia (16%). Remote sensing and AI technologies are improving detection of illegal fishing, but enforcement remains an issue given its high costs and the relative ease of laundering illegal catch through transshipments at sea, poorly regulated ports, and fraudulent documentation along seafood supply chains. Illegal fishing markets require multilayered policy responses grounded in transparency, international cooperation, and socioeconomic justice. Proposed measures, ranging from mandatory electronic vessel identification and subsidy reform to artisanal fishery protections and stronger port controls, warrant further research into their implementation and effectiveness.</w:t>
      </w:r>
    </w:p>
    <w:p>
      <w:pPr>
        <w:spacing w:before="120" w:after="120"/>
      </w:pPr>
      <w:r>
        <w:rPr>
          <w:sz w:val="18"/>
        </w:rPr>
        <w:t>——————————————————————————————————————————————————————————————————————</w:t>
      </w:r>
    </w:p>
    <w:p>
      <w:pPr>
        <w:spacing w:before="160" w:after="40" w:line="240" w:lineRule="auto"/>
      </w:pPr>
      <w:r>
        <w:rPr>
          <w:b/>
        </w:rPr>
        <w:t xml:space="preserve">[293] </w:t>
      </w:r>
      <w:hyperlink r:id="rId1139">
        <w:r>
          <w:rPr>
            <w:color w:val="1155CC"/>
            <w:u w:val="single"/>
          </w:rPr>
          <w:t>洗钱市场：经济分析</w:t>
        </w:r>
      </w:hyperlink>
    </w:p>
    <w:p>
      <w:pPr>
        <w:spacing w:before="0" w:after="80"/>
      </w:pPr>
      <w:r>
        <w:rPr>
          <w:i/>
          <w:sz w:val="20"/>
        </w:rPr>
        <w:t>EN: The money laundering market: An economic analysis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40">
        <w:r>
          <w:rPr>
            <w:color w:val="1155CC"/>
            <w:u w:val="single"/>
          </w:rPr>
          <w:t>10.1073/pnas.2512080123</w:t>
        </w:r>
      </w:hyperlink>
    </w:p>
    <w:p>
      <w:pPr>
        <w:spacing w:before="0" w:after="120"/>
      </w:pPr>
      <w:r>
        <w:rPr>
          <w:b/>
        </w:rPr>
        <w:t xml:space="preserve">Notes: </w:t>
      </w:r>
      <w:r>
        <w:t>abstract_source=crossref</w:t>
      </w:r>
    </w:p>
    <w:p>
      <w:pPr>
        <w:spacing w:before="0" w:after="80" w:lineRule="auto" w:line="276"/>
      </w:pPr>
      <w:r>
        <w:rPr>
          <w:b/>
        </w:rPr>
        <w:t xml:space="preserve">摘要（ZH）: </w:t>
      </w:r>
      <w:r>
        <w:t>犯罪分子自行或聘请专业人士清洗犯罪所得，以掩盖罪犯、犯罪和所得之间的联系。这使得犯罪分子能够更自由地花费收益，并降低受到当局不必要的关注的机会。本文调查了未被充分研究的洗钱服务市场的结构和动态。分析表明，这个非法市场是需求驱动且分散的，有不同形式的洗钱活动，每种洗钱活动都需要不同的步骤，风险程度也不同。高搜索成本、专门的洗钱者和不确定性导致了地方垄断。需求往往相对缺乏弹性，因为犯罪分子最终需要洗钱服务来花掉他们的收益。地方垄断、需求缺乏弹性和信息流通不畅导致洗钱价格相对较高。信任问题和双边信息不对称导致市场上的关系往往比非法市场中普遍预期的持续时间更长。</w:t>
      </w:r>
    </w:p>
    <w:p>
      <w:pPr>
        <w:spacing w:before="0" w:after="200" w:lineRule="auto" w:line="276"/>
      </w:pPr>
      <w:r>
        <w:rPr>
          <w:b/>
        </w:rPr>
        <w:t xml:space="preserve">Abstract (EN): </w:t>
      </w:r>
      <w:r>
        <w:t>Criminals launder their proceeds from crime, either themselves or by paying a professional, to disguise the link between the criminal, the crime, and the proceeds. This allows the criminal to spend the proceeds more freely and lowers the chance of receiving unwanted attention from the authorities. This paper investigates the structure and dynamics of the understudied market for money laundering services. The analysis reveals that this illegal market is demand-driven and fragmented, with different forms of laundering, each requiring different steps with varying levels of risk. High search costs, specialized money launderers, and uncertainties lead to local monopolies. Demand tends to be relatively inelastic because criminals eventually need laundering services to spend their proceeds. Local monopolies, inelastic demand, and poor information flows lead to relatively high prices for laundering. Trust issues and two-sided asymmetric information lead to a market with relationships that tend to last longer than generally expected in illegal markets.</w:t>
      </w:r>
    </w:p>
    <w:p>
      <w:pPr>
        <w:spacing w:before="120" w:after="120"/>
      </w:pPr>
      <w:r>
        <w:rPr>
          <w:sz w:val="18"/>
        </w:rPr>
        <w:t>——————————————————————————————————————————————————————————————————————</w:t>
      </w:r>
    </w:p>
    <w:p>
      <w:pPr>
        <w:spacing w:before="160" w:after="40" w:line="240" w:lineRule="auto"/>
      </w:pPr>
      <w:r>
        <w:rPr>
          <w:b/>
        </w:rPr>
        <w:t xml:space="preserve">[294] </w:t>
      </w:r>
      <w:hyperlink r:id="rId1141">
        <w:r>
          <w:rPr>
            <w:color w:val="1155CC"/>
            <w:u w:val="single"/>
          </w:rPr>
          <w:t>非法市场：应用科学的一个重要领域</w:t>
        </w:r>
      </w:hyperlink>
    </w:p>
    <w:p>
      <w:pPr>
        <w:spacing w:before="0" w:after="80"/>
      </w:pPr>
      <w:r>
        <w:rPr>
          <w:i/>
          <w:sz w:val="20"/>
        </w:rPr>
        <w:t>EN: Illegal markets: An important domain for applied science</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42">
        <w:r>
          <w:rPr>
            <w:color w:val="1155CC"/>
            <w:u w:val="single"/>
          </w:rPr>
          <w:t>10.1073/pnas.2513028123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[295] </w:t>
      </w:r>
      <w:hyperlink r:id="rId1143">
        <w:r>
          <w:rPr>
            <w:color w:val="1155CC"/>
            <w:u w:val="single"/>
          </w:rPr>
          <w:t>人口走私市场：结构、机制和悖论</w:t>
        </w:r>
      </w:hyperlink>
    </w:p>
    <w:p>
      <w:pPr>
        <w:spacing w:before="0" w:after="80"/>
      </w:pPr>
      <w:r>
        <w:rPr>
          <w:i/>
          <w:sz w:val="20"/>
        </w:rPr>
        <w:t>EN: The market for human smuggling: Structure, mechanisms, and paradoxes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44">
        <w:r>
          <w:rPr>
            <w:color w:val="1155CC"/>
            <w:u w:val="single"/>
          </w:rPr>
          <w:t>10.1073/pnas.2511019122</w:t>
        </w:r>
      </w:hyperlink>
    </w:p>
    <w:p>
      <w:pPr>
        <w:spacing w:before="0" w:after="120"/>
      </w:pPr>
      <w:r>
        <w:rPr>
          <w:b/>
        </w:rPr>
        <w:t xml:space="preserve">Notes: </w:t>
      </w:r>
      <w:r>
        <w:t>abstract_source=crossref</w:t>
      </w:r>
    </w:p>
    <w:p>
      <w:pPr>
        <w:spacing w:before="0" w:after="80" w:lineRule="auto" w:line="276"/>
      </w:pPr>
      <w:r>
        <w:rPr>
          <w:b/>
        </w:rPr>
        <w:t xml:space="preserve">摘要（ZH）: </w:t>
      </w:r>
      <w:r>
        <w:t>人口走私是为非法跨境流动提供便利。它主要是一种商业活动，作为一项服务提供给愿意付费的客户，并且是一个迎合数百万人寻求规避流动限制的大型市场。主流媒体和政治叙事将走私描述为由强大且高度复杂的犯罪组织主导，与此相反，这项研究记录了一个分散的、分散的市场，由独立的、本地化的参与者组成，通过灵活的、通常是临时的网络运作。这些灵活的安排，加上较低的进入门槛，赋予了市场弹性和适应性，使得执行变得困难且资源密集。加强执法往往会产生意想不到的后果，包括移民脆弱性加剧和对走私者的依赖增加。尽管存在地区差异，但走私活动在当地知识和监控成本的影响下表现出惊人的结构相似性。这种持久的结构特征与通信技术发挥的日益重要的作用并存，通信技术正在重塑服务提供商和客户之间的动态。最终，人口走私仍然是一个充满悖论的市场：移民面临着严重的风险，但将走私者视为重要的推动者，而各国则面临着平衡边境执法与人道主义义务和保护弱势个人的复杂任务。</w:t>
      </w:r>
    </w:p>
    <w:p>
      <w:pPr>
        <w:spacing w:before="0" w:after="200" w:lineRule="auto" w:line="276"/>
      </w:pPr>
      <w:r>
        <w:rPr>
          <w:b/>
        </w:rPr>
        <w:t xml:space="preserve">Abstract (EN): </w:t>
      </w:r>
      <w:r>
        <w:t>Human smuggling is the facilitation of unlawful cross-border movement. It is primarily a commercial activity, offered as a service to willing, paying customers, and a large-scale market catering to millions seeking to circumvent mobility restrictions. Contrary to prevailing media and political narratives that depict smuggling as dominated by powerful and highly sophisticated criminal organizations, this study documents a fragmented, decentralized market composed of independent, localized actors operating through flexible, often temporary networks. These flexible arrangements, coupled with low barriers to entry, confer resilience and adaptability to the market, making enforcement difficult and resource-intensive. Intensified enforcement often produces unintended consequences, including heightened migrant vulnerability and increased reliance on smugglers. Despite regional differences, smuggling operations exhibit striking structural similarities shaped by local knowledge and monitoring costs. Such enduring structural characteristics exist alongside a growing role played by communication technologies, which are reshaping dynamics between service providers and customers. Ultimately, human smuggling remains a market fraught with paradoxes: Migrants face severe risks yet view smugglers as essential facilitators, while states confront the complex task of balancing border enforcement with humanitarian obligations and protections of vulnerable individuals.</w:t>
      </w:r>
    </w:p>
    <w:p>
      <w:pPr>
        <w:spacing w:before="120" w:after="120"/>
      </w:pPr>
      <w:r>
        <w:rPr>
          <w:sz w:val="18"/>
        </w:rPr>
        <w:t>——————————————————————————————————————————————————————————————————————</w:t>
      </w:r>
    </w:p>
    <w:p>
      <w:pPr>
        <w:spacing w:before="160" w:after="40" w:line="240" w:lineRule="auto"/>
      </w:pPr>
      <w:r>
        <w:rPr>
          <w:b/>
        </w:rPr>
        <w:t xml:space="preserve">[296] </w:t>
      </w:r>
      <w:hyperlink r:id="rId1145">
        <w:r>
          <w:rPr>
            <w:color w:val="1155CC"/>
            <w:u w:val="single"/>
          </w:rPr>
          <w:t>非法枪支市场：交易模式、不断变化的来源以及在犯罪滥用中的重要性</w:t>
        </w:r>
      </w:hyperlink>
    </w:p>
    <w:p>
      <w:pPr>
        <w:spacing w:before="0" w:after="80"/>
      </w:pPr>
      <w:r>
        <w:rPr>
          <w:i/>
          <w:sz w:val="20"/>
        </w:rPr>
        <w:t>EN: Illegal firearms markets: Transaction patterns, evolving sources, and importance in criminal misuse</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46">
        <w:r>
          <w:rPr>
            <w:color w:val="1155CC"/>
            <w:u w:val="single"/>
          </w:rPr>
          <w:t>10.1073/pnas.2509754122</w:t>
        </w:r>
      </w:hyperlink>
    </w:p>
    <w:p>
      <w:pPr>
        <w:spacing w:before="0" w:after="120"/>
      </w:pPr>
      <w:r>
        <w:rPr>
          <w:b/>
        </w:rPr>
        <w:t xml:space="preserve">Notes: </w:t>
      </w:r>
      <w:r>
        <w:t>abstract_source=crossref</w:t>
      </w:r>
    </w:p>
    <w:p>
      <w:pPr>
        <w:spacing w:before="0" w:after="80" w:lineRule="auto" w:line="276"/>
      </w:pPr>
      <w:r>
        <w:rPr>
          <w:b/>
        </w:rPr>
        <w:t xml:space="preserve">摘要（ZH）: </w:t>
      </w:r>
      <w:r>
        <w:t>在美国，每年 30 至 4000 万支枪支交易的法律地位由州和联邦法规界定。这些法规的主要目的是减少犯罪滥用，同时为大多数没有严重犯罪记录或因其他原因被禁止持有的成年人保留使用权。非法枪支交易植根于“正式市场”（大部分是新枪支，由持照零售经销商进行销售，需要筛选购买者并保存记录）和“非正式市场”，其中 8000 万枪支拥有者中的任何一个都可以作为来源。越来越多的非法交易涉及私人制造的枪支，这些枪支是通过商业套件或增材制造技术制造的。被禁止人员使用的枪支是从合法供应链中转移出来的，在某些情况下是由专业中间人（小偷、稻草购买者、违法经销商、家居制造商）转移的。随后的再分配可能涉及专业经纪人和贩运者。大多数此类企业规模较小，有组织的犯罪集团主要充当客户而不是分销商。与毒品交易相比，非法枪支市场规模较小，且更容易受到执法部门的监管。对于被禁止的买家来说，交易成本差异很大，具体取决于当地枪支的流行程度、国家法规和执法以及个人关系。虽然在一个旨在让大多数成年人广泛获得枪支的制度中，防止危险人士获得枪支本质上是困难的，但法规可以在很大程度上影响非法枪支</w:t>
      </w:r>
    </w:p>
    <w:p>
      <w:pPr>
        <w:spacing w:before="0" w:after="200" w:lineRule="auto" w:line="276"/>
      </w:pPr>
      <w:r>
        <w:rPr>
          <w:b/>
        </w:rPr>
        <w:t xml:space="preserve">Abstract (EN): </w:t>
      </w:r>
      <w:r>
        <w:t>In the United States, the legal status of the 30 to 40 million annual firearms transactions is defined by state and federal regulations. These regulations primarily aim to reduce criminal misuse while preserving access for the large majority of adults who lack a serious criminal record or are otherwise proscribed from possession. Illegal firearms transactions are embedded in the “formal market”—sales, mostly of new guns, by licensed retail dealers required to screen purchasers and maintain records—and the “informal market,” where any of the 80 million gun owners may act as a source. A growing fraction of illegal transactions involve privately made firearms, fabricated from commercial kits or additive manufacturing techniques. The firearms used by proscribed people are diverted from the legal supply chain, in some cases by professional intermediaries (thieves, straw purchasers, scofflaw dealers, home fabricators). Subsequent redistribution may involve professional brokers and traffickers. Most such enterprises are small in scale, with organized criminal groups serving primarily as customers rather than distributors. Compared with the drug trade, the illegal gun market is smaller and more exposed to law enforcement. For proscribed buyers, transaction costs are highly differentiated, varying based on the local prevalence of guns, state regulations and enforcement, and individual connections. While preventing dangerous people from obtaining guns is intrinsically difficult in a regime designed for broad accessibility to most adults, regulations can substantially affect illegal commerce, and some regulations reduce criminal use.</w:t>
      </w:r>
    </w:p>
    <w:p>
      <w:pPr>
        <w:spacing w:before="120" w:after="120"/>
      </w:pPr>
      <w:r>
        <w:rPr>
          <w:sz w:val="18"/>
        </w:rPr>
        <w:t>——————————————————————————————————————————————————————————————————————</w:t>
      </w:r>
    </w:p>
    <w:p>
      <w:pPr>
        <w:spacing w:before="160" w:after="40" w:line="240" w:lineRule="auto"/>
      </w:pPr>
      <w:r>
        <w:rPr>
          <w:b/>
        </w:rPr>
        <w:t xml:space="preserve">[297] </w:t>
      </w:r>
      <w:hyperlink r:id="rId1147">
        <w:r>
          <w:rPr>
            <w:color w:val="1155CC"/>
            <w:u w:val="single"/>
          </w:rPr>
          <w:t>历史奴隶制预测当代美国黑人和白人之间的死亡率差异</w:t>
        </w:r>
      </w:hyperlink>
    </w:p>
    <w:p>
      <w:pPr>
        <w:spacing w:before="0" w:after="80"/>
      </w:pPr>
      <w:r>
        <w:rPr>
          <w:i/>
          <w:sz w:val="20"/>
        </w:rPr>
        <w:t>EN: Historical slavery predicts contemporary disparities in mortality between Black and White Americans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48">
        <w:r>
          <w:rPr>
            <w:color w:val="1155CC"/>
            <w:u w:val="single"/>
          </w:rPr>
          <w:t>10.1073/pnas.2508037123</w:t>
        </w:r>
      </w:hyperlink>
    </w:p>
    <w:p>
      <w:pPr>
        <w:spacing w:before="0" w:after="120"/>
      </w:pPr>
      <w:r>
        <w:rPr>
          <w:b/>
        </w:rPr>
        <w:t xml:space="preserve">Notes: </w:t>
      </w:r>
      <w:r>
        <w:t>abstract_source=crossref</w:t>
      </w:r>
    </w:p>
    <w:p>
      <w:pPr>
        <w:spacing w:before="0" w:after="80" w:lineRule="auto" w:line="276"/>
      </w:pPr>
      <w:r>
        <w:rPr>
          <w:b/>
        </w:rPr>
        <w:t xml:space="preserve">摘要（ZH）: </w:t>
      </w:r>
      <w:r>
        <w:t>我们测试了美国当代黑人与白人的死亡率差异是否可能源于奴隶制的历史遗留问题，并通过结构性不平等而长期存在。将 1860 年被奴役人口比例的县级数据与 1990 年至 2000 年的结构性不平等指标以及 2010 年至 2020 年的死亡率结果联系起来，我们发现历史奴隶制与当代种族死亡率差距密切相关。我们的模型估计，1860 名奴隶人口每增加 10%，相对于美国白人，每 10 万黑人就会多死亡 22 人。路径分析模型表明，种族隔离、经济不平等以及贫困和教育方面的种族差异在统计上调节了这种效应。我们使用工具变量分析来测试因果路径的合理性，并在多项补充分析中探索我们的理论模型的稳健性。即使在控制了一整套历史和当代协变量后，我们的分析仍然成立。这些发现与奴隶制的遗产通过持久的结构性不平等继续塑造当今黑人与白人种族健康差异的模型相一致。</w:t>
      </w:r>
    </w:p>
    <w:p>
      <w:pPr>
        <w:spacing w:before="0" w:after="200" w:lineRule="auto" w:line="276"/>
      </w:pPr>
      <w:r>
        <w:rPr>
          <w:b/>
        </w:rPr>
        <w:t xml:space="preserve">Abstract (EN): </w:t>
      </w:r>
      <w:r>
        <w:t>We tested whether contemporary Black–White mortality disparities in the United States may be rooted in the historical legacy of slavery and perpetuated through structural inequalities. Linking county-level data on the proportion of enslaved people in 1860 with structural inequality indicators from 1990 to 2000 and mortality outcomes from 2010 to 2020, we find that historical slavery is robustly associated with contemporary racial mortality gaps. Our model estimates ~22 additional deaths per 100,000 among Black Americans relative to White Americans for every 10% increase in the 1860 enslaved population. Path analysis models showed that segregation, economic inequality, and racial disparities in poverty and education statistically mediated this effect. We test the plausibility of a causal pathway using an instrumental variable analysis and explore the robustness of our theoretical model in multiple supplemental analyses. Our analyses held even after controlling for a comprehensive suite of historical and contemporary covariates. These findings are consistent with a model wherein slavery’s legacy continues to shape present-day Black–White racial health disparities via enduring structural inequities.</w:t>
      </w:r>
    </w:p>
    <w:p>
      <w:pPr>
        <w:spacing w:before="120" w:after="120"/>
      </w:pPr>
      <w:r>
        <w:rPr>
          <w:sz w:val="18"/>
        </w:rPr>
        <w:t>——————————————————————————————————————————————————————————————————————</w:t>
      </w:r>
    </w:p>
    <w:p>
      <w:pPr>
        <w:spacing w:before="160" w:after="40" w:line="240" w:lineRule="auto"/>
      </w:pPr>
      <w:r>
        <w:rPr>
          <w:b/>
        </w:rPr>
        <w:t xml:space="preserve">[298] </w:t>
      </w:r>
      <w:hyperlink r:id="rId1149">
        <w:r>
          <w:rPr>
            <w:color w:val="1155CC"/>
            <w:u w:val="single"/>
          </w:rPr>
          <w:t>非法毒品市场的稳定与动荡</w:t>
        </w:r>
      </w:hyperlink>
    </w:p>
    <w:p>
      <w:pPr>
        <w:spacing w:before="0" w:after="80"/>
      </w:pPr>
      <w:r>
        <w:rPr>
          <w:i/>
          <w:sz w:val="20"/>
        </w:rPr>
        <w:t>EN: Stability and turbulence in illegal drug markets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50">
        <w:r>
          <w:rPr>
            <w:color w:val="1155CC"/>
            <w:u w:val="single"/>
          </w:rPr>
          <w:t>10.1073/pnas.2512078123</w:t>
        </w:r>
      </w:hyperlink>
    </w:p>
    <w:p>
      <w:pPr>
        <w:spacing w:before="0" w:after="120"/>
      </w:pPr>
      <w:r>
        <w:rPr>
          <w:b/>
        </w:rPr>
        <w:t xml:space="preserve">Notes: </w:t>
      </w:r>
      <w:r>
        <w:t>abstract_source=crossref</w:t>
      </w:r>
    </w:p>
    <w:p>
      <w:pPr>
        <w:spacing w:before="0" w:after="80" w:lineRule="auto" w:line="276"/>
      </w:pPr>
      <w:r>
        <w:rPr>
          <w:b/>
        </w:rPr>
        <w:t xml:space="preserve">摘要（ZH）: </w:t>
      </w:r>
      <w:r>
        <w:t>本文提供了非法毒品市场的入门知识，重点介绍了这些市场以及所涉及企业的结构和性质。非法毒品市场很大，仅在美国每年的零售支出就可能超过 1000 亿美元。许多毒品易于生产，其高价值重量比对走私者具有吸引力。非法毒品市场的某些特征相当稳定，例如零售购买规模较小，部分原因是大多数销售对象是经常使用且通常不会批量购买的人。在生产和消费之间，大多数这些物质跨越多个边界（通常是跨越多个大陆），并且供应链上的加价仍然很高。但过去 15 年发生了重大变化。虽然非法制造的合成药物并不新鲜，但芬太尼和其他合成阿片类药物的扩散在北美造成了服药过量危机，并使其他国家处于高度戒备状态。互联网还使得各种药物及其前体化学品的生产和获取变得更加容易。加密货币的出现创造了隐藏交易和洗钱收益的新机会。除了强调这些市场的稳定性和动荡之外，本文还为未来的研究提供了思路，并强调了监测纯度调整药品价格的必要性，这对于了解这些市场的供应变化和评估干预措施至关重要。</w:t>
      </w:r>
    </w:p>
    <w:p>
      <w:pPr>
        <w:spacing w:before="0" w:after="200" w:lineRule="auto" w:line="276"/>
      </w:pPr>
      <w:r>
        <w:rPr>
          <w:b/>
        </w:rPr>
        <w:t xml:space="preserve">Abstract (EN): </w:t>
      </w:r>
      <w:r>
        <w:t>This article provides a primer on illegal drug markets, with a focus on the structure and nature of these markets and the enterprises involved. The markets for illegal drugs are large, with annual retail expenditures likely exceeding $100 billion in the United States alone. Many drugs are easy to produce, and their high value-to-weight ratios make them attractive to smugglers. Some features of illegal drug markets have been quite stable, such as the small size of retail purchases, in part because most sales are to people who use frequently and typically do not buy in bulk. Between production and consumption, most of these substances cross multiple borders—and often continents—and the mark-ups along the supply chain continue to be substantial. But there have been major changes over the past 15 y. While illegally manufactured synthetic drugs are not new, the proliferation of fentanyl and other synthetic opioids created an overdose crisis in North America and has other countries on high alert. The internet has also made producing and accessing a wide range of drugs and their precursor chemicals easier. The emergence of cryptocurrencies has created new opportunities to hide transactions and launder the proceeds. In addition to highlighting the stability and turbulence in these markets, this article offers ideas for future research and emphasizes the need for monitoring purity-adjusted drug prices, which is critical for understanding supply changes and evaluating interventions in these markets.</w:t>
      </w:r>
    </w:p>
    <w:p>
      <w:pPr>
        <w:spacing w:before="120" w:after="120"/>
      </w:pPr>
      <w:r>
        <w:rPr>
          <w:sz w:val="18"/>
        </w:rPr>
        <w:t>——————————————————————————————————————————————————————————————————————</w:t>
      </w:r>
    </w:p>
    <w:p>
      <w:pPr>
        <w:spacing w:before="160" w:after="40" w:line="240" w:lineRule="auto"/>
      </w:pPr>
      <w:r>
        <w:rPr>
          <w:b/>
        </w:rPr>
        <w:t xml:space="preserve">[299] </w:t>
      </w:r>
      <w:hyperlink r:id="rId1151">
        <w:r>
          <w:rPr>
            <w:color w:val="1155CC"/>
            <w:u w:val="single"/>
          </w:rPr>
          <w:t>非法市场的新兴科学</w:t>
        </w:r>
      </w:hyperlink>
    </w:p>
    <w:p>
      <w:pPr>
        <w:spacing w:before="0" w:after="80"/>
      </w:pPr>
      <w:r>
        <w:rPr>
          <w:i/>
          <w:sz w:val="20"/>
        </w:rPr>
        <w:t>EN: A budding science of illegal markets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52">
        <w:r>
          <w:rPr>
            <w:color w:val="1155CC"/>
            <w:u w:val="single"/>
          </w:rPr>
          <w:t>10.1073/pnas.2511780123</w:t>
        </w:r>
      </w:hyperlink>
    </w:p>
    <w:p>
      <w:pPr>
        <w:spacing w:before="0" w:after="120"/>
      </w:pPr>
      <w:r>
        <w:rPr>
          <w:b/>
        </w:rPr>
        <w:t xml:space="preserve">Notes: </w:t>
      </w:r>
      <w:r>
        <w:t>abstract_source=crossref</w:t>
      </w:r>
    </w:p>
    <w:p>
      <w:pPr>
        <w:spacing w:before="0" w:after="80" w:lineRule="auto" w:line="276"/>
      </w:pPr>
      <w:r>
        <w:rPr>
          <w:b/>
        </w:rPr>
        <w:t xml:space="preserve">摘要（ZH）: </w:t>
      </w:r>
      <w:r>
        <w:t>非法市场造成了难以估量的社会和环境危害，但令人惊讶的是，它们很少引起学术界的关注。本文将非法市场作为一类对象进行探讨。它考虑了不同市场的相似点和差异，特别关注九个市场：人口走私、商业性行为、枪支、洗钱、非法捕鱼、国际野生动物贩运、假冒商品、毒品和烟草产品。这九个市场表现出巨大的差异，部分原因在于它们提供的商品或服务的“物理特性”不同。其他差异可以视为对不同政策和执行压力的适应。近几十年来，一些市场发生了根本性变化，而另一些市场则保持较为稳定。真正创新的总体比率不一定很高，但大多数人似乎很快就采用了更大经济体创造的创新，例如加密货币、安全通信和暗网分发。在研发、品牌和营销方面的低投资率以及同时的高适应性可能是这些市场由相对较小的组织主导的自然结果。据推测，人们可以将常见的非法市场分为以下几类： 1) 供应从共同遗产中窃取的商品，无论是自然遗产（非法捕鱼、野生动物贩运、非法采矿）还是文化遗产（古物）； 2) 向犯罪分子提供商品或服务，而不仅仅是消费违禁产品（枪支、洗钱）； 3) 损害权威机构的权利 (sm</w:t>
      </w:r>
    </w:p>
    <w:p>
      <w:pPr>
        <w:spacing w:before="0" w:after="200" w:lineRule="auto" w:line="276"/>
      </w:pPr>
      <w:r>
        <w:rPr>
          <w:b/>
        </w:rPr>
        <w:t xml:space="preserve">Abstract (EN): </w:t>
      </w:r>
      <w:r>
        <w:t>Illegal markets create untold societal and environmental harm, but they have attracted surprisingly little scholarly attention. This paper explores illegal markets as a class of objects. It considers similarities and differences across markets, with particular attention to nine: human smuggling, commercial sex, firearms, money laundering, illegal fishing, international wildlife trafficking, counterfeit goods, drugs, and tobacco products. These nine markets display enormous variation, stemming in part from differences in the “physics” of the good or service they provide. Other differences can be seen as adaptations to different policy and enforcement pressures. Some markets have changed in fundamental ways over recent decades, while others remain more stable. The overall rate of true innovation is not necessarily high, but most appear quick to adopt innovations that are created by the larger economy such as cryptocurrencies, secure communications, and dark web distribution. Low rates of investment in research and development, branding, and marketing along with simultaneous high rates of adaptability may be a natural outgrowth of these markets being dominated by relatively small organizations. It is hypothesized that one can group the common illegal markets into those that: 1) Supply goods stolen from a common heritage, either natural (illegal fishing, wildlife trafficking, illegal mining) or cultural (antiquities); 2) Supply goods or services to people committing crimes beyond just consuming the banned products (guns, money laundering); 3) Undermine an authority’s rights (smuggling humans across borders, counterfeiting goods, tax-evading cigarettes); and 4) Supply products that harm the user and/or seller (drugs, commercial sex, gambling, raw milk).</w:t>
      </w:r>
    </w:p>
    <w:p>
      <w:pPr>
        <w:spacing w:before="120" w:after="120"/>
      </w:pPr>
      <w:r>
        <w:rPr>
          <w:sz w:val="18"/>
        </w:rPr>
        <w:t>——————————————————————————————————————————————————————————————————————</w:t>
      </w:r>
    </w:p>
    <w:p>
      <w:pPr>
        <w:spacing w:before="160" w:after="40" w:line="240" w:lineRule="auto"/>
      </w:pPr>
      <w:r>
        <w:rPr>
          <w:b/>
        </w:rPr>
        <w:t xml:space="preserve">[300] </w:t>
      </w:r>
      <w:hyperlink r:id="rId1153">
        <w:r>
          <w:rPr>
            <w:color w:val="1155CC"/>
            <w:u w:val="single"/>
          </w:rPr>
          <w:t>非法市场的政策构建：探索变化、成功、失败和意外后果</w:t>
        </w:r>
      </w:hyperlink>
    </w:p>
    <w:p>
      <w:pPr>
        <w:spacing w:before="0" w:after="80"/>
      </w:pPr>
      <w:r>
        <w:rPr>
          <w:i/>
          <w:sz w:val="20"/>
        </w:rPr>
        <w:t>EN: The policy construction of illegal markets: Exploring variation, success, failure, and unintended consequences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54">
        <w:r>
          <w:rPr>
            <w:color w:val="1155CC"/>
            <w:u w:val="single"/>
          </w:rPr>
          <w:t>10.1073/pnas.2515300123</w:t>
        </w:r>
      </w:hyperlink>
    </w:p>
    <w:p>
      <w:pPr>
        <w:spacing w:before="0" w:after="120"/>
      </w:pPr>
      <w:r>
        <w:rPr>
          <w:b/>
        </w:rPr>
        <w:t xml:space="preserve">Notes: </w:t>
      </w:r>
      <w:r>
        <w:t>abstract_source=crossref</w:t>
      </w:r>
    </w:p>
    <w:p>
      <w:pPr>
        <w:spacing w:before="0" w:after="80" w:lineRule="auto" w:line="276"/>
      </w:pPr>
      <w:r>
        <w:rPr>
          <w:b/>
        </w:rPr>
        <w:t xml:space="preserve">摘要（ZH）: </w:t>
      </w:r>
      <w:r>
        <w:t>非法市场广义上包括只有特定交易是非法的市场，是政策（无论是禁止还是高度限制性监管）的结果。它们是由各种担忧产生的，有些是道德的，有些是务实的。它们往往与合法市场联系在一起，使政策过程变得复杂。这些市场无处不在，但很少受到良好的控制，也很少被作为市场进行研究。本文探讨了本专题中案例研究中非法行为的变化，并综合了控制这些市场的不同方法的成功和失败的经验教训。控制往往很弱，因为强大的合法利益反对严格的监管，特别是在潜在需求巨大的市场中，除非使用严厉的方法，否则很少会导致目标活动的大幅减少。正如毒品市场所证明的那样，严厉的执法可能会产生巨大的负面后果。该文件最后建议，专门为毒品政策制定的减少伤害框架的扩展可以有效地应用于控制其他非法市场的政策选择。</w:t>
      </w:r>
    </w:p>
    <w:p>
      <w:pPr>
        <w:spacing w:before="0" w:after="200" w:lineRule="auto" w:line="276"/>
      </w:pPr>
      <w:r>
        <w:rPr>
          <w:b/>
        </w:rPr>
        <w:t xml:space="preserve">Abstract (EN): </w:t>
      </w:r>
      <w:r>
        <w:t>Illegal markets, broadly defined to include markets where only specific transactions are illegal, are the consequence of policy, either a prohibition or highly restrictive regulation. They are generated by a variety of concerns, some moral, some pragmatic. They are often tied to legal markets, complicating the policy process. These markets are ubiquitous, rarely well controlled and little studied as markets. This article examines variations in illegality from the case studies in this Special Feature and synthesizes what can be learned about the success and failure of different approaches to controlling these markets. Control is often weak because powerful legal interests are opposed to tight regulation and, especially in markets with large underlying demand, rarely leads to substantial reductions in the targeted activity, unless draconian methods are used. As demonstrated by drug markets, tough enforcement can have large adverse collateral consequences. The paper concludes by suggesting that an extension of the harm reduction framework developed specifically for drug policy can be applied usefully to making policy choices in controlling other illegal markets.</w:t>
      </w:r>
    </w:p>
    <w:p>
      <w:pPr>
        <w:spacing w:before="120" w:after="120"/>
      </w:pPr>
      <w:r>
        <w:rPr>
          <w:sz w:val="18"/>
        </w:rPr>
        <w:t>——————————————————————————————————————————————————————————————————————</w:t>
      </w:r>
    </w:p>
    <w:p>
      <w:pPr>
        <w:spacing w:before="160" w:after="40" w:line="240" w:lineRule="auto"/>
      </w:pPr>
      <w:r>
        <w:rPr>
          <w:b/>
        </w:rPr>
        <w:t xml:space="preserve">[301] </w:t>
      </w:r>
      <w:hyperlink r:id="rId1155">
        <w:r>
          <w:rPr>
            <w:color w:val="1155CC"/>
            <w:u w:val="single"/>
          </w:rPr>
          <w:t>半球日照引起的南亚夏季风系统的海洋和陆地响应对比</w:t>
        </w:r>
      </w:hyperlink>
    </w:p>
    <w:p>
      <w:pPr>
        <w:spacing w:before="0" w:after="80"/>
      </w:pPr>
      <w:r>
        <w:rPr>
          <w:i/>
          <w:sz w:val="20"/>
        </w:rPr>
        <w:t>EN: Contrasting marine and terrestrial responses of South Asian summer monsoon system caused by hemispheric insolation</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56">
        <w:r>
          <w:rPr>
            <w:color w:val="1155CC"/>
            <w:u w:val="single"/>
          </w:rPr>
          <w:t>10.1073/pnas.2602012123</w:t>
        </w:r>
      </w:hyperlink>
    </w:p>
    <w:p>
      <w:pPr>
        <w:spacing w:before="0" w:after="120"/>
      </w:pPr>
      <w:r>
        <w:rPr>
          <w:b/>
        </w:rPr>
        <w:t xml:space="preserve">Notes: </w:t>
      </w:r>
      <w:r>
        <w:t>abstract_source=crossref</w:t>
      </w:r>
    </w:p>
    <w:p>
      <w:pPr>
        <w:spacing w:before="0" w:after="80" w:lineRule="auto" w:line="276"/>
      </w:pPr>
      <w:r>
        <w:rPr>
          <w:b/>
        </w:rPr>
        <w:t xml:space="preserve">摘要（ZH）: </w:t>
      </w:r>
      <w:r>
        <w:t>南亚夏季风 (SASM) 为印度次大陆带来大量降雨，并推动阿拉伯海强烈的上升流，使海洋上升流记录和陆地降雨记录成为重建过去 SASM 变化的两个主要指标。然而，在轨道时间尺度上，这两组记录在很大程度上方向相反：上升流记录与南半球（SH）夏季日照同相，而降雨记录与北半球（NH）夏季日照同相。这就留下了关于 SASM 是由北半球还是南半球日照驱动的长期争论。在这里，将古气候记录与明确区分北半球和南半球日照强迫的影响的瞬态气候模拟相结合，我们表明SASM降雨主要受北半球日照强迫，而阿拉伯海上升流主要受南半球日照强迫。当北半球夏季出现在近日点时，不仅北半球的日照强烈增强，热带-副热带南半球的日照也强烈增强。前者通过欧亚变暖增强了SASM降雨量，而后者则通过诱导南非变暖和随后印度洋上空的大气遥相关削弱了阿拉伯海上升流。我们的研究调和了长期存在的争论，更广泛地说，揭示了南非变暖可能在过去和未来的气候变化中对 SASM 系统产生重大且先前被忽视的远程强迫。</w:t>
      </w:r>
    </w:p>
    <w:p>
      <w:pPr>
        <w:spacing w:before="0" w:after="200" w:lineRule="auto" w:line="276"/>
      </w:pPr>
      <w:r>
        <w:rPr>
          <w:b/>
        </w:rPr>
        <w:t xml:space="preserve">Abstract (EN): </w:t>
      </w:r>
      <w:r>
        <w:t>South Asian summer monsoon (SASM) delivers substantial rains to the Indian subcontinent and drives strong upwelling in the Arabian Sea, making marine upwelling records and terrestrial rainfall records two primary proxies for reconstructing past SASM variability. However, on orbital timescales, these two sets of records vary largely in opposite directions: the upwelling records are in-phase with Southern Hemisphere (SH) summer insolation, whereas the rainfall records are in-phase with Northern Hemisphere (NH) summer insolation. This leaves a long-standing debate on whether SASM is driven by NH or SH insolation. Here, combining paleoclimate records with transient climate simulations that explicitly separate the effects of the NH and SH insolation forcing, we show that the SASM rainfall is dominated by the NH insolation, whereas the Arabian Sea upwelling is forced predominantly by the SH insolation. When boreal summer occurs at perihelion, insolation is strongly enhanced not only in the NH but also in the tropical-subtropical SH. The former enhances the SASM rainfall through Eurasian warming, while the latter weakens the Arabian Sea upwelling by inducing South African warming and subsequent atmospheric teleconnections over the Indian Ocean. Our study reconciles the long-standing debate, and more broadly, reveals that warming in South Africa could exert a significant and previously overlooked remote forcing on the SASM system in past and future climate changes.</w:t>
      </w:r>
    </w:p>
    <w:p>
      <w:pPr>
        <w:spacing w:before="120" w:after="120"/>
      </w:pPr>
      <w:r>
        <w:rPr>
          <w:sz w:val="18"/>
        </w:rPr>
        <w:t>——————————————————————————————————————————————————————————————————————</w:t>
      </w:r>
    </w:p>
    <w:p>
      <w:pPr>
        <w:spacing w:before="160" w:after="40" w:line="240" w:lineRule="auto"/>
      </w:pPr>
      <w:r>
        <w:rPr>
          <w:b/>
        </w:rPr>
        <w:t xml:space="preserve">[302] </w:t>
      </w:r>
      <w:hyperlink r:id="rId1157">
        <w:r>
          <w:rPr>
            <w:color w:val="1155CC"/>
            <w:u w:val="single"/>
          </w:rPr>
          <w:t>白质功能连接可以独特地预测灰质连接之外的大脑年龄、认知和精神病理学</w:t>
        </w:r>
      </w:hyperlink>
    </w:p>
    <w:p>
      <w:pPr>
        <w:spacing w:before="0" w:after="80"/>
      </w:pPr>
      <w:r>
        <w:rPr>
          <w:i/>
          <w:sz w:val="20"/>
        </w:rPr>
        <w:t>EN: White-matter functional connectivity uniquely predicts brain age, cognition, and psychopathology beyond gray-matter connectivity</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58">
        <w:r>
          <w:rPr>
            <w:color w:val="1155CC"/>
            <w:u w:val="single"/>
          </w:rPr>
          <w:t>10.1073/pnas.2604191123</w:t>
        </w:r>
      </w:hyperlink>
    </w:p>
    <w:p>
      <w:pPr>
        <w:spacing w:before="0" w:after="120"/>
      </w:pPr>
      <w:r>
        <w:rPr>
          <w:b/>
        </w:rPr>
        <w:t xml:space="preserve">Notes: </w:t>
      </w:r>
      <w:r>
        <w:t>abstract_source=crossref</w:t>
      </w:r>
    </w:p>
    <w:p>
      <w:pPr>
        <w:spacing w:before="0" w:after="80" w:lineRule="auto" w:line="276"/>
      </w:pPr>
      <w:r>
        <w:rPr>
          <w:b/>
        </w:rPr>
        <w:t xml:space="preserve">摘要（ZH）: </w:t>
      </w:r>
      <w:r>
        <w:t>白质通路构成了人类连接组通信的结构支柱，但涉及白质的功能连接（FC）是否携带灰质网络之外的信息仍不清楚。在这里，我们测试了白质 FC (W-M FC) 是否能独特地预测大脑年龄、认知和精神病理学。跨越四个独立的发展队列，从童年到青年期（总计</w:t>
      </w:r>
      <w:r>
        <w:t xml:space="preserve"> </w:t>
      </w:r>
      <w:r>
        <w:t>n</w:t>
      </w:r>
      <w:r>
        <w:t xml:space="preserve"> </w:t>
      </w:r>
      <w:r>
        <w:t>= 2,370），我们发现 W-M FC，包括白-白和灰-白连接，可以稳健地预测大脑年龄的个体差异。至关重要的是，在控制灰质 FC 后，这些预测仍然很重要，表明 W-M FC 捕获了与大脑发育相关的非冗余功能信息。我们进一步证明，W-M FC 类似地解释了认知表现的独特差异（</w:t>
      </w:r>
      <w:r>
        <w:t xml:space="preserve"> </w:t>
      </w:r>
      <w:r>
        <w:t>n</w:t>
      </w:r>
      <w:r>
        <w:t xml:space="preserve"> </w:t>
      </w:r>
      <w:r>
        <w:t>= 4,388）和多动症症状（</w:t>
      </w:r>
      <w:r>
        <w:t xml:space="preserve"> </w:t>
      </w:r>
      <w:r>
        <w:t>n</w:t>
      </w:r>
      <w:r>
        <w:t xml:space="preserve"> </w:t>
      </w:r>
      <w:r>
        <w:t>= 4,465）。特征权重分析揭示了连合、投射、浅表和关联途径的显着贡献，表明结构化的白质功能架构补充而不是镜像灰质功能组织。总之，这些发现将 W-M FC 确立为人类连接组中独特且具有行为意义的组成部分，将人类神经发育模型扩展到仅灰质 FC 之外。</w:t>
      </w:r>
    </w:p>
    <w:p>
      <w:pPr>
        <w:spacing w:before="0" w:after="200" w:lineRule="auto" w:line="276"/>
      </w:pPr>
      <w:r>
        <w:rPr>
          <w:b/>
        </w:rPr>
        <w:t xml:space="preserve">Abstract (EN): </w:t>
      </w:r>
      <w:r>
        <w:t>White-matter pathways form the structural backbone for communication across the human connectome, yet whether functional connectivity (FC) involving white matter carries information beyond gray-matter networks remains unclear. Here, we tested whether white-matter FC (W-M FC) uniquely predicted brain age, cognition, and psychopathology. Across four independent developmental cohorts spanning childhood to young adulthood (total</w:t>
      </w:r>
      <w:r>
        <w:t xml:space="preserve"> </w:t>
      </w:r>
      <w:r>
        <w:t>n</w:t>
      </w:r>
      <w:r>
        <w:t xml:space="preserve"> </w:t>
      </w:r>
      <w:r>
        <w:t>= 2,370), we showed that W-M FC, including both white–white and gray–white connectivity, robustly predicted individual differences in brain age. Critically, these predictions remained significant after controlling for gray-matter FC, demonstrating that W-M FC captures nonredundant functional information relevant to brain development. We further demonstrated that W-M FC similarly explained unique variance in cognitive performance (</w:t>
      </w:r>
      <w:r>
        <w:t xml:space="preserve"> </w:t>
      </w:r>
      <w:r>
        <w:t>n</w:t>
      </w:r>
      <w:r>
        <w:t xml:space="preserve"> </w:t>
      </w:r>
      <w:r>
        <w:t>= 4,388) and ADHD symptoms (</w:t>
      </w:r>
      <w:r>
        <w:t xml:space="preserve"> </w:t>
      </w:r>
      <w:r>
        <w:t>n</w:t>
      </w:r>
      <w:r>
        <w:t xml:space="preserve"> </w:t>
      </w:r>
      <w:r>
        <w:t>= 4,465). Feature-weight analyses revealed prominent contributions from commissural, projection, superficial, and association pathways, indicating a structured white-matter functional architecture that complements, rather than mirrors, gray-matter functional organization. Together, these findings establish W-M FC as a distinct and behaviorally meaningful component of the human connectome, extending models of human neurodevelopment beyond gray-matter FC alone.</w:t>
      </w:r>
    </w:p>
    <w:p>
      <w:pPr>
        <w:spacing w:before="120" w:after="120"/>
      </w:pPr>
      <w:r>
        <w:rPr>
          <w:sz w:val="18"/>
        </w:rPr>
        <w:t>——————————————————————————————————————————————————————————————————————</w:t>
      </w:r>
    </w:p>
    <w:p>
      <w:pPr>
        <w:spacing w:before="160" w:after="40" w:line="240" w:lineRule="auto"/>
      </w:pPr>
      <w:r>
        <w:rPr>
          <w:b/>
        </w:rPr>
        <w:t xml:space="preserve">[303] </w:t>
      </w:r>
      <w:hyperlink r:id="rId1159">
        <w:r>
          <w:rPr>
            <w:color w:val="1155CC"/>
            <w:u w:val="single"/>
          </w:rPr>
          <w:t>脂滴赋予 SA 依赖性抗病毒防御作用，且不会造成生长损失</w:t>
        </w:r>
      </w:hyperlink>
    </w:p>
    <w:p>
      <w:pPr>
        <w:spacing w:before="0" w:after="80"/>
      </w:pPr>
      <w:r>
        <w:rPr>
          <w:i/>
          <w:sz w:val="20"/>
        </w:rPr>
        <w:t>EN: Lipid droplets confer SA-dependent antiviral defense without growth penalty</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60">
        <w:r>
          <w:rPr>
            <w:color w:val="1155CC"/>
            <w:u w:val="single"/>
          </w:rPr>
          <w:t>10.1073/pnas.2600696123</w:t>
        </w:r>
      </w:hyperlink>
    </w:p>
    <w:p>
      <w:pPr>
        <w:spacing w:before="0" w:after="120"/>
      </w:pPr>
      <w:r>
        <w:rPr>
          <w:b/>
        </w:rPr>
        <w:t xml:space="preserve">Notes: </w:t>
      </w:r>
      <w:r>
        <w:t>abstract_source=crossref</w:t>
      </w:r>
    </w:p>
    <w:p>
      <w:pPr>
        <w:spacing w:before="0" w:after="80" w:lineRule="auto" w:line="276"/>
      </w:pPr>
      <w:r>
        <w:rPr>
          <w:b/>
        </w:rPr>
        <w:t xml:space="preserve">摘要（ZH）: </w:t>
      </w:r>
      <w:r>
        <w:t>脂滴（LD）通常被视为中性脂质的储存位点，但其在植物防御中的作用仍知之甚少。在我们对大麦条纹花叶病毒 (BSMV)（一种 (+)ssRNA 病毒）的研究中，我们发现感染显着增加了 LD 丰度。</w:t>
      </w:r>
      <w:r>
        <w:t xml:space="preserve"> </w:t>
      </w:r>
      <w:r>
        <w:t>本塞姆氏烟草</w:t>
      </w:r>
      <w:r>
        <w:t xml:space="preserve"> </w:t>
      </w:r>
      <w:r>
        <w:t>和小麦。使用基于 split-TurboID 的邻近标记，我们在 ER-叶绿体接触位点鉴定了 LD 相关蛋白 (LDAP)。通过过表达小鼠 FIT2 或植物 NbLDAP2.1 来增加 LD 形成可减少病毒积累，而损害 LD 形成会导致更高的感染率。活细胞成像和遗传学研究表明，LD 沿着肌动蛋白丝移动，聚集在叶绿体周围，并通过水杨酸 (SA) 依赖性机制促进抗病毒免疫。此外，LDs 赋予多种 (+)ssRNA 病毒抗性</w:t>
      </w:r>
      <w:r>
        <w:t xml:space="preserve"> </w:t>
      </w:r>
      <w:r>
        <w:t>本塞米亚纳</w:t>
      </w:r>
      <w:r>
        <w:t xml:space="preserve"> </w:t>
      </w:r>
      <w:r>
        <w:t>以及水稻中的 (–)ssRNA 病毒。这些发现揭示了 LD 在 SA 依赖性抗病毒防御中的作用，该防御不会损害生长，为工程抗病毒作物提供了潜在的方法。</w:t>
      </w:r>
    </w:p>
    <w:p>
      <w:pPr>
        <w:spacing w:before="0" w:after="200" w:lineRule="auto" w:line="276"/>
      </w:pPr>
      <w:r>
        <w:rPr>
          <w:b/>
        </w:rPr>
        <w:t xml:space="preserve">Abstract (EN): </w:t>
      </w:r>
      <w:r>
        <w:t>The role of lipid droplets (LDs), typically regarded as storage sites for neutral lipid, in plant defense remains poorly understood. In our study with barley stripe mosaic virus (BSMV), a (+)ssRNA virus, we found that infection significantly increases LD abundance in</w:t>
      </w:r>
      <w:r>
        <w:t xml:space="preserve"> </w:t>
      </w:r>
      <w:r>
        <w:t>Nicotiana benthamiana</w:t>
      </w:r>
      <w:r>
        <w:t xml:space="preserve"> </w:t>
      </w:r>
      <w:r>
        <w:t>and wheat. Using split-TurboID–based proximity labeling, we identified LD-associated proteins (LDAPs) at ER–chloroplast contact sites. Increasing LD formation by overexpressing mouse FIT2 or plant NbLDAP2.1 decreased viral accumulation, whereas impairing LD formation led to higher infection. Live cell imaging and genetic studies revealed that LDs move along actin filaments, cluster around chloroplasts, and contribute to antiviral immunity through a salicylic acid (SA)-dependent mechanism. Moreover, LDs conferred resistance to multiple (+)ssRNA viruses in</w:t>
      </w:r>
      <w:r>
        <w:t xml:space="preserve"> </w:t>
      </w:r>
      <w:r>
        <w:t>N. benthamiana</w:t>
      </w:r>
      <w:r>
        <w:t xml:space="preserve"> </w:t>
      </w:r>
      <w:r>
        <w:t>and a (–)ssRNA virus in rice. These findings uncover a role for LDs in SA-dependent antiviral defense that does not compromise growth, offering potential approaches for engineering virus-resistant crops.</w:t>
      </w:r>
    </w:p>
    <w:p>
      <w:pPr>
        <w:spacing w:before="120" w:after="120"/>
      </w:pPr>
      <w:r>
        <w:rPr>
          <w:sz w:val="18"/>
        </w:rPr>
        <w:t>——————————————————————————————————————————————————————————————————————</w:t>
      </w:r>
    </w:p>
    <w:p>
      <w:pPr>
        <w:spacing w:before="160" w:after="40" w:line="240" w:lineRule="auto"/>
      </w:pPr>
      <w:r>
        <w:rPr>
          <w:b/>
        </w:rPr>
        <w:t xml:space="preserve">[304] </w:t>
      </w:r>
      <w:hyperlink r:id="rId1161">
        <w:r>
          <w:rPr>
            <w:color w:val="1155CC"/>
            <w:u w:val="single"/>
          </w:rPr>
          <w:t>四氟化碳呼吸气体等压反扩散预防严重减压病</w:t>
        </w:r>
      </w:hyperlink>
    </w:p>
    <w:p>
      <w:pPr>
        <w:spacing w:before="0" w:after="80"/>
      </w:pPr>
      <w:r>
        <w:rPr>
          <w:i/>
          <w:sz w:val="20"/>
        </w:rPr>
        <w:t>EN: Isobaric counterdiffusion of carbon tetrafluoride breathing gas to prevent severe decompression sickness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62">
        <w:r>
          <w:rPr>
            <w:color w:val="1155CC"/>
            <w:u w:val="single"/>
          </w:rPr>
          <w:t>10.1073/pnas.2600125123</w:t>
        </w:r>
      </w:hyperlink>
    </w:p>
    <w:p>
      <w:pPr>
        <w:spacing w:before="0" w:after="120"/>
      </w:pPr>
      <w:r>
        <w:rPr>
          <w:b/>
        </w:rPr>
        <w:t xml:space="preserve">Notes: </w:t>
      </w:r>
      <w:r>
        <w:t>abstract_source=crossref</w:t>
      </w:r>
    </w:p>
    <w:p>
      <w:pPr>
        <w:spacing w:before="0" w:after="80" w:lineRule="auto" w:line="276"/>
      </w:pPr>
      <w:r>
        <w:rPr>
          <w:b/>
        </w:rPr>
        <w:t xml:space="preserve">摘要（ZH）: </w:t>
      </w:r>
      <w:r>
        <w:t>减压病 (DCS) 风险通过组织惰性气体过饱和和病理性气泡形成限制人类海底作业。在减压之前将惰性呼吸气体切换为扩散率较低的气体可以实现更快、更安全的减压。这一原理在 20 公斤的猪身上进行了氦氧 (He/O</w:t>
      </w:r>
      <w:r>
        <w:rPr>
          <w:vertAlign w:val="subscript"/>
        </w:rPr>
        <w:t>2</w:t>
      </w:r>
      <w:r>
        <w:t>）使用四氟化碳潜水。镇静猪呼吸 He/O</w:t>
      </w:r>
      <w:r>
        <w:rPr>
          <w:vertAlign w:val="subscript"/>
        </w:rPr>
        <w:t>2</w:t>
      </w:r>
      <w:r>
        <w:t>79/21，压力相当于 200 英尺海水 (714 kPa)，在高压舱中持续 50 分钟，直到随机分配至持续 He/O</w:t>
      </w:r>
      <w:r>
        <w:rPr>
          <w:vertAlign w:val="subscript"/>
        </w:rPr>
        <w:t>2</w:t>
      </w:r>
      <w:r>
        <w:t>或改用四氟化碳和氧气 (CF</w:t>
      </w:r>
      <w:r>
        <w:rPr>
          <w:vertAlign w:val="subscript"/>
        </w:rPr>
        <w:t>4</w:t>
      </w:r>
      <w:r>
        <w:t>/O</w:t>
      </w:r>
      <w:r>
        <w:rPr>
          <w:vertAlign w:val="subscript"/>
        </w:rPr>
        <w:t>2</w:t>
      </w:r>
      <w:r>
        <w:t>79/21）减压前10分钟。 CF</w:t>
      </w:r>
      <w:r>
        <w:rPr>
          <w:vertAlign w:val="subscript"/>
        </w:rPr>
        <w:t>4</w:t>
      </w:r>
      <w:r>
        <w:t>/O</w:t>
      </w:r>
      <w:r>
        <w:rPr>
          <w:vertAlign w:val="subscript"/>
        </w:rPr>
        <w:t>2</w:t>
      </w:r>
      <w:r>
        <w:t>组的 DCS 减少，死亡率、低氧血症、肺水肿、静脉气栓塞、步态障碍、皮疹和中枢神经系统出血也较低。 CF</w:t>
      </w:r>
      <w:r>
        <w:rPr>
          <w:vertAlign w:val="subscript"/>
        </w:rPr>
        <w:t>4</w:t>
      </w:r>
      <w:r>
        <w:t>/O</w:t>
      </w:r>
      <w:r>
        <w:rPr>
          <w:vertAlign w:val="subscript"/>
        </w:rPr>
        <w:t>2</w:t>
      </w:r>
      <w:r>
        <w:t>通过实现更深的潜水、更长的潜水和快速减压，同时保持安全，有潜力扩大人类探索。</w:t>
      </w:r>
    </w:p>
    <w:p>
      <w:pPr>
        <w:spacing w:before="0" w:after="200" w:lineRule="auto" w:line="276"/>
      </w:pPr>
      <w:r>
        <w:rPr>
          <w:b/>
        </w:rPr>
        <w:t xml:space="preserve">Abstract (EN): </w:t>
      </w:r>
      <w:r>
        <w:t>Decompression sickness (DCS) risk limits human undersea operations through tissue inert gas supersaturation and pathological bubble formation. Switching the inert breathing gas prior to decompression to a gas with lower diffusivity could allow faster and safer decompression. This principle was tested in 20 kg swine after a helium-oxygen (He/O</w:t>
      </w:r>
      <w:r>
        <w:rPr>
          <w:vertAlign w:val="subscript"/>
        </w:rPr>
        <w:t>2</w:t>
      </w:r>
      <w:r>
        <w:t>) dive using carbon tetrafluoride. Sedated swine breathed He/O</w:t>
      </w:r>
      <w:r>
        <w:rPr>
          <w:vertAlign w:val="subscript"/>
        </w:rPr>
        <w:t>2</w:t>
      </w:r>
      <w:r>
        <w:t>79/21 at a pressure equivalent of 200 feet of seawater (714 kPa) in a hyperbaric chamber for 50 min until randomized to continuing He/O</w:t>
      </w:r>
      <w:r>
        <w:rPr>
          <w:vertAlign w:val="subscript"/>
        </w:rPr>
        <w:t>2</w:t>
      </w:r>
      <w:r>
        <w:t>or switching to carbon tetrafluoride and oxygen (CF</w:t>
      </w:r>
      <w:r>
        <w:rPr>
          <w:vertAlign w:val="subscript"/>
        </w:rPr>
        <w:t>4</w:t>
      </w:r>
      <w:r>
        <w:t>/O</w:t>
      </w:r>
      <w:r>
        <w:rPr>
          <w:vertAlign w:val="subscript"/>
        </w:rPr>
        <w:t>2</w:t>
      </w:r>
      <w:r>
        <w:t>79/21) for 10 min before decompression. The CF</w:t>
      </w:r>
      <w:r>
        <w:rPr>
          <w:vertAlign w:val="subscript"/>
        </w:rPr>
        <w:t>4</w:t>
      </w:r>
      <w:r>
        <w:t>/O</w:t>
      </w:r>
      <w:r>
        <w:rPr>
          <w:vertAlign w:val="subscript"/>
        </w:rPr>
        <w:t>2</w:t>
      </w:r>
      <w:r>
        <w:t>group had reduced DCS with lower mortality, hypoxemia, pulmonary edema, venous gas emboli, gait disturbance, rash, and central nervous system hemorrhage. CF</w:t>
      </w:r>
      <w:r>
        <w:rPr>
          <w:vertAlign w:val="subscript"/>
        </w:rPr>
        <w:t>4</w:t>
      </w:r>
      <w:r>
        <w:t>/O</w:t>
      </w:r>
      <w:r>
        <w:rPr>
          <w:vertAlign w:val="subscript"/>
        </w:rPr>
        <w:t>2</w:t>
      </w:r>
      <w:r>
        <w:t>has the potential to expand human exploration through enabling deeper dives, longer dives, and rapid decompression while maintaining safety.</w:t>
      </w:r>
    </w:p>
    <w:p>
      <w:pPr>
        <w:spacing w:before="120" w:after="120"/>
      </w:pPr>
      <w:r>
        <w:rPr>
          <w:sz w:val="18"/>
        </w:rPr>
        <w:t>——————————————————————————————————————————————————————————————————————</w:t>
      </w:r>
    </w:p>
    <w:p>
      <w:pPr>
        <w:spacing w:before="160" w:after="40" w:line="240" w:lineRule="auto"/>
      </w:pPr>
      <w:r>
        <w:rPr>
          <w:b/>
        </w:rPr>
        <w:t xml:space="preserve">[305] </w:t>
      </w:r>
      <w:hyperlink r:id="rId1163">
        <w:r>
          <w:rPr>
            <w:color w:val="1155CC"/>
            <w:u w:val="single"/>
          </w:rPr>
          <w:t>传统雅格诺布山羊奶酪发酵酿酒酵母乳制品适应的基因组特征</w:t>
        </w:r>
      </w:hyperlink>
    </w:p>
    <w:p>
      <w:pPr>
        <w:spacing w:before="0" w:after="80"/>
      </w:pPr>
      <w:r>
        <w:rPr>
          <w:i/>
          <w:sz w:val="20"/>
        </w:rPr>
        <w:t>EN: Genomic signatures of dairy adaptation in Saccharomyces cerevisiae from traditional Yaghnob goat-cheese fermentation</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64">
        <w:r>
          <w:rPr>
            <w:color w:val="1155CC"/>
            <w:u w:val="single"/>
          </w:rPr>
          <w:t>10.1073/pnas.2537942123</w:t>
        </w:r>
      </w:hyperlink>
    </w:p>
    <w:p>
      <w:pPr>
        <w:spacing w:before="0" w:after="120"/>
      </w:pPr>
      <w:r>
        <w:rPr>
          <w:b/>
        </w:rPr>
        <w:t xml:space="preserve">Notes: </w:t>
      </w:r>
      <w:r>
        <w:t>abstract_source=crossref</w:t>
      </w:r>
    </w:p>
    <w:p>
      <w:pPr>
        <w:spacing w:before="0" w:after="80" w:lineRule="auto" w:line="276"/>
      </w:pPr>
      <w:r>
        <w:rPr>
          <w:b/>
        </w:rPr>
        <w:t xml:space="preserve">摘要（ZH）: </w:t>
      </w:r>
      <w:r>
        <w:t>学习兴趣日益浓厚</w:t>
      </w:r>
      <w:r>
        <w:t xml:space="preserve"> </w:t>
      </w:r>
      <w:r>
        <w:t>酿酒酵母</w:t>
      </w:r>
      <w:r>
        <w:t xml:space="preserve"> </w:t>
      </w:r>
      <w:r>
        <w:t>来自以前未探索过的生态位的菌株极大地扩展了我们对这种酵母生态和进化的理解。虽然参与酒精发酵的菌株研究最多，</w:t>
      </w:r>
      <w:r>
        <w:t xml:space="preserve"> </w:t>
      </w:r>
      <w:r>
        <w:t>酿酒酵母</w:t>
      </w:r>
      <w:r>
        <w:t xml:space="preserve"> </w:t>
      </w:r>
      <w:r>
        <w:t>也已从牛奶发酵及其产品中分离出来，这表明乳制品环境存在潜在的进化专门化。这些发酵的特点是主要存在乳糖，乳糖是一种碳源，</w:t>
      </w:r>
      <w:r>
        <w:t xml:space="preserve"> </w:t>
      </w:r>
      <w:r>
        <w:t>酿酒酵母</w:t>
      </w:r>
      <w:r>
        <w:t xml:space="preserve"> </w:t>
      </w:r>
      <w:r>
        <w:t>不能直接代谢，但可以通过共生微生物的酶活性将乳糖转化为可发酵底物，例如葡萄糖和半乳糖。在这项研究中，我们分析了</w:t>
      </w:r>
      <w:r>
        <w:t xml:space="preserve"> </w:t>
      </w:r>
      <w:r>
        <w:t>酿酒酵母</w:t>
      </w:r>
      <w:r>
        <w:t xml:space="preserve"> </w:t>
      </w:r>
      <w:r>
        <w:t>从一个未开发的偏远生态位中分离出的菌株：雅格诺布人生产的传统山羊发酵奶，雅格诺布人是居住在塔吉克斯坦共和国上扎拉夫尚地区的一个种族和地理上部分孤立的人群。与已发表的比较分析</w:t>
      </w:r>
      <w:r>
        <w:t xml:space="preserve"> </w:t>
      </w:r>
      <w:r>
        <w:t>酿酒酵母</w:t>
      </w:r>
      <w:r>
        <w:t xml:space="preserve"> </w:t>
      </w:r>
      <w:r>
        <w:t>基因组将 Yaghnob 菌株定位在系统发育乳制品进化枝的基础上。这些菌株揭示了所有 Yaghnob 菌株中存在的独特编码序列和菌株特异性单核苷酸变异，但在其他 1,053 个分析菌株中不存在。对参与半乳糖代谢的关键基因变异的进一步研究提供了见解</w:t>
      </w:r>
    </w:p>
    <w:p>
      <w:pPr>
        <w:spacing w:before="0" w:after="200" w:lineRule="auto" w:line="276"/>
      </w:pPr>
      <w:r>
        <w:rPr>
          <w:b/>
        </w:rPr>
        <w:t xml:space="preserve">Abstract (EN): </w:t>
      </w:r>
      <w:r>
        <w:t>The growing interest in studying</w:t>
      </w:r>
      <w:r>
        <w:t xml:space="preserve"> </w:t>
      </w:r>
      <w:r>
        <w:t>Saccharomyces cerevisiae</w:t>
      </w:r>
      <w:r>
        <w:t xml:space="preserve"> </w:t>
      </w:r>
      <w:r>
        <w:t>strains from previously unexplored niches is greatly expanding our understanding of this yeast’s ecology and evolution. While strains involved in alcoholic fermentation are the most studied,</w:t>
      </w:r>
      <w:r>
        <w:t xml:space="preserve"> </w:t>
      </w:r>
      <w:r>
        <w:t>S. cerevisiae</w:t>
      </w:r>
      <w:r>
        <w:t xml:space="preserve"> </w:t>
      </w:r>
      <w:r>
        <w:t>has also been isolated from milk fermentations and their products, suggesting a potential evolutionary specialization for dairy environments. These fermentations are characterized by the predominant presence of lactose, a carbon source that</w:t>
      </w:r>
      <w:r>
        <w:t xml:space="preserve"> </w:t>
      </w:r>
      <w:r>
        <w:t>S. cerevisiae</w:t>
      </w:r>
      <w:r>
        <w:t xml:space="preserve"> </w:t>
      </w:r>
      <w:r>
        <w:t>cannot metabolize directly but can exploit through the enzymatic activity of co-occurring microorganisms that convert lactose into fermentable substrates, such as glucose and galactose. In this study, we analyzed</w:t>
      </w:r>
      <w:r>
        <w:t xml:space="preserve"> </w:t>
      </w:r>
      <w:r>
        <w:t>S. cerevisiae</w:t>
      </w:r>
      <w:r>
        <w:t xml:space="preserve"> </w:t>
      </w:r>
      <w:r>
        <w:t>strains isolated from an unexplored and remote niche: traditional goat fermented milk produced by the Yaghnob people, an ethnically and geographically partly isolated population living in the Upper Zarafshan area of the Republic of Tajikistan. Comparative analyses with published</w:t>
      </w:r>
      <w:r>
        <w:t xml:space="preserve"> </w:t>
      </w:r>
      <w:r>
        <w:t>S. cerevisiae</w:t>
      </w:r>
      <w:r>
        <w:t xml:space="preserve"> </w:t>
      </w:r>
      <w:r>
        <w:t>genomes positioned the Yaghnob strains at the base of the phylogenetic dairy clade. These strains revealed distinctive coding sequences and strain-specific single-nucleotide variants present in all Yaghnob strains but absent from the other 1,053 strains analyzed. Further investigation of variants in key genes involved in galactose metabolism provided insights into the genomic and protein-level evolution of Yaghnob strains, uncovering unique genomic signatures of adaptation to the dairy environment.</w:t>
      </w:r>
    </w:p>
    <w:p>
      <w:pPr>
        <w:spacing w:before="120" w:after="120"/>
      </w:pPr>
      <w:r>
        <w:rPr>
          <w:sz w:val="18"/>
        </w:rPr>
        <w:t>——————————————————————————————————————————————————————————————————————</w:t>
      </w:r>
    </w:p>
    <w:p>
      <w:pPr>
        <w:spacing w:before="160" w:after="40" w:line="240" w:lineRule="auto"/>
      </w:pPr>
      <w:r>
        <w:rPr>
          <w:b/>
        </w:rPr>
        <w:t xml:space="preserve">[306] </w:t>
      </w:r>
      <w:hyperlink r:id="rId1165">
        <w:r>
          <w:rPr>
            <w:color w:val="1155CC"/>
            <w:u w:val="single"/>
          </w:rPr>
          <w:t>自私和合作团体中的多眼和哨兵</w:t>
        </w:r>
      </w:hyperlink>
    </w:p>
    <w:p>
      <w:pPr>
        <w:spacing w:before="0" w:after="80"/>
      </w:pPr>
      <w:r>
        <w:rPr>
          <w:i/>
          <w:sz w:val="20"/>
        </w:rPr>
        <w:t>EN: Many-eyes and sentinels in selfish and cooperative groups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66">
        <w:r>
          <w:rPr>
            <w:color w:val="1155CC"/>
            <w:u w:val="single"/>
          </w:rPr>
          <w:t>10.1073/pnas.2536017123</w:t>
        </w:r>
      </w:hyperlink>
    </w:p>
    <w:p>
      <w:pPr>
        <w:spacing w:before="0" w:after="120"/>
      </w:pPr>
      <w:r>
        <w:rPr>
          <w:b/>
        </w:rPr>
        <w:t xml:space="preserve">Notes: </w:t>
      </w:r>
      <w:r>
        <w:t>abstract_source=crossref</w:t>
      </w:r>
    </w:p>
    <w:p>
      <w:pPr>
        <w:spacing w:before="0" w:after="80" w:lineRule="auto" w:line="276"/>
      </w:pPr>
      <w:r>
        <w:rPr>
          <w:b/>
        </w:rPr>
        <w:t xml:space="preserve">摘要（ZH）: </w:t>
      </w:r>
      <w:r>
        <w:t>集体警惕性描述了群体中的动物如何从其他动物的捕食者检测中受益。经验观察通常发现，要么是多眼策略，所有（或许多）群体成员保持低水平的个人警惕性，要么是哨兵策略，其中一个（或少数）个人保持高水平的个人警惕性，而其他人则不然。通过做出最少假设的分析处理，我们表明这两种策略是平衡捕食和警惕成本的同一适应性问题的替代解决方案。首选哪种策略取决于成本如何随着个人警惕性水平的变化而变化：如果警惕性成本在低水平时缓慢上升，但在较高水平时变得更加陡峭（凸；例如，开放区域），则首选多眼策略；当警惕成本在低水平急剧上升然后趋于平缓（凹面；例如，具有有利位置的环境）时，首选哨兵策略。无论个体是自私地优化自己的适应性，还是合作地优化群体适应性，都会出现同样的二分法。该模型被扩展以解释策略之间的离散行为切换、不同程度的警惕性（例如边缘效应）和轮流。</w:t>
      </w:r>
    </w:p>
    <w:p>
      <w:pPr>
        <w:spacing w:before="0" w:after="200" w:lineRule="auto" w:line="276"/>
      </w:pPr>
      <w:r>
        <w:rPr>
          <w:b/>
        </w:rPr>
        <w:t xml:space="preserve">Abstract (EN): </w:t>
      </w:r>
      <w:r>
        <w:t>Collective vigilance describes how animals in groups benefit from the predator detection efforts of others. Empirical observations typically find either a many-eyes strategy with all (or many) group members maintaining a low level of individual vigilance, or a sentinel strategy with one (or a few) individuals maintaining a high level of individual vigilance while others do not. With an analytical treatment that makes minimal assumptions, we show that these two strategies are alternative solutions to the same adaptive problem of balancing the costs of predation and vigilance. Which strategy is preferred depends on how costs scale with the level of individual vigilance: Many-eyes strategies are preferred where costs of vigilance rise gently at low levels but become steeper at higher levels (convex; e.g., an open field); sentinel strategies are preferred where costs of vigilance rise steeply at low levels and then flatten out (concave; e.g., environments with vantage points). This same dichotomy emerges whether individuals act selfishly to optimize their own fitness or cooperatively to optimize group fitness. The model is extended to explain discrete behavioral switching between strategies, differential levels of vigilance such as edge effects, and turn-taking.</w:t>
      </w:r>
    </w:p>
    <w:p>
      <w:pPr>
        <w:spacing w:before="120" w:after="120"/>
      </w:pPr>
      <w:r>
        <w:rPr>
          <w:sz w:val="18"/>
        </w:rPr>
        <w:t>——————————————————————————————————————————————————————————————————————</w:t>
      </w:r>
    </w:p>
    <w:p>
      <w:pPr>
        <w:spacing w:before="160" w:after="40" w:line="240" w:lineRule="auto"/>
      </w:pPr>
      <w:r>
        <w:rPr>
          <w:b/>
        </w:rPr>
        <w:t xml:space="preserve">[307] </w:t>
      </w:r>
      <w:hyperlink r:id="rId1167">
        <w:r>
          <w:rPr>
            <w:color w:val="1155CC"/>
            <w:u w:val="single"/>
          </w:rPr>
          <w:t>香烟和电子烟的非法市场</w:t>
        </w:r>
      </w:hyperlink>
    </w:p>
    <w:p>
      <w:pPr>
        <w:spacing w:before="0" w:after="80"/>
      </w:pPr>
      <w:r>
        <w:rPr>
          <w:i/>
          <w:sz w:val="20"/>
        </w:rPr>
        <w:t>EN: Illegal markets for cigarettes and e-cigarettes</w:t>
      </w:r>
    </w:p>
    <w:p>
      <w:pPr>
        <w:spacing w:before="0" w:after="120"/>
      </w:pPr>
      <w:r>
        <w:rPr>
          <w:b/>
        </w:rPr>
        <w:t xml:space="preserve">Source: </w:t>
      </w:r>
      <w:r>
        <w:t>Proceedings of the National Academy of Sciences: Keyword search for query</w:t>
      </w:r>
      <w:r>
        <w:t xml:space="preserve">    </w:t>
      </w:r>
      <w:r>
        <w:rPr>
          <w:b/>
        </w:rPr>
        <w:t xml:space="preserve">Pub date: </w:t>
      </w:r>
      <w:r>
        <w:t>2026-08-10 07:00:00+00:00</w:t>
      </w:r>
      <w:r>
        <w:t xml:space="preserve">    </w:t>
      </w:r>
      <w:r>
        <w:rPr>
          <w:b/>
        </w:rPr>
        <w:t xml:space="preserve">DOI: </w:t>
      </w:r>
      <w:hyperlink r:id="rId1168">
        <w:r>
          <w:rPr>
            <w:color w:val="1155CC"/>
            <w:u w:val="single"/>
          </w:rPr>
          <w:t>10.1073/pnas.2512084122</w:t>
        </w:r>
      </w:hyperlink>
    </w:p>
    <w:p>
      <w:pPr>
        <w:spacing w:before="0" w:after="120"/>
      </w:pPr>
      <w:r>
        <w:rPr>
          <w:b/>
        </w:rPr>
        <w:t xml:space="preserve">Notes: </w:t>
      </w:r>
      <w:r>
        <w:t>abstract_source=crossref</w:t>
      </w:r>
    </w:p>
    <w:p>
      <w:pPr>
        <w:spacing w:before="0" w:after="80" w:lineRule="auto" w:line="276"/>
      </w:pPr>
      <w:r>
        <w:rPr>
          <w:b/>
        </w:rPr>
        <w:t xml:space="preserve">摘要（ZH）: </w:t>
      </w:r>
      <w:r>
        <w:t>本文讨论了长期存在的非法卷烟市场和最近出现的电子烟非法市场。我们确定了三个独特的市场基本原理，有助于解释非法市场的许多特征。首先，与一些非法商品相比，许多国家除了非法市场之外，还拥有相当大的卷烟和电子烟合法市场。 2024 年，烟草产品创造了近 1 万亿美元的收入；电子烟创造了 260 亿美元的收入。据估计，非法市场约占全球卷烟消费量的 10%。其次，非法市场的出现是为了逃避高额消费税，这些税会提高价格，并逃避限制合法产品所需功能的法规。税收和法规已被采纳为公共卫生措施，旨在减少烟草消费；然而，这些政策也推动了非法市场的形成。第三，需求侧联系意味着针对合法和非法卷烟市场的税收、监管和执法政策将影响电子烟的合法和非法市场，反之亦然。市场之间的联系意味着一种产品的监管政策可能会促使消费者进入该产品的非法市场以及另一种产品的合法和非法市场。</w:t>
      </w:r>
    </w:p>
    <w:p>
      <w:pPr>
        <w:spacing w:before="0" w:after="200" w:lineRule="auto" w:line="276"/>
      </w:pPr>
      <w:r>
        <w:rPr>
          <w:b/>
        </w:rPr>
        <w:t xml:space="preserve">Abstract (EN): </w:t>
      </w:r>
      <w:r>
        <w:t>This paper discusses the long-standing illegal markets for cigarettes and the more recently emerged illegal markets for e-cigarettes. We identify three distinctive market fundamentals that help explain many features of the illegal markets. First, in contrast to some illegal goods, many countries have sizable legal markets for cigarettes and e-cigarettes alongside the illegal markets. In 2024, tobacco products generated almost $1 trillion in revenues; e-cigarettes generated $26 billion dollars. It is estimated that illegal markets account for about 10 percent of global cigarette consumption. Second, the illegal markets have arisen to evade high excise taxes that increase prices and regulations that restrict the availability of desirable features of legal products. The taxes and regulations have been adopted as public health measures with the goal of reducing tobacco consumption; however, these same policies drive the formation of illegal markets. Third, demand-side linkages mean that taxation, regulatory, and enforcement policies targeted at legal and illegal markets for cigarettes will affect legal and illegal markets for e-cigarettes, and vice versa. The connection between the markets means regulatory policy for one product can drive consumers both to the illegal market for the product and to the legal and illegal market for the other product.</w:t>
      </w:r>
    </w:p>
    <w:p>
      <w:pPr>
        <w:spacing w:before="120" w:after="120"/>
      </w:pPr>
      <w:r>
        <w:rPr>
          <w:sz w:val="18"/>
        </w:rPr>
        <w:t>——————————————————————————————————————————————————————————————————————</w:t>
      </w:r>
    </w:p>
    <w:p>
      <w:pPr>
        <w:spacing w:before="160" w:after="40" w:line="240" w:lineRule="auto"/>
      </w:pPr>
      <w:r>
        <w:rPr>
          <w:b/>
        </w:rPr>
        <w:t xml:space="preserve">[308] </w:t>
      </w:r>
      <w:hyperlink r:id="rId1169">
        <w:r>
          <w:rPr>
            <w:color w:val="1155CC"/>
            <w:u w:val="single"/>
          </w:rPr>
          <w:t>自生长导电水凝胶为心脏传导恢复建立体积生物界面</w:t>
        </w:r>
      </w:hyperlink>
    </w:p>
    <w:p>
      <w:pPr>
        <w:spacing w:before="0" w:after="80"/>
      </w:pPr>
      <w:r>
        <w:rPr>
          <w:i/>
          <w:sz w:val="20"/>
        </w:rPr>
        <w:t>EN: Self‐Growing Conductive Hydrogels Establish Volumetric Biointerfaces for Cardiac Conduction Restoration</w:t>
      </w:r>
    </w:p>
    <w:p>
      <w:pPr>
        <w:spacing w:before="0" w:after="120"/>
      </w:pPr>
      <w:r>
        <w:rPr>
          <w:b/>
        </w:rPr>
        <w:t xml:space="preserve">Source: </w:t>
      </w:r>
      <w:r>
        <w:t>Wiley: Advanced Materials: Table of Contents</w:t>
      </w:r>
      <w:r>
        <w:t xml:space="preserve">    </w:t>
      </w:r>
      <w:r>
        <w:rPr>
          <w:b/>
        </w:rPr>
        <w:t xml:space="preserve">Pub date: </w:t>
      </w:r>
      <w:r>
        <w:t>2026-08-10 08:13:27+00:00</w:t>
      </w:r>
      <w:r>
        <w:t xml:space="preserve">    </w:t>
      </w:r>
      <w:r>
        <w:rPr>
          <w:b/>
        </w:rPr>
        <w:t xml:space="preserve">DOI: </w:t>
      </w:r>
      <w:hyperlink r:id="rId1170">
        <w:r>
          <w:rPr>
            <w:color w:val="1155CC"/>
            <w:u w:val="single"/>
          </w:rPr>
          <w:t>10.1002/adma.74527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恢复梗塞心肌中的三维电传导仍然是一个严峻的挑战，因为传统的导电水凝胶贴片很大程度上保持表面限制并防止纤维化疤痕内残留心肌细胞的电耦合。在这里，我们提出了一种自生长的导电体积界面（SCOVE），它将表面限制的生物界面转变为组织集成的三维导电网络。 SCOVE 作为一种可注射水凝胶前体提供，含有组织渗透性导电单体 3,4-乙撑二氧噻吩-乙酸钠盐 (ETE)，可快速渗透梗塞心肌并进行内源性葡萄糖触发的氧化聚合，在原位自我生长导电聚 ETE 网络。所得水凝胶在 1 分钟内凝胶，达到模拟心脏电导率（∼1 S m</w:t>
      </w:r>
      <w:r>
        <w:t xml:space="preserve"> </w:t>
      </w:r>
      <w:r>
        <w:t>-</w:t>
      </w:r>
      <w:r>
        <w:rPr>
          <w:vertAlign w:val="subscript"/>
        </w:rPr>
        <w:t>1</w:t>
      </w:r>
      <w:r>
        <w:t>）在 45 分钟内，并保留天然心肌力学而不引起组织僵硬。在大鼠心肌梗死模型中，SCOVE穿透梗塞部位，与传统二维导电贴片相比，使疤痕电阻率降低2.54倍，恢复残余心肌细胞之间的电耦合，增强Cx43表达，加速脉冲传播。通过用自生长体积生物界面取代静态的表面限制导电贴片，这项工作建立了一种重建组织电生理学和推进心肌梗塞生物电子疗法的通用策略。</w:t>
      </w:r>
    </w:p>
    <w:p>
      <w:pPr>
        <w:spacing w:before="0" w:after="200" w:lineRule="auto" w:line="276"/>
      </w:pPr>
      <w:r>
        <w:rPr>
          <w:b/>
        </w:rPr>
        <w:t xml:space="preserve">Abstract (EN): </w:t>
      </w:r>
      <w:r>
        <w:t>Restoring three‐dimensional electrical conduction in infarcted myocardium remains a critical challenge, as conventional conductive hydrogel patches largely remain surface‐confined and prevent electrical coupling of residual cardiomyocytes within fibrotic scars. Here, we present a self‐growing conductive volumetric interface (SCOVE) that transforms surface‐confined biointerfaces into tissue‐integrated, three‐dimensional conductive networks. SCOVE is delivered as an injectable hydrogel precursor containing the tissue‐permeable conductive monomer 3,4‐ethylenedioxythiophene‐acetic acid sodium salt (ETE), which rapidly infiltrates infarcted myocardium and undergoes endogenous glucose‐triggered oxidative polymerization to self‐grow a conductive polyETE network in situ. The resulting hydrogel gels within 1 min, reaches cardiac‐mimetic conductivity (∼1 S m</w:t>
      </w:r>
      <w:r>
        <w:t xml:space="preserve"> </w:t>
      </w:r>
      <w:r>
        <w:t>−</w:t>
      </w:r>
      <w:r>
        <w:rPr>
          <w:vertAlign w:val="subscript"/>
        </w:rPr>
        <w:t>1</w:t>
      </w:r>
      <w:r>
        <w:t>) within 45 min, and preserves native myocardial mechanics without inducing tissue stiffening. In a rat myocardial infarction model, SCOVE penetrates the infarct, reduces scar resistivity by 2.54‐fold compared with conventional 2D conductive patches, restores electrical coupling among residual cardiomyocytes, enhances Cx43 expression, and accelerates impulse propagation. By replacing static, surface‐confined conductive patches with self‐growing volumetric biointerfaces, this work establishes a generalizable strategy for reconstructing tissue electrophysiology and advancing bioelectronic therapies for myocardial infarction and other electrically dysfunctional tissues.</w:t>
      </w:r>
    </w:p>
    <w:p>
      <w:pPr>
        <w:spacing w:before="120" w:after="120"/>
      </w:pPr>
      <w:r>
        <w:rPr>
          <w:sz w:val="18"/>
        </w:rPr>
        <w:t>——————————————————————————————————————————————————————————————————————</w:t>
      </w:r>
    </w:p>
    <w:p>
      <w:pPr>
        <w:spacing w:before="160" w:after="40" w:line="240" w:lineRule="auto"/>
      </w:pPr>
      <w:r>
        <w:rPr>
          <w:b/>
        </w:rPr>
        <w:t xml:space="preserve">[309] </w:t>
      </w:r>
      <w:hyperlink r:id="rId1171">
        <w:r>
          <w:rPr>
            <w:color w:val="1155CC"/>
            <w:u w:val="single"/>
          </w:rPr>
          <w:t>范德华层状拓扑绝缘体中本征缺陷引起的奇异极化波</w:t>
        </w:r>
      </w:hyperlink>
    </w:p>
    <w:p>
      <w:pPr>
        <w:spacing w:before="0" w:after="80"/>
      </w:pPr>
      <w:r>
        <w:rPr>
          <w:i/>
          <w:sz w:val="20"/>
        </w:rPr>
        <w:t>EN: Intrinsic Defect‐Induced Exotic Polarization Waves in Van der Waals Layered Topological Insulators</w:t>
      </w:r>
    </w:p>
    <w:p>
      <w:pPr>
        <w:spacing w:before="0" w:after="120"/>
      </w:pPr>
      <w:r>
        <w:rPr>
          <w:b/>
        </w:rPr>
        <w:t xml:space="preserve">Source: </w:t>
      </w:r>
      <w:r>
        <w:t>Wiley: Advanced Materials: Table of Contents</w:t>
      </w:r>
      <w:r>
        <w:t xml:space="preserve">    </w:t>
      </w:r>
      <w:r>
        <w:rPr>
          <w:b/>
        </w:rPr>
        <w:t xml:space="preserve">Pub date: </w:t>
      </w:r>
      <w:r>
        <w:t>2026-08-10 08:20:12+00:00</w:t>
      </w:r>
      <w:r>
        <w:t xml:space="preserve">    </w:t>
      </w:r>
      <w:r>
        <w:rPr>
          <w:b/>
        </w:rPr>
        <w:t xml:space="preserve">DOI: </w:t>
      </w:r>
      <w:hyperlink r:id="rId1172">
        <w:r>
          <w:rPr>
            <w:color w:val="1155CC"/>
            <w:u w:val="single"/>
          </w:rPr>
          <w:t>10.1002/adma.74576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材料中的反演对称性破缺工程，例如通过层间扭转角控制，由于其对基础研究和技术进步格局的转变，开启了“二维时代”。典型的范式包括非线性光学响应、拓扑极涡、超导等。同时，固有结构缺陷引起的反演对称性破缺也可以作为创造新兴物理现象的杠杆。在这里，我们报告了在碲化铋 (Bi</w:t>
      </w:r>
      <w:r>
        <w:rPr>
          <w:vertAlign w:val="subscript"/>
        </w:rPr>
        <w:t>2</w:t>
      </w:r>
      <w:r>
        <w:t>）</w:t>
      </w:r>
      <w:r>
        <w:t xml:space="preserve"> </w:t>
      </w:r>
      <w:r>
        <w:t>米</w:t>
      </w:r>
      <w:r>
        <w:t xml:space="preserve"> </w:t>
      </w:r>
      <w:r>
        <w:t>（毕</w:t>
      </w:r>
      <w:r>
        <w:rPr>
          <w:vertAlign w:val="subscript"/>
        </w:rPr>
        <w:t>2</w:t>
      </w:r>
      <w:r>
        <w:t>碲</w:t>
      </w:r>
      <w:r>
        <w:rPr>
          <w:vertAlign w:val="subscript"/>
        </w:rPr>
        <w:t>3</w:t>
      </w:r>
      <w:r>
        <w:t>）</w:t>
      </w:r>
      <w:r>
        <w:t xml:space="preserve"> </w:t>
      </w:r>
      <w:r>
        <w:t>n</w:t>
      </w:r>
      <w:r>
        <w:t xml:space="preserve"> </w:t>
      </w:r>
      <w:r>
        <w:t>使用原子分辨率扫描透射电子显微镜制备拓扑绝缘体薄膜。尽管由随机反位缺陷驱动的范德华 (vdW) 键合较弱，但沿 Bi 中 vdW 界面的法线方向观察到准摆线极化顺序。</w:t>
      </w:r>
      <w:r>
        <w:rPr>
          <w:vertAlign w:val="subscript"/>
        </w:rPr>
        <w:t>2</w:t>
      </w:r>
      <w:r>
        <w:t>碲</w:t>
      </w:r>
      <w:r>
        <w:rPr>
          <w:vertAlign w:val="subscript"/>
        </w:rPr>
        <w:t>3</w:t>
      </w:r>
      <w:r>
        <w:t>阶段。由于金属 Bi-Bi 双层通过常规 Te 被 Bi-Te 双层取代</w:t>
      </w:r>
      <w:r>
        <w:t xml:space="preserve"> </w:t>
      </w:r>
      <w:r>
        <w:t>毕</w:t>
      </w:r>
      <w:r>
        <w:t xml:space="preserve"> </w:t>
      </w:r>
      <w:r>
        <w:t>反位缺陷，在 Bi 的七层 (SL) 处观察到双曲偏振波</w:t>
      </w:r>
      <w:r>
        <w:rPr>
          <w:vertAlign w:val="subscript"/>
        </w:rPr>
        <w:t>8</w:t>
      </w:r>
      <w:r>
        <w:t>碲</w:t>
      </w:r>
      <w:r>
        <w:rPr>
          <w:vertAlign w:val="subscript"/>
        </w:rPr>
        <w:t>9</w:t>
      </w:r>
      <w:r>
        <w:t>阶段。我们的第一性原理计算表明，面部共享</w:t>
      </w:r>
    </w:p>
    <w:p>
      <w:pPr>
        <w:spacing w:before="0" w:after="200" w:lineRule="auto" w:line="276"/>
      </w:pPr>
      <w:r>
        <w:rPr>
          <w:b/>
        </w:rPr>
        <w:t xml:space="preserve">Abstract (EN): </w:t>
      </w:r>
      <w:r>
        <w:t>The engineering of inversion symmetry breaking in 2D materials, for example via interlayer twist‐angle control, has initiated the ‘2D age’ due to its transformation on the landscape of fundamental research and technological advances. The typical paradigms include nonlinear optical response, topological polar vortices, superconductivity, etc. In parallel, intrinsic structural defects induced inversion symmetry breaking also serves as a lever to create emerging physical phenomena. Here, we report on discovery of antisite defects induced exotic polarization waves in bismuth telluride (Bi</w:t>
      </w:r>
      <w:r>
        <w:rPr>
          <w:vertAlign w:val="subscript"/>
        </w:rPr>
        <w:t>2</w:t>
      </w:r>
      <w:r>
        <w:t>)</w:t>
      </w:r>
      <w:r>
        <w:t xml:space="preserve"> </w:t>
      </w:r>
      <w:r>
        <w:t>m</w:t>
      </w:r>
      <w:r>
        <w:t xml:space="preserve"> </w:t>
      </w:r>
      <w:r>
        <w:t>(Bi</w:t>
      </w:r>
      <w:r>
        <w:rPr>
          <w:vertAlign w:val="subscript"/>
        </w:rPr>
        <w:t>2</w:t>
      </w:r>
      <w:r>
        <w:t>Te</w:t>
      </w:r>
      <w:r>
        <w:rPr>
          <w:vertAlign w:val="subscript"/>
        </w:rPr>
        <w:t>3</w:t>
      </w:r>
      <w:r>
        <w:t>)</w:t>
      </w:r>
      <w:r>
        <w:t xml:space="preserve"> </w:t>
      </w:r>
      <w:r>
        <w:t>n</w:t>
      </w:r>
      <w:r>
        <w:t xml:space="preserve"> </w:t>
      </w:r>
      <w:r>
        <w:t>topological insulator thin films by using atomic‐resolution scanning transmission electron microscopy. Despite weak van der Waals (vdW) bonding, driven by stochastic antisite defects, a quasi‐cycloidal polarization order is observed along normal direction of the vdW interface in Bi</w:t>
      </w:r>
      <w:r>
        <w:rPr>
          <w:vertAlign w:val="subscript"/>
        </w:rPr>
        <w:t>2</w:t>
      </w:r>
      <w:r>
        <w:t>Te</w:t>
      </w:r>
      <w:r>
        <w:rPr>
          <w:vertAlign w:val="subscript"/>
        </w:rPr>
        <w:t>3</w:t>
      </w:r>
      <w:r>
        <w:t>phase. As metallic Bi‐Bi bilayer is replaced by Bi‐Te bilayer via regular Te</w:t>
      </w:r>
      <w:r>
        <w:t xml:space="preserve"> </w:t>
      </w:r>
      <w:r>
        <w:t>Bi</w:t>
      </w:r>
      <w:r>
        <w:t xml:space="preserve"> </w:t>
      </w:r>
      <w:r>
        <w:t>antisite defect, hyperbolic polarization waves are observed at septuple layers (SLs) of the Bi</w:t>
      </w:r>
      <w:r>
        <w:rPr>
          <w:vertAlign w:val="subscript"/>
        </w:rPr>
        <w:t>8</w:t>
      </w:r>
      <w:r>
        <w:t>Te</w:t>
      </w:r>
      <w:r>
        <w:rPr>
          <w:vertAlign w:val="subscript"/>
        </w:rPr>
        <w:t>9</w:t>
      </w:r>
      <w:r>
        <w:t>phase. Our first‐principles calculations reveal that the face‐shared unusual packing of acentric octahedral units and insufficient carrier screening are responsible for the polar metal states. Our findings provide a new degree of freedom to manipulate the physical properties of topological insulators (TIs) and their future device application.</w:t>
      </w:r>
    </w:p>
    <w:p>
      <w:pPr>
        <w:spacing w:before="120" w:after="120"/>
      </w:pPr>
      <w:r>
        <w:rPr>
          <w:sz w:val="18"/>
        </w:rPr>
        <w:t>——————————————————————————————————————————————————————————————————————</w:t>
      </w:r>
    </w:p>
    <w:p>
      <w:pPr>
        <w:spacing w:before="160" w:after="40" w:line="240" w:lineRule="auto"/>
      </w:pPr>
      <w:r>
        <w:rPr>
          <w:b/>
        </w:rPr>
        <w:t xml:space="preserve">[310] </w:t>
      </w:r>
      <w:hyperlink r:id="rId1173">
        <w:r>
          <w:rPr>
            <w:color w:val="1155CC"/>
            <w:u w:val="single"/>
          </w:rPr>
          <w:t>Nab 实验硅探测器中低能电离信号的表征</w:t>
        </w:r>
      </w:hyperlink>
    </w:p>
    <w:p>
      <w:pPr>
        <w:spacing w:before="0" w:after="80"/>
      </w:pPr>
      <w:r>
        <w:rPr>
          <w:i/>
          <w:sz w:val="20"/>
        </w:rPr>
        <w:t>EN: Characterization of low-energy ionization signals in silicon detectors for the Nab experiment</w:t>
      </w:r>
    </w:p>
    <w:p>
      <w:pPr>
        <w:spacing w:before="0" w:after="120"/>
      </w:pPr>
      <w:r>
        <w:rPr>
          <w:b/>
        </w:rPr>
        <w:t xml:space="preserve">Source: </w:t>
      </w:r>
      <w:r>
        <w:t>Recent Articles in Phys. Rev. C</w:t>
      </w:r>
      <w:r>
        <w:t xml:space="preserve">    </w:t>
      </w:r>
      <w:r>
        <w:rPr>
          <w:b/>
        </w:rPr>
        <w:t xml:space="preserve">Pub date: </w:t>
      </w:r>
      <w:r>
        <w:t>2026-08-10 10:00:00+00:00</w:t>
      </w:r>
      <w:r>
        <w:t xml:space="preserve">    </w:t>
      </w:r>
      <w:r>
        <w:rPr>
          <w:b/>
        </w:rPr>
        <w:t xml:space="preserve">DOI: </w:t>
      </w:r>
      <w:hyperlink r:id="rId1174">
        <w:r>
          <w:rPr>
            <w:color w:val="1155CC"/>
            <w:u w:val="single"/>
          </w:rPr>
          <w:t>10.1103/lqlg-b7cx</w:t>
        </w:r>
      </w:hyperlink>
    </w:p>
    <w:p>
      <w:pPr>
        <w:spacing w:before="0" w:after="120"/>
      </w:pPr>
      <w:r>
        <w:rPr>
          <w:b/>
        </w:rPr>
        <w:t xml:space="preserve">Notes: </w:t>
      </w:r>
      <w:r>
        <w:t>abstract_source=rss_description</w:t>
      </w:r>
    </w:p>
    <w:p>
      <w:pPr>
        <w:spacing w:before="0" w:after="80" w:lineRule="auto" w:line="276"/>
      </w:pPr>
      <w:r>
        <w:rPr>
          <w:b/>
        </w:rPr>
        <w:t xml:space="preserve">摘要（ZH）: </w:t>
      </w:r>
      <w:r>
        <w:t>作者：R. J. Taylor、August Mendelsohn、Arlee Shelby、William C. McCray、Jin Ha Choi、Nicholas Macsai、Grant Riley、Erick Smith、Stefan Baeßler、Leah J. Broussard、Christopher B. Crawford、Michael Gericke、Francisco M. Gonzalez、David Harrison、Leendert Hayen、Mark Makela、Russell Mammei、David G. Mathews、Dinko Poc̆anić、Glenn Randall、Americo Salas-Bacci、W. Scott Wilburn 和 A. R. Young Nab（中子 a b）实验旨在测量自由中子 $β$ 衰变中的 β-反中微子角相关性，最终精度目标为 0.1%，为 Cabibbo-Kobayashi-Maskawa 矩阵幺正性检验提供输入。这种测量是通过检测电子和 p 来进行的……[Phys。 Rev. C 114, 025501] 于 2026 年 8 月 10 日星期一发布</w:t>
      </w:r>
    </w:p>
    <w:p>
      <w:pPr>
        <w:spacing w:before="0" w:after="200" w:lineRule="auto" w:line="276"/>
      </w:pPr>
      <w:r>
        <w:rPr>
          <w:b/>
        </w:rPr>
        <w:t xml:space="preserve">Abstract (EN): </w:t>
      </w:r>
      <w:r>
        <w:t>Author(s): R. J. Taylor, August Mendelsohn, Arlee Shelby, William C. McCray, Jin Ha Choi, Nicholas Macsai, Grant Riley, Erick Smith, Stefan Baeßler, Leah J. Broussard, Christopher B. Crawford, Michael Gericke, Francisco M. Gonzalez, David Harrison, Leendert Hayen, Mark Makela, Russell Mammei, David G. Mathews, Dinko Poc̆anić, Glenn Randall, Americo Salas-Bacci, W. Scott Wilburn, and A. R. YoungThe Nab (Neutron a b) experiment is designed to measure the beta-antineutrino angular correlation in free neutron $β$ decay with an ultimate precision goal of 0.1%, providing input for tests of Cabibbo-Kobayashi-Maskawa matrix unitarity. This measurement is performed via detection of electrons and p…[Phys. Rev. C 114, 025501] Published Mon Aug 10, 2026</w:t>
      </w:r>
    </w:p>
    <w:p>
      <w:pPr>
        <w:spacing w:before="120" w:after="120"/>
      </w:pPr>
      <w:r>
        <w:rPr>
          <w:sz w:val="18"/>
        </w:rPr>
        <w:t>——————————————————————————————————————————————————————————————————————</w:t>
      </w:r>
    </w:p>
    <w:p>
      <w:pPr>
        <w:spacing w:before="160" w:after="40" w:line="240" w:lineRule="auto"/>
      </w:pPr>
      <w:r>
        <w:rPr>
          <w:b/>
        </w:rPr>
        <w:t xml:space="preserve">[311] </w:t>
      </w:r>
      <w:hyperlink r:id="rId1175">
        <w:r>
          <w:rPr>
            <w:color w:val="1155CC"/>
            <w:u w:val="single"/>
          </w:rPr>
          <w:t>质子断层扫描激光-固体相互作用中自生磁场的结构</w:t>
        </w:r>
      </w:hyperlink>
    </w:p>
    <w:p>
      <w:pPr>
        <w:spacing w:before="0" w:after="80"/>
      </w:pPr>
      <w:r>
        <w:rPr>
          <w:i/>
          <w:sz w:val="20"/>
        </w:rPr>
        <w:t>EN: Structure of Self-Generated Magnetic Fields in Laser-Solid Interaction from Proton Tomography</w:t>
      </w:r>
    </w:p>
    <w:p>
      <w:pPr>
        <w:spacing w:before="0" w:after="120"/>
      </w:pPr>
      <w:r>
        <w:rPr>
          <w:b/>
        </w:rPr>
        <w:t xml:space="preserve">Source: </w:t>
      </w:r>
      <w:r>
        <w:t>Recent Articles in Phys. Rev. Lett.</w:t>
      </w:r>
      <w:r>
        <w:t xml:space="preserve">    </w:t>
      </w:r>
      <w:r>
        <w:rPr>
          <w:b/>
        </w:rPr>
        <w:t xml:space="preserve">Pub date: </w:t>
      </w:r>
      <w:r>
        <w:t>2026-08-10 10:00:00+00:00</w:t>
      </w:r>
      <w:r>
        <w:t xml:space="preserve">    </w:t>
      </w:r>
      <w:r>
        <w:rPr>
          <w:b/>
        </w:rPr>
        <w:t xml:space="preserve">DOI: </w:t>
      </w:r>
      <w:hyperlink r:id="rId1176">
        <w:r>
          <w:rPr>
            <w:color w:val="1155CC"/>
            <w:u w:val="single"/>
          </w:rPr>
          <w:t>10.1103/vh46-3rsh</w:t>
        </w:r>
      </w:hyperlink>
    </w:p>
    <w:p>
      <w:pPr>
        <w:spacing w:before="0" w:after="120"/>
      </w:pPr>
      <w:r>
        <w:rPr>
          <w:b/>
        </w:rPr>
        <w:t xml:space="preserve">Notes: </w:t>
      </w:r>
      <w:r>
        <w:t>abstract_source=rss_description</w:t>
      </w:r>
    </w:p>
    <w:p>
      <w:pPr>
        <w:spacing w:before="0" w:after="80" w:lineRule="auto" w:line="276"/>
      </w:pPr>
      <w:r>
        <w:rPr>
          <w:b/>
        </w:rPr>
        <w:t xml:space="preserve">摘要（ZH）: </w:t>
      </w:r>
      <w:r>
        <w:t>作者：J. Griff-McMahon、C. A. Walsh、V. Valenzuela-Villaseca、S. Malko、B. McCluskey、K. Lezhnin、H. Landsberger、L. Berzak Hopkins、G. Fiksel、M. J. Rosenberg、D. B. Schaeffer 和 W. Fox 对激光-固体相互作用中自生成的磁场进行了实验表征，以揭示 3D 位置和使用多视图质子射线照相和断层扫描反演来计算局部场强，而不是路径积分量。我们推断磁场延伸几毫米……[物理。莱特牧师。 137, 075101] 2026 年 8 月 10 日星期一发布</w:t>
      </w:r>
    </w:p>
    <w:p>
      <w:pPr>
        <w:spacing w:before="0" w:after="200" w:lineRule="auto" w:line="276"/>
      </w:pPr>
      <w:r>
        <w:rPr>
          <w:b/>
        </w:rPr>
        <w:t xml:space="preserve">Abstract (EN): </w:t>
      </w:r>
      <w:r>
        <w:t>Author(s): J. Griff-McMahon, C. A. Walsh, V. Valenzuela-Villaseca, S. Malko, B. McCluskey, K. Lezhnin, H. Landsberger, L. Berzak Hopkins, G. Fiksel, M. J. Rosenberg, D. B. Schaeffer, and W. FoxSelf-generated magnetic fields in laser-solid interactions are experimentally characterized to reveal the 3D location and local field strength, rather than path-integrated quantities, using multiview proton radiography and tomographic inversion. We infer magnetic fields that extend several millimete…[Phys. Rev. Lett. 137, 075101] Published Mon Aug 10, 2026</w:t>
      </w:r>
    </w:p>
    <w:p>
      <w:pPr>
        <w:spacing w:before="120" w:after="120"/>
      </w:pPr>
      <w:r>
        <w:rPr>
          <w:sz w:val="18"/>
        </w:rPr>
        <w:t>——————————————————————————————————————————————————————————————————————</w:t>
      </w:r>
    </w:p>
    <w:p>
      <w:pPr>
        <w:spacing w:before="160" w:after="40" w:line="240" w:lineRule="auto"/>
      </w:pPr>
      <w:r>
        <w:rPr>
          <w:b/>
        </w:rPr>
        <w:t xml:space="preserve">[312] </w:t>
      </w:r>
      <w:hyperlink r:id="rId1177">
        <w:r>
          <w:rPr>
            <w:color w:val="1155CC"/>
            <w:u w:val="single"/>
          </w:rPr>
          <w:t>可能的$α$-超重核的衰变链$^{293,294,296,298}119$</w:t>
        </w:r>
      </w:hyperlink>
    </w:p>
    <w:p>
      <w:pPr>
        <w:spacing w:before="0" w:after="80"/>
      </w:pPr>
      <w:r>
        <w:rPr>
          <w:i/>
          <w:sz w:val="20"/>
        </w:rPr>
        <w:t>EN: Possible $α$-decay chains of superheavy nuclei $^{293,294,296,298}119$</w:t>
      </w:r>
    </w:p>
    <w:p>
      <w:pPr>
        <w:spacing w:before="0" w:after="120"/>
      </w:pPr>
      <w:r>
        <w:rPr>
          <w:b/>
        </w:rPr>
        <w:t xml:space="preserve">Source: </w:t>
      </w:r>
      <w:r>
        <w:t>Recent Articles in Phys. Rev. C</w:t>
      </w:r>
      <w:r>
        <w:t xml:space="preserve">    </w:t>
      </w:r>
      <w:r>
        <w:rPr>
          <w:b/>
        </w:rPr>
        <w:t xml:space="preserve">Pub date: </w:t>
      </w:r>
      <w:r>
        <w:t>2026-08-10 10:00:00+00:00</w:t>
      </w:r>
      <w:r>
        <w:t xml:space="preserve">    </w:t>
      </w:r>
      <w:r>
        <w:rPr>
          <w:b/>
        </w:rPr>
        <w:t xml:space="preserve">DOI: </w:t>
      </w:r>
      <w:hyperlink r:id="rId1178">
        <w:r>
          <w:rPr>
            <w:color w:val="1155CC"/>
            <w:u w:val="single"/>
          </w:rPr>
          <w:t>10.1103/7g19-974w</w:t>
        </w:r>
      </w:hyperlink>
    </w:p>
    <w:p>
      <w:pPr>
        <w:spacing w:before="0" w:after="120"/>
      </w:pPr>
      <w:r>
        <w:rPr>
          <w:b/>
        </w:rPr>
        <w:t xml:space="preserve">Notes: </w:t>
      </w:r>
      <w:r>
        <w:t>abstract_source=rss_description</w:t>
      </w:r>
    </w:p>
    <w:p>
      <w:pPr>
        <w:spacing w:before="0" w:after="80" w:lineRule="auto" w:line="276"/>
      </w:pPr>
      <w:r>
        <w:rPr>
          <w:b/>
        </w:rPr>
        <w:t xml:space="preserve">摘要（ZH）: </w:t>
      </w:r>
      <w:r>
        <w:t>作者：A. N. Bezbakh、G. G. Adamian 和 N. V. Antonenko 在二中心壳层模型中分别计算了超重核 $^{293}119$ 和 $^{294,296,298}119$ 中的一准粒子和二准粒子光谱。分析了这 119 个原子核可能的 $α$ 衰变链。考虑异构态在 $α$ 衰变光谱中的作用。计算出的……[物理。 Rev. C 114, 024316] 2026 年 8 月 10 日星期一发布</w:t>
      </w:r>
    </w:p>
    <w:p>
      <w:pPr>
        <w:spacing w:before="0" w:after="200" w:lineRule="auto" w:line="276"/>
      </w:pPr>
      <w:r>
        <w:rPr>
          <w:b/>
        </w:rPr>
        <w:t xml:space="preserve">Abstract (EN): </w:t>
      </w:r>
      <w:r>
        <w:t>Author(s): A. N. Bezbakh, G. G. Adamian, and N. V. AntonenkoOne- and two-quasiparticle spectra are calculated in superheavy nuclei $^{293}119$ and $^{294,296,298}119$, respectively, within the two-center shell model. Possible $α$-decay chains of those 119 nuclei are analyzed. The role of isomeric states in the $α$-decay spectra is considered. The calculated …[Phys. Rev. C 114, 024316] Published Mon Aug 10, 2026</w:t>
      </w:r>
    </w:p>
    <w:p>
      <w:pPr>
        <w:spacing w:before="120" w:after="120"/>
      </w:pPr>
      <w:r>
        <w:rPr>
          <w:sz w:val="18"/>
        </w:rPr>
        <w:t>——————————————————————————————————————————————————————————————————————</w:t>
      </w:r>
    </w:p>
    <w:p>
      <w:pPr>
        <w:spacing w:before="160" w:after="40" w:line="240" w:lineRule="auto"/>
      </w:pPr>
      <w:r>
        <w:rPr>
          <w:b/>
        </w:rPr>
        <w:t xml:space="preserve">[313] </w:t>
      </w:r>
      <w:hyperlink r:id="rId1179">
        <w:r>
          <w:rPr>
            <w:color w:val="1155CC"/>
            <w:u w:val="single"/>
          </w:rPr>
          <w:t>结合轴对称八极变形的相对论 Hartree-Fock-Bogoliubov 理论的扩展</w:t>
        </w:r>
      </w:hyperlink>
    </w:p>
    <w:p>
      <w:pPr>
        <w:spacing w:before="0" w:after="80"/>
      </w:pPr>
      <w:r>
        <w:rPr>
          <w:i/>
          <w:sz w:val="20"/>
        </w:rPr>
        <w:t>EN: Extension of relativistic Hartree-Fock-Bogoliubov theory incorporating axially symmetric octupole deformation</w:t>
      </w:r>
    </w:p>
    <w:p>
      <w:pPr>
        <w:spacing w:before="0" w:after="120"/>
      </w:pPr>
      <w:r>
        <w:rPr>
          <w:b/>
        </w:rPr>
        <w:t xml:space="preserve">Source: </w:t>
      </w:r>
      <w:r>
        <w:t>Recent Articles in Phys. Rev. C</w:t>
      </w:r>
      <w:r>
        <w:t xml:space="preserve">    </w:t>
      </w:r>
      <w:r>
        <w:rPr>
          <w:b/>
        </w:rPr>
        <w:t xml:space="preserve">Pub date: </w:t>
      </w:r>
      <w:r>
        <w:t>2026-08-10 10:00:00+00:00</w:t>
      </w:r>
      <w:r>
        <w:t xml:space="preserve">    </w:t>
      </w:r>
      <w:r>
        <w:rPr>
          <w:b/>
        </w:rPr>
        <w:t xml:space="preserve">DOI: </w:t>
      </w:r>
      <w:hyperlink r:id="rId1180">
        <w:r>
          <w:rPr>
            <w:color w:val="1155CC"/>
            <w:u w:val="single"/>
          </w:rPr>
          <w:t>10.1103/9vfy-1c91</w:t>
        </w:r>
      </w:hyperlink>
    </w:p>
    <w:p>
      <w:pPr>
        <w:spacing w:before="0" w:after="120"/>
      </w:pPr>
      <w:r>
        <w:rPr>
          <w:b/>
        </w:rPr>
        <w:t xml:space="preserve">Notes: </w:t>
      </w:r>
      <w:r>
        <w:t>abstract_source=rss_description</w:t>
      </w:r>
    </w:p>
    <w:p>
      <w:pPr>
        <w:spacing w:before="0" w:after="80" w:lineRule="auto" w:line="276"/>
      </w:pPr>
      <w:r>
        <w:rPr>
          <w:b/>
        </w:rPr>
        <w:t xml:space="preserve">摘要（ZH）: </w:t>
      </w:r>
      <w:r>
        <w:t>作者：彭永、耿晶、龙文辉 相对论 Hartree-Fock-Bogoliubov (RHFB) 框架已扩展到包含轴对称八极变形，从而发展了 O-RHFB 模型。该模型用于分析 $^{228}\mathrm{Th}$ 中八极变形的开始和质子滴线坦...[Phys. Rev. C 114, 024318] 2026 年 8 月 10 日星期一发布</w:t>
      </w:r>
    </w:p>
    <w:p>
      <w:pPr>
        <w:spacing w:before="0" w:after="200" w:lineRule="auto" w:line="276"/>
      </w:pPr>
      <w:r>
        <w:rPr>
          <w:b/>
        </w:rPr>
        <w:t xml:space="preserve">Abstract (EN): </w:t>
      </w:r>
      <w:r>
        <w:t>Author(s): Yong Peng (彭永), Jing Geng (耿晶), and Wen Hui Long (龙文辉)The relativistic Hartree-Fock-Bogoliubov (RHFB) framework has been extended to incorporate axially symmetric octupole deformation, leading to the development of the O-RHFB model. This model is applied to analyze the onset of octupole deformation in $^{228}\mathrm{Th}$ and the proton-drip-line candid…[Phys. Rev. C 114, 024318] Published Mon Aug 10, 2026</w:t>
      </w:r>
    </w:p>
    <w:p>
      <w:pPr>
        <w:spacing w:before="120" w:after="120"/>
      </w:pPr>
      <w:r>
        <w:rPr>
          <w:sz w:val="18"/>
        </w:rPr>
        <w:t>——————————————————————————————————————————————————————————————————————</w:t>
      </w:r>
    </w:p>
    <w:p>
      <w:pPr>
        <w:spacing w:before="160" w:after="40" w:line="240" w:lineRule="auto"/>
      </w:pPr>
      <w:r>
        <w:rPr>
          <w:b/>
        </w:rPr>
        <w:t xml:space="preserve">[314] </w:t>
      </w:r>
      <w:hyperlink r:id="rId1181">
        <w:r>
          <w:rPr>
            <w:color w:val="1155CC"/>
            <w:u w:val="single"/>
          </w:rPr>
          <w:t>通过动态极化电位分解评估连续离散耦合通道中的连续通道重要性</w:t>
        </w:r>
      </w:hyperlink>
    </w:p>
    <w:p>
      <w:pPr>
        <w:spacing w:before="0" w:after="80"/>
      </w:pPr>
      <w:r>
        <w:rPr>
          <w:i/>
          <w:sz w:val="20"/>
        </w:rPr>
        <w:t>EN: Assessing continuum channel importance in continuum-discretized coupled-channels via dynamic polarization potential decomposition</w:t>
      </w:r>
    </w:p>
    <w:p>
      <w:pPr>
        <w:spacing w:before="0" w:after="120"/>
      </w:pPr>
      <w:r>
        <w:rPr>
          <w:b/>
        </w:rPr>
        <w:t xml:space="preserve">Source: </w:t>
      </w:r>
      <w:r>
        <w:t>Recent Articles in Phys. Rev. C</w:t>
      </w:r>
      <w:r>
        <w:t xml:space="preserve">    </w:t>
      </w:r>
      <w:r>
        <w:rPr>
          <w:b/>
        </w:rPr>
        <w:t xml:space="preserve">Pub date: </w:t>
      </w:r>
      <w:r>
        <w:t>2026-08-10 10:00:00+00:00</w:t>
      </w:r>
      <w:r>
        <w:t xml:space="preserve">    </w:t>
      </w:r>
      <w:r>
        <w:rPr>
          <w:b/>
        </w:rPr>
        <w:t xml:space="preserve">DOI: </w:t>
      </w:r>
      <w:hyperlink r:id="rId1182">
        <w:r>
          <w:rPr>
            <w:color w:val="1155CC"/>
            <w:u w:val="single"/>
          </w:rPr>
          <w:t>10.1103/ypj3-p6kw</w:t>
        </w:r>
      </w:hyperlink>
    </w:p>
    <w:p>
      <w:pPr>
        <w:spacing w:before="0" w:after="120"/>
      </w:pPr>
      <w:r>
        <w:rPr>
          <w:b/>
        </w:rPr>
        <w:t xml:space="preserve">Notes: </w:t>
      </w:r>
      <w:r>
        <w:t>abstract_source=rss_description</w:t>
      </w:r>
    </w:p>
    <w:p>
      <w:pPr>
        <w:spacing w:before="0" w:after="80" w:lineRule="auto" w:line="276"/>
      </w:pPr>
      <w:r>
        <w:rPr>
          <w:b/>
        </w:rPr>
        <w:t xml:space="preserve">摘要（ZH）: </w:t>
      </w:r>
      <w:r>
        <w:t>作者：金雷和刘浩连续介质离散耦合通道计算中反复出现的问题是哪些连续介质通道带有分解耦合，既可以解释反应，也可以决定模型空间可以安全地忽略哪些通道。标准答案是删除bin：删除一个通道，重新解决耦合e…[Phys. Rev. C 114, 024605] 于 2026 年 8 月 10 日星期一发布</w:t>
      </w:r>
    </w:p>
    <w:p>
      <w:pPr>
        <w:spacing w:before="0" w:after="200" w:lineRule="auto" w:line="276"/>
      </w:pPr>
      <w:r>
        <w:rPr>
          <w:b/>
        </w:rPr>
        <w:t xml:space="preserve">Abstract (EN): </w:t>
      </w:r>
      <w:r>
        <w:t>Author(s): Jin Lei and Hao LiuA recurring question in continuum-discretized coupled-channels calculations is which continuum channels carry the breakup coupling, both to interpret the reaction and to decide which channels a model space can safely omit. The standard answer is bin deletion: remove a channel, re-solve the coupled e…[Phys. Rev. C 114, 024605] Published Mon Aug 10, 2026</w:t>
      </w:r>
    </w:p>
    <w:p>
      <w:pPr>
        <w:spacing w:before="120" w:after="120"/>
      </w:pPr>
      <w:r>
        <w:rPr>
          <w:sz w:val="18"/>
        </w:rPr>
        <w:t>——————————————————————————————————————————————————————————————————————</w:t>
      </w:r>
    </w:p>
    <w:p>
      <w:pPr>
        <w:spacing w:before="160" w:after="40" w:line="240" w:lineRule="auto"/>
      </w:pPr>
      <w:r>
        <w:rPr>
          <w:b/>
        </w:rPr>
        <w:t xml:space="preserve">[315] </w:t>
      </w:r>
      <w:hyperlink r:id="rId1183">
        <w:r>
          <w:rPr>
            <w:color w:val="1155CC"/>
            <w:u w:val="single"/>
          </w:rPr>
          <w:t>基于扩散的重离子事件点云生成</w:t>
        </w:r>
      </w:hyperlink>
    </w:p>
    <w:p>
      <w:pPr>
        <w:spacing w:before="0" w:after="80"/>
      </w:pPr>
      <w:r>
        <w:rPr>
          <w:i/>
          <w:sz w:val="20"/>
        </w:rPr>
        <w:t>EN: Diffusion-based point-cloud generation of heavy-ion events</w:t>
      </w:r>
    </w:p>
    <w:p>
      <w:pPr>
        <w:spacing w:before="0" w:after="120"/>
      </w:pPr>
      <w:r>
        <w:rPr>
          <w:b/>
        </w:rPr>
        <w:t xml:space="preserve">Source: </w:t>
      </w:r>
      <w:r>
        <w:t>Recent Articles in Phys. Rev. C</w:t>
      </w:r>
      <w:r>
        <w:t xml:space="preserve">    </w:t>
      </w:r>
      <w:r>
        <w:rPr>
          <w:b/>
        </w:rPr>
        <w:t xml:space="preserve">Pub date: </w:t>
      </w:r>
      <w:r>
        <w:t>2026-08-10 10:00:00+00:00</w:t>
      </w:r>
      <w:r>
        <w:t xml:space="preserve">    </w:t>
      </w:r>
      <w:r>
        <w:rPr>
          <w:b/>
        </w:rPr>
        <w:t xml:space="preserve">DOI: </w:t>
      </w:r>
      <w:hyperlink r:id="rId1184">
        <w:r>
          <w:rPr>
            <w:color w:val="1155CC"/>
            <w:u w:val="single"/>
          </w:rPr>
          <w:t>10.1103/nmmz-bwcs</w:t>
        </w:r>
      </w:hyperlink>
    </w:p>
    <w:p>
      <w:pPr>
        <w:spacing w:before="0" w:after="120"/>
      </w:pPr>
      <w:r>
        <w:rPr>
          <w:b/>
        </w:rPr>
        <w:t xml:space="preserve">Notes: </w:t>
      </w:r>
      <w:r>
        <w:t>abstract_source=rss_description</w:t>
      </w:r>
    </w:p>
    <w:p>
      <w:pPr>
        <w:spacing w:before="0" w:after="80" w:lineRule="auto" w:line="276"/>
      </w:pPr>
      <w:r>
        <w:rPr>
          <w:b/>
        </w:rPr>
        <w:t xml:space="preserve">摘要（ZH）: </w:t>
      </w:r>
      <w:r>
        <w:t>作者：Rita Sadek、Vinicius Mikuni 和 Mateusz Płoskoń 重离子碰撞会产生数千到数万个粒子的最终状态，这使得它们的模拟成为高能核物理中计算量最大的任务之一。我们提出了一种基于分数驱动扩散的快速、高保真重离子事件生成模型……[​​Phys。 Rev. C 114, 024904] 2026 年 8 月 10 日星期一发布</w:t>
      </w:r>
    </w:p>
    <w:p>
      <w:pPr>
        <w:spacing w:before="0" w:after="200" w:lineRule="auto" w:line="276"/>
      </w:pPr>
      <w:r>
        <w:rPr>
          <w:b/>
        </w:rPr>
        <w:t xml:space="preserve">Abstract (EN): </w:t>
      </w:r>
      <w:r>
        <w:t>Author(s): Rita Sadek, Vinicius Mikuni, and Mateusz PłoskońHeavy-ion collisions produce final states with thousands to tens of thousands of particles, making their simulation among the most computationally intensive tasks in high-energy nuclear physics. We present a fast, high-fidelity generative model for heavy-ion events based on a score-driven diffusion …[Phys. Rev. C 114, 024904] Published Mon Aug 10, 2026</w:t>
      </w:r>
    </w:p>
    <w:p>
      <w:pPr>
        <w:spacing w:before="120" w:after="120"/>
      </w:pPr>
      <w:r>
        <w:rPr>
          <w:sz w:val="18"/>
        </w:rPr>
        <w:t>——————————————————————————————————————————————————————————————————————</w:t>
      </w:r>
    </w:p>
    <w:p>
      <w:pPr>
        <w:spacing w:before="160" w:after="40" w:line="240" w:lineRule="auto"/>
      </w:pPr>
      <w:r>
        <w:rPr>
          <w:b/>
        </w:rPr>
        <w:t xml:space="preserve">[316] </w:t>
      </w:r>
      <w:hyperlink r:id="rId1185">
        <w:r>
          <w:rPr>
            <w:color w:val="1155CC"/>
            <w:u w:val="single"/>
          </w:rPr>
          <w:t>连续体中的束缚态和波导 QED 设置中的多原子状态转移应用</w:t>
        </w:r>
      </w:hyperlink>
    </w:p>
    <w:p>
      <w:pPr>
        <w:spacing w:before="0" w:after="80"/>
      </w:pPr>
      <w:r>
        <w:rPr>
          <w:i/>
          <w:sz w:val="20"/>
        </w:rPr>
        <w:t>EN: Bound State in the Continuum and Multiple Atom State Transfer Applications in a Waveguide QED Setup</w:t>
      </w:r>
    </w:p>
    <w:p>
      <w:pPr>
        <w:spacing w:before="0" w:after="120"/>
      </w:pPr>
      <w:r>
        <w:rPr>
          <w:b/>
        </w:rPr>
        <w:t xml:space="preserve">Source: </w:t>
      </w:r>
      <w:r>
        <w:t>Recent Articles in Phys. Rev. Lett.</w:t>
      </w:r>
      <w:r>
        <w:t xml:space="preserve">    </w:t>
      </w:r>
      <w:r>
        <w:rPr>
          <w:b/>
        </w:rPr>
        <w:t xml:space="preserve">Pub date: </w:t>
      </w:r>
      <w:r>
        <w:t>2026-08-10 10:00:00+00:00</w:t>
      </w:r>
      <w:r>
        <w:t xml:space="preserve">    </w:t>
      </w:r>
      <w:r>
        <w:rPr>
          <w:b/>
        </w:rPr>
        <w:t xml:space="preserve">DOI: </w:t>
      </w:r>
      <w:hyperlink r:id="rId1186">
        <w:r>
          <w:rPr>
            <w:color w:val="1155CC"/>
            <w:u w:val="single"/>
          </w:rPr>
          <w:t>10.1103/y1rg-p9hx</w:t>
        </w:r>
      </w:hyperlink>
    </w:p>
    <w:p>
      <w:pPr>
        <w:spacing w:before="0" w:after="120"/>
      </w:pPr>
      <w:r>
        <w:rPr>
          <w:b/>
        </w:rPr>
        <w:t xml:space="preserve">Notes: </w:t>
      </w:r>
      <w:r>
        <w:t>abstract_source=rss_description</w:t>
      </w:r>
    </w:p>
    <w:p>
      <w:pPr>
        <w:spacing w:before="0" w:after="80" w:lineRule="auto" w:line="276"/>
      </w:pPr>
      <w:r>
        <w:rPr>
          <w:b/>
        </w:rPr>
        <w:t xml:space="preserve">摘要（ZH）: </w:t>
      </w:r>
      <w:r>
        <w:t>作者：XiangGuo、XiaojunZhang、MingzhuWeng、QianBin、Hao-diLiu、Hai-JunXing、Xin-YouLü和ZhihaiWang连续体中的束缚态（BIC）已被广泛用于增强超材料中的光与物质相互作用，但它们在多原子波导平台中的出现和实用性仍然很少被探索。在这里，我们研究一维耦合谐振器波中的原子波导 BIC……[物理。莱特牧师。 137, 073601] 2026 年 8 月 10 日星期一发布</w:t>
      </w:r>
    </w:p>
    <w:p>
      <w:pPr>
        <w:spacing w:before="0" w:after="200" w:lineRule="auto" w:line="276"/>
      </w:pPr>
      <w:r>
        <w:rPr>
          <w:b/>
        </w:rPr>
        <w:t xml:space="preserve">Abstract (EN): </w:t>
      </w:r>
      <w:r>
        <w:t>Author(s): Xiang Guo, Xiaojun Zhang, Mingzhu Weng, Qian Bin, Hao-di Liu, Hai-Jun Xing, Xin-You Lü, and Zhihai WangBound states in the continuum (BICs) have been extensively exploited to enhance light-matter interactions in metamaterials, yet their emergence and utility in multiatom waveguide platforms remain far less explored. Here we study atom-waveguide-dressed BICs in a one-dimensional coupled-resonator wave…[Phys. Rev. Lett. 137, 073601] Published Mon Aug 10, 2026</w:t>
      </w:r>
    </w:p>
    <w:p>
      <w:pPr>
        <w:spacing w:before="120" w:after="120"/>
      </w:pPr>
      <w:r>
        <w:rPr>
          <w:sz w:val="18"/>
        </w:rPr>
        <w:t>——————————————————————————————————————————————————————————————————————</w:t>
      </w:r>
    </w:p>
    <w:p>
      <w:pPr>
        <w:spacing w:before="160" w:after="40" w:line="240" w:lineRule="auto"/>
      </w:pPr>
      <w:r>
        <w:rPr>
          <w:b/>
        </w:rPr>
        <w:t xml:space="preserve">[317] </w:t>
      </w:r>
      <w:hyperlink r:id="rId1187">
        <w:r>
          <w:rPr>
            <w:color w:val="1155CC"/>
            <w:u w:val="single"/>
          </w:rPr>
          <w:t>通过电子捕获率、电荷交换反应和核壳模型计算对 $^{71}\mathrm{Ga}$ 的低能中微子响应</w:t>
        </w:r>
      </w:hyperlink>
    </w:p>
    <w:p>
      <w:pPr>
        <w:spacing w:before="0" w:after="80"/>
      </w:pPr>
      <w:r>
        <w:rPr>
          <w:i/>
          <w:sz w:val="20"/>
        </w:rPr>
        <w:t>EN: Low-energy neutrino responses for $^{71}\mathrm{Ga}$ by electron capture rates, charge exchange reactions, and nuclear shell model calculations</w:t>
      </w:r>
    </w:p>
    <w:p>
      <w:pPr>
        <w:spacing w:before="0" w:after="120"/>
      </w:pPr>
      <w:r>
        <w:rPr>
          <w:b/>
        </w:rPr>
        <w:t xml:space="preserve">Source: </w:t>
      </w:r>
      <w:r>
        <w:t>Recent Articles in Phys. Rev. C</w:t>
      </w:r>
      <w:r>
        <w:t xml:space="preserve">    </w:t>
      </w:r>
      <w:r>
        <w:rPr>
          <w:b/>
        </w:rPr>
        <w:t xml:space="preserve">Pub date: </w:t>
      </w:r>
      <w:r>
        <w:t>2026-08-10 10:00:00+00:00</w:t>
      </w:r>
      <w:r>
        <w:t xml:space="preserve">    </w:t>
      </w:r>
      <w:r>
        <w:rPr>
          <w:b/>
        </w:rPr>
        <w:t xml:space="preserve">DOI: </w:t>
      </w:r>
      <w:hyperlink r:id="rId1188">
        <w:r>
          <w:rPr>
            <w:color w:val="1155CC"/>
            <w:u w:val="single"/>
          </w:rPr>
          <w:t>10.1103/7cw1-f5dj</w:t>
        </w:r>
      </w:hyperlink>
    </w:p>
    <w:p>
      <w:pPr>
        <w:spacing w:before="0" w:after="120"/>
      </w:pPr>
      <w:r>
        <w:rPr>
          <w:b/>
        </w:rPr>
        <w:t xml:space="preserve">Notes: </w:t>
      </w:r>
      <w:r>
        <w:t>abstract_source=rss_description</w:t>
      </w:r>
    </w:p>
    <w:p>
      <w:pPr>
        <w:spacing w:before="0" w:after="80" w:lineRule="auto" w:line="276"/>
      </w:pPr>
      <w:r>
        <w:rPr>
          <w:b/>
        </w:rPr>
        <w:t xml:space="preserve">摘要（ZH）: </w:t>
      </w:r>
      <w:r>
        <w:t>作者：Yoritaka Iwata、Hiroyasu Ejiri 和 Shahariar Sarkar $^{71}\mathrm{Ga}$ 低洼态的弱伽莫夫泰勒 (GT) 响应对于研究低能太阳中微子和 Ga 异常（即可能向惰性态的转变）至关重要。基态、第一激发态和第二激发态的结构是评估...[Phys. Rev. C 114, 024317] 2026 年 8 月 10 日星期一发布</w:t>
      </w:r>
    </w:p>
    <w:p>
      <w:pPr>
        <w:spacing w:before="0" w:after="200" w:lineRule="auto" w:line="276"/>
      </w:pPr>
      <w:r>
        <w:rPr>
          <w:b/>
        </w:rPr>
        <w:t xml:space="preserve">Abstract (EN): </w:t>
      </w:r>
      <w:r>
        <w:t>Author(s): Yoritaka Iwata, Hiroyasu Ejiri, and Shahariar SarkarWeak Gamow-Teller (GT) responses for low-lying states in $^{71}\mathrm{Ga}$ are crucial for studying low-energy solar neutrinos and the Ga anomaly, i.e., the possible transition to the sterile state. The structures for the ground state, the first excited state, and the second excited state are evalu…[Phys. Rev. C 114, 024317] Published Mon Aug 10, 2026</w:t>
      </w:r>
    </w:p>
    <w:p>
      <w:pPr>
        <w:spacing w:before="120" w:after="120"/>
      </w:pPr>
      <w:r>
        <w:rPr>
          <w:sz w:val="18"/>
        </w:rPr>
        <w:t>——————————————————————————————————————————————————————————————————————</w:t>
      </w:r>
    </w:p>
    <w:p>
      <w:pPr>
        <w:spacing w:before="160" w:after="40" w:line="240" w:lineRule="auto"/>
      </w:pPr>
      <w:r>
        <w:rPr>
          <w:b/>
        </w:rPr>
        <w:t xml:space="preserve">[318] </w:t>
      </w:r>
      <w:hyperlink r:id="rId1189">
        <w:r>
          <w:rPr>
            <w:color w:val="1155CC"/>
            <w:u w:val="single"/>
          </w:rPr>
          <w:t>复动量空间中非厄米谱变形的观测</w:t>
        </w:r>
      </w:hyperlink>
    </w:p>
    <w:p>
      <w:pPr>
        <w:spacing w:before="0" w:after="80"/>
      </w:pPr>
      <w:r>
        <w:rPr>
          <w:i/>
          <w:sz w:val="20"/>
        </w:rPr>
        <w:t>EN: Observation of Non-Hermitian Spectral Deformation in Complex Momentum Space</w:t>
      </w:r>
    </w:p>
    <w:p>
      <w:pPr>
        <w:spacing w:before="0" w:after="120"/>
      </w:pPr>
      <w:r>
        <w:rPr>
          <w:b/>
        </w:rPr>
        <w:t xml:space="preserve">Source: </w:t>
      </w:r>
      <w:r>
        <w:t>Recent Articles in Phys. Rev. Lett.</w:t>
      </w:r>
      <w:r>
        <w:t xml:space="preserve">    </w:t>
      </w:r>
      <w:r>
        <w:rPr>
          <w:b/>
        </w:rPr>
        <w:t xml:space="preserve">Pub date: </w:t>
      </w:r>
      <w:r>
        <w:t>2026-08-10 10:00:00+00:00</w:t>
      </w:r>
      <w:r>
        <w:t xml:space="preserve">    </w:t>
      </w:r>
      <w:r>
        <w:rPr>
          <w:b/>
        </w:rPr>
        <w:t xml:space="preserve">DOI: </w:t>
      </w:r>
      <w:hyperlink r:id="rId1190">
        <w:r>
          <w:rPr>
            <w:color w:val="1155CC"/>
            <w:u w:val="single"/>
          </w:rPr>
          <w:t>10.1103/v3qv-hdqg</w:t>
        </w:r>
      </w:hyperlink>
    </w:p>
    <w:p>
      <w:pPr>
        <w:spacing w:before="0" w:after="120"/>
      </w:pPr>
      <w:r>
        <w:rPr>
          <w:b/>
        </w:rPr>
        <w:t xml:space="preserve">Notes: </w:t>
      </w:r>
      <w:r>
        <w:t>abstract_source=rss_description</w:t>
      </w:r>
    </w:p>
    <w:p>
      <w:pPr>
        <w:spacing w:before="0" w:after="80" w:lineRule="auto" w:line="276"/>
      </w:pPr>
      <w:r>
        <w:rPr>
          <w:b/>
        </w:rPr>
        <w:t xml:space="preserve">摘要（ZH）: </w:t>
      </w:r>
      <w:r>
        <w:t>作者：Mu Yang、Yue Li、Mingtao Xu、Wei Yi、Jin-Shi Xu、Chuan-Feng Li 和Guang-Canuo 开放系统具有非厄米物理学产生的各种现象。最近的理论研究通过非布洛赫能带理论对这些现象提供了许多见解，尽管该理论的许多关键特征在实验上是难以捉摸的。特别是，…[物理。莱特牧师。 137, 073801] 发布于 2026 年 8 月 10 日星期一</w:t>
      </w:r>
    </w:p>
    <w:p>
      <w:pPr>
        <w:spacing w:before="0" w:after="200" w:lineRule="auto" w:line="276"/>
      </w:pPr>
      <w:r>
        <w:rPr>
          <w:b/>
        </w:rPr>
        <w:t xml:space="preserve">Abstract (EN): </w:t>
      </w:r>
      <w:r>
        <w:t>Author(s): Mu Yang, Yue Li, Mingtao Xu, Wei Yi, Jin-Shi Xu, Chuan-Feng Li, and Guang-Can GuoOpen systems feature a variety of phenomena that arise from non-Hermitian physics. Recent theoretical studies have offered many insights into these phenomena through the non-Bloch band theory, though many of the theory’s key features are experimentally elusive. In particular, the correspondence betw…[Phys. Rev. Lett. 137, 073801] Published Mon Aug 10, 2026</w:t>
      </w:r>
    </w:p>
    <w:p>
      <w:pPr>
        <w:spacing w:before="120" w:after="120"/>
      </w:pPr>
      <w:r>
        <w:rPr>
          <w:sz w:val="18"/>
        </w:rPr>
        <w:t>——————————————————————————————————————————————————————————————————————</w:t>
      </w:r>
    </w:p>
    <w:p>
      <w:pPr>
        <w:spacing w:before="160" w:after="40" w:line="240" w:lineRule="auto"/>
      </w:pPr>
      <w:r>
        <w:rPr>
          <w:b/>
        </w:rPr>
        <w:t xml:space="preserve">[319] </w:t>
      </w:r>
      <w:hyperlink r:id="rId1191">
        <w:r>
          <w:rPr>
            <w:color w:val="1155CC"/>
            <w:u w:val="single"/>
          </w:rPr>
          <w:t>晕核电荷特性的显微研究</w:t>
        </w:r>
      </w:hyperlink>
    </w:p>
    <w:p>
      <w:pPr>
        <w:spacing w:before="0" w:after="80"/>
      </w:pPr>
      <w:r>
        <w:rPr>
          <w:i/>
          <w:sz w:val="20"/>
        </w:rPr>
        <w:t>EN: Microscopic study of charge properties in halo nuclei</w:t>
      </w:r>
    </w:p>
    <w:p>
      <w:pPr>
        <w:spacing w:before="0" w:after="120"/>
      </w:pPr>
      <w:r>
        <w:rPr>
          <w:b/>
        </w:rPr>
        <w:t xml:space="preserve">Source: </w:t>
      </w:r>
      <w:r>
        <w:t>Recent Articles in Phys. Rev. C</w:t>
      </w:r>
      <w:r>
        <w:t xml:space="preserve">    </w:t>
      </w:r>
      <w:r>
        <w:rPr>
          <w:b/>
        </w:rPr>
        <w:t xml:space="preserve">Pub date: </w:t>
      </w:r>
      <w:r>
        <w:t>2026-08-10 10:00:00+00:00</w:t>
      </w:r>
      <w:r>
        <w:t xml:space="preserve">    </w:t>
      </w:r>
      <w:r>
        <w:rPr>
          <w:b/>
        </w:rPr>
        <w:t xml:space="preserve">DOI: </w:t>
      </w:r>
      <w:hyperlink r:id="rId1192">
        <w:r>
          <w:rPr>
            <w:color w:val="1155CC"/>
            <w:u w:val="single"/>
          </w:rPr>
          <w:t>10.1103/vnmp-n6vf</w:t>
        </w:r>
      </w:hyperlink>
    </w:p>
    <w:p>
      <w:pPr>
        <w:spacing w:before="0" w:after="120"/>
      </w:pPr>
      <w:r>
        <w:rPr>
          <w:b/>
        </w:rPr>
        <w:t xml:space="preserve">Notes: </w:t>
      </w:r>
      <w:r>
        <w:t>abstract_source=rss_description</w:t>
      </w:r>
    </w:p>
    <w:p>
      <w:pPr>
        <w:spacing w:before="0" w:after="80" w:lineRule="auto" w:line="276"/>
      </w:pPr>
      <w:r>
        <w:rPr>
          <w:b/>
        </w:rPr>
        <w:t xml:space="preserve">摘要（ZH）: </w:t>
      </w:r>
      <w:r>
        <w:t>作者：王运东、谢慧慧、尚田帅、杜鹏翔、李健、梁浩兆、张开元本文采用相对论连续介质 Hartree-Bogoliubov (RCHB) 理论和本征电磁结构修正，主要研究晕核沿 Ne 和 P 同位素链的电荷特性。我们的结果通过电荷中的延长尾部来表征晕核......[物理。 Rev. C 114, 024315] 于 2026 年 8 月 10 日星期一发布</w:t>
      </w:r>
    </w:p>
    <w:p>
      <w:pPr>
        <w:spacing w:before="0" w:after="200" w:lineRule="auto" w:line="276"/>
      </w:pPr>
      <w:r>
        <w:rPr>
          <w:b/>
        </w:rPr>
        <w:t xml:space="preserve">Abstract (EN): </w:t>
      </w:r>
      <w:r>
        <w:t>Author(s): Yun Dong Wang, Hui Hui Xie, Tian Shuai Shang, Peng Xiang Du, Jian Li, Haozhao Liang, and Kaiyuan ZhangEmploying the relativistic continuum Hartree-Bogoliubov (RCHB) theory with intrinsic electromagnetic structure corrections, this work primarily investigates the charge properties of halo nuclei along the Ne and P isotopic chains. Our results characterize halo nuclei by an extended tail in the charge…[Phys. Rev. C 114, 024315] Published Mon Aug 10, 2026</w:t>
      </w:r>
    </w:p>
    <w:p>
      <w:pPr>
        <w:spacing w:before="120" w:after="120"/>
      </w:pPr>
      <w:r>
        <w:rPr>
          <w:sz w:val="18"/>
        </w:rPr>
        <w:t>——————————————————————————————————————————————————————————————————————</w:t>
      </w:r>
    </w:p>
    <w:p>
      <w:pPr>
        <w:spacing w:before="160" w:after="40" w:line="240" w:lineRule="auto"/>
      </w:pPr>
      <w:r>
        <w:rPr>
          <w:b/>
        </w:rPr>
        <w:t xml:space="preserve">[320] </w:t>
      </w:r>
      <w:hyperlink r:id="rId1193">
        <w:r>
          <w:rPr>
            <w:color w:val="1155CC"/>
            <w:u w:val="single"/>
          </w:rPr>
          <w:t>$^{97}\mathrm{Zr}$的核能级密度和$γ$射线强度函数</w:t>
        </w:r>
      </w:hyperlink>
    </w:p>
    <w:p>
      <w:pPr>
        <w:spacing w:before="0" w:after="80"/>
      </w:pPr>
      <w:r>
        <w:rPr>
          <w:i/>
          <w:sz w:val="20"/>
        </w:rPr>
        <w:t>EN: Nuclear level density and $γ$-ray strength function of $^{97}\mathrm{Zr}$</w:t>
      </w:r>
    </w:p>
    <w:p>
      <w:pPr>
        <w:spacing w:before="0" w:after="120"/>
      </w:pPr>
      <w:r>
        <w:rPr>
          <w:b/>
        </w:rPr>
        <w:t xml:space="preserve">Source: </w:t>
      </w:r>
      <w:r>
        <w:t>Recent Articles in Phys. Rev. C</w:t>
      </w:r>
      <w:r>
        <w:t xml:space="preserve">    </w:t>
      </w:r>
      <w:r>
        <w:rPr>
          <w:b/>
        </w:rPr>
        <w:t xml:space="preserve">Pub date: </w:t>
      </w:r>
      <w:r>
        <w:t>2026-08-10 10:00:00+00:00</w:t>
      </w:r>
      <w:r>
        <w:t xml:space="preserve">    </w:t>
      </w:r>
      <w:r>
        <w:rPr>
          <w:b/>
        </w:rPr>
        <w:t xml:space="preserve">DOI: </w:t>
      </w:r>
      <w:hyperlink r:id="rId1194">
        <w:r>
          <w:rPr>
            <w:color w:val="1155CC"/>
            <w:u w:val="single"/>
          </w:rPr>
          <w:t>10.1103/bmw2-h889</w:t>
        </w:r>
      </w:hyperlink>
    </w:p>
    <w:p>
      <w:pPr>
        <w:spacing w:before="0" w:after="120"/>
      </w:pPr>
      <w:r>
        <w:rPr>
          <w:b/>
        </w:rPr>
        <w:t xml:space="preserve">Notes: </w:t>
      </w:r>
      <w:r>
        <w:t>abstract_source=rss_description</w:t>
      </w:r>
    </w:p>
    <w:p>
      <w:pPr>
        <w:spacing w:before="0" w:after="80" w:lineRule="auto" w:line="276"/>
      </w:pPr>
      <w:r>
        <w:rPr>
          <w:b/>
        </w:rPr>
        <w:t xml:space="preserve">摘要（ZH）: </w:t>
      </w:r>
      <w:r>
        <w:t>作者：A. Sebastian、M. K. Smith、A. Spyrou、H. C. Berg、D. L. Bleuel、C. Dembski、P. DeYoung、P. Giuliani、E. C. Good、S. N. Liddick、S. Lyons、D. Muecher、T. H. Ogunbeku、J. Owens-Fryar、A. L. Richard、D. Santiago-Gonzalez、 G. Savard、A. Sweet、A. Tsantiri 和 S. Uthayakumaar 在这项工作中，我们使用 $β$-Oslo 方法研究 $^{97}\mathrm{Zr}$ 的核能级密度和 $γ$ 射线强度函数。该测量是使用阿贡国家实验室的 Summing NaI 探测器进行的。感兴趣的核心是通过 $^{97}\mathrm…[Phys. Rev. C 114, 025802] 于 2026 年 8 月 10 日星期一发布</w:t>
      </w:r>
    </w:p>
    <w:p>
      <w:pPr>
        <w:spacing w:before="0" w:after="200" w:lineRule="auto" w:line="276"/>
      </w:pPr>
      <w:r>
        <w:rPr>
          <w:b/>
        </w:rPr>
        <w:t xml:space="preserve">Abstract (EN): </w:t>
      </w:r>
      <w:r>
        <w:t>Author(s): A. Sebastian, M. K. Smith, A. Spyrou, H. C. Berg, D. L. Bleuel, C. Dembski, P. DeYoung, P. Giuliani, E. C. Good, S. N. Liddick, S. Lyons, D. Muecher, T. H. Ogunbeku, J. Owens-Fryar, A. L. Richard, D. Santiago-Gonzalez, G. Savard, A. Sweet, A. Tsantiri, and S. UthayakumaarIn this work, we use the $β$-Oslo method to investigate the nuclear level density and $γ$-ray strength function of $^{97}\mathrm{Zr}$. The measurement was performed using the Summing NaI detector at Argonne National Laboratory. The nucleus of interest was populated via the $β$ decay of $^{97}\mathrm…[Phys. Rev. C 114, 025802] Published Mon Aug 10, 2026</w:t>
      </w:r>
    </w:p>
    <w:p>
      <w:pPr>
        <w:spacing w:before="120" w:after="120"/>
      </w:pPr>
      <w:r>
        <w:rPr>
          <w:sz w:val="18"/>
        </w:rPr>
        <w:t>——————————————————————————————————————————————————————————————————————</w:t>
      </w:r>
    </w:p>
    <w:p>
      <w:pPr>
        <w:spacing w:before="160" w:after="40" w:line="240" w:lineRule="auto"/>
      </w:pPr>
      <w:r>
        <w:rPr>
          <w:b/>
        </w:rPr>
        <w:t xml:space="preserve">[321] </w:t>
      </w:r>
      <w:hyperlink r:id="rId1195">
        <w:r>
          <w:rPr>
            <w:color w:val="1155CC"/>
            <w:u w:val="single"/>
          </w:rPr>
          <w:t>库仑势垒以下 $^{40,48}\mathrm{Ca}+^{96}\mathrm{Zr}$ 碰撞中的配对传递和反应动力学</w:t>
        </w:r>
      </w:hyperlink>
    </w:p>
    <w:p>
      <w:pPr>
        <w:spacing w:before="0" w:after="80"/>
      </w:pPr>
      <w:r>
        <w:rPr>
          <w:i/>
          <w:sz w:val="20"/>
        </w:rPr>
        <w:t>EN: Pair transfer and reaction dynamics in $^{40,48}\mathrm{Ca}+^{96}\mathrm{Zr}$ collisions below the Coulomb barrier</w:t>
      </w:r>
    </w:p>
    <w:p>
      <w:pPr>
        <w:spacing w:before="0" w:after="120"/>
      </w:pPr>
      <w:r>
        <w:rPr>
          <w:b/>
        </w:rPr>
        <w:t xml:space="preserve">Source: </w:t>
      </w:r>
      <w:r>
        <w:t>Recent Articles in Phys. Rev. C</w:t>
      </w:r>
      <w:r>
        <w:t xml:space="preserve">    </w:t>
      </w:r>
      <w:r>
        <w:rPr>
          <w:b/>
        </w:rPr>
        <w:t xml:space="preserve">Pub date: </w:t>
      </w:r>
      <w:r>
        <w:t>2026-08-10 10:00:00+00:00</w:t>
      </w:r>
      <w:r>
        <w:t xml:space="preserve">    </w:t>
      </w:r>
      <w:r>
        <w:rPr>
          <w:b/>
        </w:rPr>
        <w:t xml:space="preserve">DOI: </w:t>
      </w:r>
      <w:hyperlink r:id="rId1196">
        <w:r>
          <w:rPr>
            <w:color w:val="1155CC"/>
            <w:u w:val="single"/>
          </w:rPr>
          <w:t>10.1103/fjpt-m78n</w:t>
        </w:r>
      </w:hyperlink>
    </w:p>
    <w:p>
      <w:pPr>
        <w:spacing w:before="0" w:after="120"/>
      </w:pPr>
      <w:r>
        <w:rPr>
          <w:b/>
        </w:rPr>
        <w:t xml:space="preserve">Notes: </w:t>
      </w:r>
      <w:r>
        <w:t>abstract_source=rss_description</w:t>
      </w:r>
    </w:p>
    <w:p>
      <w:pPr>
        <w:spacing w:before="0" w:after="80" w:lineRule="auto" w:line="276"/>
      </w:pPr>
      <w:r>
        <w:rPr>
          <w:b/>
        </w:rPr>
        <w:t xml:space="preserve">摘要（ZH）: </w:t>
      </w:r>
      <w:r>
        <w:t>作者：Ibrahim Abdurrahman、Andrzej Makowski、Guillaume Scamps、Kyle Godbey 和 Piotr Magierski 子势垒聚变反应非常适合探讨配对相关性对同时中子转移的影响。先前使用 BCS 近似的计算显示，相对于没有配对的处理，配对转移有所增强，但未能重现观察到的增强……[Phys.修订版 C 114，L021602] 于 2026 年 8 月 10 日星期一发布</w:t>
      </w:r>
    </w:p>
    <w:p>
      <w:pPr>
        <w:spacing w:before="0" w:after="200" w:lineRule="auto" w:line="276"/>
      </w:pPr>
      <w:r>
        <w:rPr>
          <w:b/>
        </w:rPr>
        <w:t xml:space="preserve">Abstract (EN): </w:t>
      </w:r>
      <w:r>
        <w:t>Author(s): Ibrahim Abdurrahman, Andrzej Makowski, Guillaume Scamps, Kyle Godbey, and Piotr MagierskiSub-barrier fusion reactions are ideal for probing the effects of pairing correlations on simultaneous neutron transfer. Previous calculations using the BCS approximation showed an enhancement of pair transfer, relative to treatments with no pairing, but failed to reproduce the observed enhancement …[Phys. Rev. C 114, L021602] Published Mon Aug 10, 2026</w:t>
      </w:r>
    </w:p>
    <w:p>
      <w:pPr>
        <w:spacing w:before="120" w:after="120"/>
      </w:pPr>
      <w:r>
        <w:rPr>
          <w:sz w:val="18"/>
        </w:rPr>
        <w:t>——————————————————————————————————————————————————————————————————————</w:t>
      </w:r>
    </w:p>
    <w:p>
      <w:pPr>
        <w:spacing w:before="160" w:after="40" w:line="240" w:lineRule="auto"/>
      </w:pPr>
      <w:r>
        <w:rPr>
          <w:b/>
        </w:rPr>
        <w:t xml:space="preserve">[322] </w:t>
      </w:r>
      <w:hyperlink r:id="rId1197">
        <w:r>
          <w:rPr>
            <w:color w:val="1155CC"/>
            <w:u w:val="single"/>
          </w:rPr>
          <w:t>高斯随机过程的罕见事件与长期记忆之间的相关性</w:t>
        </w:r>
      </w:hyperlink>
    </w:p>
    <w:p>
      <w:pPr>
        <w:spacing w:before="0" w:after="80"/>
      </w:pPr>
      <w:r>
        <w:rPr>
          <w:i/>
          <w:sz w:val="20"/>
        </w:rPr>
        <w:t>EN: Correlations between Rare Events for Gaussian Stochastic Processes with Long-Term Memory</w:t>
      </w:r>
    </w:p>
    <w:p>
      <w:pPr>
        <w:spacing w:before="0" w:after="120"/>
      </w:pPr>
      <w:r>
        <w:rPr>
          <w:b/>
        </w:rPr>
        <w:t xml:space="preserve">Source: </w:t>
      </w:r>
      <w:r>
        <w:t>Recent Articles in Phys. Rev. Lett.</w:t>
      </w:r>
      <w:r>
        <w:t xml:space="preserve">    </w:t>
      </w:r>
      <w:r>
        <w:rPr>
          <w:b/>
        </w:rPr>
        <w:t xml:space="preserve">Pub date: </w:t>
      </w:r>
      <w:r>
        <w:t>2026-08-10 10:00:00+00:00</w:t>
      </w:r>
      <w:r>
        <w:t xml:space="preserve">    </w:t>
      </w:r>
      <w:r>
        <w:rPr>
          <w:b/>
        </w:rPr>
        <w:t xml:space="preserve">DOI: </w:t>
      </w:r>
      <w:hyperlink r:id="rId1198">
        <w:r>
          <w:rPr>
            <w:color w:val="1155CC"/>
            <w:u w:val="single"/>
          </w:rPr>
          <w:t>10.1103/w2kv-jkvy</w:t>
        </w:r>
      </w:hyperlink>
    </w:p>
    <w:p>
      <w:pPr>
        <w:spacing w:before="0" w:after="120"/>
      </w:pPr>
      <w:r>
        <w:rPr>
          <w:b/>
        </w:rPr>
        <w:t xml:space="preserve">Notes: </w:t>
      </w:r>
      <w:r>
        <w:t>abstract_source=rss_description</w:t>
      </w:r>
    </w:p>
    <w:p>
      <w:pPr>
        <w:spacing w:before="0" w:after="80" w:lineRule="auto" w:line="276"/>
      </w:pPr>
      <w:r>
        <w:rPr>
          <w:b/>
        </w:rPr>
        <w:t xml:space="preserve">摘要（ZH）: </w:t>
      </w:r>
      <w:r>
        <w:t>作者：阿普尔巴·比斯瓦斯 (Apurba Biswas) 和托马斯·盖林 (Thomas Guérin) 一种关于罕见重复事件的新理论消除了最近发生的事件缺乏对先前事件的记忆的简化假设。莱特牧师。 137, 077101] 发布于 2026 年 8 月 10 日星期一</w:t>
      </w:r>
    </w:p>
    <w:p>
      <w:pPr>
        <w:spacing w:before="0" w:after="200" w:lineRule="auto" w:line="276"/>
      </w:pPr>
      <w:r>
        <w:rPr>
          <w:b/>
        </w:rPr>
        <w:t xml:space="preserve">Abstract (EN): </w:t>
      </w:r>
      <w:r>
        <w:t>Author(s): Apurba Biswas and Thomas GuérinA new theory of rare recurrent events dispenses with the simplifying assumption that recent events lack memory of previous ones.[Phys. Rev. Lett. 137, 077101] Published Mon Aug 10, 2026</w:t>
      </w:r>
    </w:p>
    <w:p>
      <w:pPr>
        <w:spacing w:before="120" w:after="120"/>
      </w:pPr>
      <w:r>
        <w:rPr>
          <w:sz w:val="18"/>
        </w:rPr>
        <w:t>——————————————————————————————————————————————————————————————————————</w:t>
      </w:r>
    </w:p>
    <w:p>
      <w:pPr>
        <w:spacing w:before="160" w:after="40" w:line="240" w:lineRule="auto"/>
      </w:pPr>
      <w:r>
        <w:rPr>
          <w:b/>
        </w:rPr>
        <w:t xml:space="preserve">[323] </w:t>
      </w:r>
      <w:hyperlink r:id="rId1199">
        <w:r>
          <w:rPr>
            <w:color w:val="1155CC"/>
            <w:u w:val="single"/>
          </w:rPr>
          <w:t>受挫超稳定图中电子基态的磁化</w:t>
        </w:r>
      </w:hyperlink>
    </w:p>
    <w:p>
      <w:pPr>
        <w:spacing w:before="0" w:after="80"/>
      </w:pPr>
      <w:r>
        <w:rPr>
          <w:i/>
          <w:sz w:val="20"/>
        </w:rPr>
        <w:t>EN: Magnetization of Electronic Ground States in Frustrated Superstable Graphs</w:t>
      </w:r>
    </w:p>
    <w:p>
      <w:pPr>
        <w:spacing w:before="0" w:after="120"/>
      </w:pPr>
      <w:r>
        <w:rPr>
          <w:b/>
        </w:rPr>
        <w:t xml:space="preserve">Source: </w:t>
      </w:r>
      <w:r>
        <w:t>Recent Articles in Phys. Rev. Lett.</w:t>
      </w:r>
      <w:r>
        <w:t xml:space="preserve">    </w:t>
      </w:r>
      <w:r>
        <w:rPr>
          <w:b/>
        </w:rPr>
        <w:t xml:space="preserve">Pub date: </w:t>
      </w:r>
      <w:r>
        <w:t>2026-08-10 10:00:00+00:00</w:t>
      </w:r>
      <w:r>
        <w:t xml:space="preserve">    </w:t>
      </w:r>
      <w:r>
        <w:rPr>
          <w:b/>
        </w:rPr>
        <w:t xml:space="preserve">DOI: </w:t>
      </w:r>
      <w:hyperlink r:id="rId1200">
        <w:r>
          <w:rPr>
            <w:color w:val="1155CC"/>
            <w:u w:val="single"/>
          </w:rPr>
          <w:t>10.1103/wqwf-3cbl</w:t>
        </w:r>
      </w:hyperlink>
    </w:p>
    <w:p>
      <w:pPr>
        <w:spacing w:before="0" w:after="120"/>
      </w:pPr>
      <w:r>
        <w:rPr>
          <w:b/>
        </w:rPr>
        <w:t xml:space="preserve">Notes: </w:t>
      </w:r>
      <w:r>
        <w:t>abstract_source=rss_description</w:t>
      </w:r>
    </w:p>
    <w:p>
      <w:pPr>
        <w:spacing w:before="0" w:after="80" w:lineRule="auto" w:line="276"/>
      </w:pPr>
      <w:r>
        <w:rPr>
          <w:b/>
        </w:rPr>
        <w:t xml:space="preserve">摘要（ZH）: </w:t>
      </w:r>
      <w:r>
        <w:t>作者：F. P. M. Méndez-Córdoba、J. Tindall、D. Jaksch 和 F. Schlawin 几何挫败是强相互作用电子系统中许多非常规量子相的核心。在这里，我们分析确定了半填充哈伯德模型在受挫几何结构上的基态磁化强度，其中超稳定态 - 本征态再次稳健......[物理。莱特牧师。 137, 076501] 发布于 2026 年 8 月 10 日星期一</w:t>
      </w:r>
    </w:p>
    <w:p>
      <w:pPr>
        <w:spacing w:before="0" w:after="200" w:lineRule="auto" w:line="276"/>
      </w:pPr>
      <w:r>
        <w:rPr>
          <w:b/>
        </w:rPr>
        <w:t xml:space="preserve">Abstract (EN): </w:t>
      </w:r>
      <w:r>
        <w:t>Author(s): F. P. M. Méndez-Córdoba, J. Tindall, D. Jaksch, and F. SchlawinGeometric frustration lies at the heart of many unconventional quantum phases in strongly interacting electron systems. Here, we analytically determine the ground state magnetization of the half-filled Hubbard model on frustrated geometries where superstable states—eigenstates which are robust again…[Phys. Rev. Lett. 137, 076501] Published Mon Aug 10, 2026</w:t>
      </w:r>
    </w:p>
    <w:p>
      <w:pPr>
        <w:spacing w:before="120" w:after="120"/>
      </w:pPr>
      <w:r>
        <w:rPr>
          <w:sz w:val="18"/>
        </w:rPr>
        <w:t>——————————————————————————————————————————————————————————————————————</w:t>
      </w:r>
    </w:p>
    <w:p>
      <w:pPr>
        <w:spacing w:before="160" w:after="40" w:line="240" w:lineRule="auto"/>
      </w:pPr>
      <w:r>
        <w:rPr>
          <w:b/>
        </w:rPr>
        <w:t xml:space="preserve">[324] </w:t>
      </w:r>
      <w:hyperlink r:id="rId1201">
        <w:r>
          <w:rPr>
            <w:color w:val="1155CC"/>
            <w:u w:val="single"/>
          </w:rPr>
          <w:t>连续体中简并准束缚态实现的最大轴子光学手性</w:t>
        </w:r>
      </w:hyperlink>
    </w:p>
    <w:p>
      <w:pPr>
        <w:spacing w:before="0" w:after="80"/>
      </w:pPr>
      <w:r>
        <w:rPr>
          <w:i/>
          <w:sz w:val="20"/>
        </w:rPr>
        <w:t>EN: Maximal Axion Optical Chirality Enabled by Degenerate Quasibound States in the Continuum</w:t>
      </w:r>
    </w:p>
    <w:p>
      <w:pPr>
        <w:spacing w:before="0" w:after="120"/>
      </w:pPr>
      <w:r>
        <w:rPr>
          <w:b/>
        </w:rPr>
        <w:t xml:space="preserve">Source: </w:t>
      </w:r>
      <w:r>
        <w:t>Recent Articles in Phys. Rev. Lett.</w:t>
      </w:r>
      <w:r>
        <w:t xml:space="preserve">    </w:t>
      </w:r>
      <w:r>
        <w:rPr>
          <w:b/>
        </w:rPr>
        <w:t xml:space="preserve">Pub date: </w:t>
      </w:r>
      <w:r>
        <w:t>2026-08-10 10:00:00+00:00</w:t>
      </w:r>
      <w:r>
        <w:t xml:space="preserve">    </w:t>
      </w:r>
      <w:r>
        <w:rPr>
          <w:b/>
        </w:rPr>
        <w:t xml:space="preserve">DOI: </w:t>
      </w:r>
      <w:hyperlink r:id="rId1202">
        <w:r>
          <w:rPr>
            <w:color w:val="1155CC"/>
            <w:u w:val="single"/>
          </w:rPr>
          <w:t>10.1103/92nb-3k6d</w:t>
        </w:r>
      </w:hyperlink>
    </w:p>
    <w:p>
      <w:pPr>
        <w:spacing w:before="0" w:after="120"/>
      </w:pPr>
      <w:r>
        <w:rPr>
          <w:b/>
        </w:rPr>
        <w:t xml:space="preserve">Notes: </w:t>
      </w:r>
      <w:r>
        <w:t>abstract_source=rss_description</w:t>
      </w:r>
    </w:p>
    <w:p>
      <w:pPr>
        <w:spacing w:before="0" w:after="80" w:lineRule="auto" w:line="276"/>
      </w:pPr>
      <w:r>
        <w:rPr>
          <w:b/>
        </w:rPr>
        <w:t xml:space="preserve">摘要（ZH）: </w:t>
      </w:r>
      <w:r>
        <w:t>作者：Chang-Yin Ji、Chong Wang、Jiafang Li 和 Yugui Yao 将拓扑绝缘体与非手性光子晶体耦合，将轴子准粒子的超弱光学特征放大了几个数量级，解锁了强大的新可观测量，如近统一圆二色性和光学非互易性。莱特牧师。 137, 076901] 发布于 2026 年 8 月 10 日星期一</w:t>
      </w:r>
    </w:p>
    <w:p>
      <w:pPr>
        <w:spacing w:before="0" w:after="200" w:lineRule="auto" w:line="276"/>
      </w:pPr>
      <w:r>
        <w:rPr>
          <w:b/>
        </w:rPr>
        <w:t xml:space="preserve">Abstract (EN): </w:t>
      </w:r>
      <w:r>
        <w:t>Author(s): Chang-Yin Ji, Chong Wang, Jiafang Li, and Yugui YaoCoupling a topological insulator with an achiral photonic crystal amplifies the ultraweak optical signatures of axion quasiparticles by orders of magnitude, unlocking powerful new observables like near-unity circular dichroism and optical nonreciprocity.[Phys. Rev. Lett. 137, 076901] Published Mon Aug 10, 2026</w:t>
      </w:r>
    </w:p>
    <w:p>
      <w:pPr>
        <w:spacing w:before="120" w:after="120"/>
      </w:pPr>
      <w:r>
        <w:rPr>
          <w:sz w:val="18"/>
        </w:rPr>
        <w:t>——————————————————————————————————————————————————————————————————————</w:t>
      </w:r>
    </w:p>
    <w:p>
      <w:pPr>
        <w:spacing w:before="160" w:after="40" w:line="240" w:lineRule="auto"/>
      </w:pPr>
      <w:r>
        <w:rPr>
          <w:b/>
        </w:rPr>
        <w:t xml:space="preserve">[325] </w:t>
      </w:r>
      <w:hyperlink r:id="rId1203">
        <w:r>
          <w:rPr>
            <w:color w:val="1155CC"/>
            <w:u w:val="single"/>
          </w:rPr>
          <w:t>硅中的单一光学可检测翻滚旋转</w:t>
        </w:r>
      </w:hyperlink>
    </w:p>
    <w:p>
      <w:pPr>
        <w:spacing w:before="0" w:after="80"/>
      </w:pPr>
      <w:r>
        <w:rPr>
          <w:i/>
          <w:sz w:val="20"/>
        </w:rPr>
        <w:t>EN: Single Optically Detectable Tumbling Spin in Silicon</w:t>
      </w:r>
    </w:p>
    <w:p>
      <w:pPr>
        <w:spacing w:before="0" w:after="120"/>
      </w:pPr>
      <w:r>
        <w:rPr>
          <w:b/>
        </w:rPr>
        <w:t xml:space="preserve">Source: </w:t>
      </w:r>
      <w:r>
        <w:t>Recent Articles in Phys. Rev. Lett.</w:t>
      </w:r>
      <w:r>
        <w:t xml:space="preserve">    </w:t>
      </w:r>
      <w:r>
        <w:rPr>
          <w:b/>
        </w:rPr>
        <w:t xml:space="preserve">Pub date: </w:t>
      </w:r>
      <w:r>
        <w:t>2026-08-10 10:00:00+00:00</w:t>
      </w:r>
      <w:r>
        <w:t xml:space="preserve">    </w:t>
      </w:r>
      <w:r>
        <w:rPr>
          <w:b/>
        </w:rPr>
        <w:t xml:space="preserve">DOI: </w:t>
      </w:r>
      <w:hyperlink r:id="rId1204">
        <w:r>
          <w:rPr>
            <w:color w:val="1155CC"/>
            <w:u w:val="single"/>
          </w:rPr>
          <w:t>10.1103/th7k-s7r6</w:t>
        </w:r>
      </w:hyperlink>
    </w:p>
    <w:p>
      <w:pPr>
        <w:spacing w:before="0" w:after="120"/>
      </w:pPr>
      <w:r>
        <w:rPr>
          <w:b/>
        </w:rPr>
        <w:t xml:space="preserve">Notes: </w:t>
      </w:r>
      <w:r>
        <w:t>abstract_source=rss_description</w:t>
      </w:r>
    </w:p>
    <w:p>
      <w:pPr>
        <w:spacing w:before="0" w:after="80" w:lineRule="auto" w:line="276"/>
      </w:pPr>
      <w:r>
        <w:rPr>
          <w:b/>
        </w:rPr>
        <w:t xml:space="preserve">摘要（ZH）: </w:t>
      </w:r>
      <w:r>
        <w:t>作者：Félix Cache、Yoann Baron、Baptiste Lefaucher、Jean-Baptiste Jager、Frédéric Mazen、Frédéric Milési、Sébastien Kerdilès、Isabelle Robert-Philip、Jean-Michel Gérard、Guillaume Cassabois、Vincent Jacques 和 Anaïs Dréau我们展示了硅中荧光翻滚缺陷的单自旋光谱称为“G 中心”，表现为在晶体基质中随机重新定向的伪分子。使用高分辨率自旋光谱，我们揭示了由自旋原理产生的精细磁性结构......[Phys。莱特牧师。 137, 073602] 2026 年 8 月 10 日星期一发布</w:t>
      </w:r>
    </w:p>
    <w:p>
      <w:pPr>
        <w:spacing w:before="0" w:after="200" w:lineRule="auto" w:line="276"/>
      </w:pPr>
      <w:r>
        <w:rPr>
          <w:b/>
        </w:rPr>
        <w:t xml:space="preserve">Abstract (EN): </w:t>
      </w:r>
      <w:r>
        <w:t>Author(s): Félix Cache, Yoann Baron, Baptiste Lefaucher, Jean-Baptiste Jager, Frédéric Mazen, Frédéric Milési, Sébastien Kerdilès, Isabelle Robert-Philip, Jean-Michel Gérard, Guillaume Cassabois, Vincent Jacques, and Anaïs DréauWe demonstrate single-spin spectroscopy of a fluorescent tumbling defect in silicon called the “G center,” behaving as a pseudomolecule randomly reorienting itself in the crystalline matrix. Using high-resolution spin spectroscopy, we reveal a fine magnetic structure resulting from the spin principa…[Phys. Rev. Lett. 137, 073602] Published Mon Aug 10, 2026</w:t>
      </w:r>
    </w:p>
    <w:p>
      <w:pPr>
        <w:spacing w:before="120" w:after="120"/>
      </w:pPr>
      <w:r>
        <w:rPr>
          <w:sz w:val="18"/>
        </w:rPr>
        <w:t>——————————————————————————————————————————————————————————————————————</w:t>
      </w:r>
    </w:p>
    <w:p>
      <w:pPr>
        <w:spacing w:before="160" w:after="40" w:line="240" w:lineRule="auto"/>
      </w:pPr>
      <w:r>
        <w:rPr>
          <w:b/>
        </w:rPr>
        <w:t xml:space="preserve">[326] </w:t>
      </w:r>
      <w:hyperlink r:id="rId1205">
        <w:r>
          <w:rPr>
            <w:color w:val="1155CC"/>
            <w:u w:val="single"/>
          </w:rPr>
          <w:t>使用纳米注射器进行程序化的膜破坏解锁了对合成细胞中生化反应的控制</w:t>
        </w:r>
      </w:hyperlink>
    </w:p>
    <w:p>
      <w:pPr>
        <w:spacing w:before="0" w:after="80"/>
      </w:pPr>
      <w:r>
        <w:rPr>
          <w:i/>
          <w:sz w:val="20"/>
        </w:rPr>
        <w:t>EN: Programmed membrane breaching with nanosyringes unlocks control over biochemical responses in synthetic cells</w:t>
      </w:r>
    </w:p>
    <w:p>
      <w:pPr>
        <w:spacing w:before="0" w:after="120"/>
      </w:pPr>
      <w:r>
        <w:rPr>
          <w:b/>
        </w:rPr>
        <w:t xml:space="preserve">Source: </w:t>
      </w:r>
      <w:r>
        <w:t>Nature Nanotechnology</w:t>
      </w:r>
      <w:r>
        <w:t xml:space="preserve">    </w:t>
      </w:r>
      <w:r>
        <w:rPr>
          <w:b/>
        </w:rPr>
        <w:t xml:space="preserve">Pub date: </w:t>
      </w:r>
      <w:r>
        <w:t>2026-08-11 00:00:00+00:00</w:t>
      </w:r>
      <w:r>
        <w:t xml:space="preserve">    </w:t>
      </w:r>
      <w:r>
        <w:rPr>
          <w:b/>
        </w:rPr>
        <w:t xml:space="preserve">DOI: </w:t>
      </w:r>
      <w:hyperlink r:id="rId1206">
        <w:r>
          <w:rPr>
            <w:color w:val="1155CC"/>
            <w:u w:val="single"/>
          </w:rPr>
          <w:t>10.1038/s41565-026-02252-8</w:t>
        </w:r>
      </w:hyperlink>
    </w:p>
    <w:p>
      <w:pPr>
        <w:spacing w:before="0" w:after="120"/>
      </w:pPr>
      <w:r>
        <w:rPr>
          <w:b/>
        </w:rPr>
        <w:t xml:space="preserve">Notes: </w:t>
      </w:r>
      <w:r>
        <w:t>abstract_source=rss_nature</w:t>
      </w:r>
    </w:p>
    <w:p>
      <w:pPr>
        <w:spacing w:before="0" w:after="80" w:lineRule="auto" w:line="276"/>
      </w:pPr>
      <w:r>
        <w:rPr>
          <w:b/>
        </w:rPr>
        <w:t xml:space="preserve">摘要（ZH）: </w:t>
      </w:r>
      <w:r>
        <w:t>受细菌收缩注射系统启发的纳米装置能够实现可逆、燃料驱动的膜穿透和时空控制的货物输送，从而实现合成细胞中可编程的生化调节。</w:t>
      </w:r>
    </w:p>
    <w:p>
      <w:pPr>
        <w:spacing w:before="0" w:after="200" w:lineRule="auto" w:line="276"/>
      </w:pPr>
      <w:r>
        <w:rPr>
          <w:b/>
        </w:rPr>
        <w:t xml:space="preserve">Abstract (EN): </w:t>
      </w:r>
      <w:r>
        <w:t>A nanodevice inspired by bacterial contractile injection systems enables reversible, fuel-actuated membrane penetration and spatio-temporally controlled cargo delivery for programmable biochemical regulation in synthetic cells.</w:t>
      </w:r>
    </w:p>
    <w:p>
      <w:pPr>
        <w:spacing w:before="120" w:after="120"/>
      </w:pPr>
      <w:r>
        <w:rPr>
          <w:sz w:val="18"/>
        </w:rPr>
        <w:t>——————————————————————————————————————————————————————————————————————</w:t>
      </w:r>
    </w:p>
    <w:p>
      <w:pPr>
        <w:spacing w:before="160" w:after="40" w:line="240" w:lineRule="auto"/>
      </w:pPr>
      <w:r>
        <w:rPr>
          <w:b/>
        </w:rPr>
        <w:t xml:space="preserve">[327] </w:t>
      </w:r>
      <w:hyperlink r:id="rId1207">
        <w:r>
          <w:rPr>
            <w:color w:val="1155CC"/>
            <w:u w:val="single"/>
          </w:rPr>
          <w:t>人工智能工具加快分析速度，但科学真理必须立足于现实</w:t>
        </w:r>
      </w:hyperlink>
    </w:p>
    <w:p>
      <w:pPr>
        <w:spacing w:before="0" w:after="80"/>
      </w:pPr>
      <w:r>
        <w:rPr>
          <w:i/>
          <w:sz w:val="20"/>
        </w:rPr>
        <w:t>EN: AI tools speed up analysis, but scientific truths must be grounded in reality</w:t>
      </w:r>
    </w:p>
    <w:p>
      <w:pPr>
        <w:spacing w:before="0" w:after="120"/>
      </w:pPr>
      <w:r>
        <w:rPr>
          <w:b/>
        </w:rPr>
        <w:t xml:space="preserve">Source: </w:t>
      </w:r>
      <w:r>
        <w:t>Nature</w:t>
      </w:r>
      <w:r>
        <w:t xml:space="preserve">    </w:t>
      </w:r>
      <w:r>
        <w:rPr>
          <w:b/>
        </w:rPr>
        <w:t xml:space="preserve">Pub date: </w:t>
      </w:r>
      <w:r>
        <w:t>2026-08-11 00:00:00+00:00</w:t>
      </w:r>
      <w:r>
        <w:t xml:space="preserve">    </w:t>
      </w:r>
      <w:r>
        <w:rPr>
          <w:b/>
        </w:rPr>
        <w:t xml:space="preserve">DOI: </w:t>
      </w:r>
      <w:hyperlink r:id="rId1208">
        <w:r>
          <w:rPr>
            <w:color w:val="1155CC"/>
            <w:u w:val="single"/>
          </w:rPr>
          <w:t>10.1038/d41586-026-02490-9</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[328] </w:t>
      </w:r>
      <w:hyperlink r:id="rId1209">
        <w:r>
          <w:rPr>
            <w:color w:val="1155CC"/>
            <w:u w:val="single"/>
          </w:rPr>
          <w:t>负责任的科学行动主义案例</w:t>
        </w:r>
      </w:hyperlink>
    </w:p>
    <w:p>
      <w:pPr>
        <w:spacing w:before="0" w:after="80"/>
      </w:pPr>
      <w:r>
        <w:rPr>
          <w:i/>
          <w:sz w:val="20"/>
        </w:rPr>
        <w:t>EN: The case for responsible scientific activism</w:t>
      </w:r>
    </w:p>
    <w:p>
      <w:pPr>
        <w:spacing w:before="0" w:after="120"/>
      </w:pPr>
      <w:r>
        <w:rPr>
          <w:b/>
        </w:rPr>
        <w:t xml:space="preserve">Source: </w:t>
      </w:r>
      <w:r>
        <w:t>Nature</w:t>
      </w:r>
      <w:r>
        <w:t xml:space="preserve">    </w:t>
      </w:r>
      <w:r>
        <w:rPr>
          <w:b/>
        </w:rPr>
        <w:t xml:space="preserve">Pub date: </w:t>
      </w:r>
      <w:r>
        <w:t>2026-08-11 00:00:00+00:00</w:t>
      </w:r>
      <w:r>
        <w:t xml:space="preserve">    </w:t>
      </w:r>
      <w:r>
        <w:rPr>
          <w:b/>
        </w:rPr>
        <w:t xml:space="preserve">DOI: </w:t>
      </w:r>
      <w:hyperlink r:id="rId1210">
        <w:r>
          <w:rPr>
            <w:color w:val="1155CC"/>
            <w:u w:val="single"/>
          </w:rPr>
          <w:t>10.1038/d41586-026-02464-x</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[329] </w:t>
      </w:r>
      <w:hyperlink r:id="rId1211">
        <w:r>
          <w:rPr>
            <w:color w:val="1155CC"/>
            <w:u w:val="single"/>
          </w:rPr>
          <w:t>资助者不应超越严格的年龄标准</w:t>
        </w:r>
      </w:hyperlink>
    </w:p>
    <w:p>
      <w:pPr>
        <w:spacing w:before="0" w:after="80"/>
      </w:pPr>
      <w:r>
        <w:rPr>
          <w:i/>
          <w:sz w:val="20"/>
        </w:rPr>
        <w:t>EN: Funders should look beyond strict age criteria</w:t>
      </w:r>
    </w:p>
    <w:p>
      <w:pPr>
        <w:spacing w:before="0" w:after="120"/>
      </w:pPr>
      <w:r>
        <w:rPr>
          <w:b/>
        </w:rPr>
        <w:t xml:space="preserve">Source: </w:t>
      </w:r>
      <w:r>
        <w:t>Nature</w:t>
      </w:r>
      <w:r>
        <w:t xml:space="preserve">    </w:t>
      </w:r>
      <w:r>
        <w:rPr>
          <w:b/>
        </w:rPr>
        <w:t xml:space="preserve">Pub date: </w:t>
      </w:r>
      <w:r>
        <w:t>2026-08-11 00:00:00+00:00</w:t>
      </w:r>
      <w:r>
        <w:t xml:space="preserve">    </w:t>
      </w:r>
      <w:r>
        <w:rPr>
          <w:b/>
        </w:rPr>
        <w:t xml:space="preserve">DOI: </w:t>
      </w:r>
      <w:hyperlink r:id="rId1212">
        <w:r>
          <w:rPr>
            <w:color w:val="1155CC"/>
            <w:u w:val="single"/>
          </w:rPr>
          <w:t>10.1038/d41586-026-02492-7</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[330] </w:t>
      </w:r>
      <w:hyperlink r:id="rId1213">
        <w:r>
          <w:rPr>
            <w:color w:val="1155CC"/>
            <w:u w:val="single"/>
          </w:rPr>
          <w:t>膦介导的吖嗪C-H与水和氨的偶联</w:t>
        </w:r>
      </w:hyperlink>
    </w:p>
    <w:p>
      <w:pPr>
        <w:spacing w:before="0" w:after="80"/>
      </w:pPr>
      <w:r>
        <w:rPr>
          <w:i/>
          <w:sz w:val="20"/>
        </w:rPr>
        <w:t>EN: Phosphine-mediated azine C–H couplings with water and ammonia</w:t>
      </w:r>
    </w:p>
    <w:p>
      <w:pPr>
        <w:spacing w:before="0" w:after="120"/>
      </w:pPr>
      <w:r>
        <w:rPr>
          <w:b/>
        </w:rPr>
        <w:t xml:space="preserve">Source: </w:t>
      </w:r>
      <w:r>
        <w:t>Nature</w:t>
      </w:r>
      <w:r>
        <w:t xml:space="preserve">    </w:t>
      </w:r>
      <w:r>
        <w:rPr>
          <w:b/>
        </w:rPr>
        <w:t xml:space="preserve">Pub date: </w:t>
      </w:r>
      <w:r>
        <w:t>2026-08-11 00:00:00+00:00</w:t>
      </w:r>
      <w:r>
        <w:t xml:space="preserve">    </w:t>
      </w:r>
      <w:r>
        <w:rPr>
          <w:b/>
        </w:rPr>
        <w:t xml:space="preserve">DOI: </w:t>
      </w:r>
      <w:hyperlink r:id="rId1214">
        <w:r>
          <w:rPr>
            <w:color w:val="1155CC"/>
            <w:u w:val="single"/>
          </w:rPr>
          <w:t>10.1038/s41586-026-10991-w</w:t>
        </w:r>
      </w:hyperlink>
    </w:p>
    <w:p>
      <w:pPr>
        <w:spacing w:before="0" w:after="120"/>
      </w:pPr>
      <w:r>
        <w:rPr>
          <w:b/>
        </w:rPr>
        <w:t xml:space="preserve">Notes: </w:t>
      </w:r>
      <w:r>
        <w:t>abstract_source=nature_html</w:t>
      </w:r>
    </w:p>
    <w:p>
      <w:pPr>
        <w:spacing w:before="0" w:after="80" w:lineRule="auto" w:line="276"/>
      </w:pPr>
      <w:r>
        <w:rPr>
          <w:b/>
        </w:rPr>
        <w:t xml:space="preserve">摘要（ZH）: </w:t>
      </w:r>
      <w:r>
        <w:t>过渡金属独特的反应性具有先进的 C-H 功能化化学，使从业者能够在构效关系 (SAR) 研究过程中直接修饰药物和农化化合物。这些金属特别擅长转化芳烃和芳香杂环的 C-H 键，产生形成 C-C 和 C-杂原子键的新反应。然而，在许多潜在的偶联伙伴中，（杂）芳烃与水和氨的 C-H 偶联反应很少见。1-5 尽管它们是地球上最丰富的两种化学物质，但它们的反应性可能与过渡金属配合物以及与 C-O/C-N 键形成相关的基本步骤不一致。6 我们怀疑过渡金属嵌段之外的元素可能反而会促进这些反应。在这里，我们证明简单的三芳基膦能够选择性地与水和氨进行吖嗪C-H偶联。该反应通过一种独特的机制进行，其中侧链醛和亚胺官能团相互转化为缩醛型和缩醛型形式，在此通过实验和计算进行了研究。这个相邻基团参与的不寻常例子有效地将水和氨分子传递到 P(V) 配位环境中，通过配体偶联反应促进 C-O 和 C-N 键的形成。 7 多种吡啶以及喹啉和二嗪是相容的，并且该化学作用可作为复杂药物和农用化学品羟基化和胺化的后期策略。</w:t>
      </w:r>
    </w:p>
    <w:p>
      <w:pPr>
        <w:spacing w:before="0" w:after="200" w:lineRule="auto" w:line="276"/>
      </w:pPr>
      <w:r>
        <w:rPr>
          <w:b/>
        </w:rPr>
        <w:t xml:space="preserve">Abstract (EN): </w:t>
      </w:r>
      <w:r>
        <w:t>The unique reactivity of transition metals has advanced C–H functionalization chemistry, enabling practitioners to directly modify drug and agrochemical compounds during Structure Activity Relationship (SAR) studies. These metals are particularly adept at transforming the C–H bonds of arenes and aromatic heterocycles, generating new reactions that form C–C and C–heteroatom bonds. However, among the many potential coupling partners, (hetero)arene C–H coupling reactions with water and ammonia are rare.1-5 Despite being two of the most abundant chemicals on Earth, their reactivity can be at odds with transition metal complexes and the elementary steps associated with C–O/C–N bond formation.6 We suspected that elements outside of the transition metal block might instead facilitate these reactions. Here, we show that simple triarylphosphines enable selective azine C–H coupling with water and ammonia. The reactions proceed via a distinct mechanism where pendant aldehyde and imine functional groups interconvert to acetal- and aminal-type forms, studied here both experimentally and computationally. This unusual example of neighboring group participation effectively delivers water and ammonia molecules into a P(V) coordination environment, promoting C–O and C–N bond formation via ligand-coupling reactions.7 A broad range of pyridines are compatible, as well as quinolines and diazines, and the chemistry functions as a late-stage tactic for hydroxylation and amination of complex pharmaceuticals and agrochemicals.</w:t>
      </w:r>
    </w:p>
    <w:p>
      <w:pPr>
        <w:spacing w:before="120" w:after="120"/>
      </w:pPr>
      <w:r>
        <w:rPr>
          <w:sz w:val="18"/>
        </w:rPr>
        <w:t>——————————————————————————————————————————————————————————————————————</w:t>
      </w:r>
    </w:p>
    <w:p>
      <w:pPr>
        <w:spacing w:before="160" w:after="40" w:line="240" w:lineRule="auto"/>
      </w:pPr>
      <w:r>
        <w:rPr>
          <w:b/>
        </w:rPr>
        <w:t xml:space="preserve">[331] </w:t>
      </w:r>
      <w:hyperlink r:id="rId1215">
        <w:r>
          <w:rPr>
            <w:color w:val="1155CC"/>
            <w:u w:val="single"/>
          </w:rPr>
          <w:t>极化激元凝聚体中的拓扑引导涡旋</w:t>
        </w:r>
      </w:hyperlink>
    </w:p>
    <w:p>
      <w:pPr>
        <w:spacing w:before="0" w:after="80"/>
      </w:pPr>
      <w:r>
        <w:rPr>
          <w:i/>
          <w:sz w:val="20"/>
        </w:rPr>
        <w:t>EN: Topology-guided vortices in a polariton condensate</w:t>
      </w:r>
    </w:p>
    <w:p>
      <w:pPr>
        <w:spacing w:before="0" w:after="120"/>
      </w:pPr>
      <w:r>
        <w:rPr>
          <w:b/>
        </w:rPr>
        <w:t xml:space="preserve">Source: </w:t>
      </w:r>
      <w:r>
        <w:t>Nature Materials</w:t>
      </w:r>
      <w:r>
        <w:t xml:space="preserve">    </w:t>
      </w:r>
      <w:r>
        <w:rPr>
          <w:b/>
        </w:rPr>
        <w:t xml:space="preserve">Pub date: </w:t>
      </w:r>
      <w:r>
        <w:t>2026-08-11 00:00:00+00:00</w:t>
      </w:r>
      <w:r>
        <w:t xml:space="preserve">    </w:t>
      </w:r>
      <w:r>
        <w:rPr>
          <w:b/>
        </w:rPr>
        <w:t xml:space="preserve">DOI: </w:t>
      </w:r>
      <w:hyperlink r:id="rId1216">
        <w:r>
          <w:rPr>
            <w:color w:val="1155CC"/>
            <w:u w:val="single"/>
          </w:rPr>
          <w:t>10.1038/s41563-026-02693-5</w:t>
        </w:r>
      </w:hyperlink>
    </w:p>
    <w:p>
      <w:pPr>
        <w:spacing w:before="0" w:after="120"/>
      </w:pPr>
      <w:r>
        <w:rPr>
          <w:b/>
        </w:rPr>
        <w:t xml:space="preserve">Notes: </w:t>
      </w:r>
      <w:r>
        <w:t>abstract_source=pubmed</w:t>
      </w:r>
    </w:p>
    <w:p>
      <w:pPr>
        <w:spacing w:before="0" w:after="80" w:lineRule="auto" w:line="276"/>
      </w:pPr>
      <w:r>
        <w:rPr>
          <w:b/>
        </w:rPr>
        <w:t xml:space="preserve">摘要（ZH）: </w:t>
      </w:r>
      <w:r>
        <w:t>极化子流体的一个主要挑战是实现对宏观凝聚态自旋结构的确定性控制，它控制着涡流、孤子和弦等拓扑激发的成核和动力学。通常，外部规范场用于访问极化子赝自旋，从而产生受腔模式弱约束且对无序和波动敏感的配置。在这里，我们报道了卤化物钙钛矿薄膜中自旋极化子受到连续超表面中束缚态拓扑的限制，且反演对称性被破坏。自旋动量锁定下的几何驱动凝结会产生一对具有相反自旋的半涡旋，本质上固定在从其核心延伸的偏振弦上。通过调整激发密度，这些半涡旋可沿着弦可控地移位，从而防止穿过插入的拓扑畴壁的湮灭。这种方法将空腔几何形状建立为自旋纹理的内在来源，引导涡流位移并在结构无序的材料中实现强大的拓扑激发。</w:t>
      </w:r>
    </w:p>
    <w:p>
      <w:pPr>
        <w:spacing w:before="0" w:after="200" w:lineRule="auto" w:line="276"/>
      </w:pPr>
      <w:r>
        <w:rPr>
          <w:b/>
        </w:rPr>
        <w:t xml:space="preserve">Abstract (EN): </w:t>
      </w:r>
      <w:r>
        <w:t>A major challenge in polariton fluids is achieving deterministic control over the spin texture of the macroscopic condensate, which governs the nucleation and dynamics of topological excitations such as vortices, solitons and strings. Typically, external gauge fields are used to access the polariton pseudospin, resulting in configurations weakly constrained by cavity modes and sensitive to disorder and fluctuations. Here we report spin polaritons confined by the topology of a bound state in the continuum metasurface with broken inversion symmetry in a halide-perovskite film. Geometry-driven condensation under spin-momentum locking produces pairs of half-vortices with opposite spin, intrinsically pinned to polarization strings extending from their cores. By tuning excitation density, these half-vortices are controllably displaced along the strings, preventing annihilation across an interposed topological domain wall. This approach establishes cavity geometry as an intrinsic source of spin textures, guiding vortex displacement and enabling robust topological excitations in structurally disordered materials.</w:t>
      </w:r>
    </w:p>
    <w:p>
      <w:pPr>
        <w:spacing w:before="120" w:after="120"/>
      </w:pPr>
      <w:r>
        <w:rPr>
          <w:sz w:val="18"/>
        </w:rPr>
        <w:t>——————————————————————————————————————————————————————————————————————</w:t>
      </w:r>
    </w:p>
    <w:p>
      <w:pPr>
        <w:spacing w:before="160" w:after="40" w:line="240" w:lineRule="auto"/>
      </w:pPr>
      <w:r>
        <w:rPr>
          <w:b/>
        </w:rPr>
        <w:t xml:space="preserve">[332] </w:t>
      </w:r>
      <w:hyperlink r:id="rId1217">
        <w:r>
          <w:rPr>
            <w:color w:val="1155CC"/>
            <w:u w:val="single"/>
          </w:rPr>
          <w:t>用于定向膜易位的可编程 DNA 折纸纳米注射器</w:t>
        </w:r>
      </w:hyperlink>
    </w:p>
    <w:p>
      <w:pPr>
        <w:spacing w:before="0" w:after="80"/>
      </w:pPr>
      <w:r>
        <w:rPr>
          <w:i/>
          <w:sz w:val="20"/>
        </w:rPr>
        <w:t>EN: A programmable DNA origami nanosyringe for directed membrane translocation</w:t>
      </w:r>
    </w:p>
    <w:p>
      <w:pPr>
        <w:spacing w:before="0" w:after="120"/>
      </w:pPr>
      <w:r>
        <w:rPr>
          <w:b/>
        </w:rPr>
        <w:t xml:space="preserve">Source: </w:t>
      </w:r>
      <w:r>
        <w:t>Nature Nanotechnology</w:t>
      </w:r>
      <w:r>
        <w:t xml:space="preserve">    </w:t>
      </w:r>
      <w:r>
        <w:rPr>
          <w:b/>
        </w:rPr>
        <w:t xml:space="preserve">Pub date: </w:t>
      </w:r>
      <w:r>
        <w:t>2026-08-11 00:00:00+00:00</w:t>
      </w:r>
      <w:r>
        <w:t xml:space="preserve">    </w:t>
      </w:r>
      <w:r>
        <w:rPr>
          <w:b/>
        </w:rPr>
        <w:t xml:space="preserve">DOI: </w:t>
      </w:r>
      <w:hyperlink r:id="rId1218">
        <w:r>
          <w:rPr>
            <w:color w:val="1155CC"/>
            <w:u w:val="single"/>
          </w:rPr>
          <w:t>10.1038/s41565-026-02249-3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菌收缩注射系统提供了一种通过机械驱动进行膜穿透和分子货物靶向递送的模型。在合成纳米级系统中复制这些特征仍然具有挑战性，特别是在将结构组织与动态驱动、可逆性和时空调节耦合方面。在这里，我们报告了一种 DNA 折纸纳米注射器，它集成了这些功能以实现可编程膜易位。 DNA 折纸纳米注射器包含两个由约 10 纳米金纳米颗粒交联的约 70 纳米 DNA 折纸束。其中一束形成胆固醇功能化的膜锚定碱基，而另一束则充当 DNA 燃料驱动的滑动针。与支持的脂质双层或囊泡膜结合后，DNA 燃料驱动以约 14 nm 的步长向下驱动针，从而实现膜穿透，而反向驱动则使针缩回并促进膜重新密封。我们证明，该装置可以将连接在针尖上的货物可控地输送到脂质限制的隔室中，并且可以调节细胞大小环境中的生化过程，包括膜局部杂交链式反应、RNA转录和催化RNA裂解。这些结果展示了构建动态 DNA 装置的策略，该装置在膜界面上运行并协调机械驱动与生化功能。</w:t>
      </w:r>
    </w:p>
    <w:p>
      <w:pPr>
        <w:spacing w:before="0" w:after="200" w:lineRule="auto" w:line="276"/>
      </w:pPr>
      <w:r>
        <w:rPr>
          <w:b/>
        </w:rPr>
        <w:t xml:space="preserve">Abstract (EN): </w:t>
      </w:r>
      <w:r>
        <w:t>Bacterial contractile injection systems provide a model for membrane penetration and targeted delivery of molecular cargo through mechanical actuation. Replicating these features in synthetic nanoscale systems remains challenging, particularly with respect to coupling structural organization with dynamic actuation, reversibility and spatiotemporal regulation. Here we report a DNA origami nanosyringe that integrates these capabilities to enable programmable membrane translocation. The DNA origami nanosyringe comprises two ~70-nm DNA origami bundles crosslinked by a ~10-nm gold nanoparticle. One bundle forms a cholesterol-functionalized membrane-anchoring base, whereas the other serves as a DNA fuel-driven sliding needle. After binding to supported lipid bilayers or vesicle membranes, DNA-fuel actuation drives the needle downwards in ~14-nm steps, thereby enabling membrane penetration, while reverse actuation retracts the needle and promotes membrane resealing. We show that this device provides controllable delivery of cargo tethered to the needle tip into lipid-bounded compartments and can regulate biochemical processes within cell-sized environments, including membrane-localized hybridization chain reactions, RNA transcription and catalytic RNA cleavage. These results demonstrate a strategy for constructing dynamic DNA devices that operate at membrane interfaces and coordinate mechanical actuation with biochemical function.</w:t>
      </w:r>
    </w:p>
    <w:p>
      <w:pPr>
        <w:spacing w:before="120" w:after="120"/>
      </w:pPr>
      <w:r>
        <w:rPr>
          <w:sz w:val="18"/>
        </w:rPr>
        <w:t>——————————————————————————————————————————————————————————————————————</w:t>
      </w:r>
    </w:p>
    <w:p>
      <w:pPr>
        <w:spacing w:before="160" w:after="40" w:line="240" w:lineRule="auto"/>
      </w:pPr>
      <w:r>
        <w:rPr>
          <w:b/>
        </w:rPr>
        <w:t xml:space="preserve">[333] </w:t>
      </w:r>
      <w:hyperlink r:id="rId1219">
        <w:r>
          <w:rPr>
            <w:color w:val="1155CC"/>
            <w:u w:val="single"/>
          </w:rPr>
          <w:t>分子束外延生长的 MnSb2Te4 中的层分辨反位映射</w:t>
        </w:r>
      </w:hyperlink>
    </w:p>
    <w:p>
      <w:pPr>
        <w:spacing w:before="0" w:after="80"/>
      </w:pPr>
      <w:r>
        <w:rPr>
          <w:i/>
          <w:sz w:val="20"/>
        </w:rPr>
        <w:t>EN: Layer-Resolved Antisite Mapping in MnSb2Te4 Grown by Molecular Beam Epitaxy</w:t>
      </w:r>
    </w:p>
    <w:p>
      <w:pPr>
        <w:spacing w:before="0" w:after="120"/>
      </w:pPr>
      <w:r>
        <w:rPr>
          <w:b/>
        </w:rPr>
        <w:t xml:space="preserve">Source: </w:t>
      </w:r>
      <w:r>
        <w:t>ACS Applied Materials &amp; Interfaces: Latest Articles (ACS Publications)</w:t>
      </w:r>
      <w:r>
        <w:t xml:space="preserve">    </w:t>
      </w:r>
      <w:r>
        <w:rPr>
          <w:b/>
        </w:rPr>
        <w:t xml:space="preserve">Pub date: </w:t>
      </w:r>
      <w:r>
        <w:t>2026-08-11 00:00:00+00:00</w:t>
      </w:r>
      <w:r>
        <w:t xml:space="preserve">    </w:t>
      </w:r>
      <w:r>
        <w:rPr>
          <w:b/>
        </w:rPr>
        <w:t xml:space="preserve">DOI: </w:t>
      </w:r>
      <w:hyperlink r:id="rId1220">
        <w:r>
          <w:rPr>
            <w:color w:val="1155CC"/>
            <w:u w:val="single"/>
          </w:rPr>
          <w:t>10.1021/acsami.6c03553</w:t>
        </w:r>
      </w:hyperlink>
    </w:p>
    <w:p>
      <w:pPr>
        <w:spacing w:before="0" w:after="120"/>
      </w:pPr>
      <w:r>
        <w:rPr>
          <w:b/>
        </w:rPr>
        <w:t xml:space="preserve">Notes: </w:t>
      </w:r>
      <w:r>
        <w:t>abstract_source=crossref</w:t>
      </w:r>
    </w:p>
    <w:p>
      <w:pPr>
        <w:spacing w:before="0" w:after="80" w:lineRule="auto" w:line="276"/>
      </w:pPr>
      <w:r>
        <w:rPr>
          <w:b/>
        </w:rPr>
        <w:t xml:space="preserve">摘要（ZH）: </w:t>
      </w:r>
      <w:r>
        <w:t>摘要 磁拓扑绝缘体（MTI）是自旋电子和量子器件的有吸引力的材料。其中，MnSb2Te4因其相对较高的居里温度和铁磁基态而引起了人们的浓厚兴趣，而铁磁基态受Mn-Sb阳离子无序的强烈影响。这种无序主要源于反位缺陷，即Sb占据Mn（3a）位点，相反，Mn占据Sb（6c）位点，这种现象很少以层和位点特异性精度进行量化。在这里，我们使用基于短周期 Sb2Te3/MnTe 堆叠序列的数字合金分子束外延方法生长高质量的 MnSb2Te4 薄膜。该方法能够调整标称 Sb/Mn 比并可靠地形成七层相。所得薄膜是单相且高度结晶的。化学计量薄膜表现出具有垂直各向异性的铁磁性，TC ≈ 50–55 K，并通过光电子能谱显示拓扑表面状态。然后，我们使用高角度环形暗场扫描透射电子显微镜 (HAADF-STEM) 强度分析建立了定量的威科夫分辨反位计量学。值得注意的是，即使在名义上的化学计量薄膜中，我们也解决了沿着生长方向的局部 Sb/Mn 比率中明显的七层到七层的分布，证明了七层长度尺度上的内在成分不均匀性。反位点映射显示出很强的位点选择性。随着化学计量的变化，中心 Mn (3a) 位点的 Sb 占据率大致保持恒定在~30-40%。豪维</w:t>
      </w:r>
    </w:p>
    <w:p>
      <w:pPr>
        <w:spacing w:before="0" w:after="200" w:lineRule="auto" w:line="276"/>
      </w:pPr>
      <w:r>
        <w:rPr>
          <w:b/>
        </w:rPr>
        <w:t xml:space="preserve">Abstract (EN): </w:t>
      </w:r>
      <w:r>
        <w:t>Magnetic topological insulators (MTIs) are attractive materials for spintronic and quantum devices. Among these, MnSb2Te4 has attracted strong interest due to its relatively high Curie temperature and its ferromagnetic ground state, which are strongly influenced by Mn-Sb cation disorder. This disorder primarily arises from antisite defects, namely, Sb occupying Mn (3a) sites and, conversely, Mn occupying Sb (6c) sites, a phenomenon that is rarely quantified with layer- and site-specific precision. Here, we grow high-quality MnSb2Te4 thin films using a digital-alloy molecular beam epitaxy method based on a short-period Sb2Te3/MnTe stacking sequence. This method enables the adjustment of the nominal Sb/Mn ratio and reliable formation of the septuple-layer phase. The resulting films are single-phase and highly crystalline. Stoichiometric films exhibit ferromagnetism with perpendicular anisotropy and TC ≈ 50–55 K, and show topological surface states by photoemission spectroscopy. We then establish a quantitative, Wyckoff-resolved antisite metrology using high-angle annular dark-field scanning transmission electron microscopy (HAADF-STEM) intensity profiling. Notably, even in nominally stoichiometric films, we resolve a pronounced septuple-layer-to-septuple-layer spread in local Sb/Mn ratios along the growth direction, demonstrating intrinsic compositional inhomogeneity on the septuple-layer length scale. Antisite mapping reveals strong site selectivity. Sb occupancy of the central Mn (3a) site remains approximately constant at ∼30–40% with varying stoichiometry. However, the Mn occupancy of the outer Sb (6c) sites increases with Mn content (from ∼0 to ∼50% in the most Mn-rich septuple layers). These results identify the 6c sites as the primary incorporation channel for excess Mn and provide a practical route to quantify and ultimately control cation intermixing in MTI thin films.</w:t>
      </w:r>
    </w:p>
    <w:p>
      <w:pPr>
        <w:spacing w:before="120" w:after="120"/>
      </w:pPr>
      <w:r>
        <w:rPr>
          <w:sz w:val="18"/>
        </w:rPr>
        <w:t>——————————————————————————————————————————————————————————————————————</w:t>
      </w:r>
    </w:p>
    <w:p>
      <w:pPr>
        <w:spacing w:before="160" w:after="40" w:line="240" w:lineRule="auto"/>
      </w:pPr>
      <w:r>
        <w:rPr>
          <w:b/>
        </w:rPr>
        <w:t xml:space="preserve">[334] </w:t>
      </w:r>
      <w:hyperlink r:id="rId1221">
        <w:r>
          <w:rPr>
            <w:color w:val="1155CC"/>
            <w:u w:val="single"/>
          </w:rPr>
          <w:t>能源安全与能源可持续发展：ESSTM模型中转型张力与战略平衡点的定量识别——以欧盟国家为例</w:t>
        </w:r>
      </w:hyperlink>
    </w:p>
    <w:p>
      <w:pPr>
        <w:spacing w:before="0" w:after="80"/>
      </w:pPr>
      <w:r>
        <w:rPr>
          <w:i/>
          <w:sz w:val="20"/>
        </w:rPr>
        <w:t>EN: Between energy security and sustainable energy development: quantitative identification of transformational tensions and strategic equilibrium points in the ESSTM model based on the example of European Union countries</w:t>
      </w:r>
    </w:p>
    <w:p>
      <w:pPr>
        <w:spacing w:before="0" w:after="120"/>
      </w:pPr>
      <w:r>
        <w:rPr>
          <w:b/>
        </w:rPr>
        <w:t xml:space="preserve">Source: </w:t>
      </w:r>
      <w:r>
        <w:t>ScienceDirect Publication: Applied Energy</w:t>
      </w:r>
      <w:r>
        <w:t xml:space="preserve">    </w:t>
      </w:r>
      <w:r>
        <w:rPr>
          <w:b/>
        </w:rPr>
        <w:t xml:space="preserve">Pub date: </w:t>
      </w:r>
      <w:r>
        <w:t>2026-08-11 00:00:00+00:00</w:t>
      </w:r>
      <w:r>
        <w:t xml:space="preserve">    </w:t>
      </w:r>
      <w:r>
        <w:rPr>
          <w:b/>
        </w:rPr>
        <w:t xml:space="preserve">DOI: </w:t>
      </w:r>
      <w:hyperlink r:id="rId1222">
        <w:r>
          <w:rPr>
            <w:color w:val="1155CC"/>
            <w:u w:val="single"/>
          </w:rPr>
          <w:t>10.1016/j.apenergy.2026.128619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[335] </w:t>
      </w:r>
      <w:hyperlink r:id="rId1223">
        <w:r>
          <w:rPr>
            <w:color w:val="1155CC"/>
            <w:u w:val="single"/>
          </w:rPr>
          <w:t>储能遇见智能：迈向人工智能驱动的能源管理、系统设计和具有能源使用感知的智能操作</w:t>
        </w:r>
      </w:hyperlink>
    </w:p>
    <w:p>
      <w:pPr>
        <w:spacing w:before="0" w:after="80"/>
      </w:pPr>
      <w:r>
        <w:rPr>
          <w:i/>
          <w:sz w:val="20"/>
        </w:rPr>
        <w:t>EN: Energy storage meets intelligence: Towards AI-driven energy management, system design and smart operation with energy-usage awareness</w:t>
      </w:r>
    </w:p>
    <w:p>
      <w:pPr>
        <w:spacing w:before="0" w:after="120"/>
      </w:pPr>
      <w:r>
        <w:rPr>
          <w:b/>
        </w:rPr>
        <w:t xml:space="preserve">Source: </w:t>
      </w:r>
      <w:r>
        <w:t>ScienceDirect Publication: Applied Energy</w:t>
      </w:r>
      <w:r>
        <w:t xml:space="preserve">    </w:t>
      </w:r>
      <w:r>
        <w:rPr>
          <w:b/>
        </w:rPr>
        <w:t xml:space="preserve">Pub date: </w:t>
      </w:r>
      <w:r>
        <w:t>2026-08-11 00:00:00+00:00</w:t>
      </w:r>
      <w:r>
        <w:t xml:space="preserve">    </w:t>
      </w:r>
      <w:r>
        <w:rPr>
          <w:b/>
        </w:rPr>
        <w:t xml:space="preserve">DOI: </w:t>
      </w:r>
      <w:hyperlink r:id="rId1224">
        <w:r>
          <w:rPr>
            <w:color w:val="1155CC"/>
            <w:u w:val="single"/>
          </w:rPr>
          <w:t>10.1016/j.apenergy.2026.128636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[336] </w:t>
      </w:r>
      <w:hyperlink r:id="rId1225">
        <w:r>
          <w:rPr>
            <w:color w:val="1155CC"/>
            <w:u w:val="single"/>
          </w:rPr>
          <w:t>点亮生物学：用于传感和成像的 GFP 荧光探针</w:t>
        </w:r>
      </w:hyperlink>
    </w:p>
    <w:p>
      <w:pPr>
        <w:spacing w:before="0" w:after="80"/>
      </w:pPr>
      <w:r>
        <w:rPr>
          <w:i/>
          <w:sz w:val="20"/>
        </w:rPr>
        <w:t>EN: Lighting Up Biology: GFP-Inspired Fluorescent Probes for Sensing and Imaging</w:t>
      </w:r>
    </w:p>
    <w:p>
      <w:pPr>
        <w:spacing w:before="0" w:after="120"/>
      </w:pPr>
      <w:r>
        <w:rPr>
          <w:b/>
        </w:rPr>
        <w:t xml:space="preserve">Source: </w:t>
      </w:r>
      <w:r>
        <w:t>Journal of the American Chemical Society: Latest Articles (ACS Publications)</w:t>
      </w:r>
      <w:r>
        <w:t xml:space="preserve">    </w:t>
      </w:r>
      <w:r>
        <w:rPr>
          <w:b/>
        </w:rPr>
        <w:t xml:space="preserve">Pub date: </w:t>
      </w:r>
      <w:r>
        <w:t>2026-08-11 00:00:00+00:00</w:t>
      </w:r>
      <w:r>
        <w:t xml:space="preserve">    </w:t>
      </w:r>
      <w:r>
        <w:rPr>
          <w:b/>
        </w:rPr>
        <w:t xml:space="preserve">DOI: </w:t>
      </w:r>
      <w:hyperlink r:id="rId1226">
        <w:r>
          <w:rPr>
            <w:color w:val="1155CC"/>
            <w:u w:val="single"/>
          </w:rPr>
          <w:t>10.1021/jacs.5c16404</w:t>
        </w:r>
      </w:hyperlink>
    </w:p>
    <w:p>
      <w:pPr>
        <w:spacing w:before="0" w:after="120"/>
      </w:pPr>
      <w:r>
        <w:rPr>
          <w:b/>
        </w:rPr>
        <w:t xml:space="preserve">Notes: </w:t>
      </w:r>
      <w:r>
        <w:t>abstract_source=crossref</w:t>
      </w:r>
    </w:p>
    <w:p>
      <w:pPr>
        <w:spacing w:before="0" w:after="80" w:lineRule="auto" w:line="276"/>
      </w:pPr>
      <w:r>
        <w:rPr>
          <w:b/>
        </w:rPr>
        <w:t xml:space="preserve">摘要（ZH）: </w:t>
      </w:r>
      <w:r>
        <w:t>摘要 绿色荧光蛋白 (GFP) 发色团类似物源自 GFP 发色团的核心结构，对羟基苯亚甲基咪唑啉酮 (HBDI)。 HBDI 类似物具有吸引力且易于调节，已适用于一系列传感和成像应用，这也是本观点的焦点。首先，将介绍其合成的常用方法，然后讨论 HBDI 衍生物的独特结构和光物理性质。然后将突出显示导致可调节光物理特性的结构修改。最后，该观点将介绍 HBDI 类似物在生物科学中用于传感和成像的代表性示例。这一观点强调了 HBDI 类似物的关键设计策略、激活模式以及相关优势、局限性和机遇，并通过研究生物分子、细胞过程和疾病生物标志物的代表性应用来说明。</w:t>
      </w:r>
    </w:p>
    <w:p>
      <w:pPr>
        <w:spacing w:before="0" w:after="200" w:lineRule="auto" w:line="276"/>
      </w:pPr>
      <w:r>
        <w:rPr>
          <w:b/>
        </w:rPr>
        <w:t xml:space="preserve">Abstract (EN): </w:t>
      </w:r>
      <w:r>
        <w:t>Green fluorescent protein (GFP) chromophore analogues are derived from the core structure of the GFP chromophore, p-hydroxybenzylideneimidazolidinone (HBDI). Appealing and readily tunable, HBDI analogues have been adapted for a range of sensing and imaging applications, as is the focus of this perspective. First, common methods for their synthesis will be presented, followed by a discussion of the unique structural and photophysical properties of HBDI derivatives. Structural modifications resulting in tunable photophysical properties will then be highlighted. Finally, this perspective will present representative examples of the use of HBDI analogues for sensing and imaging in biological sciences. This perspective highlights key design strategies, modes of activation, and the associated advantages, limitations, and opportunities of HBDI analogues, illustrated by representative applications in studying biomolecules, cellular processes, and disease biomarkers.</w:t>
      </w:r>
    </w:p>
    <w:p>
      <w:pPr>
        <w:spacing w:before="120" w:after="120"/>
      </w:pPr>
      <w:r>
        <w:rPr>
          <w:sz w:val="18"/>
        </w:rPr>
        <w:t>——————————————————————————————————————————————————————————————————————</w:t>
      </w:r>
    </w:p>
    <w:p>
      <w:pPr>
        <w:spacing w:before="160" w:after="40" w:line="240" w:lineRule="auto"/>
      </w:pPr>
      <w:r>
        <w:rPr>
          <w:b/>
        </w:rPr>
        <w:t xml:space="preserve">[337] </w:t>
      </w:r>
      <w:hyperlink r:id="rId1227">
        <w:r>
          <w:rPr>
            <w:color w:val="1155CC"/>
            <w:u w:val="single"/>
          </w:rPr>
          <w:t>克服实体瘤中的障碍：乳酸驱动的纳米马达增强渗透和反向免疫抑制</w:t>
        </w:r>
      </w:hyperlink>
    </w:p>
    <w:p>
      <w:pPr>
        <w:spacing w:before="0" w:after="80"/>
      </w:pPr>
      <w:r>
        <w:rPr>
          <w:i/>
          <w:sz w:val="20"/>
        </w:rPr>
        <w:t>EN: Overcoming Barriers in Solid Tumors: Lactate-Fueled Nanomotors Enhance Penetration and Reverse Immunosuppression</w:t>
      </w:r>
    </w:p>
    <w:p>
      <w:pPr>
        <w:spacing w:before="0" w:after="120"/>
      </w:pPr>
      <w:r>
        <w:rPr>
          <w:b/>
        </w:rPr>
        <w:t xml:space="preserve">Source: </w:t>
      </w:r>
      <w:r>
        <w:t>Journal of the American Chemical Society: Latest Articles (ACS Publications)</w:t>
      </w:r>
      <w:r>
        <w:t xml:space="preserve">    </w:t>
      </w:r>
      <w:r>
        <w:rPr>
          <w:b/>
        </w:rPr>
        <w:t xml:space="preserve">Pub date: </w:t>
      </w:r>
      <w:r>
        <w:t>2026-08-11 00:00:00+00:00</w:t>
      </w:r>
      <w:r>
        <w:t xml:space="preserve">    </w:t>
      </w:r>
      <w:r>
        <w:rPr>
          <w:b/>
        </w:rPr>
        <w:t xml:space="preserve">DOI: </w:t>
      </w:r>
      <w:hyperlink r:id="rId1228">
        <w:r>
          <w:rPr>
            <w:color w:val="1155CC"/>
            <w:u w:val="single"/>
          </w:rPr>
          <w:t>10.1021/jacs.6c05546</w:t>
        </w:r>
      </w:hyperlink>
    </w:p>
    <w:p>
      <w:pPr>
        <w:spacing w:before="0" w:after="120"/>
      </w:pPr>
      <w:r>
        <w:rPr>
          <w:b/>
        </w:rPr>
        <w:t xml:space="preserve">Notes: </w:t>
      </w:r>
      <w:r>
        <w:t>abstract_source=crossref</w:t>
      </w:r>
    </w:p>
    <w:p>
      <w:pPr>
        <w:spacing w:before="0" w:after="80" w:lineRule="auto" w:line="276"/>
      </w:pPr>
      <w:r>
        <w:rPr>
          <w:b/>
        </w:rPr>
        <w:t xml:space="preserve">摘要（ZH）: </w:t>
      </w:r>
      <w:r>
        <w:t>摘要：实体瘤由于其致密的细胞外基质和代谢性免疫抑制微环境限制了药物渗透和免疫清除，因此提出了治疗挑战。为了克服这些障碍，我们描述了一种工程化的乳酸驱动的Janus纳米马达（NM(dox)-LOx），由铂（Pt）纳米枝晶和介孔二氧化硅纳米颗粒（MSN）组成，负载阿霉素（Dox）并用乳酸氧化酶（LOx）功能化。在该设计中，LOx 充当蛋白酶敏感的分子门，控制 Dox 的释放，并催化肿瘤积累的乳酸的氧化，使用这种代谢物作为生物燃料来产生过氧化氢，过氧化氢被 Pt 催化转化为氧气和水。该级联产生驱动纳米电机的自推进力。同时，催化乳酸消耗会重新编程肿瘤微环境，促进细胞毒性 T 细胞浸润并恢复免疫活性。 NM(dox)-LOx 在人 SK-MEL-103 和鼠 B16-F10 黑色素瘤模型（包括 2D 培养物、3D 球状体和体内肿瘤）中表现出有效的肿瘤积累和有效的抗肿瘤活性。值得注意的是，体内 B16-F10 黑色素瘤模型的治疗实现了显着的肿瘤消退和增强的细胞毒性 T 细胞浸润，同时保持最小的全身毒性。总体而言，这种多功能纳米马达结合了增强的药物输送和免疫激活，有效克服了实体瘤的结构和代谢障碍，并代表了自驱动治疗纳米颗粒的一种有前途的策略。</w:t>
      </w:r>
    </w:p>
    <w:p>
      <w:pPr>
        <w:spacing w:before="0" w:after="200" w:lineRule="auto" w:line="276"/>
      </w:pPr>
      <w:r>
        <w:rPr>
          <w:b/>
        </w:rPr>
        <w:t xml:space="preserve">Abstract (EN): </w:t>
      </w:r>
      <w:r>
        <w:t>Solid tumors present a therapeutic challenge due to their dense extracellular matrix and metabolically immunosuppressive microenvironment, which limit drug penetration and immune clearance. To overcome these barriers, we describe an engineered lactate-powered Janus nanomotor (NM(dox)-LOx) composed of a platinum (Pt) nanodendrite and a mesoporous silica nanoparticle (MSN), loaded with doxorubicin (Dox) and functionalized with the enzyme lactate oxidase (LOx). In this design, LOx acts as a protease-sensitive molecular gate for controlled Dox release and catalyzes the oxidation of tumor-accumulated lactate, using this metabolite as a biofuel to generate hydrogen peroxide, which is catalyzed by Pt into oxygen and water. This cascade generates a self-propulsive force that drives the nanomotor. Concurrently, catalytic lactate depletion reprograms the tumor microenvironment, promoting cytotoxic T cell infiltration and restoring immune activity. NM(dox)-LOx demonstrates efficient tumor accumulation and potent antitumor activity in human SK-MEL-103 and murine B16–F10 melanoma models, including 2D cultures, 3D spheroids, and in vivo tumors. Remarkably, treatment in an in vivo B16–F10 melanoma model achieved pronounced tumor regression and enhanced cytotoxic T cell infiltration, while maintaining minimal systemic toxicity. Overall, this multifunctional nanomotor couples enhanced drug delivery with immune activation, effectively overcoming the structural and metabolic barriers of solid tumors, and represents a promising strategy for self-propelled therapeutic nanoparticles in cancer treatment.</w:t>
      </w:r>
    </w:p>
    <w:p>
      <w:pPr>
        <w:spacing w:before="120" w:after="120"/>
      </w:pPr>
      <w:r>
        <w:rPr>
          <w:sz w:val="18"/>
        </w:rPr>
        <w:t>——————————————————————————————————————————————————————————————————————</w:t>
      </w:r>
    </w:p>
    <w:p>
      <w:pPr>
        <w:spacing w:before="160" w:after="40" w:line="240" w:lineRule="auto"/>
      </w:pPr>
      <w:r>
        <w:rPr>
          <w:b/>
        </w:rPr>
        <w:t xml:space="preserve">[338] </w:t>
      </w:r>
      <w:hyperlink r:id="rId1229">
        <w:r>
          <w:rPr>
            <w:color w:val="1155CC"/>
            <w:u w:val="single"/>
          </w:rPr>
          <w:t>载体介导的 PFAS 跨液膜选择性运输</w:t>
        </w:r>
      </w:hyperlink>
    </w:p>
    <w:p>
      <w:pPr>
        <w:spacing w:before="0" w:after="80"/>
      </w:pPr>
      <w:r>
        <w:rPr>
          <w:i/>
          <w:sz w:val="20"/>
        </w:rPr>
        <w:t>EN: Carrier-Mediated Selective Transport of PFAS across Liquid Membranes</w:t>
      </w:r>
    </w:p>
    <w:p>
      <w:pPr>
        <w:spacing w:before="0" w:after="120"/>
      </w:pPr>
      <w:r>
        <w:rPr>
          <w:b/>
        </w:rPr>
        <w:t xml:space="preserve">Source: </w:t>
      </w:r>
      <w:r>
        <w:t>Journal of the American Chemical Society: Latest Articles (ACS Publications)</w:t>
      </w:r>
      <w:r>
        <w:t xml:space="preserve">    </w:t>
      </w:r>
      <w:r>
        <w:rPr>
          <w:b/>
        </w:rPr>
        <w:t xml:space="preserve">Pub date: </w:t>
      </w:r>
      <w:r>
        <w:t>2026-08-11 00:00:00+00:00</w:t>
      </w:r>
      <w:r>
        <w:t xml:space="preserve">    </w:t>
      </w:r>
      <w:r>
        <w:rPr>
          <w:b/>
        </w:rPr>
        <w:t xml:space="preserve">DOI: </w:t>
      </w:r>
      <w:hyperlink r:id="rId1230">
        <w:r>
          <w:rPr>
            <w:color w:val="1155CC"/>
            <w:u w:val="single"/>
          </w:rPr>
          <w:t>10.1021/jacs.6c10023</w:t>
        </w:r>
      </w:hyperlink>
    </w:p>
    <w:p>
      <w:pPr>
        <w:spacing w:before="0" w:after="120"/>
      </w:pPr>
      <w:r>
        <w:rPr>
          <w:b/>
        </w:rPr>
        <w:t xml:space="preserve">Notes: </w:t>
      </w:r>
      <w:r>
        <w:t>abstract_source=crossref</w:t>
      </w:r>
    </w:p>
    <w:p>
      <w:pPr>
        <w:spacing w:before="0" w:after="80" w:lineRule="auto" w:line="276"/>
      </w:pPr>
      <w:r>
        <w:rPr>
          <w:b/>
        </w:rPr>
        <w:t xml:space="preserve">摘要（ZH）: </w:t>
      </w:r>
      <w:r>
        <w:t>摘要 全氟烷基物质和多氟烷基物质（PFAS）是持久性污染物，其环境迁移性和生物积累受跨相边界的传输控制。尽管生物 PFAS 转运已得到广泛研究，但能够介导选择性 PFAS 转运的合成系统仍不发达。在这里，我们报道了一系列合成载体 (P1-7)，它们能够在温和的 pH 梯度下实现结构依赖性、定向 PFAS 跨液膜运输。结合相互作用通过紫外可见（UV-Vis）和核磁共振（NMR）光谱研究进行表征，并得到密度泛函理论（DFT）计算的支持。通过液相色谱-质谱法（LC-MS）量化传输效率。研究发现结构变化可以调节主客体相互作用，从而能够从竞争性水性混合物中选择性传输目标 PFAS，效率超过 90%，而竞争性物种则基本上未被传输。在没有载体的情况下，运输量可以忽略不计。使用含有 ppm 级竞争性无机离子的湖水（美国德克萨斯州奥斯汀）进一步证明了该系统的实际适用性，选择性 PFOS 传输在相关 ppt 级浓度下仍然有效。这些发现将选择性人工 PFAS 转运确立为可调节的超分子介导过程，并为 PFAS 去除、分离和潜在解毒提供了概念基础。</w:t>
      </w:r>
    </w:p>
    <w:p>
      <w:pPr>
        <w:spacing w:before="0" w:after="200" w:lineRule="auto" w:line="276"/>
      </w:pPr>
      <w:r>
        <w:rPr>
          <w:b/>
        </w:rPr>
        <w:t xml:space="preserve">Abstract (EN): </w:t>
      </w:r>
      <w:r>
        <w:t>Per- and polyfluoroalkyl substances (PFAS) are persistent pollutants whose environmental mobility and biological accumulation are governed by transport across phase boundaries. Although biological PFAS transport has been extensively investigated, synthetic systems capable of mediating selective PFAS transport remain underdeveloped. Here, we report a family of synthetic carriers (P1–7) that enable structure-dependent, directional PFAS transport across liquid membranes under mild pH gradients. Binding interactions were characterized by ultraviolet–visible (UV–Vis) and nuclear magnetic resonance (NMR) spectroscopic studies and supported by density functional theory (DFT) calculations. Transport efficiencies were quantified by liquid chromatography–mass spectrometry (LC–MS). Structural variations were found to modulate the host–guest interactions, enabling selective transport of targeted PFAS from competitive aqueous mixtures with efficiencies exceeding 90%, whereas competing species remain largely untransported. Negligible transport occurs in the absence of a carrier. The practical applicability of the system was further demonstrated using lake water (Austin, TX, USA) containing ppm-level competing inorganic ions, with selective PFOS transport remaining effective at the associated ppt-level concentrations. These findings establish selective artificial PFAS transport as a tunable supramolecular-mediated process and provide a conceptual foundation for PFAS removal, separation, and potential detoxification.</w:t>
      </w:r>
    </w:p>
    <w:p>
      <w:pPr>
        <w:spacing w:before="120" w:after="120"/>
      </w:pPr>
      <w:r>
        <w:rPr>
          <w:sz w:val="18"/>
        </w:rPr>
        <w:t>——————————————————————————————————————————————————————————————————————</w:t>
      </w:r>
    </w:p>
    <w:p>
      <w:pPr>
        <w:spacing w:before="160" w:after="40" w:line="240" w:lineRule="auto"/>
      </w:pPr>
      <w:r>
        <w:rPr>
          <w:b/>
        </w:rPr>
        <w:t xml:space="preserve">[339] </w:t>
      </w:r>
      <w:hyperlink r:id="rId1231">
        <w:r>
          <w:rPr>
            <w:color w:val="1155CC"/>
            <w:u w:val="single"/>
          </w:rPr>
          <w:t>共轭二烯的构象决定的发散三线态反应性：可见光诱导的电环化、1,5-HAT 和环加成</w:t>
        </w:r>
      </w:hyperlink>
    </w:p>
    <w:p>
      <w:pPr>
        <w:spacing w:before="0" w:after="80"/>
      </w:pPr>
      <w:r>
        <w:rPr>
          <w:i/>
          <w:sz w:val="20"/>
        </w:rPr>
        <w:t>EN: Conformationally Dictated Divergent Triplet Reactivity of Conjugated Dienes: Visible-Light-Induced Electrocyclization, 1,5-HAT, and Cycloaddition</w:t>
      </w:r>
    </w:p>
    <w:p>
      <w:pPr>
        <w:spacing w:before="0" w:after="120"/>
      </w:pPr>
      <w:r>
        <w:rPr>
          <w:b/>
        </w:rPr>
        <w:t xml:space="preserve">Source: </w:t>
      </w:r>
      <w:r>
        <w:t>Journal of the American Chemical Society: Latest Articles (ACS Publications)</w:t>
      </w:r>
      <w:r>
        <w:t xml:space="preserve">    </w:t>
      </w:r>
      <w:r>
        <w:rPr>
          <w:b/>
        </w:rPr>
        <w:t xml:space="preserve">Pub date: </w:t>
      </w:r>
      <w:r>
        <w:t>2026-08-11 00:00:00+00:00</w:t>
      </w:r>
      <w:r>
        <w:t xml:space="preserve">    </w:t>
      </w:r>
      <w:r>
        <w:rPr>
          <w:b/>
        </w:rPr>
        <w:t xml:space="preserve">DOI: </w:t>
      </w:r>
      <w:hyperlink r:id="rId1232">
        <w:r>
          <w:rPr>
            <w:color w:val="1155CC"/>
            <w:u w:val="single"/>
          </w:rPr>
          <w:t>10.1021/jacs.6c07119</w:t>
        </w:r>
      </w:hyperlink>
    </w:p>
    <w:p>
      <w:pPr>
        <w:spacing w:before="0" w:after="120"/>
      </w:pPr>
      <w:r>
        <w:rPr>
          <w:b/>
        </w:rPr>
        <w:t xml:space="preserve">Notes: </w:t>
      </w:r>
      <w:r>
        <w:t>abstract_source=crossref</w:t>
      </w:r>
    </w:p>
    <w:p>
      <w:pPr>
        <w:spacing w:before="0" w:after="80" w:lineRule="auto" w:line="276"/>
      </w:pPr>
      <w:r>
        <w:rPr>
          <w:b/>
        </w:rPr>
        <w:t xml:space="preserve">摘要（ZH）: </w:t>
      </w:r>
      <w:r>
        <w:t>摘要 反应轨迹的精确控制仍然是光化学合成中的一个艰巨的挑战，特别是对于连续的 π 系统产生多个竞争反应途径的共轭二烯。在此，我们报告了一种由可见光诱导能量转移（EnT）催化实现的不同合成平台。通过利用环状共轭二烯如何适应或限制环状主链所需的扭转变形以形成反式环烯烃中间体，该策略决定了它们的光化学命运，通过环依赖性动力学控制将反应性优雅地引导到三个不同的流形中。通过对骨架参数（如环大小、几何刚性和空间位阻）的策略性控制，我们通过分子内 4π 电环化选择性地获得高张力的环丁烯稠合支架，通过分子内 1,5-氢原子转移 (1,5-HAT) 实现功能化氮杂环丁烷，以及通过分子间 [4 + 2] Diels-Alder 环加成获得三环加合物。综合实验和密度泛函理论（DFT）研究表明，这些光生瞬态中间体的精确路径分歧严格由构象控制的动力学屏障决定。这些几何参数不仅控制着高反应性、扭曲的反式环烯中间体的可及性，而且还控制着不同反应通道之间随后的动力学竞争。最终，这项工作表明，可见光敏化能够产生和高效的前</w:t>
      </w:r>
    </w:p>
    <w:p>
      <w:pPr>
        <w:spacing w:before="0" w:after="200" w:lineRule="auto" w:line="276"/>
      </w:pPr>
      <w:r>
        <w:rPr>
          <w:b/>
        </w:rPr>
        <w:t xml:space="preserve">Abstract (EN): </w:t>
      </w:r>
      <w:r>
        <w:t>The precise control of reaction trajectories remains a formidable challenge in photochemical synthesis, particularly for conjugated dienes whose consecutive π-systems give rise to multiple competing reaction pathways. Herein, we report a divergent synthetic platform enabled by visible-light-induced energy transfer (EnT) catalysis. By exploiting how cyclic conjugated dienes accommodate or restrict the requisite torsional distortion of the cyclic backbone to form a trans-cycloalkene intermediate, this strategy dictates their photochemical fate, elegantly channeling reactivity into three distinct manifolds through ring-dependent kinetic control. Through strategic manipulation of skeletal parameters─such as ring size, geometric rigidity, and steric hindrance─we achieved selective access to highly strained cyclobutene-fused scaffolds via intramolecular 4π electrocyclization, functionalized azetidines via an intramolecular 1,5-hydrogen atom transfer (1,5-HAT), and tricyclic adducts via an intermolecular [4 + 2] Diels–Alder cycloaddition. Comprehensive experimental and density functional theory (DFT) studies reveal that the precise pathway divergence of these photogenerated transient intermediates is strictly dictated by conformationally controlled kinetic barriers. These geometric parameters govern not only the accessibility of the highly reactive, twisted trans-cycloalkene intermediate but also the subsequent kinetic competition among divergent reaction channels. Ultimately, this work demonstrates that visible-light sensitization enables the generation and productive exploitation of such high-energy transient species, providing a modular blueprint for the programmed construction of complex architectures from simple diene precursors.</w:t>
      </w:r>
    </w:p>
    <w:p>
      <w:pPr>
        <w:spacing w:before="120" w:after="120"/>
      </w:pPr>
      <w:r>
        <w:rPr>
          <w:sz w:val="18"/>
        </w:rPr>
        <w:t>——————————————————————————————————————————————————————————————————————</w:t>
      </w:r>
    </w:p>
    <w:p>
      <w:pPr>
        <w:spacing w:before="160" w:after="40" w:line="240" w:lineRule="auto"/>
      </w:pPr>
      <w:r>
        <w:rPr>
          <w:b/>
        </w:rPr>
        <w:t xml:space="preserve">[340] </w:t>
      </w:r>
      <w:hyperlink r:id="rId1233">
        <w:r>
          <w:rPr>
            <w:color w:val="1155CC"/>
            <w:u w:val="single"/>
          </w:rPr>
          <w:t>铁卡宾与二氮烯的交叉复分解</w:t>
        </w:r>
      </w:hyperlink>
    </w:p>
    <w:p>
      <w:pPr>
        <w:spacing w:before="0" w:after="80"/>
      </w:pPr>
      <w:r>
        <w:rPr>
          <w:i/>
          <w:sz w:val="20"/>
        </w:rPr>
        <w:t>EN: Cross-Metathesis of an Iron Carbene with Diazenes</w:t>
      </w:r>
    </w:p>
    <w:p>
      <w:pPr>
        <w:spacing w:before="0" w:after="120"/>
      </w:pPr>
      <w:r>
        <w:rPr>
          <w:b/>
        </w:rPr>
        <w:t xml:space="preserve">Source: </w:t>
      </w:r>
      <w:r>
        <w:t>Journal of the American Chemical Society: Latest Articles (ACS Publications)</w:t>
      </w:r>
      <w:r>
        <w:t xml:space="preserve">    </w:t>
      </w:r>
      <w:r>
        <w:rPr>
          <w:b/>
        </w:rPr>
        <w:t xml:space="preserve">Pub date: </w:t>
      </w:r>
      <w:r>
        <w:t>2026-08-11 00:00:00+00:00</w:t>
      </w:r>
      <w:r>
        <w:t xml:space="preserve">    </w:t>
      </w:r>
      <w:r>
        <w:rPr>
          <w:b/>
        </w:rPr>
        <w:t xml:space="preserve">DOI: </w:t>
      </w:r>
      <w:hyperlink r:id="rId1234">
        <w:r>
          <w:rPr>
            <w:color w:val="1155CC"/>
            <w:u w:val="single"/>
          </w:rPr>
          <w:t>10.1021/jacs.6c10280</w:t>
        </w:r>
      </w:hyperlink>
    </w:p>
    <w:p>
      <w:pPr>
        <w:spacing w:before="0" w:after="120"/>
      </w:pPr>
      <w:r>
        <w:rPr>
          <w:b/>
        </w:rPr>
        <w:t xml:space="preserve">Notes: </w:t>
      </w:r>
      <w:r>
        <w:t>abstract_source=crossref</w:t>
      </w:r>
    </w:p>
    <w:p>
      <w:pPr>
        <w:spacing w:before="0" w:after="80" w:lineRule="auto" w:line="276"/>
      </w:pPr>
      <w:r>
        <w:rPr>
          <w:b/>
        </w:rPr>
        <w:t xml:space="preserve">摘要（ZH）: </w:t>
      </w:r>
      <w:r>
        <w:t>摘要 烯烃复分解是合成化学中最通用的反应之一。 C=X (X = O, NR2) 底物的复分解也已被开发出来；然而，二氮烯和烯烃的简单交叉复分解仍未实现，部分原因是缺乏有关传统烯烃交叉复分解催化剂失活途径的机械信息。在此，我们报道了 [{PC(sp2)P}Fe(NCtBu)(N2)]（[PC(sp2)P] = 双(2-二异丙基膦基)亚甲基）与环状二氮烯的反应以及复分解相关产物的形成。这些反应导致从重氮辛中分离出二氮杂金属环丁烷，该环打开，形成原位亚胺铁络合物，该络合物经过分子内 C-H 胺化，得到二氢吲哚铁。用二苯二氮卓限制这种副反应导致形成亚胺铁络合物，其结构特征在于其氧化形式。</w:t>
      </w:r>
    </w:p>
    <w:p>
      <w:pPr>
        <w:spacing w:before="0" w:after="200" w:lineRule="auto" w:line="276"/>
      </w:pPr>
      <w:r>
        <w:rPr>
          <w:b/>
        </w:rPr>
        <w:t xml:space="preserve">Abstract (EN): </w:t>
      </w:r>
      <w:r>
        <w:t>Olefin metathesis is one of the most versatile reactions in synthetic chemistry. Metathesis of C═X (X = O, NR2) substrates has also been developed; however, the simple cross-metathesis of diazenes and olefins remains unrealized, in part due to the lack of mechanistic information about deactivation pathways for traditional olefin cross-metathesis catalysts. Herein, we report the reactions of [{PC(sp2)P}Fe(NCtBu)(N2)] ([PC(sp2)P] = bis(2-di-iso-propylphosphino)methylene) with cyclic diazenes and the formation of metathesis-related products. These reactions led to the isolation of a diazametallacyclobutane from diazocine that ring opens to afford an in situ iron imide complex, which undergoes an intramolecular C–H amination to afford an iron indoline. Restricting this side reaction with dibenzodiazepine led to the formation of an iron imide complex, which was structurally characterized in its oxidized form.</w:t>
      </w:r>
    </w:p>
    <w:p>
      <w:pPr>
        <w:spacing w:before="120" w:after="120"/>
      </w:pPr>
      <w:r>
        <w:rPr>
          <w:sz w:val="18"/>
        </w:rPr>
        <w:t>——————————————————————————————————————————————————————————————————————</w:t>
      </w:r>
    </w:p>
    <w:p>
      <w:pPr>
        <w:spacing w:before="160" w:after="40" w:line="240" w:lineRule="auto"/>
      </w:pPr>
      <w:r>
        <w:rPr>
          <w:b/>
        </w:rPr>
        <w:t xml:space="preserve">[341] </w:t>
      </w:r>
      <w:hyperlink r:id="rId1235">
        <w:r>
          <w:rPr>
            <w:color w:val="1155CC"/>
            <w:u w:val="single"/>
          </w:rPr>
          <w:t>不断上涨的成本如何导致乔德雷尔银行的射电望远镜失效</w:t>
        </w:r>
      </w:hyperlink>
    </w:p>
    <w:p>
      <w:pPr>
        <w:spacing w:before="0" w:after="80"/>
      </w:pPr>
      <w:r>
        <w:rPr>
          <w:i/>
          <w:sz w:val="20"/>
        </w:rPr>
        <w:t>EN: How escalating costs scuppered a radio telescope at Joddrell Bank</w:t>
      </w:r>
    </w:p>
    <w:p>
      <w:pPr>
        <w:spacing w:before="0" w:after="120"/>
      </w:pPr>
      <w:r>
        <w:rPr>
          <w:b/>
        </w:rPr>
        <w:t xml:space="preserve">Source: </w:t>
      </w:r>
      <w:r>
        <w:t>Nature</w:t>
      </w:r>
      <w:r>
        <w:t xml:space="preserve">    </w:t>
      </w:r>
      <w:r>
        <w:rPr>
          <w:b/>
        </w:rPr>
        <w:t xml:space="preserve">Pub date: </w:t>
      </w:r>
      <w:r>
        <w:t>2026-08-11 00:00:00+00:00</w:t>
      </w:r>
      <w:r>
        <w:t xml:space="preserve">    </w:t>
      </w:r>
      <w:r>
        <w:rPr>
          <w:b/>
        </w:rPr>
        <w:t xml:space="preserve">DOI: </w:t>
      </w:r>
      <w:hyperlink r:id="rId1236">
        <w:r>
          <w:rPr>
            <w:color w:val="1155CC"/>
            <w:u w:val="single"/>
          </w:rPr>
          <w:t>10.1038/d41586-026-02380-0</w:t>
        </w:r>
      </w:hyperlink>
    </w:p>
    <w:p>
      <w:pPr>
        <w:spacing w:before="0" w:after="120"/>
      </w:pPr>
      <w:r>
        <w:rPr>
          <w:b/>
        </w:rPr>
        <w:t xml:space="preserve">Notes: </w:t>
      </w:r>
      <w:r>
        <w:t>abstract_source=rss_nature</w:t>
      </w:r>
    </w:p>
    <w:p>
      <w:pPr>
        <w:spacing w:before="0" w:after="80" w:lineRule="auto" w:line="276"/>
      </w:pPr>
      <w:r>
        <w:rPr>
          <w:b/>
        </w:rPr>
        <w:t xml:space="preserve">摘要（ZH）: </w:t>
      </w:r>
      <w:r>
        <w:t>本周从《自然》档案中挑选的内容包括在哪里可以看到姥鲨和一个关于废弃望远镜的悲惨故事。</w:t>
      </w:r>
    </w:p>
    <w:p>
      <w:pPr>
        <w:spacing w:before="0" w:after="200" w:lineRule="auto" w:line="276"/>
      </w:pPr>
      <w:r>
        <w:rPr>
          <w:b/>
        </w:rPr>
        <w:t xml:space="preserve">Abstract (EN): </w:t>
      </w:r>
      <w:r>
        <w:t>Where to spot a basking shark and a gloomy tale about an abandoned telescope, in this week’s pick from the Nature archive.</w:t>
      </w:r>
    </w:p>
    <w:p>
      <w:pPr>
        <w:spacing w:before="120" w:after="120"/>
      </w:pPr>
      <w:r>
        <w:rPr>
          <w:sz w:val="18"/>
        </w:rPr>
        <w:t>——————————————————————————————————————————————————————————————————————</w:t>
      </w:r>
    </w:p>
    <w:p>
      <w:pPr>
        <w:spacing w:before="160" w:after="40" w:line="240" w:lineRule="auto"/>
      </w:pPr>
      <w:r>
        <w:rPr>
          <w:b/>
        </w:rPr>
        <w:t xml:space="preserve">[342] </w:t>
      </w:r>
      <w:hyperlink r:id="rId1237">
        <w:r>
          <w:rPr>
            <w:color w:val="1155CC"/>
            <w:u w:val="single"/>
          </w:rPr>
          <w:t>立体特异性肽-多糖缀合物可实现新生血管性年龄相关性黄斑变性的无创治疗</w:t>
        </w:r>
      </w:hyperlink>
    </w:p>
    <w:p>
      <w:pPr>
        <w:spacing w:before="0" w:after="80"/>
      </w:pPr>
      <w:r>
        <w:rPr>
          <w:i/>
          <w:sz w:val="20"/>
        </w:rPr>
        <w:t>EN: Stereospecific Peptide–Polysaccharide Conjugates Enable Noninvasive Therapy of Neovascular Age-Related Macular Degeneration</w:t>
      </w:r>
    </w:p>
    <w:p>
      <w:pPr>
        <w:spacing w:before="0" w:after="120"/>
      </w:pPr>
      <w:r>
        <w:rPr>
          <w:b/>
        </w:rPr>
        <w:t xml:space="preserve">Source: </w:t>
      </w:r>
      <w:r>
        <w:t>Journal of the American Chemical Society: Latest Articles (ACS Publications)</w:t>
      </w:r>
      <w:r>
        <w:t xml:space="preserve">    </w:t>
      </w:r>
      <w:r>
        <w:rPr>
          <w:b/>
        </w:rPr>
        <w:t xml:space="preserve">Pub date: </w:t>
      </w:r>
      <w:r>
        <w:t>2026-08-11 00:00:00+00:00</w:t>
      </w:r>
      <w:r>
        <w:t xml:space="preserve">    </w:t>
      </w:r>
      <w:r>
        <w:rPr>
          <w:b/>
        </w:rPr>
        <w:t xml:space="preserve">DOI: </w:t>
      </w:r>
      <w:hyperlink r:id="rId1238">
        <w:r>
          <w:rPr>
            <w:color w:val="1155CC"/>
            <w:u w:val="single"/>
          </w:rPr>
          <w:t>10.1021/jacs.6c05947</w:t>
        </w:r>
      </w:hyperlink>
    </w:p>
    <w:p>
      <w:pPr>
        <w:spacing w:before="0" w:after="120"/>
      </w:pPr>
      <w:r>
        <w:rPr>
          <w:b/>
        </w:rPr>
        <w:t xml:space="preserve">Notes: </w:t>
      </w:r>
      <w:r>
        <w:t>abstract_source=crossref</w:t>
      </w:r>
    </w:p>
    <w:p>
      <w:pPr>
        <w:spacing w:before="0" w:after="80" w:lineRule="auto" w:line="276"/>
      </w:pPr>
      <w:r>
        <w:rPr>
          <w:b/>
        </w:rPr>
        <w:t xml:space="preserve">摘要（ZH）: </w:t>
      </w:r>
      <w:r>
        <w:t>摘要：眼后段眼部疾病（包括新生血管性年龄相关性黄斑变性（nAMD））的治疗干预仍然受到眼内生物利用度差和需要重复玻璃体内注射的限制。 Here, we introduce a noninvasive therapeutic strategy based on stereospecific peptide–polysaccharide conjugates (PPC) for efficient nAMD treatment.建立了可控的合成策略来生成立体特异性的L-PPC和D-PPC，其中D-PPC表现出明显的手性依赖性生物活性，其特点是与整合素受体高亲和力结合并增强对内皮/上皮细胞增殖和迁移的抑制。 Following topical administration, D-PPC efficiently overcame ocular barriers and penetrated choroidal lesions while markedly suppressing pathological angiogenesis in a laser-induced choroidal neovascularization mouse model, comparable to that of intravitreal ranibizumab.我们阐明了立体特异性 D-PPC 调节体内关键分子程序，包括 T 细胞受体信号传导和细胞粘附分子途径。值得注意的是，D-PPC 没有表现出可检测到的眼部或全身毒性。这项研究确立了手性工程肽-多糖缀合物作为眼后部疾病的无创且有效的治疗方法，为未来的转化眼科应用提供了结构和机制蓝图。</w:t>
      </w:r>
    </w:p>
    <w:p>
      <w:pPr>
        <w:spacing w:before="0" w:after="200" w:lineRule="auto" w:line="276"/>
      </w:pPr>
      <w:r>
        <w:rPr>
          <w:b/>
        </w:rPr>
        <w:t xml:space="preserve">Abstract (EN): </w:t>
      </w:r>
      <w:r>
        <w:t>Therapeutic interventions for posterior segment ocular diseases, including neovascular age-related macular degeneration (nAMD), remain constrained by poor intraocular bioavailability and the need for repeated intravitreal injections. Here, we introduce a noninvasive therapeutic strategy based on stereospecific peptide–polysaccharide conjugates (PPC) for efficient nAMD treatment. A controllable synthetic strategy was established to generate stereospecific L-PPC and D-PPC, among which D-PPC displayed pronounced chirality-dependent bioactivity, characterized by high-affinity binding to integrin receptors and enhanced inhibition of endothelial/epithelial cell proliferation and migration. Following topical administration, D-PPC efficiently overcame ocular barriers and penetrated choroidal lesions while markedly suppressing pathological angiogenesis in a laser-induced choroidal neovascularization mouse model, comparable to that of intravitreal ranibizumab. We elucidated that stereospecific D-PPC modulates key molecular programs in vivo, including T-cell receptor signaling and cell adhesion molecule pathways. Notably, D-PPC exhibited no detectable ocular or systemic toxicity. This study establishes chirality-engineered peptide–polysaccharide conjugates as a noninvasive and effective therapeutic for posterior ocular diseases, providing a structural and mechanistic blueprint for future translational ophthalmic applications.</w:t>
      </w:r>
    </w:p>
    <w:p>
      <w:pPr>
        <w:spacing w:before="120" w:after="120"/>
      </w:pPr>
      <w:r>
        <w:rPr>
          <w:sz w:val="18"/>
        </w:rPr>
        <w:t>——————————————————————————————————————————————————————————————————————</w:t>
      </w:r>
    </w:p>
    <w:p>
      <w:pPr>
        <w:spacing w:before="160" w:after="40" w:line="240" w:lineRule="auto"/>
      </w:pPr>
      <w:r>
        <w:rPr>
          <w:b/>
        </w:rPr>
        <w:t xml:space="preserve">[343] </w:t>
      </w:r>
      <w:hyperlink r:id="rId1239">
        <w:r>
          <w:rPr>
            <w:color w:val="1155CC"/>
            <w:u w:val="single"/>
          </w:rPr>
          <w:t>被遗忘的 2000 万人：为什么世界忽视阿富汗的女孩和妇女？</w:t>
        </w:r>
      </w:hyperlink>
    </w:p>
    <w:p>
      <w:pPr>
        <w:spacing w:before="0" w:after="80"/>
      </w:pPr>
      <w:r>
        <w:rPr>
          <w:i/>
          <w:sz w:val="20"/>
        </w:rPr>
        <w:t>EN: The forgotten 20 million: why is the world neglecting Afghanistan’s girls and women?</w:t>
      </w:r>
    </w:p>
    <w:p>
      <w:pPr>
        <w:spacing w:before="0" w:after="120"/>
      </w:pPr>
      <w:r>
        <w:rPr>
          <w:b/>
        </w:rPr>
        <w:t xml:space="preserve">Source: </w:t>
      </w:r>
      <w:r>
        <w:t>Nature</w:t>
      </w:r>
      <w:r>
        <w:t xml:space="preserve">    </w:t>
      </w:r>
      <w:r>
        <w:rPr>
          <w:b/>
        </w:rPr>
        <w:t xml:space="preserve">Pub date: </w:t>
      </w:r>
      <w:r>
        <w:t>2026-08-11 00:00:00+00:00</w:t>
      </w:r>
      <w:r>
        <w:t xml:space="preserve">    </w:t>
      </w:r>
      <w:r>
        <w:rPr>
          <w:b/>
        </w:rPr>
        <w:t xml:space="preserve">DOI: </w:t>
      </w:r>
      <w:hyperlink r:id="rId1240">
        <w:r>
          <w:rPr>
            <w:color w:val="1155CC"/>
            <w:u w:val="single"/>
          </w:rPr>
          <w:t>10.1038/d41586-026-02454-z</w:t>
        </w:r>
      </w:hyperlink>
    </w:p>
    <w:p>
      <w:pPr>
        <w:spacing w:before="0" w:after="120"/>
      </w:pPr>
      <w:r>
        <w:rPr>
          <w:b/>
        </w:rPr>
        <w:t xml:space="preserve">Notes: </w:t>
      </w:r>
      <w:r>
        <w:t>abstract_source=rss_nature</w:t>
      </w:r>
    </w:p>
    <w:p>
      <w:pPr>
        <w:spacing w:before="0" w:after="80" w:lineRule="auto" w:line="276"/>
      </w:pPr>
      <w:r>
        <w:rPr>
          <w:b/>
        </w:rPr>
        <w:t xml:space="preserve">摘要（ZH）: </w:t>
      </w:r>
      <w:r>
        <w:t>可耻的是，该国一半的人口仍然被国际社会忽视。</w:t>
      </w:r>
    </w:p>
    <w:p>
      <w:pPr>
        <w:spacing w:before="0" w:after="200" w:lineRule="auto" w:line="276"/>
      </w:pPr>
      <w:r>
        <w:rPr>
          <w:b/>
        </w:rPr>
        <w:t xml:space="preserve">Abstract (EN): </w:t>
      </w:r>
      <w:r>
        <w:t>It is shameful that half the country’s population continues to be overlooked by the international community.</w:t>
      </w:r>
    </w:p>
    <w:p>
      <w:pPr>
        <w:spacing w:before="120" w:after="120"/>
      </w:pPr>
      <w:r>
        <w:rPr>
          <w:sz w:val="18"/>
        </w:rPr>
        <w:t>——————————————————————————————————————————————————————————————————————</w:t>
      </w:r>
    </w:p>
    <w:p>
      <w:pPr>
        <w:spacing w:before="160" w:after="40" w:line="240" w:lineRule="auto"/>
      </w:pPr>
      <w:r>
        <w:rPr>
          <w:b/>
        </w:rPr>
        <w:t xml:space="preserve">[344] </w:t>
      </w:r>
      <w:hyperlink r:id="rId1241">
        <w:r>
          <w:rPr>
            <w:color w:val="1155CC"/>
            <w:u w:val="single"/>
          </w:rPr>
          <w:t>优雅退出实验室的七个技巧</w:t>
        </w:r>
      </w:hyperlink>
    </w:p>
    <w:p>
      <w:pPr>
        <w:spacing w:before="0" w:after="80"/>
      </w:pPr>
      <w:r>
        <w:rPr>
          <w:i/>
          <w:sz w:val="20"/>
        </w:rPr>
        <w:t>EN: Seven tips for a graceful lab exit</w:t>
      </w:r>
    </w:p>
    <w:p>
      <w:pPr>
        <w:spacing w:before="0" w:after="120"/>
      </w:pPr>
      <w:r>
        <w:rPr>
          <w:b/>
        </w:rPr>
        <w:t xml:space="preserve">Source: </w:t>
      </w:r>
      <w:r>
        <w:t>Nature</w:t>
      </w:r>
      <w:r>
        <w:t xml:space="preserve">    </w:t>
      </w:r>
      <w:r>
        <w:rPr>
          <w:b/>
        </w:rPr>
        <w:t xml:space="preserve">Pub date: </w:t>
      </w:r>
      <w:r>
        <w:t>2026-08-11 00:00:00+00:00</w:t>
      </w:r>
      <w:r>
        <w:t xml:space="preserve">    </w:t>
      </w:r>
      <w:r>
        <w:rPr>
          <w:b/>
        </w:rPr>
        <w:t xml:space="preserve">DOI: </w:t>
      </w:r>
      <w:hyperlink r:id="rId1242">
        <w:r>
          <w:rPr>
            <w:color w:val="1155CC"/>
            <w:u w:val="single"/>
          </w:rPr>
          <w:t>10.1038/d41586-026-02452-1</w:t>
        </w:r>
      </w:hyperlink>
    </w:p>
    <w:p>
      <w:pPr>
        <w:spacing w:before="0" w:after="120"/>
      </w:pPr>
      <w:r>
        <w:rPr>
          <w:b/>
        </w:rPr>
        <w:t xml:space="preserve">Notes: </w:t>
      </w:r>
      <w:r>
        <w:t>abstract_source=nature_html</w:t>
      </w:r>
    </w:p>
    <w:p>
      <w:pPr>
        <w:spacing w:before="0" w:after="80" w:lineRule="auto" w:line="276"/>
      </w:pPr>
      <w:r>
        <w:rPr>
          <w:b/>
        </w:rPr>
        <w:t xml:space="preserve">摘要（ZH）: </w:t>
      </w:r>
      <w:r>
        <w:t>工作转换具有挑战性，但良好的沟通和规划会有所帮助。</w:t>
      </w:r>
    </w:p>
    <w:p>
      <w:pPr>
        <w:spacing w:before="0" w:after="200" w:lineRule="auto" w:line="276"/>
      </w:pPr>
      <w:r>
        <w:rPr>
          <w:b/>
        </w:rPr>
        <w:t xml:space="preserve">Abstract (EN): </w:t>
      </w:r>
      <w:r>
        <w:t>Job transitions are challenging, but good communication and planning will help.</w:t>
      </w:r>
    </w:p>
    <w:p>
      <w:pPr>
        <w:spacing w:before="120" w:after="120"/>
      </w:pPr>
      <w:r>
        <w:rPr>
          <w:sz w:val="18"/>
        </w:rPr>
        <w:t>——————————————————————————————————————————————————————————————————————</w:t>
      </w:r>
    </w:p>
    <w:p>
      <w:pPr>
        <w:spacing w:before="160" w:after="40" w:line="240" w:lineRule="auto"/>
      </w:pPr>
      <w:r>
        <w:rPr>
          <w:b/>
        </w:rPr>
        <w:t xml:space="preserve">[345] </w:t>
      </w:r>
      <w:hyperlink r:id="rId1243">
        <w:r>
          <w:rPr>
            <w:color w:val="1155CC"/>
            <w:u w:val="single"/>
          </w:rPr>
          <w:t>赋予主力炸药可切换的冲击灵敏度</w:t>
        </w:r>
      </w:hyperlink>
    </w:p>
    <w:p>
      <w:pPr>
        <w:spacing w:before="0" w:after="80"/>
      </w:pPr>
      <w:r>
        <w:rPr>
          <w:i/>
          <w:sz w:val="20"/>
        </w:rPr>
        <w:t>EN: Imparting Switchable Impact Sensitivity to Workhorse Explosives</w:t>
      </w:r>
    </w:p>
    <w:p>
      <w:pPr>
        <w:spacing w:before="0" w:after="120"/>
      </w:pPr>
      <w:r>
        <w:rPr>
          <w:b/>
        </w:rPr>
        <w:t xml:space="preserve">Source: </w:t>
      </w:r>
      <w:r>
        <w:t>Journal of the American Chemical Society: Latest Articles (ACS Publications)</w:t>
      </w:r>
      <w:r>
        <w:t xml:space="preserve">    </w:t>
      </w:r>
      <w:r>
        <w:rPr>
          <w:b/>
        </w:rPr>
        <w:t xml:space="preserve">Pub date: </w:t>
      </w:r>
      <w:r>
        <w:t>2026-08-11 00:00:00+00:00</w:t>
      </w:r>
      <w:r>
        <w:t xml:space="preserve">    </w:t>
      </w:r>
      <w:r>
        <w:rPr>
          <w:b/>
        </w:rPr>
        <w:t xml:space="preserve">DOI: </w:t>
      </w:r>
      <w:hyperlink r:id="rId1244">
        <w:r>
          <w:rPr>
            <w:color w:val="1155CC"/>
            <w:u w:val="single"/>
          </w:rPr>
          <w:t>10.1021/jacs.6c09505</w:t>
        </w:r>
      </w:hyperlink>
    </w:p>
    <w:p>
      <w:pPr>
        <w:spacing w:before="0" w:after="120"/>
      </w:pPr>
      <w:r>
        <w:rPr>
          <w:b/>
        </w:rPr>
        <w:t xml:space="preserve">Notes: </w:t>
      </w:r>
      <w:r>
        <w:t>abstract_source=crossref</w:t>
      </w:r>
    </w:p>
    <w:p>
      <w:pPr>
        <w:spacing w:before="0" w:after="80" w:lineRule="auto" w:line="276"/>
      </w:pPr>
      <w:r>
        <w:rPr>
          <w:b/>
        </w:rPr>
        <w:t xml:space="preserve">摘要（ZH）: </w:t>
      </w:r>
      <w:r>
        <w:t>摘要 炸药的应用范围广泛，从军事技术到采矿和建筑。材料运输过程中的安全风险通常可以通过降低敏感性的配方策略来缓解，例如聚合物粘合；然而，降低灵敏度可能会导致不完全爆炸，从而影响性能。这些相互竞争的需求推动了可切换含能材料的开发，其灵敏度可以从外部激活，以实现真正的按需爆炸。我们证明了新型螺吡喃化合物（1-SP和2-SP）被设计用作静电分子开关，能够使用光作为唯一的外部刺激来调节爆炸敏感性，形成两性离子部花青（MC）。在紫外线照射后，纯 HMX 晶体对冲击的敏感性低于 5 wt% 1-SP 和 1 wt% 2-SP 涂层晶体，冲击敏感性 E50 从 1-MC 的 2.7 ± 0.1 J 降至 2.2 ± 0.1 J，2-MC 降至 2.3 ± 0.1 J。此外，这些化合物被无缝集成到研究配方 PBXN-110 中。当封装在 PBXN-110 中时，相对于纯 HMX (2.7 ± 0.1 J)，冲击灵敏度下降至 1 wt% 1-SP 的 3.8 ± 0.1 J 和 1 wt% 2-SP 的 4.7 ± 0.1 J。当暴露于紫外线下时，1 wt% 1-MC 材料的 E50 为 3.2 ± 0.1 J，1 wt% 2-MC 为 3.8 ± 0.1 J，这表明部花青化合物即使在聚合物基质内也能影响灵敏度。将这些化合物整合到既定的脱敏策略中，为动态治疗提供了前所未有的平台。</w:t>
      </w:r>
    </w:p>
    <w:p>
      <w:pPr>
        <w:spacing w:before="0" w:after="200" w:lineRule="auto" w:line="276"/>
      </w:pPr>
      <w:r>
        <w:rPr>
          <w:b/>
        </w:rPr>
        <w:t xml:space="preserve">Abstract (EN): </w:t>
      </w:r>
      <w:r>
        <w:t>Explosives underpin applications ranging from military technologies to mining and construction. Safety risks during material transport are often mitigated using formulation strategies, such as polymer bonding, that reduce sensitivity; however, reduced sensitivity can result in incomplete detonation, compromising performance. These competing demands motivate the development of switchable energetic materials whose sensitivity can be externally activated to enable truly on-demand detonation. We demonstrate that novel spiropyran compounds (1-SP and 2-SP), designed to function as electrostatic molecular switches, enable the modulation of explosive sensitivity using light as the sole external stimulus, forming a zwitterionic merocyanine (MC). Pure HMX crystals were shown to be less sensitive to impact than 5 wt % 1-SP and 1 wt % 2-SP coated crystals following UV irradiation, as the impact sensitivity, E50, decreased from 2.7 ± 0.1 J to 2.2 ± 0.1 J for 1-MC and 2.3 ± 0.1 J for 2-MC. Furthermore, these compounds are seamlessly integrated into the research formulation, PBXN-110. Impact sensitivity decreased to 3.8 ± 0.1 J for 1 wt % 1-SP and 4.7 ± 0.1 J for 1 wt % 2-SP, relative to pure HMX (2.7 ± 0.1 J) when encased within the PBXN-110. When exposed to UV light, the 1 wt % 1-MC material exhibits an E50 of 3.2 ± 0.1 J and 1 wt % 2-MC of 3.8 ± 0.1 J, demonstrating the ability of the merocyanine compounds to affect sensitivity even within a polymer matrix. Integration of these compounds into established desensitization strategies provides an unprecedented platform for dynamically controlling impact sensitivity without compromising performance.</w:t>
      </w:r>
    </w:p>
    <w:p>
      <w:pPr>
        <w:spacing w:before="120" w:after="120"/>
      </w:pPr>
      <w:r>
        <w:rPr>
          <w:sz w:val="18"/>
        </w:rPr>
        <w:t>——————————————————————————————————————————————————————————————————————</w:t>
      </w:r>
    </w:p>
    <w:p>
      <w:pPr>
        <w:spacing w:before="160" w:after="40" w:line="240" w:lineRule="auto"/>
      </w:pPr>
      <w:r>
        <w:rPr>
          <w:b/>
        </w:rPr>
        <w:t xml:space="preserve">[346] </w:t>
      </w:r>
      <w:hyperlink r:id="rId1245">
        <w:r>
          <w:rPr>
            <w:color w:val="1155CC"/>
            <w:u w:val="single"/>
          </w:rPr>
          <w:t>每日简报：科学家可以从日食中学到什么</w:t>
        </w:r>
      </w:hyperlink>
    </w:p>
    <w:p>
      <w:pPr>
        <w:spacing w:before="0" w:after="80"/>
      </w:pPr>
      <w:r>
        <w:rPr>
          <w:i/>
          <w:sz w:val="20"/>
        </w:rPr>
        <w:t>EN: Daily briefing: What scientists can learn from a solar eclipse</w:t>
      </w:r>
    </w:p>
    <w:p>
      <w:pPr>
        <w:spacing w:before="0" w:after="120"/>
      </w:pPr>
      <w:r>
        <w:rPr>
          <w:b/>
        </w:rPr>
        <w:t xml:space="preserve">Source: </w:t>
      </w:r>
      <w:r>
        <w:t>Nature</w:t>
      </w:r>
      <w:r>
        <w:t xml:space="preserve">    </w:t>
      </w:r>
      <w:r>
        <w:rPr>
          <w:b/>
        </w:rPr>
        <w:t xml:space="preserve">Pub date: </w:t>
      </w:r>
      <w:r>
        <w:t>2026-08-11 00:00:00+00:00</w:t>
      </w:r>
      <w:r>
        <w:t xml:space="preserve">    </w:t>
      </w:r>
      <w:r>
        <w:rPr>
          <w:b/>
        </w:rPr>
        <w:t xml:space="preserve">DOI: </w:t>
      </w:r>
      <w:hyperlink r:id="rId1246">
        <w:r>
          <w:rPr>
            <w:color w:val="1155CC"/>
            <w:u w:val="single"/>
          </w:rPr>
          <w:t>10.1038/d41586-026-02519-z</w:t>
        </w:r>
      </w:hyperlink>
    </w:p>
    <w:p>
      <w:pPr>
        <w:spacing w:before="0" w:after="120"/>
      </w:pPr>
      <w:r>
        <w:rPr>
          <w:b/>
        </w:rPr>
        <w:t xml:space="preserve">Notes: </w:t>
      </w:r>
      <w:r>
        <w:t>abstract_source=rss_nature</w:t>
      </w:r>
    </w:p>
    <w:p>
      <w:pPr>
        <w:spacing w:before="0" w:after="80" w:lineRule="auto" w:line="276"/>
      </w:pPr>
      <w:r>
        <w:rPr>
          <w:b/>
        </w:rPr>
        <w:t xml:space="preserve">摘要（ZH）: </w:t>
      </w:r>
      <w:r>
        <w:t>研究人员将有两分钟的时间收集有关日冕的数据。此外，不同文化背景的人都同样怕痒，厄尔尼诺现象可能会给亚马逊雨林带来灾难。</w:t>
      </w:r>
    </w:p>
    <w:p>
      <w:pPr>
        <w:spacing w:before="0" w:after="200" w:lineRule="auto" w:line="276"/>
      </w:pPr>
      <w:r>
        <w:rPr>
          <w:b/>
        </w:rPr>
        <w:t xml:space="preserve">Abstract (EN): </w:t>
      </w:r>
      <w:r>
        <w:t>Researchers will have two minutes to gather data on the solar corona. Plus, people across cultures are all ticklish in the same way and how the El Niño could spell disaster for the Amazon rainforest.</w:t>
      </w:r>
    </w:p>
    <w:p>
      <w:pPr>
        <w:spacing w:before="120" w:after="120"/>
      </w:pPr>
      <w:r>
        <w:rPr>
          <w:sz w:val="18"/>
        </w:rPr>
        <w:t>——————————————————————————————————————————————————————————————————————</w:t>
      </w:r>
    </w:p>
    <w:p>
      <w:pPr>
        <w:spacing w:before="160" w:after="40" w:line="240" w:lineRule="auto"/>
      </w:pPr>
      <w:r>
        <w:rPr>
          <w:b/>
        </w:rPr>
        <w:t xml:space="preserve">[347] </w:t>
      </w:r>
      <w:hyperlink r:id="rId1247">
        <w:r>
          <w:rPr>
            <w:color w:val="1155CC"/>
            <w:u w:val="single"/>
          </w:rPr>
          <w:t>基于 MXene 的导电微针贴片通过调节氧化应激和免疫微环境促进糖尿病伤口愈合</w:t>
        </w:r>
      </w:hyperlink>
    </w:p>
    <w:p>
      <w:pPr>
        <w:spacing w:before="0" w:after="80"/>
      </w:pPr>
      <w:r>
        <w:rPr>
          <w:i/>
          <w:sz w:val="20"/>
        </w:rPr>
        <w:t>EN: MXene-Based Conductive Microneedle Patch Promotes Diabetic Wound Healing by Regulating Oxidative Stress and Immune Microenvironment</w:t>
      </w:r>
    </w:p>
    <w:p>
      <w:pPr>
        <w:spacing w:before="0" w:after="120"/>
      </w:pPr>
      <w:r>
        <w:rPr>
          <w:b/>
        </w:rPr>
        <w:t xml:space="preserve">Source: </w:t>
      </w:r>
      <w:r>
        <w:t>ACS Applied Materials &amp; Interfaces: Latest Articles (ACS Publications)</w:t>
      </w:r>
      <w:r>
        <w:t xml:space="preserve">    </w:t>
      </w:r>
      <w:r>
        <w:rPr>
          <w:b/>
        </w:rPr>
        <w:t xml:space="preserve">Pub date: </w:t>
      </w:r>
      <w:r>
        <w:t>2026-08-11 00:00:00+00:00</w:t>
      </w:r>
      <w:r>
        <w:t xml:space="preserve">    </w:t>
      </w:r>
      <w:r>
        <w:rPr>
          <w:b/>
        </w:rPr>
        <w:t xml:space="preserve">DOI: </w:t>
      </w:r>
      <w:hyperlink r:id="rId1248">
        <w:r>
          <w:rPr>
            <w:color w:val="1155CC"/>
            <w:u w:val="single"/>
          </w:rPr>
          <w:t>10.1021/acsami.6c14621</w:t>
        </w:r>
      </w:hyperlink>
    </w:p>
    <w:p>
      <w:pPr>
        <w:spacing w:before="0" w:after="120"/>
      </w:pPr>
      <w:r>
        <w:rPr>
          <w:b/>
        </w:rPr>
        <w:t xml:space="preserve">Notes: </w:t>
      </w:r>
      <w:r>
        <w:t>abstract_source=crossref</w:t>
      </w:r>
    </w:p>
    <w:p>
      <w:pPr>
        <w:spacing w:before="0" w:after="80" w:lineRule="auto" w:line="276"/>
      </w:pPr>
      <w:r>
        <w:rPr>
          <w:b/>
        </w:rPr>
        <w:t xml:space="preserve">摘要（ZH）: </w:t>
      </w:r>
      <w:r>
        <w:t>摘要 过多的活性氧（ROS）产生和炎症介质的释放在糖尿病伤口中创造了病理性微环境，严重损害了愈合过程。耦合内源电场在炎症伤口治疗方面显示出巨大的治疗潜力。在这项研究中，我们开发了一种基于 MXene 纳米片的良好导电微针贴片。该贴片通过双重机制促进伤口修复：一方面，具有模拟酶活性的MXene纳米片有效清除ROS，从而改善局部伤口微环境；另一方面，微针阵列和皮肤组织之间形成的电耦合界面有效地传导内源性电信号，诱导巨噬细胞极化向抗炎M2表型。微针贴片显着降低了骨髓源性巨噬细胞中的 ROS 水平，同时还促进其极化为 M2 表型。在糖尿病大鼠全层皮肤伤口模型中，该贴片通过抑制组织炎症和增强胶原蛋白沉积，显着加速伤口闭合。这项研究表明，这种电化学协同治疗策略为治疗慢性糖尿病伤口提供了一种有前途的新方法。</w:t>
      </w:r>
    </w:p>
    <w:p>
      <w:pPr>
        <w:spacing w:before="0" w:after="200" w:lineRule="auto" w:line="276"/>
      </w:pPr>
      <w:r>
        <w:rPr>
          <w:b/>
        </w:rPr>
        <w:t xml:space="preserve">Abstract (EN): </w:t>
      </w:r>
      <w:r>
        <w:t>Excessive reactive oxygen species (ROS) generation and the release of inflammatory mediators create a pathological microenvironment in diabetic wounds, severely impairing the healing process. Coupling endogenous electric fields has shown great therapeutic potential for inflammatory wound treatment. In this study, we developed a favorable conductive microneedle patch based on MXene nanosheets. The patch promotes wound repair through dual mechanisms: on the one hand, the MXene nanosheets with enzyme-mimicking activity efficiently scavenge ROS, thereby improving the local wound microenvironment; on the other hand, the electrically coupled interface formed between the microneedle array and skin tissue effectively transduces endogenous electrical signals, inducing macrophage polarization toward the anti-inflammatory M2 phenotype. The microneedle patch significantly reduced ROS levels in bone marrow-derived macrophages while also promoting their polarization to the M2 phenotype. In a diabetic rat full-thickness skin wound model, the patch significantly accelerated wound closure by suppressing tissue inflammation and enhancing collagen deposition. This study demonstrates that such an electro–chemical synergistic therapeutic strategy offers a promising new approach for the treatment of chronic diabetic wounds.</w:t>
      </w:r>
    </w:p>
    <w:p>
      <w:pPr>
        <w:spacing w:before="120" w:after="120"/>
      </w:pPr>
      <w:r>
        <w:rPr>
          <w:sz w:val="18"/>
        </w:rPr>
        <w:t>——————————————————————————————————————————————————————————————————————</w:t>
      </w:r>
    </w:p>
    <w:p>
      <w:pPr>
        <w:spacing w:before="160" w:after="40" w:line="240" w:lineRule="auto"/>
      </w:pPr>
      <w:r>
        <w:rPr>
          <w:b/>
        </w:rPr>
        <w:t xml:space="preserve">[348] </w:t>
      </w:r>
      <w:hyperlink r:id="rId1249">
        <w:r>
          <w:rPr>
            <w:color w:val="1155CC"/>
            <w:u w:val="single"/>
          </w:rPr>
          <w:t>黄原酸盐改性纤维素纳米原纤维可有效捕获废水中的重金属</w:t>
        </w:r>
      </w:hyperlink>
    </w:p>
    <w:p>
      <w:pPr>
        <w:spacing w:before="0" w:after="80"/>
      </w:pPr>
      <w:r>
        <w:rPr>
          <w:i/>
          <w:sz w:val="20"/>
        </w:rPr>
        <w:t>EN: Xanthate-Modified Cellulose Nanofibrils for Efficient Heavy Metal Capture from Wastewater</w:t>
      </w:r>
    </w:p>
    <w:p>
      <w:pPr>
        <w:spacing w:before="0" w:after="120"/>
      </w:pPr>
      <w:r>
        <w:rPr>
          <w:b/>
        </w:rPr>
        <w:t xml:space="preserve">Source: </w:t>
      </w:r>
      <w:r>
        <w:t>ACS Applied Materials &amp; Interfaces: Latest Articles (ACS Publications)</w:t>
      </w:r>
      <w:r>
        <w:t xml:space="preserve">    </w:t>
      </w:r>
      <w:r>
        <w:rPr>
          <w:b/>
        </w:rPr>
        <w:t xml:space="preserve">Pub date: </w:t>
      </w:r>
      <w:r>
        <w:t>2026-08-11 00:00:00+00:00</w:t>
      </w:r>
      <w:r>
        <w:t xml:space="preserve">    </w:t>
      </w:r>
      <w:r>
        <w:rPr>
          <w:b/>
        </w:rPr>
        <w:t xml:space="preserve">DOI: </w:t>
      </w:r>
      <w:hyperlink r:id="rId1250">
        <w:r>
          <w:rPr>
            <w:color w:val="1155CC"/>
            <w:u w:val="single"/>
          </w:rPr>
          <w:t>10.1021/acsami.6c11753</w:t>
        </w:r>
      </w:hyperlink>
    </w:p>
    <w:p>
      <w:pPr>
        <w:spacing w:before="0" w:after="120"/>
      </w:pPr>
      <w:r>
        <w:rPr>
          <w:b/>
        </w:rPr>
        <w:t xml:space="preserve">Notes: </w:t>
      </w:r>
      <w:r>
        <w:t>abstract_source=crossref</w:t>
      </w:r>
    </w:p>
    <w:p>
      <w:pPr>
        <w:spacing w:before="0" w:after="80" w:lineRule="auto" w:line="276"/>
      </w:pPr>
      <w:r>
        <w:rPr>
          <w:b/>
        </w:rPr>
        <w:t xml:space="preserve">摘要（ZH）: </w:t>
      </w:r>
      <w:r>
        <w:t>摘要 传统的吸附剂经常表现出有限的选择性和不足的再生能力，特别是在处理含有共存金属离子的复杂废水基质时。为了解决这个问题，我们开发了黄原酸改性的纤维素纳米纤维（XCNF），它结合了表面锚定的黄原酸基团，可作为强螯合位点。通过 SEM、元素分析、ATR-FTIR、XRD 和 XPS 进行的综合表征验证了共价接枝的成功，显着提高了表面电荷密度和活性位点可用性。取代度 (DS) 为 0.16 的 XCNF 实现了令人印象深刻的 Cu(II) 吸附容量 738.47 ± 19.35 mg/g。吸附动力学符合准二级模型，Freundlich等温线表明吸附是多层和非均相的。在多种共存重金属离子的选择性吸附实验中，XCNF 对每种离子的去除效率达到 50-65%。相比之下，在优化条件下处理真实高浓度工业废水时，Cu(II)去除率达到99.53%。该材料经过10次吸附循环后仍保留71%以上的初始容量，有效降低高浓度工业废水中的Cu(II)浓度。这项研究提供了一种选择性、可重复使用且有效的方法，解决了用于修复复杂废水的纤维素吸附剂的关键差距。</w:t>
      </w:r>
    </w:p>
    <w:p>
      <w:pPr>
        <w:spacing w:before="0" w:after="200" w:lineRule="auto" w:line="276"/>
      </w:pPr>
      <w:r>
        <w:rPr>
          <w:b/>
        </w:rPr>
        <w:t xml:space="preserve">Abstract (EN): </w:t>
      </w:r>
      <w:r>
        <w:t>Conventional adsorbents frequently exhibit limited selectivity and inadequate regenerability, particularly when addressing complex wastewater matrices containing coexisting metal ions. To tackle this issue, we present the development of xanthate-modified cellulose nanofibrils (XCNF), which incorporate surface-anchored xanthate groups that function as strong chelating sites. Comprehensive characterization through SEM, elemental analysis, ATR-FTIR, XRD, and XPS validates the successful covalent grafting, significantly enhancing both surface charge density and active site availability. XCNF with a degree of substitution (DS) of 0.16 achieves an impressive Cu(II) adsorption capacity of 738.47 ± 19.35 mg/g. The adsorption kinetics conform to a pseudo-second-order model, and the Freundlich isotherm suggests multilayer and heterogeneous adsorption. In selective adsorption experiments with multiple coexisting heavy metal ions, XCNF achieved removal efficiencies of 50–65% for each individual ion. By contrast, in the treatment of real high-concentration industrial wastewater under optimized conditions, the Cu(II) removal efficiency reached 99.53%. The material retains over 71% of its initial capacity after ten adsorption cycles and effectively reduces the Cu(II) concentration in high-concentration industrial wastewater. This study offers a selective, reusable, and efficient approach that addresses a critical gap in cellulose-based adsorbents for the remediation of complex wastewater.</w:t>
      </w:r>
    </w:p>
    <w:p>
      <w:pPr>
        <w:spacing w:before="120" w:after="120"/>
      </w:pPr>
      <w:r>
        <w:rPr>
          <w:sz w:val="18"/>
        </w:rPr>
        <w:t>——————————————————————————————————————————————————————————————————————</w:t>
      </w:r>
    </w:p>
    <w:p>
      <w:pPr>
        <w:spacing w:before="160" w:after="40" w:line="240" w:lineRule="auto"/>
      </w:pPr>
      <w:r>
        <w:rPr>
          <w:b/>
        </w:rPr>
        <w:t xml:space="preserve">[349] </w:t>
      </w:r>
      <w:hyperlink r:id="rId1251">
        <w:r>
          <w:rPr>
            <w:color w:val="1155CC"/>
            <w:u w:val="single"/>
          </w:rPr>
          <w:t>自我增强纳米酶集成微针协调级联调节 ROS 稳态以促进感染伤口愈合</w:t>
        </w:r>
      </w:hyperlink>
    </w:p>
    <w:p>
      <w:pPr>
        <w:spacing w:before="0" w:after="80"/>
      </w:pPr>
      <w:r>
        <w:rPr>
          <w:i/>
          <w:sz w:val="20"/>
        </w:rPr>
        <w:t>EN: Self-Reinforcing Nanozyme-Integrated Microneedles Orchestrate Cascaded Regulation of ROS Homeostasis for Infected Wound Healing</w:t>
      </w:r>
    </w:p>
    <w:p>
      <w:pPr>
        <w:spacing w:before="0" w:after="120"/>
      </w:pPr>
      <w:r>
        <w:rPr>
          <w:b/>
        </w:rPr>
        <w:t xml:space="preserve">Source: </w:t>
      </w:r>
      <w:r>
        <w:t>ACS Applied Materials &amp; Interfaces: Latest Articles (ACS Publications)</w:t>
      </w:r>
      <w:r>
        <w:t xml:space="preserve">    </w:t>
      </w:r>
      <w:r>
        <w:rPr>
          <w:b/>
        </w:rPr>
        <w:t xml:space="preserve">Pub date: </w:t>
      </w:r>
      <w:r>
        <w:t>2026-08-11 00:00:00+00:00</w:t>
      </w:r>
      <w:r>
        <w:t xml:space="preserve">    </w:t>
      </w:r>
      <w:r>
        <w:rPr>
          <w:b/>
        </w:rPr>
        <w:t xml:space="preserve">DOI: </w:t>
      </w:r>
      <w:hyperlink r:id="rId1252">
        <w:r>
          <w:rPr>
            <w:color w:val="1155CC"/>
            <w:u w:val="single"/>
          </w:rPr>
          <w:t>10.1021/acsami.6c11896</w:t>
        </w:r>
      </w:hyperlink>
    </w:p>
    <w:p>
      <w:pPr>
        <w:spacing w:before="0" w:after="120"/>
      </w:pPr>
      <w:r>
        <w:rPr>
          <w:b/>
        </w:rPr>
        <w:t xml:space="preserve">Notes: </w:t>
      </w:r>
      <w:r>
        <w:t>abstract_source=crossref</w:t>
      </w:r>
    </w:p>
    <w:p>
      <w:pPr>
        <w:spacing w:before="0" w:after="80" w:lineRule="auto" w:line="276"/>
      </w:pPr>
      <w:r>
        <w:rPr>
          <w:b/>
        </w:rPr>
        <w:t xml:space="preserve">摘要（ZH）: </w:t>
      </w:r>
      <w:r>
        <w:t>摘要 慢性糖尿病伤口是糖尿病的严重并发症，也是慢性不愈合伤口的典型形式，其特征是生物膜相关感染、持续炎症和血管生成受损。在此，开发了一种包含阳离子壳聚糖包被的二氧化钌纳米酶（RuO2@QCS NP）的多功能微针平台，称为RuO2@QCS-MN，通过微环境重编程加速糖尿病伤口愈合。该集成系统结合了光热抗菌活性、活性氧（ROS）清除和原位氧气生成，以协调调节感染伤口的病理环境。微针有效穿透细菌生物膜，并将纳米酶输送到细菌丰富的区域，从而实现高效而温和的光热抗菌治疗。同时，RuO2@QCS NPs表现出类似过氧化氢酶的活性，催化内源性过氧化氢转化为氧气，从而增强纳米酶扩散，减轻氧化应激，调节炎症反应，促进巨噬细胞极化。同时产生氧气可以缓解缺氧并促进血管生成反应。体外和糖尿病体内模型均显示出有效的细菌消除、炎症抑制以及增强的上皮再形成和新血管形成，最终加速伤口修复。这项工作建立了一种高度集成的纳米酶治疗范例，用于局部治疗感染的糖尿病伤口。</w:t>
      </w:r>
    </w:p>
    <w:p>
      <w:pPr>
        <w:spacing w:before="0" w:after="200" w:lineRule="auto" w:line="276"/>
      </w:pPr>
      <w:r>
        <w:rPr>
          <w:b/>
        </w:rPr>
        <w:t xml:space="preserve">Abstract (EN): </w:t>
      </w:r>
      <w:r>
        <w:t>Chronic diabetic wounds represent a severe complication of diabetes mellitus and a prototypical form of chronic nonhealing wounds, characterized by biofilm-associated infection, persistent inflammation, and impaired angiogenesis. Herein, a multifunctional microneedle platform incorporating cationic chitosan-coated ruthenium dioxide nanozymes (RuO2@QCS NPs), termed RuO2@QCS-MN, is developed to accelerate diabetic wound healing through microenvironment reprogramming. This integrated system combines photothermal antibacterial activity, reactive oxygen species (ROS) scavenging, and in situ oxygen generation to coordinately regulate the pathological milieu of infected wounds. The microneedles effectively penetrate bacterial biofilms and deliver nanozymes to bacteria-enriched regions, enabling efficient yet mild photothermal antibacterial therapy. Meanwhile, RuO2@QCS NPs exhibit catalase-like activity, catalyzing endogenous hydrogen peroxide into oxygen, thereby enhancing nanozyme diffusion, alleviating oxidative stress, modulating inflammatory responses, and promoting macrophage polarization. Simultaneous oxygen generation may alleviate hypoxia and promote angiogenic responses. Both in vitro and diabetic in vivo models demonstrate efficient bacterial elimination, inflammation suppression, and enhanced re-epithelialization and neovascularization, ultimately accelerating wound repair. This work establishes a highly integrated nanozyme-enabled therapeutic paradigm for the localized treatment of infected diabetic wounds.</w:t>
      </w:r>
    </w:p>
    <w:p>
      <w:pPr>
        <w:spacing w:before="120" w:after="120"/>
      </w:pPr>
      <w:r>
        <w:rPr>
          <w:sz w:val="18"/>
        </w:rPr>
        <w:t>——————————————————————————————————————————————————————————————————————</w:t>
      </w:r>
    </w:p>
    <w:p>
      <w:pPr>
        <w:spacing w:before="160" w:after="40" w:line="240" w:lineRule="auto"/>
      </w:pPr>
      <w:r>
        <w:rPr>
          <w:b/>
        </w:rPr>
        <w:t xml:space="preserve">[350] </w:t>
      </w:r>
      <w:hyperlink r:id="rId1253">
        <w:r>
          <w:rPr>
            <w:color w:val="1155CC"/>
            <w:u w:val="single"/>
          </w:rPr>
          <w:t>仿生癌细胞膜包被的聚合物纳米凝胶作为鼻咽癌光热化学免疫协同治疗的治疗疫苗</w:t>
        </w:r>
      </w:hyperlink>
    </w:p>
    <w:p>
      <w:pPr>
        <w:spacing w:before="0" w:after="80"/>
      </w:pPr>
      <w:r>
        <w:rPr>
          <w:i/>
          <w:sz w:val="20"/>
        </w:rPr>
        <w:t>EN: Biomimetic Cancer Cell Membrane-Coated Polymeric Nanogels as a Therapeutic Vaccine for Synergistic Photothermo-Chemo-Immunotherapy of Nasopharyngeal Carcinoma</w:t>
      </w:r>
    </w:p>
    <w:p>
      <w:pPr>
        <w:spacing w:before="0" w:after="120"/>
      </w:pPr>
      <w:r>
        <w:rPr>
          <w:b/>
        </w:rPr>
        <w:t xml:space="preserve">Source: </w:t>
      </w:r>
      <w:r>
        <w:t>ACS Applied Materials &amp; Interfaces: Latest Articles (ACS Publications)</w:t>
      </w:r>
      <w:r>
        <w:t xml:space="preserve">    </w:t>
      </w:r>
      <w:r>
        <w:rPr>
          <w:b/>
        </w:rPr>
        <w:t xml:space="preserve">Pub date: </w:t>
      </w:r>
      <w:r>
        <w:t>2026-08-11 00:00:00+00:00</w:t>
      </w:r>
      <w:r>
        <w:t xml:space="preserve">    </w:t>
      </w:r>
      <w:r>
        <w:rPr>
          <w:b/>
        </w:rPr>
        <w:t xml:space="preserve">DOI: </w:t>
      </w:r>
      <w:hyperlink r:id="rId1254">
        <w:r>
          <w:rPr>
            <w:color w:val="1155CC"/>
            <w:u w:val="single"/>
          </w:rPr>
          <w:t>10.1021/acsami.6c11261</w:t>
        </w:r>
      </w:hyperlink>
    </w:p>
    <w:p>
      <w:pPr>
        <w:spacing w:before="0" w:after="120"/>
      </w:pPr>
      <w:r>
        <w:rPr>
          <w:b/>
        </w:rPr>
        <w:t xml:space="preserve">Notes: </w:t>
      </w:r>
      <w:r>
        <w:t>abstract_source=crossref</w:t>
      </w:r>
    </w:p>
    <w:p>
      <w:pPr>
        <w:spacing w:before="0" w:after="80" w:lineRule="auto" w:line="276"/>
      </w:pPr>
      <w:r>
        <w:rPr>
          <w:b/>
        </w:rPr>
        <w:t xml:space="preserve">摘要（ZH）: </w:t>
      </w:r>
      <w:r>
        <w:t>摘要 鼻咽癌（NPC）治疗面临严重的脱靶毒性和免疫抑制等挑战。在此，开发了一种仿生纳米凝胶疫苗，其基于双 pH/活性氧 (ROS) 响应性聚 (N-乙烯基己内酰胺) (PVCL) 纳米凝胶 (NG)，该纳米凝胶共同负载吲哚菁绿 (ICG) 和内质网应激诱导药物丰加霉素，然后涂覆癌细胞膜 (CM) 或外泌体 (Exos)。系统比较表明，CM 涂层比 Exo 涂层具有更好的同源靶向性、细胞摄取和免疫原性。优化的IT@PVCL-CM NGs能够实现肿瘤微环境触发的药物释放、联合化疗和温和光热疗法以及协同诱导免疫原性细胞死亡（ICD）。在NPC小鼠模型中，IT@PVCL-CM结合激光照射，通过联合治疗介导的ICD效应和CM抗原、CD8+T细胞浸润和长期记忆T细胞反应，显着促进树突状细胞成熟，通过远隔效应有效抑制原发肿瘤和远处肿瘤。此外，ICG 还具有双模态荧光和热成像功能，可用于实时肿瘤监测。这项工作展示了双响应 PVCL 纳米凝胶、通过光热化疗组合的双 ICD 诱导策略以及用于精确 NPC 治疗诊断和免疫激活的仿生膜隐形的整合。</w:t>
      </w:r>
    </w:p>
    <w:p>
      <w:pPr>
        <w:spacing w:before="0" w:after="200" w:lineRule="auto" w:line="276"/>
      </w:pPr>
      <w:r>
        <w:rPr>
          <w:b/>
        </w:rPr>
        <w:t xml:space="preserve">Abstract (EN): </w:t>
      </w:r>
      <w:r>
        <w:t>Nasopharyngeal carcinoma (NPC) therapy faces challenges including severe off-target toxicity and immunosuppression. Here, a biomimetic nanogel vaccine is developed based on dual pH/reactive oxygen species (ROS)-responsive poly(N-vinylcaprolactam) (PVCL) nanogels (NGs) that were co-loaded with indocyanine green (ICG) and the endoplasmic reticulum stress-inducing drug toyocamycin, followed by coating with cancer cell membranes (CMs) or exosomes (Exos). Systematic comparison reveals that CM coating confers better homologous targeting, cellular uptake, and immunogenicity than the Exo coating. The optimized IT@PVCL-CM NGs enable tumor microenvironment-triggered drug release, combined chemotherapy and mild photothermal therapy, and synergistic induction of immunogenic cell death (ICD). In an NPC mouse model, the IT@PVCL-CM combined with laser irradiation significantly promotes dendritic cell maturation through the combination therapy-mediated ICD effect and the CM antigens, CD8+ T cell infiltration, and long-term memory T cell responses, effectively suppressing both primary and distant tumors via an abscopal effect. Additionally, ICG endows dual-modal fluorescence and thermal imaging for real-time tumor monitoring. This work presents the integration of dual-responsive PVCL nanogels, dual ICD induction strategies through combination of photothermo-chemotherapy, and biomimetic membrane cloaking for precision NPC theranostics and immune activation.</w:t>
      </w:r>
    </w:p>
    <w:p>
      <w:pPr>
        <w:spacing w:before="120" w:after="120"/>
      </w:pPr>
      <w:r>
        <w:rPr>
          <w:sz w:val="18"/>
        </w:rPr>
        <w:t>——————————————————————————————————————————————————————————————————————</w:t>
      </w:r>
    </w:p>
    <w:p>
      <w:pPr>
        <w:spacing w:before="160" w:after="40" w:line="240" w:lineRule="auto"/>
      </w:pPr>
      <w:r>
        <w:rPr>
          <w:b/>
        </w:rPr>
        <w:t xml:space="preserve">[351] </w:t>
      </w:r>
      <w:hyperlink r:id="rId1255">
        <w:r>
          <w:rPr>
            <w:color w:val="1155CC"/>
            <w:u w:val="single"/>
          </w:rPr>
          <w:t>光驱动抗菌棉织物：多层染整设计和医院环境验证</w:t>
        </w:r>
      </w:hyperlink>
    </w:p>
    <w:p>
      <w:pPr>
        <w:spacing w:before="0" w:after="80"/>
      </w:pPr>
      <w:r>
        <w:rPr>
          <w:i/>
          <w:sz w:val="20"/>
        </w:rPr>
        <w:t>EN: Light-Driven Antimicrobial Cotton Fabric: Multilayer Dye-Finishing Design and Hospital Environment Validation</w:t>
      </w:r>
    </w:p>
    <w:p>
      <w:pPr>
        <w:spacing w:before="0" w:after="120"/>
      </w:pPr>
      <w:r>
        <w:rPr>
          <w:b/>
        </w:rPr>
        <w:t xml:space="preserve">Source: </w:t>
      </w:r>
      <w:r>
        <w:t>ACS Applied Materials &amp; Interfaces: Latest Articles (ACS Publications)</w:t>
      </w:r>
      <w:r>
        <w:t xml:space="preserve">    </w:t>
      </w:r>
      <w:r>
        <w:rPr>
          <w:b/>
        </w:rPr>
        <w:t xml:space="preserve">Pub date: </w:t>
      </w:r>
      <w:r>
        <w:t>2026-08-11 00:00:00+00:00</w:t>
      </w:r>
      <w:r>
        <w:t xml:space="preserve">    </w:t>
      </w:r>
      <w:r>
        <w:rPr>
          <w:b/>
        </w:rPr>
        <w:t xml:space="preserve">DOI: </w:t>
      </w:r>
      <w:hyperlink r:id="rId1256">
        <w:r>
          <w:rPr>
            <w:color w:val="1155CC"/>
            <w:u w:val="single"/>
          </w:rPr>
          <w:t>10.1021/acsami.6c08865</w:t>
        </w:r>
      </w:hyperlink>
    </w:p>
    <w:p>
      <w:pPr>
        <w:spacing w:before="0" w:after="120"/>
      </w:pPr>
      <w:r>
        <w:rPr>
          <w:b/>
        </w:rPr>
        <w:t xml:space="preserve">Notes: </w:t>
      </w:r>
      <w:r>
        <w:t>abstract_source=crossref</w:t>
      </w:r>
    </w:p>
    <w:p>
      <w:pPr>
        <w:spacing w:before="0" w:after="80" w:lineRule="auto" w:line="276"/>
      </w:pPr>
      <w:r>
        <w:rPr>
          <w:b/>
        </w:rPr>
        <w:t xml:space="preserve">摘要（ZH）: </w:t>
      </w:r>
      <w:r>
        <w:t>摘要 顺序离子多层整理策略使两种光敏染料——阳离子亚甲蓝（MB）和阴离子玫瑰红（RB）——稳定地共固定在棉织物上，通过壳聚糖夹层和氰基胍固定克服了纤维素染料的不相容性。由此产生的多功能织物（MF）保留了纤维的完整性，同时双染料组件扩大了可见光吸收并保持了每种染料的独立光敏活性，从而在白光下实现快速和宽带抗菌作用。该材料分别在 60 分钟和 20 分钟内实现了对大肠杆菌和粪肠球菌的完全灭活，在 3 小时后实现了对白色念珠菌的约 6 个对数级抑制，并在 60 分钟内实现了 rAd5 的约 6 个对数级灭活。反复洗涤后抗菌性能仍然持久，始终超过标准抗菌基准。试点医院验证进一步证实了其转化潜力，显示环境照明下微生物负荷减少了 75%，特别是针对革兰氏阳性菌 (77.5%)，并且优于黑暗对照。总而言之，该架构提供了与临床工作流程兼容的耐用、无耐药性、自消毒性能，为减少医疗环境中的微生物持久性提供了一种有前景的策略。</w:t>
      </w:r>
    </w:p>
    <w:p>
      <w:pPr>
        <w:spacing w:before="0" w:after="200" w:lineRule="auto" w:line="276"/>
      </w:pPr>
      <w:r>
        <w:rPr>
          <w:b/>
        </w:rPr>
        <w:t xml:space="preserve">Abstract (EN): </w:t>
      </w:r>
      <w:r>
        <w:t>A sequential ionic multilayer finishing strategy enabled the stable co-immobilization of two photosensitizing dyes—cationic methylene blue (MB) and anionic Rose Bengal (RB)—onto cotton fabrics, overcoming cellulose-dye incompatibility through chitosan interlayers and cyanoguanidine fixation. The resulting multifunctional fabric (MF) preserved fiber integrity, while the dual-dye assembly broadened visible-light absorption and maintained the independent photosensitizing activity of each dye, enabling rapid and broadband antimicrobial action under white light. The material achieved complete inactivation of E. coli and E. faecalis within 60 and 20 min, respectively, ∼6-log suppression of C. albicans after 3 h, and ∼6-log inactivation of rAd5 within 60 min. Antimicrobial performance remained durable after repeated washing, consistently exceeding standard antimicrobial benchmarks. A pilot hospital validation further confirmed its translational potential, showing a 75% reduction in microbial load under ambient lighting, particularly against Gram-positive species (77.5%), and outperforming dark controls. Taken together, this architecture provides durable, resistance-free, self-disinfecting performance compatible with clinical workflows, offering a promising strategy to reduce microbial persistence in healthcare environments.</w:t>
      </w:r>
    </w:p>
    <w:p>
      <w:pPr>
        <w:spacing w:before="120" w:after="120"/>
      </w:pPr>
      <w:r>
        <w:rPr>
          <w:sz w:val="18"/>
        </w:rPr>
        <w:t>——————————————————————————————————————————————————————————————————————</w:t>
      </w:r>
    </w:p>
    <w:p>
      <w:pPr>
        <w:spacing w:before="160" w:after="40" w:line="240" w:lineRule="auto"/>
      </w:pPr>
      <w:r>
        <w:rPr>
          <w:b/>
        </w:rPr>
        <w:t xml:space="preserve">[352] </w:t>
      </w:r>
      <w:hyperlink r:id="rId1257">
        <w:r>
          <w:rPr>
            <w:color w:val="1155CC"/>
            <w:u w:val="single"/>
          </w:rPr>
          <w:t>工程细胞外囊泡递送 miR-30d-5p 缓解股骨头坏死</w:t>
        </w:r>
      </w:hyperlink>
    </w:p>
    <w:p>
      <w:pPr>
        <w:spacing w:before="0" w:after="80"/>
      </w:pPr>
      <w:r>
        <w:rPr>
          <w:i/>
          <w:sz w:val="20"/>
        </w:rPr>
        <w:t>EN: Engineered Extracellular Vesicles Delivering miR-30d-5p Alleviate Osteonecrosis of the Femoral Head</w:t>
      </w:r>
    </w:p>
    <w:p>
      <w:pPr>
        <w:spacing w:before="0" w:after="120"/>
      </w:pPr>
      <w:r>
        <w:rPr>
          <w:b/>
        </w:rPr>
        <w:t xml:space="preserve">Source: </w:t>
      </w:r>
      <w:r>
        <w:t>ACS Applied Materials &amp; Interfaces: Latest Articles (ACS Publications)</w:t>
      </w:r>
      <w:r>
        <w:t xml:space="preserve">    </w:t>
      </w:r>
      <w:r>
        <w:rPr>
          <w:b/>
        </w:rPr>
        <w:t xml:space="preserve">Pub date: </w:t>
      </w:r>
      <w:r>
        <w:t>2026-08-11 00:00:00+00:00</w:t>
      </w:r>
      <w:r>
        <w:t xml:space="preserve">    </w:t>
      </w:r>
      <w:r>
        <w:rPr>
          <w:b/>
        </w:rPr>
        <w:t xml:space="preserve">DOI: </w:t>
      </w:r>
      <w:hyperlink r:id="rId1258">
        <w:r>
          <w:rPr>
            <w:color w:val="1155CC"/>
            <w:u w:val="single"/>
          </w:rPr>
          <w:t>10.1021/acsami.6c09408</w:t>
        </w:r>
      </w:hyperlink>
    </w:p>
    <w:p>
      <w:pPr>
        <w:spacing w:before="0" w:after="120"/>
      </w:pPr>
      <w:r>
        <w:rPr>
          <w:b/>
        </w:rPr>
        <w:t xml:space="preserve">Notes: </w:t>
      </w:r>
      <w:r>
        <w:t>abstract_source=crossref</w:t>
      </w:r>
    </w:p>
    <w:p>
      <w:pPr>
        <w:spacing w:before="0" w:after="80" w:lineRule="auto" w:line="276"/>
      </w:pPr>
      <w:r>
        <w:rPr>
          <w:b/>
        </w:rPr>
        <w:t xml:space="preserve">摘要（ZH）: </w:t>
      </w:r>
      <w:r>
        <w:t>摘要 股骨头坏死（ONFH）仍然是一个重大的临床挑战，其特征是骨再生受损和血液供应受损。本研究旨在探讨脉冲电磁场​​（PEMF）预处理的骨髓间充质基质细胞（BMSC）衍生的工程化细胞外囊泡（EV）的治疗功效和机制。我们证明，在 3 毫特斯拉 (mT) 的特定 PEMF 下收获的 BMSC-EV（BMSC-EVsPEMF（3 mT））可显着增强体外糖皮质激素损伤的成骨细胞的增殖和成骨分化。在 ONFH 大鼠模型中，BMSC-EVsPEMF（3 mT）给药有效促进股骨头结构的恢复并促进血管生成，CD31 表达增加证明了这一点。从机制上讲，miRNA测序显示miR-30d-5p在BMSC-EVsPEMF（3 mT）中显着上调，从而下调CYP24A1的表达并促进成骨分化。这些结果表明，振幅为 3 mT 的 PEMF 预处理可优化 BMSC-EV 的负载，从而通过 miR-30d-5p/CYP24A1 轴促进成骨分化并减轻 ONFH。</w:t>
      </w:r>
    </w:p>
    <w:p>
      <w:pPr>
        <w:spacing w:before="0" w:after="200" w:lineRule="auto" w:line="276"/>
      </w:pPr>
      <w:r>
        <w:rPr>
          <w:b/>
        </w:rPr>
        <w:t xml:space="preserve">Abstract (EN): </w:t>
      </w:r>
      <w:r>
        <w:t>Osteonecrosis of the femoral head (ONFH) remains a significant clinical challenge characterized by impaired bone regeneration and compromised blood supply. This study aimed to investigate the therapeutic efficacy and mechanism of engineered extracellular vesicles (EVs) derived from bone marrow mesenchymal stromal cells (BMSCs) preconditioned with pulsed electromagnetic fields (PEMFs). We demonstrated that BMSC-EVs harvested under a specific PEMF of 3 millitesla (mT) (BMSC-EVsPEMFs (3 mT)) significantly enhanced the proliferation and osteogenic differentiation of glucocorticoid-insulted osteoblasts in vitro. In an ONFH rat model, BMSC-EVsPEMFs (3 mT) administration effectively facilitated the restoration of the femoral head bone structure and promoted angiogenesis, as evidenced by increased CD31 expression. Mechanistically, miRNA sequencing revealed that miR-30d-5p was significantly upregulated in BMSC-EVsPEMFs (3 mT), which downregulated the expression of CYP24A1 and promoted osteogenic differentiation. These findings suggest that PEMF preconditioning with an amplitude of 3 mT optimizes the cargo of BMSC-EVs to promote osteogenic differentiation and alleviate ONFH via the miR-30d-5p/CYP24A1 axis.</w:t>
      </w:r>
    </w:p>
    <w:p>
      <w:pPr>
        <w:spacing w:before="120" w:after="120"/>
      </w:pPr>
      <w:r>
        <w:rPr>
          <w:sz w:val="18"/>
        </w:rPr>
        <w:t>——————————————————————————————————————————————————————————————————————</w:t>
      </w:r>
    </w:p>
    <w:p>
      <w:pPr>
        <w:spacing w:before="160" w:after="40" w:line="240" w:lineRule="auto"/>
      </w:pPr>
      <w:r>
        <w:rPr>
          <w:b/>
        </w:rPr>
        <w:t xml:space="preserve">[353] </w:t>
      </w:r>
      <w:hyperlink r:id="rId1259">
        <w:r>
          <w:rPr>
            <w:color w:val="1155CC"/>
            <w:u w:val="single"/>
          </w:rPr>
          <w:t>植物激素调控金属有机框架的进展：整合机制、设计原则和实施问题</w:t>
        </w:r>
      </w:hyperlink>
    </w:p>
    <w:p>
      <w:pPr>
        <w:spacing w:before="0" w:after="80"/>
      </w:pPr>
      <w:r>
        <w:rPr>
          <w:i/>
          <w:sz w:val="20"/>
        </w:rPr>
        <w:t>EN: Advancements in Metal-Organic Frameworks for Plant Hormone Regulation: Integration Mechanism, Design Principles, and Implementation Concerns</w:t>
      </w:r>
    </w:p>
    <w:p>
      <w:pPr>
        <w:spacing w:before="0" w:after="120"/>
      </w:pPr>
      <w:r>
        <w:rPr>
          <w:b/>
        </w:rPr>
        <w:t xml:space="preserve">Source: </w:t>
      </w:r>
      <w:r>
        <w:t>ACS Applied Materials &amp; Interfaces: Latest Articles (ACS Publications)</w:t>
      </w:r>
      <w:r>
        <w:t xml:space="preserve">    </w:t>
      </w:r>
      <w:r>
        <w:rPr>
          <w:b/>
        </w:rPr>
        <w:t xml:space="preserve">Pub date: </w:t>
      </w:r>
      <w:r>
        <w:t>2026-08-11 00:00:00+00:00</w:t>
      </w:r>
      <w:r>
        <w:t xml:space="preserve">    </w:t>
      </w:r>
      <w:r>
        <w:rPr>
          <w:b/>
        </w:rPr>
        <w:t xml:space="preserve">DOI: </w:t>
      </w:r>
      <w:hyperlink r:id="rId1260">
        <w:r>
          <w:rPr>
            <w:color w:val="1155CC"/>
            <w:u w:val="single"/>
          </w:rPr>
          <w:t>10.1021/acsami.6c07432</w:t>
        </w:r>
      </w:hyperlink>
    </w:p>
    <w:p>
      <w:pPr>
        <w:spacing w:before="0" w:after="120"/>
      </w:pPr>
      <w:r>
        <w:rPr>
          <w:b/>
        </w:rPr>
        <w:t xml:space="preserve">Notes: </w:t>
      </w:r>
      <w:r>
        <w:t>abstract_source=crossref</w:t>
      </w:r>
    </w:p>
    <w:p>
      <w:pPr>
        <w:spacing w:before="0" w:after="80" w:lineRule="auto" w:line="276"/>
      </w:pPr>
      <w:r>
        <w:rPr>
          <w:b/>
        </w:rPr>
        <w:t xml:space="preserve">摘要（ZH）: </w:t>
      </w:r>
      <w:r>
        <w:t>摘要 通过智能传递系统（例如生长激素调节）可以改善作物的生长和胁迫耐受性。金属有机框架 (MOF) 提供原子级可调性、高孔隙率、表面化学、刺激响应性和复合材料的兼容性，使其能够满足智能和受监管的激素输送系统的需求。 MOF 多孔结构中封装的生长激素可以利用外部刺激以可控方式释放。 MOF 为新时代的作物管理提供了潜在的产出，具有可持续性和对环境压力和气候变化背景的严格响应。然而，在智能和受监管的激素输送系统中实际部署 MOF 需要仔细注意生物降解特性、制造成本和环境安全方面。生物衍生和绿色 MOF 合成技术的最新发展表明，可以在不降低递送效率的情况下降低环境问题的可行解决方案。此外，在生理和分子水平上全面了解植物-MOF 相互作用对于优化可变田间环境下的激素释放至关重要。这种见解对于将实验室规模的 MOF 激素系统转化为可行且可扩展的农业应用至关重要。因此，本工作全面评估了 MOF 的制造和可调性、植物激素整合、相互作用机制、调节、对植物生长的影响、MOF 和激素的综合输入、MOF 作为植物激素宿主基质的最新进展。</w:t>
      </w:r>
    </w:p>
    <w:p>
      <w:pPr>
        <w:spacing w:before="0" w:after="200" w:lineRule="auto" w:line="276"/>
      </w:pPr>
      <w:r>
        <w:rPr>
          <w:b/>
        </w:rPr>
        <w:t xml:space="preserve">Abstract (EN): </w:t>
      </w:r>
      <w:r>
        <w:t>Growth and stress tolerance in crop plants could be improved with smart delivery systems, such as growth hormone regulation. Metal-organic frameworks (MOFs) offer atomic-level tunability, high porosity, surface chemistry, stimuli-responsiveness, and compatibility in composites, enabling them to meet the demands of smart and regulated hormone delivery systems. An encapsulated growth hormone in MOF porous structures can be released in a controllable way using external stimuli. MOFs offer the potential output for a new era of crop management with sustainability and exacting responses to environmental pressures and climate variation context. However, actual deployment of MOFs in smart and regulated hormone delivery systems requires careful attention to biodegradation profiles, cost of manufacture, and environmental safety aspects. Recent developments in bio-derived and green MOF synthesis techniques showed viable solutions to lower environmental concerns without reducing delivery effectiveness. Furthermore, a comprehensive understanding of plant-MOF interactions at physiological and molecular levels is crucial for optimizing hormone release under variable field circumstances. This insight is essential for converting laboratory-scale MOF-hormone systems into viable and scalable agricultural applications. Thus, the present work comprehensively evaluated the recent developments in MOFs fabrication and tunability, plant hormones integration, interaction mechanisms, modulation, impact on plant growth, integrated input of MOFs and hormones, MOFs as host matrices for plant hormones, future perspective, and critical insight on realistic implementation in sustainable agriculture.</w:t>
      </w:r>
    </w:p>
    <w:p>
      <w:pPr>
        <w:spacing w:before="120" w:after="120"/>
      </w:pPr>
      <w:r>
        <w:rPr>
          <w:sz w:val="18"/>
        </w:rPr>
        <w:t>——————————————————————————————————————————————————————————————————————</w:t>
      </w:r>
    </w:p>
    <w:p>
      <w:pPr>
        <w:spacing w:before="160" w:after="40" w:line="240" w:lineRule="auto"/>
      </w:pPr>
      <w:r>
        <w:rPr>
          <w:b/>
        </w:rPr>
        <w:t xml:space="preserve">[354] </w:t>
      </w:r>
      <w:hyperlink r:id="rId1261">
        <w:r>
          <w:rPr>
            <w:color w:val="1155CC"/>
            <w:u w:val="single"/>
          </w:rPr>
          <w:t>用于快速骨再生和作为感染性骨质溶解研究模型的初步发育类骨生物组件</w:t>
        </w:r>
      </w:hyperlink>
    </w:p>
    <w:p>
      <w:pPr>
        <w:spacing w:before="0" w:after="80"/>
      </w:pPr>
      <w:r>
        <w:rPr>
          <w:i/>
          <w:sz w:val="20"/>
        </w:rPr>
        <w:t>EN: Preliminary Developmental Bone-like Bioassemblies for Rapid Bone Regeneration and as an Infectious Osteolysis Research Model</w:t>
      </w:r>
    </w:p>
    <w:p>
      <w:pPr>
        <w:spacing w:before="0" w:after="120"/>
      </w:pPr>
      <w:r>
        <w:rPr>
          <w:b/>
        </w:rPr>
        <w:t xml:space="preserve">Source: </w:t>
      </w:r>
      <w:r>
        <w:t>ACS Applied Materials &amp; Interfaces: Latest Articles (ACS Publications)</w:t>
      </w:r>
      <w:r>
        <w:t xml:space="preserve">    </w:t>
      </w:r>
      <w:r>
        <w:rPr>
          <w:b/>
        </w:rPr>
        <w:t xml:space="preserve">Pub date: </w:t>
      </w:r>
      <w:r>
        <w:t>2026-08-11 00:00:00+00:00</w:t>
      </w:r>
      <w:r>
        <w:t xml:space="preserve">    </w:t>
      </w:r>
      <w:r>
        <w:rPr>
          <w:b/>
        </w:rPr>
        <w:t xml:space="preserve">DOI: </w:t>
      </w:r>
      <w:hyperlink r:id="rId1262">
        <w:r>
          <w:rPr>
            <w:color w:val="1155CC"/>
            <w:u w:val="single"/>
          </w:rPr>
          <w:t>10.1021/acsami.6c07350</w:t>
        </w:r>
      </w:hyperlink>
    </w:p>
    <w:p>
      <w:pPr>
        <w:spacing w:before="0" w:after="120"/>
      </w:pPr>
      <w:r>
        <w:rPr>
          <w:b/>
        </w:rPr>
        <w:t xml:space="preserve">Notes: </w:t>
      </w:r>
      <w:r>
        <w:t>abstract_source=crossref</w:t>
      </w:r>
    </w:p>
    <w:p>
      <w:pPr>
        <w:spacing w:before="0" w:after="80" w:lineRule="auto" w:line="276"/>
      </w:pPr>
      <w:r>
        <w:rPr>
          <w:b/>
        </w:rPr>
        <w:t xml:space="preserve">摘要（ZH）: </w:t>
      </w:r>
      <w:r>
        <w:t>摘要 骨缺损和骨感染仍然是骨科面临的重大挑战。目前缺乏针对骨缺损和感染性骨溶解的有效治疗策略。尽管组织工程技术在骨再生方面显示出巨大的潜力，但它们与生理微环境的差异限制了它们支持内源性成骨的能力。在此，我们探索了初步发育的类骨生物组件，旨在增强快速骨再生并作为感染性骨溶解的研究模型。使用 3D 微阵列，用 2-磷酸抗坏血酸、β-甘油磷酸和地塞米松组装、聚集、增殖和分化成骨细胞前体细胞，部分重现天然骨组织的结构和功能特征。体外评估显示显着的成骨分化和优异的矿化特性。体内实验证明了这些生物组件在促进临界尺寸缺损的骨愈合方面的有效性，并改善了与宿主组织的整合。值得注意的是，接触金黄色葡萄球菌 PAMP 会诱导类骨生物组合中的感染性骨溶解，证明它们对致病刺激的反应，并展示它们作为研究骨感染动力学和宿主-病原体相互作用的平台的潜力。因此，这些初步发育的类骨生物组件代表了一种有前途的策略，可用于推进骨再生的治疗方法和检查感染过程的复杂性。</w:t>
      </w:r>
    </w:p>
    <w:p>
      <w:pPr>
        <w:spacing w:before="0" w:after="200" w:lineRule="auto" w:line="276"/>
      </w:pPr>
      <w:r>
        <w:rPr>
          <w:b/>
        </w:rPr>
        <w:t xml:space="preserve">Abstract (EN): </w:t>
      </w:r>
      <w:r>
        <w:t>Bone defects and bone infections remain significant challenges in orthopedics. Effective treatment strategies for bone defects and infectious osteolysis are currently lacking. Although tissue engineering techniques have shown great potential for bone regeneration, their divergence from the physiological microenvironment limits their ability to support endogenous osteogenesis. Herein, we explored the preliminary developmental bone-like bioassemblies aimed at enhancing rapid bone regeneration and serving as a research model for infectious osteolysis. Using a 3D microarray, osteoblast precursor cells were assembled, aggregated, proliferated, and differentiated with ascorbic acid-2-phosphate, β-glycerophosphate, and dexamethasone, partially recapitulating the structural and functional characteristics of native bone tissue. In vitro assessments showed significant osteogenic differentiation and excellent mineralization properties. In vivo experiments demonstrated the effectiveness of these bioassemblies in promoting bone healing in critical-sized defects, with improved integration into host tissue. Notably, exposure to Staphylococcus aureus PAMPs induced infectious osteolysis in the bone-like bioassemblies, demonstrating their response to pathogenic stimuli and showcasing their potential as a platform for studying bone infection dynamics and host–pathogen interactions. These preliminary developmental bone-like bioassemblies therefore represent a promising strategy for advancing therapeutic approaches in bone regeneration and examining the complexities of infectious processes affecting bone integrity.</w:t>
      </w:r>
    </w:p>
    <w:p>
      <w:pPr>
        <w:spacing w:before="120" w:after="120"/>
      </w:pPr>
      <w:r>
        <w:rPr>
          <w:sz w:val="18"/>
        </w:rPr>
        <w:t>——————————————————————————————————————————————————————————————————————</w:t>
      </w:r>
    </w:p>
    <w:p>
      <w:pPr>
        <w:spacing w:before="160" w:after="40" w:line="240" w:lineRule="auto"/>
      </w:pPr>
      <w:r>
        <w:rPr>
          <w:b/>
        </w:rPr>
        <w:t xml:space="preserve">[355] </w:t>
      </w:r>
      <w:hyperlink r:id="rId1263">
        <w:r>
          <w:rPr>
            <w:color w:val="1155CC"/>
            <w:u w:val="single"/>
          </w:rPr>
          <w:t>用于过一硫酸盐活化的 MXene 催化剂：结构-途径关系、水-基质效应和环境安全</w:t>
        </w:r>
      </w:hyperlink>
    </w:p>
    <w:p>
      <w:pPr>
        <w:spacing w:before="0" w:after="80"/>
      </w:pPr>
      <w:r>
        <w:rPr>
          <w:i/>
          <w:sz w:val="20"/>
        </w:rPr>
        <w:t>EN: MXene-Based Catalysts for Peroxymonosulfate Activation: Structure-Pathway Relationships, Water-Matrix Effects, and Environmental Safety</w:t>
      </w:r>
    </w:p>
    <w:p>
      <w:pPr>
        <w:spacing w:before="0" w:after="120"/>
      </w:pPr>
      <w:r>
        <w:rPr>
          <w:b/>
        </w:rPr>
        <w:t xml:space="preserve">Source: </w:t>
      </w:r>
      <w:r>
        <w:t>ACS Applied Materials &amp; Interfaces: Latest Articles (ACS Publications)</w:t>
      </w:r>
      <w:r>
        <w:t xml:space="preserve">    </w:t>
      </w:r>
      <w:r>
        <w:rPr>
          <w:b/>
        </w:rPr>
        <w:t xml:space="preserve">Pub date: </w:t>
      </w:r>
      <w:r>
        <w:t>2026-08-11 00:00:00+00:00</w:t>
      </w:r>
      <w:r>
        <w:t xml:space="preserve">    </w:t>
      </w:r>
      <w:r>
        <w:rPr>
          <w:b/>
        </w:rPr>
        <w:t xml:space="preserve">DOI: </w:t>
      </w:r>
      <w:hyperlink r:id="rId1264">
        <w:r>
          <w:rPr>
            <w:color w:val="1155CC"/>
            <w:u w:val="single"/>
          </w:rPr>
          <w:t>10.1021/acsami.6c09035</w:t>
        </w:r>
      </w:hyperlink>
    </w:p>
    <w:p>
      <w:pPr>
        <w:spacing w:before="0" w:after="120"/>
      </w:pPr>
      <w:r>
        <w:rPr>
          <w:b/>
        </w:rPr>
        <w:t xml:space="preserve">Notes: </w:t>
      </w:r>
      <w:r>
        <w:t>abstract_source=crossref</w:t>
      </w:r>
    </w:p>
    <w:p>
      <w:pPr>
        <w:spacing w:before="0" w:after="80" w:lineRule="auto" w:line="276"/>
      </w:pPr>
      <w:r>
        <w:rPr>
          <w:b/>
        </w:rPr>
        <w:t xml:space="preserve">摘要（ZH）: </w:t>
      </w:r>
      <w:r>
        <w:t>摘要 MXene 已成为过一硫酸盐 (PMS) 活化的有前途的催化平台，因为它们的金属导电性、可调表面终端、富含缺陷的层状结构和成分灵活性能够实现高效的电子转移和活性位点工程。然而，基于MXene的PMS系统的催化行为高度依赖于表面化学和界面构型，并且合成、结构描述符、反应途径和环境适用性之间的关系仍然不够明确。本综述总结了用于 PMS 活化的表面和缺陷工程 MXene 基催化剂的最新进展，重点是表面和缺陷依赖的结构-活性关系。首先，讨论了 MXene 合成和改性策略，包括氟化物辅助蚀刻、无氟路线、终止调节、缺陷工程、掺杂、单原子锚定和异质结构构建，讨论了它们对可及活性位点和界面电子转移性能的影响。其次，对自由基和非自由基 PMS 激活途径进行了批判性分析，强调了终端、空位、金属位点和导电界面如何调节 SO4•−、•OH、1O2 的生成和直接电子转移过程。第三，评估了 MXene 基催化剂在复杂水基质中的性能，包括 pH 耐受性、离子效应、天然有机物干扰、固定化、膜集成和连续流操作。最后，环保</w:t>
      </w:r>
    </w:p>
    <w:p>
      <w:pPr>
        <w:spacing w:before="0" w:after="200" w:lineRule="auto" w:line="276"/>
      </w:pPr>
      <w:r>
        <w:rPr>
          <w:b/>
        </w:rPr>
        <w:t xml:space="preserve">Abstract (EN): </w:t>
      </w:r>
      <w:r>
        <w:t>MXenes have emerged as promising catalytic platforms for peroxymonosulfate (PMS) activation because their metallic conductivity, tunable surface terminations, defect-rich lamellar structures, and compositional flexibility enable efficient electron transfer and active-site engineering. However, the catalytic behavior of MXene-based PMS systems is highly dependent on surface chemistry and interface configuration, and the relationships among synthesis, structural descriptors, reactive pathways, and environmental applicability remain insufficiently clarified. This review summarizes recent advances in surface- and defect-engineered MXene-based catalysts for PMS activation, with emphasis on surface- and defect-dependent structure−activity relationships. First, MXene synthesis and modification strategies, including fluoride-assisted etching, fluorine-free routes, termination regulation, defect engineering, doping, single-atom anchoring, and heterostructure construction, are discussed in terms of their influence on accessible active sites and interfacial electron-transfer properties. Second, radical and nonradical PMS activation pathways are critically analyzed, highlighting how terminations, vacancies, metal sites, and conductive interfaces regulate the generation of SO4•−, •OH, 1O2, and direct electron-transfer processes. Third, the performance of MXene-based catalysts in complex water matrices is evaluated, including pH tolerance, ion effects, natural organic matter interference, immobilization, membrane integration, and continuous-flow operation. Finally, environmental stability, metal leaching, oxidation-derived transformation, by-product risks, and safe-by-design considerations are assessed. This review aims to provide a materials-centered framework for regulating the surface chemistry, defect structures, and catalytic interfaces of MXenes to couple efficient PMS activation with practical and environmentally responsible water purification.</w:t>
      </w:r>
    </w:p>
    <w:p>
      <w:pPr>
        <w:spacing w:before="120" w:after="120"/>
      </w:pPr>
      <w:r>
        <w:rPr>
          <w:sz w:val="18"/>
        </w:rPr>
        <w:t>——————————————————————————————————————————————————————————————————————</w:t>
      </w:r>
    </w:p>
    <w:p>
      <w:pPr>
        <w:spacing w:before="160" w:after="40" w:line="240" w:lineRule="auto"/>
      </w:pPr>
      <w:r>
        <w:rPr>
          <w:b/>
        </w:rPr>
        <w:t xml:space="preserve">[356] </w:t>
      </w:r>
      <w:hyperlink r:id="rId1265">
        <w:r>
          <w:rPr>
            <w:color w:val="1155CC"/>
            <w:u w:val="single"/>
          </w:rPr>
          <w:t>人工智能会让我们的梦想看起来都一样吗？</w:t>
        </w:r>
      </w:hyperlink>
    </w:p>
    <w:p>
      <w:pPr>
        <w:spacing w:before="0" w:after="80"/>
      </w:pPr>
      <w:r>
        <w:rPr>
          <w:i/>
          <w:sz w:val="20"/>
        </w:rPr>
        <w:t>EN: Will AI make our dreams all look the same?</w:t>
      </w:r>
    </w:p>
    <w:p>
      <w:pPr>
        <w:spacing w:before="0" w:after="120"/>
      </w:pPr>
      <w:r>
        <w:rPr>
          <w:b/>
        </w:rPr>
        <w:t xml:space="preserve">Source: </w:t>
      </w:r>
      <w:r>
        <w:t>Nature</w:t>
      </w:r>
      <w:r>
        <w:t xml:space="preserve">    </w:t>
      </w:r>
      <w:r>
        <w:rPr>
          <w:b/>
        </w:rPr>
        <w:t xml:space="preserve">Pub date: </w:t>
      </w:r>
      <w:r>
        <w:t>2026-08-11 00:00:00+00:00</w:t>
      </w:r>
      <w:r>
        <w:t xml:space="preserve">    </w:t>
      </w:r>
      <w:r>
        <w:rPr>
          <w:b/>
        </w:rPr>
        <w:t xml:space="preserve">DOI: </w:t>
      </w:r>
      <w:hyperlink r:id="rId1266">
        <w:r>
          <w:rPr>
            <w:color w:val="1155CC"/>
            <w:u w:val="single"/>
          </w:rPr>
          <w:t>10.1038/d41586-026-02491-8</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[357] </w:t>
      </w:r>
      <w:hyperlink r:id="rId1267">
        <w:r>
          <w:rPr>
            <w:color w:val="1155CC"/>
            <w:u w:val="single"/>
          </w:rPr>
          <w:t>利用主客体构象匹配实现高效的近红外磷光</w:t>
        </w:r>
      </w:hyperlink>
    </w:p>
    <w:p>
      <w:pPr>
        <w:spacing w:before="0" w:after="80"/>
      </w:pPr>
      <w:r>
        <w:rPr>
          <w:i/>
          <w:sz w:val="20"/>
        </w:rPr>
        <w:t>EN: Harnessing Host–Guest Conformational Matching for Efficient Near-Infrared Phosphorescence</w:t>
      </w:r>
    </w:p>
    <w:p>
      <w:pPr>
        <w:spacing w:before="0" w:after="120"/>
      </w:pPr>
      <w:r>
        <w:rPr>
          <w:b/>
        </w:rPr>
        <w:t xml:space="preserve">Source: </w:t>
      </w:r>
      <w:r>
        <w:t>Journal of the American Chemical Society: Latest Articles (ACS Publications)</w:t>
      </w:r>
      <w:r>
        <w:t xml:space="preserve">    </w:t>
      </w:r>
      <w:r>
        <w:rPr>
          <w:b/>
        </w:rPr>
        <w:t xml:space="preserve">Pub date: </w:t>
      </w:r>
      <w:r>
        <w:t>2026-08-11 00:00:00+00:00</w:t>
      </w:r>
      <w:r>
        <w:t xml:space="preserve">    </w:t>
      </w:r>
      <w:r>
        <w:rPr>
          <w:b/>
        </w:rPr>
        <w:t xml:space="preserve">DOI: </w:t>
      </w:r>
      <w:hyperlink r:id="rId1268">
        <w:r>
          <w:rPr>
            <w:color w:val="1155CC"/>
            <w:u w:val="single"/>
          </w:rPr>
          <w:t>10.1021/jacs.6c12747</w:t>
        </w:r>
      </w:hyperlink>
    </w:p>
    <w:p>
      <w:pPr>
        <w:spacing w:before="0" w:after="120"/>
      </w:pPr>
      <w:r>
        <w:rPr>
          <w:b/>
        </w:rPr>
        <w:t xml:space="preserve">Notes: </w:t>
      </w:r>
      <w:r>
        <w:t>abstract_source=crossref</w:t>
      </w:r>
    </w:p>
    <w:p>
      <w:pPr>
        <w:spacing w:before="0" w:after="80" w:lineRule="auto" w:line="276"/>
      </w:pPr>
      <w:r>
        <w:rPr>
          <w:b/>
        </w:rPr>
        <w:t xml:space="preserve">摘要（ZH）: </w:t>
      </w:r>
      <w:r>
        <w:t>摘要 近红外室温磷光在生物成像、诊断和治疗方面具有重要的应用前景。然而，它们的发展受到能隙定律的限制；特别是，结构简单且效率高的系统仍然极其稀缺。在此，提出了基于芳香硫酮单元的“构象匹配”策略，使得能够合理构建高效主客体近红外磷光材料。这种高效率归因于客体和主体之间的构象匹配，从而可以优化分子堆叠和构象以实现激子局域化。所得材料的最长发射峰在715 nm，最大磷光量子产率高达55.5%。机理研究进一步表明，“构象匹配”可以同时调节非辐射衰变、辐射跃迁速率和三重态-三重态能量转移过程，从而协同增强性能。这项工作不仅为高效、紧凑的近红外磷光材料提供了一种新的设计策略，而且将构象工程确立为调节主客体磷光性能的重要新维度。</w:t>
      </w:r>
    </w:p>
    <w:p>
      <w:pPr>
        <w:spacing w:before="0" w:after="200" w:lineRule="auto" w:line="276"/>
      </w:pPr>
      <w:r>
        <w:rPr>
          <w:b/>
        </w:rPr>
        <w:t xml:space="preserve">Abstract (EN): </w:t>
      </w:r>
      <w:r>
        <w:t>Near-infrared room-temperature phosphorescence holds significant promise for applications in bioimaging, diagnosis, and treatment. However, their development is constrained by the energy gap law; especially, systems that combine structural simplicity with high efficiency remain extremely scarce. Herein, a “conformation matching” strategy based on aromatic thioketone units is proposed, enabling the rational construction of highly efficient host–guest near-infrared phosphorescent materials. This high efficiency is attributed to the conformation match between the guest and host, whereby the molecular stacking and conformation could be optimized to realize exciton localization. The longest emission peak of the obtained material is at 715 nm, and the maximum phosphorescence quantum yield is as high as 55.5%. Mechanistic studies further reveal that “conformation matching” can simultaneously regulate nonradiative decay, radiative transition rates, and triplet–triplet energy transfer processes, leading to a synergistic enhancement of performance. This work not only provides a new design strategy for highly efficient and compact near-infrared phosphorescent materials but also establishes conformation engineering as a crucial new dimension for tuning host–guest phosphorescence properties.</w:t>
      </w:r>
    </w:p>
    <w:p>
      <w:pPr>
        <w:spacing w:before="120" w:after="120"/>
      </w:pPr>
      <w:r>
        <w:rPr>
          <w:sz w:val="18"/>
        </w:rPr>
        <w:t>——————————————————————————————————————————————————————————————————————</w:t>
      </w:r>
    </w:p>
    <w:p>
      <w:pPr>
        <w:spacing w:before="160" w:after="40" w:line="240" w:lineRule="auto"/>
      </w:pPr>
      <w:r>
        <w:rPr>
          <w:b/>
        </w:rPr>
        <w:t xml:space="preserve">[358] </w:t>
      </w:r>
      <w:hyperlink r:id="rId1269">
        <w:r>
          <w:rPr>
            <w:color w:val="1155CC"/>
            <w:u w:val="single"/>
          </w:rPr>
          <w:t>通过多相解离平衡调节硝酸盐空气污染的控制机制</w:t>
        </w:r>
      </w:hyperlink>
    </w:p>
    <w:p>
      <w:pPr>
        <w:spacing w:before="0" w:after="80"/>
      </w:pPr>
      <w:r>
        <w:rPr>
          <w:i/>
          <w:sz w:val="20"/>
        </w:rPr>
        <w:t>EN: Control regimes of nitrate air pollution reconciled by multiphase dissociation equilibrium</w:t>
      </w:r>
    </w:p>
    <w:p>
      <w:pPr>
        <w:spacing w:before="0" w:after="120"/>
      </w:pPr>
      <w:r>
        <w:rPr>
          <w:b/>
        </w:rPr>
        <w:t xml:space="preserve">Source: </w:t>
      </w:r>
      <w:r>
        <w:t>National Science Review Advance Access</w:t>
      </w:r>
      <w:r>
        <w:t xml:space="preserve">    </w:t>
      </w:r>
      <w:r>
        <w:rPr>
          <w:b/>
        </w:rPr>
        <w:t xml:space="preserve">Pub date: </w:t>
      </w:r>
      <w:r>
        <w:t>2026-08-11 00:00:00+00:00</w:t>
      </w:r>
      <w:r>
        <w:t xml:space="preserve">    </w:t>
      </w:r>
      <w:r>
        <w:rPr>
          <w:b/>
        </w:rPr>
        <w:t xml:space="preserve">DOI: </w:t>
      </w:r>
      <w:hyperlink r:id="rId1270">
        <w:r>
          <w:rPr>
            <w:color w:val="1155CC"/>
            <w:u w:val="single"/>
          </w:rPr>
          <w:t>10.1093/nsr/nwag481</w:t>
        </w:r>
      </w:hyperlink>
    </w:p>
    <w:p>
      <w:pPr>
        <w:spacing w:before="0" w:after="120"/>
      </w:pPr>
      <w:r>
        <w:rPr>
          <w:b/>
        </w:rPr>
        <w:t xml:space="preserve">Notes: </w:t>
      </w:r>
      <w:r>
        <w:t>abstract_source=rss_oup</w:t>
      </w:r>
    </w:p>
    <w:p>
      <w:pPr>
        <w:spacing w:before="0" w:after="80" w:lineRule="auto" w:line="276"/>
      </w:pPr>
      <w:r>
        <w:rPr>
          <w:b/>
        </w:rPr>
        <w:t xml:space="preserve">摘要（ZH）: </w:t>
      </w:r>
      <w:r>
        <w:t>颗粒物硝酸盐是雾霾污染的主要组成部分，但对其有效的控制政策存在大量争议。在这里，我们建立了一个多相解离平衡方程，基于该方程可以解耦气象条件和化学剖面的影响，并可以导出硝酸盐对不同物种敏感性的解析表达式。在此框架下，确定了四种硝酸盐控制机制，即硝酸控制、氨控制、过渡和气象机制。该框架还解释了硫酸盐和硝酸盐之间的权衡，并阐明了硫酸盐和非挥发性阳离子对状态转变的影响。在北半球大部分大陆地区以及几乎整个中国，由于氨普遍过量，颗粒硝酸盐通常对硝酸比对氨更敏感。该框架为解释硝酸盐敏感性和控制制度分类提供了透明的标准，为硝酸盐控制政策和活性氮相互作用提供了重要的科学基础。</w:t>
      </w:r>
    </w:p>
    <w:p>
      <w:pPr>
        <w:spacing w:before="0" w:after="200" w:lineRule="auto" w:line="276"/>
      </w:pPr>
      <w:r>
        <w:rPr>
          <w:b/>
        </w:rPr>
        <w:t xml:space="preserve">Abstract (EN): </w:t>
      </w:r>
      <w:r>
        <w:t>Particulate nitrate is a major component of haze pollution, yet substantial debate exists regarding its effective control policies. Here, we develop a multiphase dissociation equilibrium equation, based on which the influence of meteorological conditions and chemical profiles can be decoupled, and the analytical expression of nitrate sensitivity to different species can be derived. With this framework, four nitrate control regimes are identified, namely the nitric-acid-control, ammonia-control, transition, and meteorology regimes. The framework also explains the trade-offs between sulfate and nitrate, and elucidates the influence of sulfate and non-volatile cations on the regime transitions. Across most Northern Hemisphere continental regions, and nearly all of China, particulate nitrate is generally more sensitive to nitric acid than to ammonia due to the universal NH3 excess. The framework provides transparent criteria for interpreting nitrate sensitivity and control regime classifications, serving as an important scientific basis for nitrate control policies and reactive nitrogen interactions.</w:t>
      </w:r>
    </w:p>
    <w:p>
      <w:pPr>
        <w:spacing w:before="120" w:after="120"/>
      </w:pPr>
      <w:r>
        <w:rPr>
          <w:sz w:val="18"/>
        </w:rPr>
        <w:t>——————————————————————————————————————————————————————————————————————</w:t>
      </w:r>
    </w:p>
    <w:p>
      <w:pPr>
        <w:spacing w:before="160" w:after="40" w:line="240" w:lineRule="auto"/>
      </w:pPr>
      <w:r>
        <w:rPr>
          <w:b/>
        </w:rPr>
        <w:t xml:space="preserve">[359] </w:t>
      </w:r>
      <w:hyperlink r:id="rId1271">
        <w:r>
          <w:rPr>
            <w:color w:val="1155CC"/>
            <w:u w:val="single"/>
          </w:rPr>
          <w:t>为什么科学家应该引领人工智能大型数据中心的转变</w:t>
        </w:r>
      </w:hyperlink>
    </w:p>
    <w:p>
      <w:pPr>
        <w:spacing w:before="0" w:after="80"/>
      </w:pPr>
      <w:r>
        <w:rPr>
          <w:i/>
          <w:sz w:val="20"/>
        </w:rPr>
        <w:t>EN: Why scientists should lead the shift away from AI mega data centres</w:t>
      </w:r>
    </w:p>
    <w:p>
      <w:pPr>
        <w:spacing w:before="0" w:after="120"/>
      </w:pPr>
      <w:r>
        <w:rPr>
          <w:b/>
        </w:rPr>
        <w:t xml:space="preserve">Source: </w:t>
      </w:r>
      <w:r>
        <w:t>Nature</w:t>
      </w:r>
      <w:r>
        <w:t xml:space="preserve">    </w:t>
      </w:r>
      <w:r>
        <w:rPr>
          <w:b/>
        </w:rPr>
        <w:t xml:space="preserve">Pub date: </w:t>
      </w:r>
      <w:r>
        <w:t>2026-08-11 00:00:00+00:00</w:t>
      </w:r>
      <w:r>
        <w:t xml:space="preserve">    </w:t>
      </w:r>
      <w:r>
        <w:rPr>
          <w:b/>
        </w:rPr>
        <w:t xml:space="preserve">DOI: </w:t>
      </w:r>
      <w:hyperlink r:id="rId1272">
        <w:r>
          <w:rPr>
            <w:color w:val="1155CC"/>
            <w:u w:val="single"/>
          </w:rPr>
          <w:t>10.1038/d41586-026-02451-2</w:t>
        </w:r>
      </w:hyperlink>
    </w:p>
    <w:p>
      <w:pPr>
        <w:spacing w:before="0" w:after="120"/>
      </w:pPr>
      <w:r>
        <w:rPr>
          <w:b/>
        </w:rPr>
        <w:t xml:space="preserve">Notes: </w:t>
      </w:r>
      <w:r>
        <w:t>abstract_source=rss_nature</w:t>
      </w:r>
    </w:p>
    <w:p>
      <w:pPr>
        <w:spacing w:before="0" w:after="80" w:lineRule="auto" w:line="276"/>
      </w:pPr>
      <w:r>
        <w:rPr>
          <w:b/>
        </w:rPr>
        <w:t xml:space="preserve">摘要（ZH）: </w:t>
      </w:r>
      <w:r>
        <w:t>公开可用的人工智能模型和本地基础设施可以减少人工智能的环境足迹，同时使研究人员能够更好地控制他们使用的工具。</w:t>
      </w:r>
    </w:p>
    <w:p>
      <w:pPr>
        <w:spacing w:before="0" w:after="200" w:lineRule="auto" w:line="276"/>
      </w:pPr>
      <w:r>
        <w:rPr>
          <w:b/>
        </w:rPr>
        <w:t xml:space="preserve">Abstract (EN): </w:t>
      </w:r>
      <w:r>
        <w:t>Publicly available AI models and local infrastructure can reduce AI’s environmental footprint while giving researchers greater control over the tools they use.</w:t>
      </w:r>
    </w:p>
    <w:p>
      <w:pPr>
        <w:spacing w:before="120" w:after="120"/>
      </w:pPr>
      <w:r>
        <w:rPr>
          <w:sz w:val="18"/>
        </w:rPr>
        <w:t>——————————————————————————————————————————————————————————————————————</w:t>
      </w:r>
    </w:p>
    <w:p>
      <w:pPr>
        <w:spacing w:before="160" w:after="40" w:line="240" w:lineRule="auto"/>
      </w:pPr>
      <w:r>
        <w:rPr>
          <w:b/>
        </w:rPr>
        <w:t xml:space="preserve">[360] </w:t>
      </w:r>
      <w:hyperlink r:id="rId1273">
        <w:r>
          <w:rPr>
            <w:color w:val="1155CC"/>
            <w:u w:val="single"/>
          </w:rPr>
          <w:t>“超级”厄尔尼诺现象可能会改变亚马逊地区。世界上最大的雨林注定要灭亡吗？</w:t>
        </w:r>
      </w:hyperlink>
    </w:p>
    <w:p>
      <w:pPr>
        <w:spacing w:before="0" w:after="80"/>
      </w:pPr>
      <w:r>
        <w:rPr>
          <w:i/>
          <w:sz w:val="20"/>
        </w:rPr>
        <w:t>EN: A ‘super’ El Niño could transform the Amazon. Is the world’s biggest rainforest doomed?</w:t>
      </w:r>
    </w:p>
    <w:p>
      <w:pPr>
        <w:spacing w:before="0" w:after="120"/>
      </w:pPr>
      <w:r>
        <w:rPr>
          <w:b/>
        </w:rPr>
        <w:t xml:space="preserve">Source: </w:t>
      </w:r>
      <w:r>
        <w:t>Nature</w:t>
      </w:r>
      <w:r>
        <w:t xml:space="preserve">    </w:t>
      </w:r>
      <w:r>
        <w:rPr>
          <w:b/>
        </w:rPr>
        <w:t xml:space="preserve">Pub date: </w:t>
      </w:r>
      <w:r>
        <w:t>2026-08-11 00:00:00+00:00</w:t>
      </w:r>
      <w:r>
        <w:t xml:space="preserve">    </w:t>
      </w:r>
      <w:r>
        <w:rPr>
          <w:b/>
        </w:rPr>
        <w:t xml:space="preserve">DOI: </w:t>
      </w:r>
      <w:hyperlink r:id="rId1274">
        <w:r>
          <w:rPr>
            <w:color w:val="1155CC"/>
            <w:u w:val="single"/>
          </w:rPr>
          <w:t>10.1038/d41586-026-02449-w</w:t>
        </w:r>
      </w:hyperlink>
    </w:p>
    <w:p>
      <w:pPr>
        <w:spacing w:before="0" w:after="120"/>
      </w:pPr>
      <w:r>
        <w:rPr>
          <w:b/>
        </w:rPr>
        <w:t xml:space="preserve">Notes: </w:t>
      </w:r>
      <w:r>
        <w:t>abstract_source=rss_nature</w:t>
      </w:r>
    </w:p>
    <w:p>
      <w:pPr>
        <w:spacing w:before="0" w:after="80" w:lineRule="auto" w:line="276"/>
      </w:pPr>
      <w:r>
        <w:rPr>
          <w:b/>
        </w:rPr>
        <w:t xml:space="preserve">摘要（ZH）: </w:t>
      </w:r>
      <w:r>
        <w:t>亚马逊雨林可能比科学家想象的更接近临界点。一些人担心干旱和火灾可能会使其陷入不可逆转的衰退。</w:t>
      </w:r>
    </w:p>
    <w:p>
      <w:pPr>
        <w:spacing w:before="0" w:after="200" w:lineRule="auto" w:line="276"/>
      </w:pPr>
      <w:r>
        <w:rPr>
          <w:b/>
        </w:rPr>
        <w:t xml:space="preserve">Abstract (EN): </w:t>
      </w:r>
      <w:r>
        <w:t>The Amazon rainforest might be closer to a tipping point than scientists thought. Some fear that droughts and fire could nudge it into irreversible decline.</w:t>
      </w:r>
    </w:p>
    <w:p>
      <w:pPr>
        <w:spacing w:before="120" w:after="120"/>
      </w:pPr>
      <w:r>
        <w:rPr>
          <w:sz w:val="18"/>
        </w:rPr>
        <w:t>——————————————————————————————————————————————————————————————————————</w:t>
      </w:r>
    </w:p>
    <w:p>
      <w:pPr>
        <w:spacing w:before="160" w:after="40" w:line="240" w:lineRule="auto"/>
      </w:pPr>
      <w:r>
        <w:rPr>
          <w:b/>
        </w:rPr>
        <w:t xml:space="preserve">[361] </w:t>
      </w:r>
      <w:hyperlink r:id="rId1275">
        <w:r>
          <w:rPr>
            <w:color w:val="1155CC"/>
            <w:u w:val="single"/>
          </w:rPr>
          <w:t>日食为解开太阳磁场之谜提供了难得的机会</w:t>
        </w:r>
      </w:hyperlink>
    </w:p>
    <w:p>
      <w:pPr>
        <w:spacing w:before="0" w:after="80"/>
      </w:pPr>
      <w:r>
        <w:rPr>
          <w:i/>
          <w:sz w:val="20"/>
        </w:rPr>
        <w:t>EN: Solar eclipse offers rare chance to solve Sun’s magnetic-field mysteries</w:t>
      </w:r>
    </w:p>
    <w:p>
      <w:pPr>
        <w:spacing w:before="0" w:after="120"/>
      </w:pPr>
      <w:r>
        <w:rPr>
          <w:b/>
        </w:rPr>
        <w:t xml:space="preserve">Source: </w:t>
      </w:r>
      <w:r>
        <w:t>Nature</w:t>
      </w:r>
      <w:r>
        <w:t xml:space="preserve">    </w:t>
      </w:r>
      <w:r>
        <w:rPr>
          <w:b/>
        </w:rPr>
        <w:t xml:space="preserve">Pub date: </w:t>
      </w:r>
      <w:r>
        <w:t>2026-08-11 00:00:00+00:00</w:t>
      </w:r>
      <w:r>
        <w:t xml:space="preserve">    </w:t>
      </w:r>
      <w:r>
        <w:rPr>
          <w:b/>
        </w:rPr>
        <w:t xml:space="preserve">DOI: </w:t>
      </w:r>
      <w:hyperlink r:id="rId1276">
        <w:r>
          <w:rPr>
            <w:color w:val="1155CC"/>
            <w:u w:val="single"/>
          </w:rPr>
          <w:t>10.1038/d41586-026-02142-y</w:t>
        </w:r>
      </w:hyperlink>
    </w:p>
    <w:p>
      <w:pPr>
        <w:spacing w:before="0" w:after="120"/>
      </w:pPr>
      <w:r>
        <w:rPr>
          <w:b/>
        </w:rPr>
        <w:t xml:space="preserve">Notes: </w:t>
      </w:r>
      <w:r>
        <w:t>abstract_source=rss_nature</w:t>
      </w:r>
    </w:p>
    <w:p>
      <w:pPr>
        <w:spacing w:before="0" w:after="80" w:lineRule="auto" w:line="276"/>
      </w:pPr>
      <w:r>
        <w:rPr>
          <w:b/>
        </w:rPr>
        <w:t xml:space="preserve">摘要（ZH）: </w:t>
      </w:r>
      <w:r>
        <w:t>研究人员将于8月12日前往西班牙和冰岛观测日食，希望能够解答有关日冕的问题。</w:t>
      </w:r>
    </w:p>
    <w:p>
      <w:pPr>
        <w:spacing w:before="0" w:after="200" w:lineRule="auto" w:line="276"/>
      </w:pPr>
      <w:r>
        <w:rPr>
          <w:b/>
        </w:rPr>
        <w:t xml:space="preserve">Abstract (EN): </w:t>
      </w:r>
      <w:r>
        <w:t>Researchers will travel to Spain and Iceland to observe the solar eclipse on 12 August, hoping to answer questions about the solar corona.</w:t>
      </w:r>
    </w:p>
    <w:p>
      <w:pPr>
        <w:spacing w:before="120" w:after="120"/>
      </w:pPr>
      <w:r>
        <w:rPr>
          <w:sz w:val="18"/>
        </w:rPr>
        <w:t>——————————————————————————————————————————————————————————————————————</w:t>
      </w:r>
    </w:p>
    <w:p>
      <w:pPr>
        <w:spacing w:before="160" w:after="40" w:line="240" w:lineRule="auto"/>
      </w:pPr>
      <w:r>
        <w:rPr>
          <w:b/>
        </w:rPr>
        <w:t xml:space="preserve">[362] </w:t>
      </w:r>
      <w:hyperlink r:id="rId1277">
        <w:r>
          <w:rPr>
            <w:color w:val="1155CC"/>
            <w:u w:val="single"/>
          </w:rPr>
          <w:t>美国国立卫生研究院限制公共政策对健康影响的研究经费</w:t>
        </w:r>
      </w:hyperlink>
    </w:p>
    <w:p>
      <w:pPr>
        <w:spacing w:before="0" w:after="80"/>
      </w:pPr>
      <w:r>
        <w:rPr>
          <w:i/>
          <w:sz w:val="20"/>
        </w:rPr>
        <w:t>EN: NIH limits funding for research on the health effects of public policy</w:t>
      </w:r>
    </w:p>
    <w:p>
      <w:pPr>
        <w:spacing w:before="0" w:after="120"/>
      </w:pPr>
      <w:r>
        <w:rPr>
          <w:b/>
        </w:rPr>
        <w:t xml:space="preserve">Source: </w:t>
      </w:r>
      <w:r>
        <w:t>Nature</w:t>
      </w:r>
      <w:r>
        <w:t xml:space="preserve">    </w:t>
      </w:r>
      <w:r>
        <w:rPr>
          <w:b/>
        </w:rPr>
        <w:t xml:space="preserve">Pub date: </w:t>
      </w:r>
      <w:r>
        <w:t>2026-08-11 00:00:00+00:00</w:t>
      </w:r>
      <w:r>
        <w:t xml:space="preserve">    </w:t>
      </w:r>
      <w:r>
        <w:rPr>
          <w:b/>
        </w:rPr>
        <w:t xml:space="preserve">DOI: </w:t>
      </w:r>
      <w:hyperlink r:id="rId1278">
        <w:r>
          <w:rPr>
            <w:color w:val="1155CC"/>
            <w:u w:val="single"/>
          </w:rPr>
          <w:t>10.1038/d41586-026-02489-2</w:t>
        </w:r>
      </w:hyperlink>
    </w:p>
    <w:p>
      <w:pPr>
        <w:spacing w:before="0" w:after="120"/>
      </w:pPr>
      <w:r>
        <w:rPr>
          <w:b/>
        </w:rPr>
        <w:t xml:space="preserve">Notes: </w:t>
      </w:r>
      <w:r>
        <w:t>abstract_source=rss_nature</w:t>
      </w:r>
    </w:p>
    <w:p>
      <w:pPr>
        <w:spacing w:before="0" w:after="80" w:lineRule="auto" w:line="276"/>
      </w:pPr>
      <w:r>
        <w:rPr>
          <w:b/>
        </w:rPr>
        <w:t xml:space="preserve">摘要（ZH）: </w:t>
      </w:r>
      <w:r>
        <w:t>美国生物医学机构不再认为政策制定者“与任务相关”，导致数十项拨款陷入困境。</w:t>
      </w:r>
    </w:p>
    <w:p>
      <w:pPr>
        <w:spacing w:before="0" w:after="200" w:lineRule="auto" w:line="276"/>
      </w:pPr>
      <w:r>
        <w:rPr>
          <w:b/>
        </w:rPr>
        <w:t xml:space="preserve">Abstract (EN): </w:t>
      </w:r>
      <w:r>
        <w:t>US biomedical agency no longer considers policymakers ‘mission relevant’, leaving dozens of grants in limbo.</w:t>
      </w:r>
    </w:p>
    <w:p>
      <w:pPr>
        <w:spacing w:before="120" w:after="120"/>
      </w:pPr>
      <w:r>
        <w:rPr>
          <w:sz w:val="18"/>
        </w:rPr>
        <w:t>——————————————————————————————————————————————————————————————————————</w:t>
      </w:r>
    </w:p>
    <w:p>
      <w:pPr>
        <w:spacing w:before="160" w:after="40" w:line="240" w:lineRule="auto"/>
      </w:pPr>
      <w:r>
        <w:rPr>
          <w:b/>
        </w:rPr>
        <w:t xml:space="preserve">[363] </w:t>
      </w:r>
      <w:hyperlink r:id="rId1279">
        <w:r>
          <w:rPr>
            <w:color w:val="1155CC"/>
            <w:u w:val="single"/>
          </w:rPr>
          <w:t>当最好的决定是不做决定时：赠款资金随机化的兴起</w:t>
        </w:r>
      </w:hyperlink>
    </w:p>
    <w:p>
      <w:pPr>
        <w:spacing w:before="0" w:after="80"/>
      </w:pPr>
      <w:r>
        <w:rPr>
          <w:i/>
          <w:sz w:val="20"/>
        </w:rPr>
        <w:t>EN: When the best decision is no decision: the rise of randomization in grant funding</w:t>
      </w:r>
    </w:p>
    <w:p>
      <w:pPr>
        <w:spacing w:before="0" w:after="120"/>
      </w:pPr>
      <w:r>
        <w:rPr>
          <w:b/>
        </w:rPr>
        <w:t xml:space="preserve">Source: </w:t>
      </w:r>
      <w:r>
        <w:t>Nature</w:t>
      </w:r>
      <w:r>
        <w:t xml:space="preserve">    </w:t>
      </w:r>
      <w:r>
        <w:rPr>
          <w:b/>
        </w:rPr>
        <w:t xml:space="preserve">Pub date: </w:t>
      </w:r>
      <w:r>
        <w:t>2026-08-11 00:00:00+00:00</w:t>
      </w:r>
      <w:r>
        <w:t xml:space="preserve">    </w:t>
      </w:r>
      <w:r>
        <w:rPr>
          <w:b/>
        </w:rPr>
        <w:t xml:space="preserve">DOI: </w:t>
      </w:r>
      <w:hyperlink r:id="rId1280">
        <w:r>
          <w:rPr>
            <w:color w:val="1155CC"/>
            <w:u w:val="single"/>
          </w:rPr>
          <w:t>10.1038/d41586-026-02082-7</w:t>
        </w:r>
      </w:hyperlink>
    </w:p>
    <w:p>
      <w:pPr>
        <w:spacing w:before="0" w:after="120"/>
      </w:pPr>
      <w:r>
        <w:rPr>
          <w:b/>
        </w:rPr>
        <w:t xml:space="preserve">Notes: </w:t>
      </w:r>
      <w:r>
        <w:t>abstract_source=rss_nature</w:t>
      </w:r>
    </w:p>
    <w:p>
      <w:pPr>
        <w:spacing w:before="0" w:after="80" w:lineRule="auto" w:line="276"/>
      </w:pPr>
      <w:r>
        <w:rPr>
          <w:b/>
        </w:rPr>
        <w:t xml:space="preserve">摘要（ZH）: </w:t>
      </w:r>
      <w:r>
        <w:t>如果审稿人不能可靠地区分最高资助提案之间的区别，他们为什么要假装他们可以呢？新一波的资助者正在转向彩票来打破平局。</w:t>
      </w:r>
    </w:p>
    <w:p>
      <w:pPr>
        <w:spacing w:before="0" w:after="200" w:lineRule="auto" w:line="276"/>
      </w:pPr>
      <w:r>
        <w:rPr>
          <w:b/>
        </w:rPr>
        <w:t xml:space="preserve">Abstract (EN): </w:t>
      </w:r>
      <w:r>
        <w:t>If reviewers can’t reliably tell the difference between top grant proposals, why should they pretend they can? A new wave of funders is turning to lotteries to break the tie.</w:t>
      </w:r>
    </w:p>
    <w:p>
      <w:pPr>
        <w:spacing w:before="120" w:after="120"/>
      </w:pPr>
      <w:r>
        <w:rPr>
          <w:sz w:val="18"/>
        </w:rPr>
        <w:t>——————————————————————————————————————————————————————————————————————</w:t>
      </w:r>
    </w:p>
    <w:p>
      <w:pPr>
        <w:spacing w:before="160" w:after="40" w:line="240" w:lineRule="auto"/>
      </w:pPr>
      <w:r>
        <w:rPr>
          <w:b/>
        </w:rPr>
        <w:t xml:space="preserve">[364] </w:t>
      </w:r>
      <w:hyperlink r:id="rId1281">
        <w:r>
          <w:rPr>
            <w:color w:val="1155CC"/>
            <w:u w:val="single"/>
          </w:rPr>
          <w:t>HIV疫苗引导稀有免疫细胞产生广泛中和抗体</w:t>
        </w:r>
      </w:hyperlink>
    </w:p>
    <w:p>
      <w:pPr>
        <w:spacing w:before="0" w:after="80"/>
      </w:pPr>
      <w:r>
        <w:rPr>
          <w:i/>
          <w:sz w:val="20"/>
        </w:rPr>
        <w:t>EN: HIV vaccines guide rare immune cells to make broadly neutralizing antibodies</w:t>
      </w:r>
    </w:p>
    <w:p>
      <w:pPr>
        <w:spacing w:before="0" w:after="120"/>
      </w:pPr>
      <w:r>
        <w:rPr>
          <w:b/>
        </w:rPr>
        <w:t xml:space="preserve">Source: </w:t>
      </w:r>
      <w:r>
        <w:t>Nature</w:t>
      </w:r>
      <w:r>
        <w:t xml:space="preserve">    </w:t>
      </w:r>
      <w:r>
        <w:rPr>
          <w:b/>
        </w:rPr>
        <w:t xml:space="preserve">Pub date: </w:t>
      </w:r>
      <w:r>
        <w:t>2026-08-11 00:00:00+00:00</w:t>
      </w:r>
      <w:r>
        <w:t xml:space="preserve">    </w:t>
      </w:r>
      <w:r>
        <w:rPr>
          <w:b/>
        </w:rPr>
        <w:t xml:space="preserve">DOI: </w:t>
      </w:r>
      <w:hyperlink r:id="rId1282">
        <w:r>
          <w:rPr>
            <w:color w:val="1155CC"/>
            <w:u w:val="single"/>
          </w:rPr>
          <w:t>10.1038/d41586-026-02374-y</w:t>
        </w:r>
      </w:hyperlink>
    </w:p>
    <w:p>
      <w:pPr>
        <w:spacing w:before="0" w:after="120"/>
      </w:pPr>
      <w:r>
        <w:rPr>
          <w:b/>
        </w:rPr>
        <w:t xml:space="preserve">Notes: </w:t>
      </w:r>
      <w:r>
        <w:t>abstract_source=rss_nature</w:t>
      </w:r>
    </w:p>
    <w:p>
      <w:pPr>
        <w:spacing w:before="0" w:after="80" w:lineRule="auto" w:line="276"/>
      </w:pPr>
      <w:r>
        <w:rPr>
          <w:b/>
        </w:rPr>
        <w:t xml:space="preserve">摘要（ZH）: </w:t>
      </w:r>
      <w:r>
        <w:t>三项针对非人类灵长类动物的研究表明，精心设计的疫苗可以激发 B 细胞群产生有效的 HIV 抗体。</w:t>
      </w:r>
    </w:p>
    <w:p>
      <w:pPr>
        <w:spacing w:before="0" w:after="200" w:lineRule="auto" w:line="276"/>
      </w:pPr>
      <w:r>
        <w:rPr>
          <w:b/>
        </w:rPr>
        <w:t xml:space="preserve">Abstract (EN): </w:t>
      </w:r>
      <w:r>
        <w:t>Three studies in non-human primates show that strategically designed vaccines could prime a population of B cells to produce effective antibodies against HIV.</w:t>
      </w:r>
    </w:p>
    <w:p>
      <w:pPr>
        <w:spacing w:before="120" w:after="120"/>
      </w:pPr>
      <w:r>
        <w:rPr>
          <w:sz w:val="18"/>
        </w:rPr>
        <w:t>——————————————————————————————————————————————————————————————————————</w:t>
      </w:r>
    </w:p>
    <w:p>
      <w:pPr>
        <w:spacing w:before="160" w:after="40" w:line="240" w:lineRule="auto"/>
      </w:pPr>
      <w:r>
        <w:rPr>
          <w:b/>
        </w:rPr>
        <w:t xml:space="preserve">[365] </w:t>
      </w:r>
      <w:hyperlink r:id="rId1283">
        <w:r>
          <w:rPr>
            <w:color w:val="1155CC"/>
            <w:u w:val="single"/>
          </w:rPr>
          <w:t>硫的光诱导还原消除实现了磺酰胺的独特合成增值</w:t>
        </w:r>
      </w:hyperlink>
    </w:p>
    <w:p>
      <w:pPr>
        <w:spacing w:before="0" w:after="80"/>
      </w:pPr>
      <w:r>
        <w:rPr>
          <w:i/>
          <w:sz w:val="20"/>
        </w:rPr>
        <w:t>EN: Photoinduced Reductive Elimination from Sulfur Enables a Unique Synthetic Valorization of Sulfonamides</w:t>
      </w:r>
    </w:p>
    <w:p>
      <w:pPr>
        <w:spacing w:before="0" w:after="120"/>
      </w:pPr>
      <w:r>
        <w:rPr>
          <w:b/>
        </w:rPr>
        <w:t xml:space="preserve">Source: </w:t>
      </w:r>
      <w:r>
        <w:t>Journal of the American Chemical Society: Latest Articles (ACS Publications)</w:t>
      </w:r>
      <w:r>
        <w:t xml:space="preserve">    </w:t>
      </w:r>
      <w:r>
        <w:rPr>
          <w:b/>
        </w:rPr>
        <w:t xml:space="preserve">Pub date: </w:t>
      </w:r>
      <w:r>
        <w:t>2026-08-11 00:00:00+00:00</w:t>
      </w:r>
      <w:r>
        <w:t xml:space="preserve">    </w:t>
      </w:r>
      <w:r>
        <w:rPr>
          <w:b/>
        </w:rPr>
        <w:t xml:space="preserve">DOI: </w:t>
      </w:r>
      <w:hyperlink r:id="rId1284">
        <w:r>
          <w:rPr>
            <w:color w:val="1155CC"/>
            <w:u w:val="single"/>
          </w:rPr>
          <w:t>10.1021/jacs.6c07120</w:t>
        </w:r>
      </w:hyperlink>
    </w:p>
    <w:p>
      <w:pPr>
        <w:spacing w:before="0" w:after="120"/>
      </w:pPr>
      <w:r>
        <w:rPr>
          <w:b/>
        </w:rPr>
        <w:t xml:space="preserve">Notes: </w:t>
      </w:r>
      <w:r>
        <w:t>abstract_source=crossref</w:t>
      </w:r>
    </w:p>
    <w:p>
      <w:pPr>
        <w:spacing w:before="0" w:after="80" w:lineRule="auto" w:line="276"/>
      </w:pPr>
      <w:r>
        <w:rPr>
          <w:b/>
        </w:rPr>
        <w:t xml:space="preserve">摘要（ZH）: </w:t>
      </w:r>
      <w:r>
        <w:t>摘要 已发现磺酰胺的光化学脱磺酰化反应。磺胺类药物在药物化学库中含量丰富。然而，其合成增值策略仍然相对稀疏，并且它们已知的反应绝大多数保留了磺酰基，限制了磺酰胺可利用的化学空间。利用这种新方法，一系列带有精选 N-杂芳基取代基的芳香族磺​​酰胺被转化为相应的 N-杂芳基苯胺，这也是医学上重要的子结构。该反应涉及硫上独特的光诱导 C-N 还原消除，该反应主要涉及激发态、脱磺酰化的 S-N 芳基迁移。还鉴定出来自较高能量的光生磺酰胺互变异构体的类似极性芳基迁移，这可能是次要途径。</w:t>
      </w:r>
    </w:p>
    <w:p>
      <w:pPr>
        <w:spacing w:before="0" w:after="200" w:lineRule="auto" w:line="276"/>
      </w:pPr>
      <w:r>
        <w:rPr>
          <w:b/>
        </w:rPr>
        <w:t xml:space="preserve">Abstract (EN): </w:t>
      </w:r>
      <w:r>
        <w:t>A photochemical desulfonylation of sulfonamides has been discovered. Sulfonamides are abundant in medicinal-chemistry libraries. Strategies for their synthetic valorization remain relatively sparse, however, and their known reactions overwhelmingly retain the sulfonyl group, limiting the chemical space accessible from sulfonamides. Using this new method, an extensive array of aromatic sulfonamides bearing a selection of N-heteroaryl substituents was converted into the corresponding N-heteroaryl anilines, which are also medicinally important substructures. This reaction involves a unique photoinduced C–N reductive elimination from sulfur, which is proposed mainly to involve an excited-state, desulfonylative S-to-N aryl migration. An analogous polar aryl migration from a higher-energy, photogenerated sulfonamide tautomer was also identified, which likely serves as a minor pathway.</w:t>
      </w:r>
    </w:p>
    <w:p>
      <w:pPr>
        <w:spacing w:before="120" w:after="120"/>
      </w:pPr>
      <w:r>
        <w:rPr>
          <w:sz w:val="18"/>
        </w:rPr>
        <w:t>——————————————————————————————————————————————————————————————————————</w:t>
      </w:r>
    </w:p>
    <w:p>
      <w:pPr>
        <w:spacing w:before="160" w:after="40" w:line="240" w:lineRule="auto"/>
      </w:pPr>
      <w:r>
        <w:rPr>
          <w:b/>
        </w:rPr>
        <w:t xml:space="preserve">[366] </w:t>
      </w:r>
      <w:hyperlink r:id="rId1285">
        <w:r>
          <w:rPr>
            <w:color w:val="1155CC"/>
            <w:u w:val="single"/>
          </w:rPr>
          <w:t>早期地球碎屑锆石记录中缺失的大陆撞击熔融片信号</w:t>
        </w:r>
      </w:hyperlink>
    </w:p>
    <w:p>
      <w:pPr>
        <w:spacing w:before="0" w:after="80"/>
      </w:pPr>
      <w:r>
        <w:rPr>
          <w:i/>
          <w:sz w:val="20"/>
        </w:rPr>
        <w:t>EN: A missing continental impact melt sheet signal in the early Earth detrital zircon record</w:t>
      </w:r>
    </w:p>
    <w:p>
      <w:pPr>
        <w:spacing w:before="0" w:after="120"/>
      </w:pPr>
      <w:r>
        <w:rPr>
          <w:b/>
        </w:rPr>
        <w:t xml:space="preserve">Source: </w:t>
      </w:r>
      <w:r>
        <w:t>Earth and environmental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撞击引起的熔化被认为是地球早期地壳形成的一个重要过程，这可能意味着撞击熔化是地球最古老矿物（包括古代锆石）的来源。然而，许多太古代和太古宙锆石的来源岩性尚不清楚，因为许多颗粒是碎屑。因此，在这项工作中，我们开发了一种机器学习模型，对来自 1.85 Ga Sudbury 冲击熔片和更典型火成岩过程的锆石的 U/Yb、Th/U、Yb 和 Gd/Yb 值进行训练，以便能够区分它们。在这里，我们表明来自三个 &gt;3.2Ga 地点的古代锆石并未从冲击熔化片中结晶。我们的研究结果支持这样的假设，即早期地球锆石并非直接来自撞击熔片，尤其是撞击大陆地壳产生的熔片，并且没有证据表明晚期猛烈轰击意味着存在更适宜居住的冥古宙。</w:t>
      </w:r>
    </w:p>
    <w:p>
      <w:pPr>
        <w:spacing w:before="0" w:after="200" w:lineRule="auto" w:line="276"/>
      </w:pPr>
      <w:r>
        <w:rPr>
          <w:b/>
        </w:rPr>
        <w:t xml:space="preserve">Abstract (EN): </w:t>
      </w:r>
      <w:r>
        <w:t>Impact-derived melting has been proposed as a significant process in the formation of Earth’s early crust which could mean that impact melts are a source for Earth’s oldest minerals including ancient zircons. However, the source lithology of many Archean and Hadean zircons is unclear because many grains are detrital. Therefore, in this work, we develop a machine learning model trained on the U/Yb, Th/U, Yb, and Gd/Yb values of zircons from the 1.85 Ga Sudbury impact melt sheet and more typical igneous processes, so that it could distinguish between them. Here, we show that ancient zircons from three &gt;3.2Ga localities did not crystallize from impact melt sheets. Our results support the hypothesis that early earth zircons are not sourced directly from impact melt sheets, especially one produced by impacting continental crust and indicate no evidence for a late heavy bombardment implying a more habitable Hadean.</w:t>
      </w:r>
    </w:p>
    <w:p>
      <w:pPr>
        <w:spacing w:before="120" w:after="120"/>
      </w:pPr>
      <w:r>
        <w:rPr>
          <w:sz w:val="18"/>
        </w:rPr>
        <w:t>——————————————————————————————————————————————————————————————————————</w:t>
      </w:r>
    </w:p>
    <w:p>
      <w:pPr>
        <w:spacing w:before="160" w:after="40" w:line="240" w:lineRule="auto"/>
      </w:pPr>
      <w:r>
        <w:rPr>
          <w:b/>
        </w:rPr>
        <w:t xml:space="preserve">[367] </w:t>
      </w:r>
      <w:hyperlink r:id="rId1286">
        <w:r>
          <w:rPr>
            <w:color w:val="1155CC"/>
            <w:u w:val="single"/>
          </w:rPr>
          <w:t>揭示原恒星流出中的主导环形磁场</w:t>
        </w:r>
      </w:hyperlink>
    </w:p>
    <w:p>
      <w:pPr>
        <w:spacing w:before="0" w:after="80"/>
      </w:pPr>
      <w:r>
        <w:rPr>
          <w:i/>
          <w:sz w:val="20"/>
        </w:rPr>
        <w:t>EN: Unveiling dominant toroidal magnetic fields in a protostellar outflow</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磁场在原恒星风的形成中发挥着重要作用。在磁离心模型中，极向磁场从吸积盘发射风，快速旋转的气体将磁场扭曲成环形几何形状，通过磁环应力准直并加速风。然而，原恒星风中的环形场在观测上仍未得到解决。在这里，我们报告了 NGC1333 IRAS 4A 原恒星流出的一氧化碳排放的偏振观测。推断出的磁场垂直于流出轴，并与流出的旋转结构对齐，表明环形场的强度为几毫高斯，足以准直并加速距原恒星数百天文单位的流出。天空平面磁场的旋度与视线电流密度之间存在线性相关性。我们的分析为原恒星流出中的离子电子漂移速度提供了更好的约束，并支持磁离心机制驱动的旋转流出。</w:t>
      </w:r>
    </w:p>
    <w:p>
      <w:pPr>
        <w:spacing w:before="0" w:after="200" w:lineRule="auto" w:line="276"/>
      </w:pPr>
      <w:r>
        <w:rPr>
          <w:b/>
        </w:rPr>
        <w:t xml:space="preserve">Abstract (EN): </w:t>
      </w:r>
      <w:r>
        <w:t>Magnetic fields play a fundamental role in the formation of protostellar winds. In the magneto-centrifugal models, poloidal magnetic fields launch winds from accretion disks, and fast-rotating gas twists the fields into toroidal geometry that collimates and accelerates winds through magnetic hoop stress. However, toroidal fields in protostellar winds remain observationally unresolved. Here we report polarization observations of carbon monoxide emission toward the NGC1333 IRAS 4A protostellar outflow. The inferred magnetic fields are perpendicular to the outflow axis and aligned with the rotational structure of the outflow, indicating toroidal fields with strengths of a few milligauss, sufficient to collimate and accelerate the outflow at several hundred astronomical units from the protostar. A linear correlation is found between the curl of plane-of-the-sky magnetic field and the line-of-sight electric current density. Our analysis provides better constraints on ion-electron drift velocity in protostellar outflows and supports rotating outflows driven by the magneto-centrifugal mechanism.</w:t>
      </w:r>
    </w:p>
    <w:p>
      <w:pPr>
        <w:spacing w:before="120" w:after="120"/>
      </w:pPr>
      <w:r>
        <w:rPr>
          <w:sz w:val="18"/>
        </w:rPr>
        <w:t>——————————————————————————————————————————————————————————————————————</w:t>
      </w:r>
    </w:p>
    <w:p>
      <w:pPr>
        <w:spacing w:before="160" w:after="40" w:line="240" w:lineRule="auto"/>
      </w:pPr>
      <w:r>
        <w:rPr>
          <w:b/>
        </w:rPr>
        <w:t xml:space="preserve">[368] </w:t>
      </w:r>
      <w:hyperlink r:id="rId1287">
        <w:r>
          <w:rPr>
            <w:color w:val="1155CC"/>
            <w:u w:val="single"/>
          </w:rPr>
          <w:t>3D 局部噪声浅量子电路击败无界扇入经典电路</w:t>
        </w:r>
      </w:hyperlink>
    </w:p>
    <w:p>
      <w:pPr>
        <w:spacing w:before="0" w:after="80"/>
      </w:pPr>
      <w:r>
        <w:rPr>
          <w:i/>
          <w:sz w:val="20"/>
        </w:rPr>
        <w:t>EN: 3D-local noisy shallow quantum circuits defeat unbounded fan-in classical circuits</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尽管量子计算机被认为比经典计算机更强大，但这一事实的令人信服的实验证明仍然难以实现。所提出的方案要么依赖于未经证实的复杂性理论硬度假设，和/或需要通用的、容错的可扩展量子计算机来实施。这激发了对受限计算模型的研究。众所周知，恒定深度量子电路比无界扇入经典 ({{\mathsf{AC}}}^{0}-) 电路更强大。在这里，我们要问的是，在存在噪声和局部性限制的情况下，这种优势是否仍然存在。我们提出了一个计算问题，尽管存在噪声，但每个实例都可以通过具有 3D 局部操作的恒定深度量子电路近乎确定地解决。相比之下，每个尺寸小于某个（子）指数的 {{\mathsf{AC}}}^{0} 电路在均匀随机实例上几乎肯定会失败。这构成了一个具有内置容错能力的提议，可以通过实验观察经典计算和量子计算之间已知最强的复杂性理论分离。</w:t>
      </w:r>
    </w:p>
    <w:p>
      <w:pPr>
        <w:spacing w:before="0" w:after="200" w:lineRule="auto" w:line="276"/>
      </w:pPr>
      <w:r>
        <w:rPr>
          <w:b/>
        </w:rPr>
        <w:t xml:space="preserve">Abstract (EN): </w:t>
      </w:r>
      <w:r>
        <w:t>Although quantum computers are believed to be more powerful than classical ones, a convincing experimental demonstration of this fact remains elusive. Proposed schemes either rely on unproven complexity-theoretic hardness assumptions, and/or require universal, fault-tolerant scalable quantum computers to implement. This has motivated the study of restricted models of computation. Constant-depth quantum circuits are known to be more powerful than unbounded fan-in classical ({{\mathsf{AC}}}^{0}-)circuits. Here we ask if this advantage persists in the presence of noise and under locality constraints. We present a computational problem for which every instance can be solved with near-certainty, despite noise, by a constant-depth quantum circuit with local operations in 3D. In contrast, every {{\mathsf{AC}}}^{0}-circuit of size smaller than a certain (sub)exponential fails with near-certainty on a uniformly random instance. This constitutes a proposal with built-in fault-tolerance to experimentally observe the strongest known complexity-theoretic separation between classical and quantum computation.</w:t>
      </w:r>
    </w:p>
    <w:p>
      <w:pPr>
        <w:spacing w:before="120" w:after="120"/>
      </w:pPr>
      <w:r>
        <w:rPr>
          <w:sz w:val="18"/>
        </w:rPr>
        <w:t>——————————————————————————————————————————————————————————————————————</w:t>
      </w:r>
    </w:p>
    <w:p>
      <w:pPr>
        <w:spacing w:before="160" w:after="40" w:line="240" w:lineRule="auto"/>
      </w:pPr>
      <w:r>
        <w:rPr>
          <w:b/>
        </w:rPr>
        <w:t xml:space="preserve">[369] </w:t>
      </w:r>
      <w:hyperlink r:id="rId1288">
        <w:r>
          <w:rPr>
            <w:color w:val="1155CC"/>
            <w:u w:val="single"/>
          </w:rPr>
          <w:t>协同磁酶推进使多模式纳米马达群成为可能</w:t>
        </w:r>
      </w:hyperlink>
    </w:p>
    <w:p>
      <w:pPr>
        <w:spacing w:before="0" w:after="80"/>
      </w:pPr>
      <w:r>
        <w:rPr>
          <w:i/>
          <w:sz w:val="20"/>
        </w:rPr>
        <w:t>EN: Synergistic magneto-enzymatic propulsion enables multimodal nanomotor swarms</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酶纳米马达通过转化化学反应中的自由分子能来自我推进。虽然最初主要用作单个粒子，但这些系统越来越多地以群体的形式实施，集体效应可以在复杂的环境中实现适应性导航、更广泛的覆盖范围和增强的局部代理集中度。然而，大多数研究都集中在平面集群上，而将磁导航与酶动力运动相结合的集体系统在很大程度上仍未得到充分探索。在这里，作为机械原理验证，我们引入了基于生物产生的磁小体的脲酶驱动的纳米电机，该纳米电机以两种连续的集体模式运行：（i）整体的磁定位和（ii）催化触发的、局部云的界面依赖性扩展。我们研究了不同条件下的这种催化集体现象，包括颗粒和底物浓度、介质粘度和限制，并特别注意使用组合的顶/侧视图成像和非活性颗粒控制来区分尿素驱动的浮力积累和催化依赖性界面扩散。最后，我们在磁场梯度下检查群体，将其集中在目标区域，然后触发催化扩张。在限制环境中，自由界面膨胀受到抑制，磁定位和局部富集仍然有效。这项工作不是针对特定的立即应用，而是建立了一个两步集体策略，阐明了不同催化群背后的机制</w:t>
      </w:r>
    </w:p>
    <w:p>
      <w:pPr>
        <w:spacing w:before="0" w:after="200" w:lineRule="auto" w:line="276"/>
      </w:pPr>
      <w:r>
        <w:rPr>
          <w:b/>
        </w:rPr>
        <w:t xml:space="preserve">Abstract (EN): </w:t>
      </w:r>
      <w:r>
        <w:t>Enzymatic nanomotors self-propel by converting free molecular energy from chemical reactions. While initially used mainly as individual particles, these systems are increasingly implemented as swarms, where collective effects enable adaptable navigation in complex environments, broader coverage and enhanced local agent concentration. However, most studies have focused on planar swarming, and collective systems that combine magnetic navigation with enzyme-powered motion remain largely underexplored. Here, as a mechanistic proof-of-principle, we introduce urease-powered nanomotors based on bioproduced magnetosomes that operate in two sequential collective modes: (i) magnetic localization of the ensemble and (ii) catalysis-triggered, interface-dependent expansion of that localized cloud. We investigate this catalytic collective phenomenon under varying conditions, including particle and substrate concentrations, media viscosity, and confinement, and devote particular attention to distinguishing urea-driven buoyant accumulation from catalysis-dependent interfacial spreading using combined top/side-view imaging and inactive particle controls. Finally, we examine the swarm under a magnetic field gradient to concentrate it in a target area and then trigger catalytic expansion. In confined environments, where the free-interface expansion is suppressed, magnetic localization and local enrichment remain operative. Rather than targeting a specific immediate application, this work establishes a two step collective strategy, clarifies the mechanism underlying a distinct catalytic swarm mode, and defines the physical conditions that may support future environmental and biomedical implementations of multimodal nanomotor swarms.</w:t>
      </w:r>
    </w:p>
    <w:p>
      <w:pPr>
        <w:spacing w:before="120" w:after="120"/>
      </w:pPr>
      <w:r>
        <w:rPr>
          <w:sz w:val="18"/>
        </w:rPr>
        <w:t>——————————————————————————————————————————————————————————————————————</w:t>
      </w:r>
    </w:p>
    <w:p>
      <w:pPr>
        <w:spacing w:before="160" w:after="40" w:line="240" w:lineRule="auto"/>
      </w:pPr>
      <w:r>
        <w:rPr>
          <w:b/>
        </w:rPr>
        <w:t xml:space="preserve">[370] </w:t>
      </w:r>
      <w:hyperlink r:id="rId1289">
        <w:r>
          <w:rPr>
            <w:color w:val="1155CC"/>
            <w:u w:val="single"/>
          </w:rPr>
          <w:t>ESMDynamic：从单个序列快速准确地预测蛋白质动态接触图</w:t>
        </w:r>
      </w:hyperlink>
    </w:p>
    <w:p>
      <w:pPr>
        <w:spacing w:before="0" w:after="80"/>
      </w:pPr>
      <w:r>
        <w:rPr>
          <w:i/>
          <w:sz w:val="20"/>
        </w:rPr>
        <w:t>EN: ESMDynamic: Fast and accurate prediction of protein dynamic contact maps from single sequences</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了解构象动力学对于阐明蛋白质功能至关重要，但结构生物学中的大多数深度学习模型仅预测静态结构。在这里，我们提出了 ESMDynamic，这是一种深度学习模型，可以直接根据蛋白质序列预测残基-残基接触动态。 ESMDynamic 以 ESMFold 架构为基础，并根据实验结构集合和分子动力学 (MD) 模拟的构象变异性进行训练，可预测动态接触概率、接触占有率以及多个温度条件下接触形成和解离的粗粒度动力学。在大规模 MD 基准（mdCATH 和 ATLAS）上，ESMDynamic 匹配或优于最先进的集成预测方法（AlphaFlow、ESMFlow、BioEmu），同时需要数量级的计算量。我们证明了对不同系统的泛化，包括膜转运蛋白、从头设计的蛋白质和同型二聚体复合物。我们表明，预测的动态接触可以自动选择用于马尔可夫状态模型构建的集体变量。 ESMDynamic 应用于人类蛋白质组，可以生成超过 18,000 种蛋白质的预测，从而能够大规模分析构象变异性。总体而言，ESMDynamic 提供了可扩展的、基于序列的蛋白质动力学表示，为模拟、分析和设计工作流程提供信息。</w:t>
      </w:r>
    </w:p>
    <w:p>
      <w:pPr>
        <w:spacing w:before="0" w:after="200" w:lineRule="auto" w:line="276"/>
      </w:pPr>
      <w:r>
        <w:rPr>
          <w:b/>
        </w:rPr>
        <w:t xml:space="preserve">Abstract (EN): </w:t>
      </w:r>
      <w:r>
        <w:t>Understanding conformational dynamics is essential for elucidating protein function, yet most deep learning models in structural biology predict only static structures. Here, we present ESMDynamic, a deep learning model that predicts residue–residue contact dynamics directly from protein sequence. Built on the ESMFold architecture and trained on conformational variability from experimental structure ensembles and molecular dynamics (MD) simulations, ESMDynamic predicts dynamic contact probabilities, contact occupancy fraction, and coarse-grained kinetics of contact formation and dissociation across multiple temperature conditions. On large-scale MD benchmarks (mdCATH and ATLAS), ESMDynamic matches or outperforms state-of-the-art ensemble prediction methods (AlphaFlow, ESMFlow, BioEmu) while requiring orders-of-magnitude less computation. We demonstrate generalization to diverse systems, including membrane transporters, a de novo designed protein, and a homodimer complex. We show that predicted dynamic contacts enable automated selection of collective variables for Markov state model construction. Applied to the human proteome, ESMDynamic generates predictions for over 18,000 proteins, enabling large-scale analysis of conformational variability. Overall, ESMDynamic provides a scalable, sequence-based representation of protein dynamics to inform simulation, analysis, and design workflows.</w:t>
      </w:r>
    </w:p>
    <w:p>
      <w:pPr>
        <w:spacing w:before="120" w:after="120"/>
      </w:pPr>
      <w:r>
        <w:rPr>
          <w:sz w:val="18"/>
        </w:rPr>
        <w:t>——————————————————————————————————————————————————————————————————————</w:t>
      </w:r>
    </w:p>
    <w:p>
      <w:pPr>
        <w:spacing w:before="160" w:after="40" w:line="240" w:lineRule="auto"/>
      </w:pPr>
      <w:r>
        <w:rPr>
          <w:b/>
        </w:rPr>
        <w:t xml:space="preserve">[371] </w:t>
      </w:r>
      <w:hyperlink r:id="rId1290">
        <w:r>
          <w:rPr>
            <w:color w:val="1155CC"/>
            <w:u w:val="single"/>
          </w:rPr>
          <w:t>癌症预防研究中将空气污染与肺癌联系起来的血液代谢组学特征</w:t>
        </w:r>
      </w:hyperlink>
    </w:p>
    <w:p>
      <w:pPr>
        <w:spacing w:before="0" w:after="80"/>
      </w:pPr>
      <w:r>
        <w:rPr>
          <w:i/>
          <w:sz w:val="20"/>
        </w:rPr>
        <w:t>EN: Blood metabolomic signatures linking air pollution to lung cancer in the Cancer Prevention Studies</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空气污染是肺癌的一个主要环境原因，但其潜在的生物学途径仍然知之甚少。识别捕获早期分子反应的循环生物标志物可能会阐明空气污染物如何导致致癌，并有助于识别高风险个体。我们在两个癌症预防研究队列中进行了一项前瞻性巢式病例对照研究，分析了 1357 名参与者的诊断前血浆样本中的 1100 多种代谢物。抽血时估计六种主要空气污染物的住宅浓度。在这里，我们表明八种循环代谢物与空气污染暴露和随后的肺癌风险相关。四种代谢物，包括 γ-谷氨酰谷氨酰胺、苯乙酰谷氨酸、N-(2-呋喃酰基)甘氨酸和 4-乙烯基愈创木酚葡萄糖醛酸，显着介导颗粒物和臭氧的关联（调整后的 q 值）</w:t>
      </w:r>
    </w:p>
    <w:p>
      <w:pPr>
        <w:spacing w:before="0" w:after="200" w:lineRule="auto" w:line="276"/>
      </w:pPr>
      <w:r>
        <w:rPr>
          <w:b/>
        </w:rPr>
        <w:t xml:space="preserve">Abstract (EN): </w:t>
      </w:r>
      <w:r>
        <w:t>Air pollution is a leading environmental cause of lung cancer, yet the underlying biological pathways remain poorly understood. Identifying circulating biomarkers that capture early molecular responses may clarify how air pollutants contribute to carcinogenesis and help identify individuals at elevated risk. We conduct a prospective nested case-control study within two Cancer Prevention Study cohorts, profiling more than 1100 metabolites in pre-diagnostic plasma samples from 1357 participants. Residential concentrations of six major air pollutants are estimated at the time of blood draw. Here we show that eight circulating metabolites are associated with both air pollution exposure and subsequent lung cancer risk. Four metabolites, including γ-glutamylglutamine, phenylacetylglutamate, N-(2-furoyl)glycine, and 4-vinylguaiacol glucuronide, significantly mediate associations for particulate matter and ozone (adjusted q-value</w:t>
      </w:r>
    </w:p>
    <w:p>
      <w:pPr>
        <w:spacing w:before="120" w:after="120"/>
      </w:pPr>
      <w:r>
        <w:rPr>
          <w:sz w:val="18"/>
        </w:rPr>
        <w:t>——————————————————————————————————————————————————————————————————————</w:t>
      </w:r>
    </w:p>
    <w:p>
      <w:pPr>
        <w:spacing w:before="160" w:after="40" w:line="240" w:lineRule="auto"/>
      </w:pPr>
      <w:r>
        <w:rPr>
          <w:b/>
        </w:rPr>
        <w:t xml:space="preserve">[372] </w:t>
      </w:r>
      <w:hyperlink r:id="rId1291">
        <w:r>
          <w:rPr>
            <w:color w:val="1155CC"/>
            <w:u w:val="single"/>
          </w:rPr>
          <w:t>剖析根特异性非传统效应子触发的免疫及其在防御和改变微生物组中的作用</w:t>
        </w:r>
      </w:hyperlink>
    </w:p>
    <w:p>
      <w:pPr>
        <w:spacing w:before="0" w:after="80"/>
      </w:pPr>
      <w:r>
        <w:rPr>
          <w:i/>
          <w:sz w:val="20"/>
        </w:rPr>
        <w:t>EN: Dissecting root-specific non-conventional effector-triggered immunity and its role in defense and shifting the microbiome</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植物根是极其异质且非光合作用的组织，与叶子截然不同。开创性的研究揭示了根部存在模式触发的免疫反应。然而，根是否具有组织特异性效应物触发免疫（ETI）是植物免疫中的一个基本问题。通过利用诱导效应子表达系，我们系统地表征了根中 ETI 激活过程中的非常规生理和分子反应。根 ETI 似乎比叶 ETI 弱，过渡区细胞死亡有限和差异表达基因 (DEG) 数量较少证明了这一点。根 ETI 还显示出与 Pep1 触发的免疫反应比与 Flg22 触发的反应更高的 DEG 重叠，这与叶子中的趋势相反。我们发现 PEPR1/2 受体和 BIK1、WRKY42 都是诱导根 ETI 反应所必需的。通过比较 Nd-1 生态型中青枯菌对野生型和 T3SS 突变体的根反应，我们确认自然根 ETI 反应与诱导 ETI 相似。我们的工作揭示了根部 ETI 的组织特异性特征，并为农业工程根部抗病性提供了新的见解。</w:t>
      </w:r>
    </w:p>
    <w:p>
      <w:pPr>
        <w:spacing w:before="0" w:after="200" w:lineRule="auto" w:line="276"/>
      </w:pPr>
      <w:r>
        <w:rPr>
          <w:b/>
        </w:rPr>
        <w:t xml:space="preserve">Abstract (EN): </w:t>
      </w:r>
      <w:r>
        <w:t>Plant roots are extremely heterogeneous and non-photosynthetic tissue that is drastically different from leaves. Pioneering studies have revealed the existence of pattern-triggered immune responses in roots; however, whether roots mount tissue-specific effector-triggered immunity (ETI) is a fundamental question in plant immunity. By utilizing inducible effector-expressing lines, we systematically characterize non-conventional physiological and molecular responses during ETI activation in roots. Root ETI seems to be weaker than leaf ETI, evidenced by restricted cell death in the transition zone and fewer number of differentially expressed genes (DEGs). Root ETI also shows much higher DEG overlap with Pep1-triggered immunity than with Flg22-triggered responses, which is the opposite trend in leaves. We find that both PEPR1/2 receptors and BIK1, WRKY42 are required for induced root ETI responses. By comparing root responses to wild type and the T3SS mutant of Ralstonia solanacearum in the Nd-1 ecotype, we confirm that natural root ETI responses show similarities to induced ETI. Our work reveals tissue-specific features of root ETI and provides new insights into engineering root disease resistance in agriculture.</w:t>
      </w:r>
    </w:p>
    <w:p>
      <w:pPr>
        <w:spacing w:before="120" w:after="120"/>
      </w:pPr>
      <w:r>
        <w:rPr>
          <w:sz w:val="18"/>
        </w:rPr>
        <w:t>——————————————————————————————————————————————————————————————————————</w:t>
      </w:r>
    </w:p>
    <w:p>
      <w:pPr>
        <w:spacing w:before="160" w:after="40" w:line="240" w:lineRule="auto"/>
      </w:pPr>
      <w:r>
        <w:rPr>
          <w:b/>
        </w:rPr>
        <w:t xml:space="preserve">[373] </w:t>
      </w:r>
      <w:hyperlink r:id="rId1292">
        <w:r>
          <w:rPr>
            <w:color w:val="1155CC"/>
            <w:u w:val="single"/>
          </w:rPr>
          <w:t>灵活的伤口闭合策略先于全身再生</w:t>
        </w:r>
      </w:hyperlink>
    </w:p>
    <w:p>
      <w:pPr>
        <w:spacing w:before="0" w:after="80"/>
      </w:pPr>
      <w:r>
        <w:rPr>
          <w:i/>
          <w:sz w:val="20"/>
        </w:rPr>
        <w:t>EN: A flexible repertoire of wound closure strategies precedes whole-body regeneration</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伤口闭合是再生的一个重要方面，通常作为下游事件之前的第一个形态发生步骤。具有全身再生能力的动物几乎可以治愈任何伤口，但如何比较不同损伤类型的上皮再生过程仍有待研究。在这里，我们研究了 acoel Hofstenia miamia 的伤口闭合情况。我们发现 H. miamia 采用两种不同的闭合模式，具体取决于受损的上皮层。无论几何形状如何，损伤外表皮的伤口都会因收缩而闭合。相比之下，外表皮和咽上皮的损伤会诱导长的、富含肌动蛋白的突起，在上皮再生之前形成跨伤口的短暂桥。不同条件下对肌肉收缩的需求不同，并且对肌动球蛋白收缩性的药理抑制足以改变上皮细胞的闭合动态。这项工作比较了同一动物内的伤口闭合情况，确定了一系列似乎独立于后续再生过程的修复策略工具包。</w:t>
      </w:r>
    </w:p>
    <w:p>
      <w:pPr>
        <w:spacing w:before="0" w:after="200" w:lineRule="auto" w:line="276"/>
      </w:pPr>
      <w:r>
        <w:rPr>
          <w:b/>
        </w:rPr>
        <w:t xml:space="preserve">Abstract (EN): </w:t>
      </w:r>
      <w:r>
        <w:t>Wound closure is an essential aspect of regeneration, often serving as the first morphogenetic step preceding downstream events. Animals capable of whole-body regeneration can heal virtually any wound, but how the process of re-epithelialization compares across injury types remains understudied. Here, we investigate wound closure in the acoel Hofstenia miamia. We find that H. miamia deploy two distinct modes of closure, depending on which epithelial layers are injured. Regardless of geometry, wounds that injure the outer epidermis close by constriction. In contrast, damage to both the outer epidermis and pharyngeal epithelium induces long, actin-rich protrusions that form transient bridges across the wound prior to re-epithelialization. Muscle contraction is differentially required across conditions, and pharmacological inhibition of actomyosin contractility is sufficient to shift closure dynamics across epithelia. This work compares wound closure within the same animal, identifying a wide toolkit of repair strategies that appears independent of subsequent regenerative processes.</w:t>
      </w:r>
    </w:p>
    <w:p>
      <w:pPr>
        <w:spacing w:before="120" w:after="120"/>
      </w:pPr>
      <w:r>
        <w:rPr>
          <w:sz w:val="18"/>
        </w:rPr>
        <w:t>——————————————————————————————————————————————————————————————————————</w:t>
      </w:r>
    </w:p>
    <w:p>
      <w:pPr>
        <w:spacing w:before="160" w:after="40" w:line="240" w:lineRule="auto"/>
      </w:pPr>
      <w:r>
        <w:rPr>
          <w:b/>
        </w:rPr>
        <w:t xml:space="preserve">[374] </w:t>
      </w:r>
      <w:hyperlink r:id="rId1293">
        <w:r>
          <w:rPr>
            <w:color w:val="1155CC"/>
            <w:u w:val="single"/>
          </w:rPr>
          <w:t>使用组合文库对内在基因表达生物部分参数进行宿主感知鉴定</w:t>
        </w:r>
      </w:hyperlink>
    </w:p>
    <w:p>
      <w:pPr>
        <w:spacing w:before="0" w:after="80"/>
      </w:pPr>
      <w:r>
        <w:rPr>
          <w:i/>
          <w:sz w:val="20"/>
        </w:rPr>
        <w:t>EN: Host-aware Identification of Intrinsic Gene Expression Biopart Parameters using Combinatorial Libraries</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合成生物学中基于模型的设计是有限的，因为生物部件通常由随遗传和生理背景而变化的相对指标来表征。为了解决这个问题，我们引入了一个宿主感知框架，用于定量表征基于质粒的组成型表达构建体的组合文库中的生物部分。该方法将大肠杆菌的数字双胞胎（以测量的生长速率为条件）与模型在环参数识别相结合，以将生物部分相关特性与宿主依赖性效应分开。使用结构化组合文库，我们确定了质粒起源、启动子和核糖体结合位点的机械上可解释的、可转移的参数。特别是，我们定义了一种内在的翻译起始能力，它捕获了 RBS 相关的翻译贡献，同时上下文相关的表达从宿主生理学和局部序列上下文中出现。由此产生的参数化可以准确预测跨生理条件下的蛋白质合成，支持增量库扩展，并揭示模块化的局部失败，为合成生物学中的预测性宿主感知设计提供可扩展的基础。</w:t>
      </w:r>
    </w:p>
    <w:p>
      <w:pPr>
        <w:spacing w:before="0" w:after="200" w:lineRule="auto" w:line="276"/>
      </w:pPr>
      <w:r>
        <w:rPr>
          <w:b/>
        </w:rPr>
        <w:t xml:space="preserve">Abstract (EN): </w:t>
      </w:r>
      <w:r>
        <w:t>Model-based design in synthetic biology is limited because bioparts are typically characterised by relative metrics that vary across genetic and physiological contexts. To address this, we introduce a host-aware framework for quantitatively characterising bioparts in combinatorial libraries of plasmid-based constitutive expression constructs. The approach integrates a digital twin of Escherichia coli, conditioned on measured growth rate, with model-in-the-loop parameter identification to separate biopart-associated properties from host-dependent effects. Using structured combinatorial libraries, we identify mechanistically interpretable, transferable parameters for plasmid origins, promoters and ribosome binding sites. In particular, we define an intrinsic translation initiation capacity that captures the dominant RBS-associated contribution to translation while context-dependent expression emerges from host physiology and local sequence context. The resulting parameterisation accurately predicts protein synthesis across physiological conditions, supports incremental library expansion, and reveals localised failures of modularity, providing a scalable foundation for predictive host-aware design in synthetic biology.</w:t>
      </w:r>
    </w:p>
    <w:p>
      <w:pPr>
        <w:spacing w:before="120" w:after="120"/>
      </w:pPr>
      <w:r>
        <w:rPr>
          <w:sz w:val="18"/>
        </w:rPr>
        <w:t>——————————————————————————————————————————————————————————————————————</w:t>
      </w:r>
    </w:p>
    <w:p>
      <w:pPr>
        <w:spacing w:before="160" w:after="40" w:line="240" w:lineRule="auto"/>
      </w:pPr>
      <w:r>
        <w:rPr>
          <w:b/>
        </w:rPr>
        <w:t xml:space="preserve">[375] </w:t>
      </w:r>
      <w:hyperlink r:id="rId1294">
        <w:r>
          <w:rPr>
            <w:color w:val="1155CC"/>
            <w:u w:val="single"/>
          </w:rPr>
          <w:t>使用 Tracking-seq2 对 CRISPR-Cas 脱靶效应进行超灵敏分析</w:t>
        </w:r>
      </w:hyperlink>
    </w:p>
    <w:p>
      <w:pPr>
        <w:spacing w:before="0" w:after="80"/>
      </w:pPr>
      <w:r>
        <w:rPr>
          <w:i/>
          <w:sz w:val="20"/>
        </w:rPr>
        <w:t>EN: Ultra-sensitive profiling of CRISPR-Cas off-target effects with Tracking-seq2</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准确检测原代人类细胞的脱靶活性对于确保基因治疗的安全性至关重要，但现有方法往往缺乏足够的灵敏度。为了解决这一限制，我们开发了 Tracking-seq2，这是一种先进的技术，将外源 5′ → 3′ 核酸外切酶处理和非同源末端连接 (NHEJ) 途径抑制剂与原始 Tracking-seq 相结合。 Tracking-seq2 在分析不同基因组编辑器（包括 Cas9、Cas12a、胞嘧啶碱基编辑器 (CBE)、腺嘌呤碱基编辑器 (ABE) 和 Prime 编辑器 (PE)）的脱靶位点方面表现出更高的灵敏度。重要的是，Tracking-seq2 可直接适用于临床相关的原代人类细胞类型，例如 T 细胞和 CD34+ 造血干细胞和祖细胞 (HSPC)。此外，我们的研究结果表明，基因组变异导致不同个体之间存在明显的脱靶异质性，这凸显了临床基因组编辑应用中个性化安全评估的必要性。 Tracking-seq2 为原代细胞中灵敏的脱靶检测提供了一个强大的平台，其灵敏度可与或超过当前最先进的方法。</w:t>
      </w:r>
    </w:p>
    <w:p>
      <w:pPr>
        <w:spacing w:before="0" w:after="200" w:lineRule="auto" w:line="276"/>
      </w:pPr>
      <w:r>
        <w:rPr>
          <w:b/>
        </w:rPr>
        <w:t xml:space="preserve">Abstract (EN): </w:t>
      </w:r>
      <w:r>
        <w:t>Accurate detection of off-target activity in primary human cells is crucial for ensuring the safety of gene therapies, yet existing methods often lack sufficient sensitivity. To address this limitation, we develop Tracking-seq2, an advanced technology that integrates exogenous 5′ → 3′ exonuclease treatment and non-homologous end joining (NHEJ) pathway inhibitors with the original Tracking-seq. Tracking-seq2 exhibits enhanced sensitivity in profiling off-target sites of diverse genome editors—including Cas9, Cas12a, cytosine base editors (CBEs), adenine base editors (ABEs), and prime editors (PEs). Critically, Tracking-seq2 is directly applicable to clinically relevant primary human cell types, such as T cells and CD34+ hematopoietic stem and progenitor cells (HSPCs). Furthermore, our findings reveal that genomic variations drive distinct off-target heterogeneity across different individuals, highlighting the necessity for personalized safety assessment in clinical genome editing applications. Tracking-seq2 provides a robust platform for sensitive off-target detection in primary cells, with sensitivity comparable to or exceeding current state-of-the-art methods.</w:t>
      </w:r>
    </w:p>
    <w:p>
      <w:pPr>
        <w:spacing w:before="120" w:after="120"/>
      </w:pPr>
      <w:r>
        <w:rPr>
          <w:sz w:val="18"/>
        </w:rPr>
        <w:t>——————————————————————————————————————————————————————————————————————</w:t>
      </w:r>
    </w:p>
    <w:p>
      <w:pPr>
        <w:spacing w:before="160" w:after="40" w:line="240" w:lineRule="auto"/>
      </w:pPr>
      <w:r>
        <w:rPr>
          <w:b/>
        </w:rPr>
        <w:t xml:space="preserve">[376] </w:t>
      </w:r>
      <w:hyperlink r:id="rId1295">
        <w:r>
          <w:rPr>
            <w:color w:val="1155CC"/>
            <w:u w:val="single"/>
          </w:rPr>
          <w:t>人内体 NHE6 的整合结构分析揭示了脂质相关门和无序 C 末端</w:t>
        </w:r>
      </w:hyperlink>
    </w:p>
    <w:p>
      <w:pPr>
        <w:spacing w:before="0" w:after="80"/>
      </w:pPr>
      <w:r>
        <w:rPr>
          <w:i/>
          <w:sz w:val="20"/>
        </w:rPr>
        <w:t>EN: Integrative structural analysis of human endosomal NHE6 reveals a lipid-associated gate and disordered C-terminus</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人 NHE6 (HsNHE6) 是一种内体 Na⁺/H⁺ 交换剂，对于维持神经元腔内 pH 值和内溶酶体运输至关重要。 HsNHE6 突变与破坏性神经系统综合征有关，但从机制上讲，转运蛋白仍然知之甚少。在这里，我们展示了 HsNHE6 3.4 Å 的单粒子冷冻电子显微镜 (cryo-EM) 结构，以向内的构象捕获。该结构揭示了同源二聚体结构，每个原聚体具有 13 个跨膜螺旋，保守的离子结合位点位于核心和二聚化结构域的界面处。功能分析表明，在脂质体中重构的 HsNHE6 将 Na+、K+、Li+ 和 Rb+ 交换为 H+，动力学分析显示对 K+ 的偏好。结构化的 C 端螺旋与跨膜核心相互作用，共同形成一个疏水腔，其中包含两个与结合脂质一致的非蛋白质冷冻电镜密度，可以调节阳离子进入离子结合位点。 NMR 和小角 X 射线散射显示，HsNHE6 的剩余远端 C 末端本质上是无序的，并延伸至细胞质中达 170 Å。我们的全长 HsNHE6 综合结构模型为理解 HsNHE6 介导的离子交换及其在 Christianson 综合征中的破坏提供了一个框架。</w:t>
      </w:r>
    </w:p>
    <w:p>
      <w:pPr>
        <w:spacing w:before="0" w:after="200" w:lineRule="auto" w:line="276"/>
      </w:pPr>
      <w:r>
        <w:rPr>
          <w:b/>
        </w:rPr>
        <w:t xml:space="preserve">Abstract (EN): </w:t>
      </w:r>
      <w:r>
        <w:t>Human NHE6 (HsNHE6) is an endosomal Na⁺/H⁺ exchanger essential for maintaining luminal pH and endo-lysosomal trafficking in neurons. HsNHE6 mutations are implicated in devastating neurological syndromes, but mechanistically the transporter remains poorly understood. Here, we present the single-particle cryo-electron microscopy (cryo-EM) structure of HsNHE6 at 3.4 Å, captured in an inward-facing conformation. The structure reveals a homodimeric architecture with 13 transmembrane helices per protomer, with the conserved ion-binding site located at the interface of the core and dimerization domains. Functional assays demonstrate that HsNHE6 reconstituted in liposomes exchanges Na⁺, K⁺, Li⁺, and Rb+ for H+, with kinetic analysis revealing a preference for K⁺. A structured C-terminal helix interacts with the transmembrane core, jointly forming a hydrophobic cavity containing two non-protein cryo-EM densities consistent with bound lipids that may modulate cation access to the ion-binding site. The remaining distal C-terminus of HsNHE6 is intrinsically disordered, as revealed by NMR and small-angle X-ray scattering, and extends up to 170 Å into the cytosol. Our integrative structural model of full-length HsNHE6 provides a framework for understanding HsNHE6-mediated ion exchange and its disruption in Christianson syndrome.</w:t>
      </w:r>
    </w:p>
    <w:p>
      <w:pPr>
        <w:spacing w:before="120" w:after="120"/>
      </w:pPr>
      <w:r>
        <w:rPr>
          <w:sz w:val="18"/>
        </w:rPr>
        <w:t>——————————————————————————————————————————————————————————————————————</w:t>
      </w:r>
    </w:p>
    <w:p>
      <w:pPr>
        <w:spacing w:before="160" w:after="40" w:line="240" w:lineRule="auto"/>
      </w:pPr>
      <w:r>
        <w:rPr>
          <w:b/>
        </w:rPr>
        <w:t xml:space="preserve">[377] </w:t>
      </w:r>
      <w:hyperlink r:id="rId1296">
        <w:r>
          <w:rPr>
            <w:color w:val="1155CC"/>
            <w:u w:val="single"/>
          </w:rPr>
          <w:t>通过缓解 Twist1 转录物不稳定而出现外间充质特性</w:t>
        </w:r>
      </w:hyperlink>
    </w:p>
    <w:p>
      <w:pPr>
        <w:spacing w:before="0" w:after="80"/>
      </w:pPr>
      <w:r>
        <w:rPr>
          <w:i/>
          <w:sz w:val="20"/>
        </w:rPr>
        <w:t>EN: Ectomesenchymal identity emerges via relief of Twist1 transcript destabilisation</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在脊椎动物发育过程中，称为“外间质”的颅神经嵴细胞 (CNCC) 子集分化为与中胚层（软骨、骨骼和肌肉）典型相关的细胞类型。虽然引导 CNCC 走向外间充质特性的分子决定仍不完全清楚，但转录因子 Twist1 发挥着核心作用。在这里，我们发现，当细胞进入咽弓环境时，Twist1 转录物在晚期迁移 CNCC 中积累，而 Hdac9 内的 Twist1 增强子在神经管和 CNCC 中活跃。我们通过证明来自多个脊椎动物物种（但不是非脊椎动物脊索动物海鞘）的 Twist1 3' UTR 通过保守的富含 AU 元素破坏外胚层中转录本的稳定性，来协调增强子活性和转录本积累之间的时间差异。总之，这些发现揭示了脊椎动物特有的两层调控机制，该机制将增强子活性与转录物积累分开，门控 Twist1 表达的开始以及脊椎动物 CNCC 中外间充质身份的获得。</w:t>
      </w:r>
    </w:p>
    <w:p>
      <w:pPr>
        <w:spacing w:before="0" w:after="200" w:lineRule="auto" w:line="276"/>
      </w:pPr>
      <w:r>
        <w:rPr>
          <w:b/>
        </w:rPr>
        <w:t xml:space="preserve">Abstract (EN): </w:t>
      </w:r>
      <w:r>
        <w:t>During vertebrate development, a subset of cranial neural crest cells (CNCCs) termed ‘ectomesenchyme’ differentiates into cell types canonically associated with the mesoderm (cartilage, bone and muscle). While the molecular decisions that guide CNCCs toward ectomesenchymal identity remain incompletely understood, the transcription factor Twist1 plays a central role. Here, we show that while Twist1 transcripts accumulate in late migratory CNCCs as cells enter the pharyngeal arch environment, a Twist1 enhancer within Hdac9 is active in the neural tube and CNCCs. We reconcile the temporal discrepancy between enhancer activity and transcript accumulation by showing that the Twist1 3’ UTR from multiple vertebrate species (but not the non-vertebrate chordate Ciona intestinalis) destabilises transcripts in the ectoderm via a conserved AU-Rich Element. Together, these findings reveal a vertebrate-specific, two-tiered regulatory mechanism that uncouples enhancer activity from transcript accumulation, gating the onset of Twist1 expression and the acquisition of ectomesenchymal identity in vertebrate CNCCs.</w:t>
      </w:r>
    </w:p>
    <w:p>
      <w:pPr>
        <w:spacing w:before="120" w:after="120"/>
      </w:pPr>
      <w:r>
        <w:rPr>
          <w:sz w:val="18"/>
        </w:rPr>
        <w:t>——————————————————————————————————————————————————————————————————————</w:t>
      </w:r>
    </w:p>
    <w:p>
      <w:pPr>
        <w:spacing w:before="160" w:after="40" w:line="240" w:lineRule="auto"/>
      </w:pPr>
      <w:r>
        <w:rPr>
          <w:b/>
        </w:rPr>
        <w:t xml:space="preserve">[378] </w:t>
      </w:r>
      <w:hyperlink r:id="rId1297">
        <w:r>
          <w:rPr>
            <w:color w:val="1155CC"/>
            <w:u w:val="single"/>
          </w:rPr>
          <w:t>对非编码基因组进行有效的扰动</w:t>
        </w:r>
      </w:hyperlink>
    </w:p>
    <w:p>
      <w:pPr>
        <w:spacing w:before="0" w:after="80"/>
      </w:pPr>
      <w:r>
        <w:rPr>
          <w:i/>
          <w:sz w:val="20"/>
        </w:rPr>
        <w:t>EN: Towards efficient perturbation for the noncoding genome</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破译非编码基因组的功能，包括重要的顺式调控元件 (CRE) 和转录的非编码 RNA 基因，在技术上仍然具有挑战性。在这里，我们使用大规模并行遗传筛选，系统地对五种代表性功能丧失扰动工具的性能进行了基准测试，包括单向导RNA（gRNA）介导的SpCas9切割或CRISPR干扰，以及涉及双SpCas9、Big Papi（配对SpCas9和SaCas9）或双enAsCas12a片段删除方法的配对gRNA（pgRNA）在解码非编码基因组的作用中的性能。对于靶向增强子等 CRE，双 SpCas9 在破坏功能基因组区域方面的效率优于其他方法。对于扰动非编码 RNA 基因，除了双 SpCas9 之外，还建议使用其他 RNA 靶向方法（例如 RNA 干扰）来区分转录依赖或独立的作用。深度学习模型 DeepDC 以及相关的网络服务器的构建是为了促进最佳的双 SpCas9 pgRNA 设计，从而有效地删除基因组片段。总之，我们的工作为选择适当的功能丧失工具来解决非编码基因组的功能复杂性提供了实用指导。</w:t>
      </w:r>
    </w:p>
    <w:p>
      <w:pPr>
        <w:spacing w:before="0" w:after="200" w:lineRule="auto" w:line="276"/>
      </w:pPr>
      <w:r>
        <w:rPr>
          <w:b/>
        </w:rPr>
        <w:t xml:space="preserve">Abstract (EN): </w:t>
      </w:r>
      <w:r>
        <w:t>Deciphering the functionality of the noncoding genome, which includes important cis-regulatory elements (CREs) and transcribed noncoding RNA genes, remains technically challenging. Here, using massively parallel genetic screening, we systematically benchmark the performance of five representative loss-of-function perturbation tools, including single-guide RNA (gRNA) mediated SpCas9 cleavage or CRISPR interference, and paired gRNA (pgRNA) involved dual-SpCas9, Big Papi (paired SpCas9 and SaCas9) or dual-enAsCas12a fragment deletion methods, in decoding the roles of the noncoding genome. For targeting CREs such as enhancers, dual-SpCas9 outperforms other methods with superior efficiency in destroying functional genomic regions. For perturbing noncoding RNA genes, in addition to dual-SpCas9, other RNA-targeting methods such as RNA interference are recommended to discriminate transcript-dependent or -independent roles. A deep learning model, DeepDC, with an associated web server, is built to facilitate optimal dual-SpCas9 pgRNA design for efficiently deleting a genomic fragment. Together, our work provides practical guidance on selecting appropriate loss-of-function tools to resolve the functional complexity of the noncoding genome.</w:t>
      </w:r>
    </w:p>
    <w:p>
      <w:pPr>
        <w:spacing w:before="120" w:after="120"/>
      </w:pPr>
      <w:r>
        <w:rPr>
          <w:sz w:val="18"/>
        </w:rPr>
        <w:t>——————————————————————————————————————————————————————————————————————</w:t>
      </w:r>
    </w:p>
    <w:p>
      <w:pPr>
        <w:spacing w:before="160" w:after="40" w:line="240" w:lineRule="auto"/>
      </w:pPr>
      <w:r>
        <w:rPr>
          <w:b/>
        </w:rPr>
        <w:t xml:space="preserve">[379] </w:t>
      </w:r>
      <w:hyperlink r:id="rId1298">
        <w:r>
          <w:rPr>
            <w:color w:val="1155CC"/>
            <w:u w:val="single"/>
          </w:rPr>
          <w:t>着丝粒微管占用率低通过延迟检查点沉默留下有丝分裂记忆</w:t>
        </w:r>
      </w:hyperlink>
    </w:p>
    <w:p>
      <w:pPr>
        <w:spacing w:before="0" w:after="80"/>
      </w:pPr>
      <w:r>
        <w:rPr>
          <w:i/>
          <w:sz w:val="20"/>
        </w:rPr>
        <w:t>EN: Low kinetochore-microtubule occupancy leaves a mitotic memory by delaying checkpoint silencing</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纺锤体组装检查点（SAC）通过延迟有丝分裂直到所有着丝粒附着到纺锤体微管上来促进忠实的染色体分离。然而，异常延长的有丝分裂通过 p53 依赖性记忆机制（“有丝分裂秒表”）阻止子细胞增殖，这表明存在选择性压力以避免显着的有丝分裂延迟。在这里，我们发现着丝粒的微管占据是将 SAC 沉默与有丝分裂持续时间和记忆联系起来的基石。通过将活细胞与超分辨率显微镜、光漂白和激光显微手术相结合，研究印度麂成纤维细胞，我们证明 SAC 沉默是渐进的，并且仅限于动粒内的微管附着。 Augmin 促进 SAC 及时沉默，并在动粒处具有高微管占用率，而 MPS1/CDK1 抑制则使 SAC 沉默，而与微管占用率无关。相反，低微管占用率会延迟 SAC 沉默，增加分离错误，并由于有丝分裂秒表监视而阻止子细胞增殖。因此，及时的 SAC 沉默和高微管占用率可以避免有丝分裂的“不良记忆”，从而允许子细胞增殖。</w:t>
      </w:r>
    </w:p>
    <w:p>
      <w:pPr>
        <w:spacing w:before="0" w:after="200" w:lineRule="auto" w:line="276"/>
      </w:pPr>
      <w:r>
        <w:rPr>
          <w:b/>
        </w:rPr>
        <w:t xml:space="preserve">Abstract (EN): </w:t>
      </w:r>
      <w:r>
        <w:t>The spindle assembly checkpoint (SAC) promotes faithful chromosome segregation by delaying mitosis until all kinetochores attach to spindle microtubules. However, unusually prolonged mitoses block daughter cell proliferation through a p53-dependent memory mechanism—the “mitotic stopwatch”—suggesting a selective pressure to avoid significant mitotic delays. Here, we show that microtubule occupancy at kinetochores is a cornerstone linking SAC silencing with mitotic duration and memory. By combining live-cell with super-resolution microscopy, photobleaching and laser microsurgery in Indian muntjac fibroblasts, we demonstrate that SAC silencing is gradual and confined to microtubule attachments within kinetochores. Augmin promotes timely SAC silencing with high microtubule occupancy at kinetochores, whereas MPS1/CDK1 inhibition silences the SAC irrespective of microtubule occupancy. Conversely, low microtubule occupancy delays SAC silencing, increases segregation errors and blocks daughter cell proliferation due to mitotic stopwatch surveillance. Thus, timely SAC silencing with high microtubule occupancy avoids “bad memories” of mitosis to allow daughter cell proliferation.</w:t>
      </w:r>
    </w:p>
    <w:p>
      <w:pPr>
        <w:spacing w:before="120" w:after="120"/>
      </w:pPr>
      <w:r>
        <w:rPr>
          <w:sz w:val="18"/>
        </w:rPr>
        <w:t>——————————————————————————————————————————————————————————————————————</w:t>
      </w:r>
    </w:p>
    <w:p>
      <w:pPr>
        <w:spacing w:before="160" w:after="40" w:line="240" w:lineRule="auto"/>
      </w:pPr>
      <w:r>
        <w:rPr>
          <w:b/>
        </w:rPr>
        <w:t xml:space="preserve">[380] </w:t>
      </w:r>
      <w:hyperlink r:id="rId1299">
        <w:r>
          <w:rPr>
            <w:color w:val="1155CC"/>
            <w:u w:val="single"/>
          </w:rPr>
          <w:t>BRCA1-A 复合物识别和切割 K63 连接的多聚泛素的机制</w:t>
        </w:r>
      </w:hyperlink>
    </w:p>
    <w:p>
      <w:pPr>
        <w:spacing w:before="0" w:after="80"/>
      </w:pPr>
      <w:r>
        <w:rPr>
          <w:i/>
          <w:sz w:val="20"/>
        </w:rPr>
        <w:t>EN: Mechanism of K63-linked polyubiquitin recognition and cleavage by the BRCA1-A complex</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去泛素酶通过去除单泛素或裂解多泛素链来调节细胞过程。 ARISC-RAP80 复合体与 BRCA1-BARD1 结合形成 BRCA1-A 超级复合体，可识别 DNA 损伤位点处的 K63 连接泛素链。 ARISC–RAP80 包含多个泛素结合位点，但这些位点如何影响 K63 多泛素化底物的识别和切割仍然未知。我们发现复合三亚基界面允许 ARISC-RAP80 将 K63 连接的多聚泛素链定位在其催化位点。 RAP80 和非催化泛素结合位点进一步支持底物识别，这些位点在 K63 多泛素化底物上形成紧凑的构象。该机制利用长泛素链固有的灵活性，与其他去泛素化酶有很大不同。结构引导诱变验证了泛素链相互作用，基于细胞的测定证明了观察到的界面在染色质招募中的功能作用。我们的研究结果定义了 ARISC-RAP80 多聚泛素链解码和切割的机制，将泛素读取和擦除功能与 BRCA1-A 介导的 DNA 损伤反应联系起来。</w:t>
      </w:r>
    </w:p>
    <w:p>
      <w:pPr>
        <w:spacing w:before="0" w:after="200" w:lineRule="auto" w:line="276"/>
      </w:pPr>
      <w:r>
        <w:rPr>
          <w:b/>
        </w:rPr>
        <w:t xml:space="preserve">Abstract (EN): </w:t>
      </w:r>
      <w:r>
        <w:t>Deubiquitylases modulate cellular processes by removing monoubiquitin or cleaving polyubiquitin chains. The ARISC–RAP80 complex partners with BRCA1–BARD1 to form the BRCA1-A supercomplex, which recognises K63-linked ubiquitin chains at DNA damage sites. ARISC–RAP80 contains multiple ubiquitin-binding sites, yet how these influence recognition and cleavage of K63-polyubiquitylated substrates remains unknown. We discover that a composite three-subunit interface allows ARISC–RAP80 to position K63-linked polyubiquitin chains in its catalytic site. Substrate recognition is further supported by RAP80 and non-catalytic ubiquitin-binding sites that impose a compact conformation on K63-polyubiquitylated substrates. This mechanism exploits the inherent flexibility of long ubiquitin chains and differs considerably from other deubiquitylases. Structure-guided mutageneses validate ubiquitin chain interactions, and cell-based assays demonstrate a functional role of the observed interfaces in chromatin recruitment. Our findings define mechanisms of polyubiquitin chain decoding and cleavage by ARISC–RAP80, linking ubiquitin reading and erasing functions to BRCA1-A mediated DNA damage responses.</w:t>
      </w:r>
    </w:p>
    <w:p>
      <w:pPr>
        <w:spacing w:before="120" w:after="120"/>
      </w:pPr>
      <w:r>
        <w:rPr>
          <w:sz w:val="18"/>
        </w:rPr>
        <w:t>——————————————————————————————————————————————————————————————————————</w:t>
      </w:r>
    </w:p>
    <w:p>
      <w:pPr>
        <w:spacing w:before="160" w:after="40" w:line="240" w:lineRule="auto"/>
      </w:pPr>
      <w:r>
        <w:rPr>
          <w:b/>
        </w:rPr>
        <w:t xml:space="preserve">[381] </w:t>
      </w:r>
      <w:hyperlink r:id="rId1300">
        <w:r>
          <w:rPr>
            <w:color w:val="1155CC"/>
            <w:u w:val="single"/>
          </w:rPr>
          <w:t>PA200 调节免疫蛋白酶体结构和活性</w:t>
        </w:r>
      </w:hyperlink>
    </w:p>
    <w:p>
      <w:pPr>
        <w:spacing w:before="0" w:after="80"/>
      </w:pPr>
      <w:r>
        <w:rPr>
          <w:i/>
          <w:sz w:val="20"/>
        </w:rPr>
        <w:t>EN: PA200 modulates immunoproteasome structure and activity</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蛋白酶体激活剂 PA200 与标准蛋白酶体 (s20S) 和免疫蛋白酶体 (i20S) 的催化核心结合；然而，PA200是否使用相同的机制来激活i20S仍然未知。在这项工作中，单端和双端 i20S-PA200 复合物的冷冻电镜结构，结合互补的体外生化测定，表明第一个 PA200 的结合诱导 i20S 的变构弯曲并加宽相反的 α 环，与 s20S 相比，促进更高的 PA200 占有率和更强的激活。 PA200 还通过增强肽生成并将切割特异性转向半胱天冬酶样活性来选择性调节 i20S 蛋白水解活性。在共表达 PA200、s20S 和 i20S 的细胞和组织中，PA200 优先与 i20S 结合。此外，PA200和i20S催化亚基受到差异性调节，其中PA200在调节i20S亚基的表达中发挥潜在作用。总的来说，这些发现表明 PA200 有助于调节 i20S 功能和动力学。</w:t>
      </w:r>
    </w:p>
    <w:p>
      <w:pPr>
        <w:spacing w:before="0" w:after="200" w:lineRule="auto" w:line="276"/>
      </w:pPr>
      <w:r>
        <w:rPr>
          <w:b/>
        </w:rPr>
        <w:t xml:space="preserve">Abstract (EN): </w:t>
      </w:r>
      <w:r>
        <w:t>The proteasome activator PA200 binds to the catalytic core of both standard proteasome (s20S) and the immunoproteasome (i20S); however, whether PA200 uses the same mechanisms to activate i20S remains unknown. In this work, the cryo-EM structures of singly- and doubly-capped i20S–PA200 complexes, combined with complementary in vitro biochemical assays, show that binding of the first PA200 induces allosteric bending of the i20S and widens the opposite α-ring, promoting higher PA200 occupancy and stronger activation compared to the s20S. PA200 also selectively modulates i20S proteolytic activity by enhancing peptide production and shifting cleavage specificity toward caspase-like activity. In cells and tissues co-expressing PA200, s20S, and i20S, PA200 preferentially associates with the i20S. Moreover, PA200 and i20S catalytic subunits are differentially regulated, with PA200 playing a potential role in regulating the i20S subunits’ expression. Overall, these findings suggest that PA200 contributes to the regulation of i20S function and dynamics.</w:t>
      </w:r>
    </w:p>
    <w:p>
      <w:pPr>
        <w:spacing w:before="120" w:after="120"/>
      </w:pPr>
      <w:r>
        <w:rPr>
          <w:sz w:val="18"/>
        </w:rPr>
        <w:t>——————————————————————————————————————————————————————————————————————</w:t>
      </w:r>
    </w:p>
    <w:p>
      <w:pPr>
        <w:spacing w:before="160" w:after="40" w:line="240" w:lineRule="auto"/>
      </w:pPr>
      <w:r>
        <w:rPr>
          <w:b/>
        </w:rPr>
        <w:t xml:space="preserve">[382] </w:t>
      </w:r>
      <w:hyperlink r:id="rId1301">
        <w:r>
          <w:rPr>
            <w:color w:val="1155CC"/>
            <w:u w:val="single"/>
          </w:rPr>
          <w:t>NHE6的结构及其脂质介导的相互作用调节内体pH</w:t>
        </w:r>
      </w:hyperlink>
    </w:p>
    <w:p>
      <w:pPr>
        <w:spacing w:before="0" w:after="80"/>
      </w:pPr>
      <w:r>
        <w:rPr>
          <w:i/>
          <w:sz w:val="20"/>
        </w:rPr>
        <w:t>EN: Structure of NHE6 and its lipid-mediated interactions regulating endosomal pH</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钠质子交换器 (NHE) 存在于所有细胞中，可调节细胞内 pH、钠水平和细胞体积。在人类中，有九种不同的 NHE 转运蛋白 (SLC9A1-9)，它们的组织分布、动力学和调节各不相同。 NHE6 定位于内体膜，并且该蛋白的突变已知会导致 X 连锁神经系统疾病克里斯蒂安森综合征。尽管 NHE6 很重要，但其功能和调节的结构基础尚不清楚。在这里，我们报告了大鼠 NHE6 的四种冷冻电子显微镜结构，分辨率为 2.2 至 3.3 Å，揭示了其同二聚体结构、离子结合和脂质重塑。我们表征了原聚体之间的脂质结合位点，该位点容纳内体特异性磷脂酰肌醇 3-磷酸 (PI3P) 脂质。使用基于固体支撑膜 (SSM) 的电生理学，我们证明 NHE6 可以转运 Na+ 和 K+ 离子，并且 PI3P 可以增强 NHE6 的稳定性和活性。此外，我们还发现了一种磷脂酰肌醇 4,5-二磷酸 (PI(4,5)P2) 脂质，它与 NHE6 的 C 末端结构域相互作用以稳定自身抑制状态。我们进一步证明，当 NHE6 错误定位到 PI(4,5)P2 主要所在的质膜时，NHE6 就失去功能。我们认为，脂质依赖性调节已经进化到在质膜内体循环过程中关闭 NHE6 活性。</w:t>
      </w:r>
    </w:p>
    <w:p>
      <w:pPr>
        <w:spacing w:before="0" w:after="200" w:lineRule="auto" w:line="276"/>
      </w:pPr>
      <w:r>
        <w:rPr>
          <w:b/>
        </w:rPr>
        <w:t xml:space="preserve">Abstract (EN): </w:t>
      </w:r>
      <w:r>
        <w:t>Sodium-proton exchangers (NHEs) are found in all cells to regulate intracellular pH, sodium levels and cell volume. In humans, there are nine different NHE transporters (SLC9A1-9), which vary in tissue distribution, kinetics and regulation. NHE6 localizes to endosomal membranes and mutations in the protein are known to cause the X-linked neurological disorder Christianson syndrome. Despite its importance, the structural basis of NHE6 function and regulation is unclear. Here we report four cryo-electron microscopy structures of rat NHE6 between 2.2 and 3.3 Å resolution, revealing its homodimeric structure, ion binding and remodelling by lipids. We characterize a lipid-binding site between the protomers that accommodates the endosomal-specific phosphatidylinositol 3-phosphate (PI3P) lipid. Using solid-supported membrane (SSM)-based electrophysiology we demonstrate that NHE6 transports both Na+ and K+ ions and that PI3P enhances NHE6 stability and activity. Furthermore, we identify a phosphatidylinositol 4,5-bisphosphate (PI(4,5)P2) lipid, which interacts with the C-terminal domain of NHE6 to stabilize an auto-inhibited state. We further demonstrate that NHE6 is non-functional when mislocalized to the plasma membrane where PI(4,5)P2 is primarily located. We propose the lipid-dependent regulation has evolved to shut-down NHE6 activity during recycling of endosomes at the plasma membrane.</w:t>
      </w:r>
    </w:p>
    <w:p>
      <w:pPr>
        <w:spacing w:before="120" w:after="120"/>
      </w:pPr>
      <w:r>
        <w:rPr>
          <w:sz w:val="18"/>
        </w:rPr>
        <w:t>——————————————————————————————————————————————————————————————————————</w:t>
      </w:r>
    </w:p>
    <w:p>
      <w:pPr>
        <w:spacing w:before="160" w:after="40" w:line="240" w:lineRule="auto"/>
      </w:pPr>
      <w:r>
        <w:rPr>
          <w:b/>
        </w:rPr>
        <w:t xml:space="preserve">[383] </w:t>
      </w:r>
      <w:hyperlink r:id="rId1302">
        <w:r>
          <w:rPr>
            <w:color w:val="1155CC"/>
            <w:u w:val="single"/>
          </w:rPr>
          <w:t>BRCA1-A 的泛素链供给机制</w:t>
        </w:r>
      </w:hyperlink>
    </w:p>
    <w:p>
      <w:pPr>
        <w:spacing w:before="0" w:after="80"/>
      </w:pPr>
      <w:r>
        <w:rPr>
          <w:i/>
          <w:sz w:val="20"/>
        </w:rPr>
        <w:t>EN: A ubiquitin chain-feeding mechanism for BRCA1-A</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BRCA1-A 复合体是一种多亚基金属去泛素化酶 (metalo-DUB)，参与基因组维护。 BRCA1-A 对 K63 连接的泛素表现出严格的特异性，对长链具有强烈的偏好，但这种选择性的机制基础仍不清楚。为了解决这个问题，我们开发了一种基于活性的探针，该探针专门针对金属 DUB，并模拟任何连接的二泛素或多泛素链（二泛素和多泛素ATA）。我们已经解析了与不同长度的 K63 连接探针链结合的 BRCA1-A 的冷冻电镜结构，捕获了多种构象和催化状态。这些结构揭示了复合物内催化的变构调节如何发生，以及 BRCA1-A 如何使用辅助泛素结合位点通过亲和力与底物结合并触发持续裂解。至关重要的是，亲合力和持续合成能力仅适用于长多聚泛素链，这解释了 BRCA1-A 的底物偏好。总之，这些结果表明 BRCA1-A 是一种链缩短 DUB，专门用于修剪延长的 K63 连接的多聚泛素链。</w:t>
      </w:r>
    </w:p>
    <w:p>
      <w:pPr>
        <w:spacing w:before="0" w:after="200" w:lineRule="auto" w:line="276"/>
      </w:pPr>
      <w:r>
        <w:rPr>
          <w:b/>
        </w:rPr>
        <w:t xml:space="preserve">Abstract (EN): </w:t>
      </w:r>
      <w:r>
        <w:t>The BRCA1-A complex is a multi-subunit, metallo-deubiquitinating enzyme (metallo-DUB) involved in genome maintenance. BRCA1-A displays strict specificity for K63-linked ubiquitin, with a strong preference for long chains, but the mechanistic basis for this selectivity has remained unclear. To address this, we have developed an activity-based probe that is specific for metallo-DUBs and mimics di- or polyubiquitin chains of any linkage (di- and poly-ubiquitinATA). We have solved cryoEM structures of BRCA1-A bound to K63-linked probe chains of various length, capturing multiple conformational and catalytic states. The structures reveal how allosteric regulation of catalysis occurs within the complex and how BRCA1-A uses auxiliary ubiquitin-binding sites to engage substrate by avidity and to trigger processive cleavage. Crucially, avidity and processivity can only apply to long polyubiquitin chains, explaining BRCA1-A’s substrate preference. Together, these results establish BRCA1-A as a chain-shortening DUB specialised for trimming extended K63-linked polyubiquitin chains.</w:t>
      </w:r>
    </w:p>
    <w:p>
      <w:pPr>
        <w:spacing w:before="120" w:after="120"/>
      </w:pPr>
      <w:r>
        <w:rPr>
          <w:sz w:val="18"/>
        </w:rPr>
        <w:t>——————————————————————————————————————————————————————————————————————</w:t>
      </w:r>
    </w:p>
    <w:p>
      <w:pPr>
        <w:spacing w:before="160" w:after="40" w:line="240" w:lineRule="auto"/>
      </w:pPr>
      <w:r>
        <w:rPr>
          <w:b/>
        </w:rPr>
        <w:t xml:space="preserve">[384] </w:t>
      </w:r>
      <w:hyperlink r:id="rId1303">
        <w:r>
          <w:rPr>
            <w:color w:val="1155CC"/>
            <w:u w:val="single"/>
          </w:rPr>
          <w:t>丘脑皮质爆发编码奖励意外事件并驱动联想学习</w:t>
        </w:r>
      </w:hyperlink>
    </w:p>
    <w:p>
      <w:pPr>
        <w:spacing w:before="0" w:after="80"/>
      </w:pPr>
      <w:r>
        <w:rPr>
          <w:i/>
          <w:sz w:val="20"/>
        </w:rPr>
        <w:t>EN: Thalamocortical bursts encode reward contingencies and drive associative learning</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学习需要神经元回路的适应性变化，但神经元如何在其活动模式中编码学习内容以构建记忆仍然知之甚少。通过对执行感觉辨别任务的自由活动的雄性小鼠进行纵向多部位记录，我们发现皮质、丘脑和丘脑外区域出现了突发编码神经元（BCN）。 BCN 通过是否存在突发来编码任务规则，其比例随着学习的进展而增加。解码分析表明，BCN 是丘脑皮质系统内规则信息的主要载体。 BCN 爆发率随刺激效价的变化而变化，当意外事件恶化时，BCN 爆发率会崩溃，并且在规则反复逆转后会发生反转，这表明爆发率在学习过程中动态跟踪关联上下文。事实上，丘脑皮质爆发的药理学和局部遗传抑制扰乱了学习和任务表现，将神经元爆发确立为联想学习的情境敏感驱动因素。这些发现确定了丘脑皮质系统中刺激-结果关联的基于突发的神经代码，并提供了将细胞放电动力学与奖励应急学习联系起来的因果证据。</w:t>
      </w:r>
    </w:p>
    <w:p>
      <w:pPr>
        <w:spacing w:before="0" w:after="200" w:lineRule="auto" w:line="276"/>
      </w:pPr>
      <w:r>
        <w:rPr>
          <w:b/>
        </w:rPr>
        <w:t xml:space="preserve">Abstract (EN): </w:t>
      </w:r>
      <w:r>
        <w:t>Learning requires adaptive changes in neuronal circuits, but how neurons encode learning content in their activity patterns to construct memories remains poorly understood. Using longitudinal multi-site recordings in freely moving male mice performing a sensory discrimination task, we discover the emergence of burst-coding neurons (BCNs) across cortical, thalamic, and extrathalamic regions. BCNs encoded task rules through the presence or absence of bursts, with their proportion increasing as learning progressed. Decoding analyses reveal that BCNs act as the principal carriers of rule information within the thalamocortical system. BCN burst rates scaled with stimulus valence, collapsed when contingencies were degraded, and inverted after repeated rule reversals, demonstrating that bursts dynamically track associative context during learning. Indeed, pharmacological and focal genetic suppression of thalamocortical bursting disrupted learning and task performance, establishing neuronal bursts as context-sensitive drivers of associative learning. These findings identify a burst-based neural code for stimulus–outcome associations in the thalamocortical system and provide causal evidence linking cellular firing dynamics to reward contingency learning.</w:t>
      </w:r>
    </w:p>
    <w:p>
      <w:pPr>
        <w:spacing w:before="120" w:after="120"/>
      </w:pPr>
      <w:r>
        <w:rPr>
          <w:sz w:val="18"/>
        </w:rPr>
        <w:t>——————————————————————————————————————————————————————————————————————</w:t>
      </w:r>
    </w:p>
    <w:p>
      <w:pPr>
        <w:spacing w:before="160" w:after="40" w:line="240" w:lineRule="auto"/>
      </w:pPr>
      <w:r>
        <w:rPr>
          <w:b/>
        </w:rPr>
        <w:t xml:space="preserve">[385] </w:t>
      </w:r>
      <w:hyperlink r:id="rId1304">
        <w:r>
          <w:rPr>
            <w:color w:val="1155CC"/>
            <w:u w:val="single"/>
          </w:rPr>
          <w:t>Th17 效应细胞因子在链球菌后脑炎小鼠模型中诱导共同且不同的小胶质细胞和内皮细胞反应</w:t>
        </w:r>
      </w:hyperlink>
    </w:p>
    <w:p>
      <w:pPr>
        <w:spacing w:before="0" w:after="80"/>
      </w:pPr>
      <w:r>
        <w:rPr>
          <w:i/>
          <w:sz w:val="20"/>
        </w:rPr>
        <w:t>EN: Th17 effector cytokines induce shared and distinct microglial and endothelial cell responses in a mouse model for post-streptococcal encephalitis</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A 族链球菌 (GAS) 感染会导致儿童神经精神并发症，但外周感染与脑功能障碍之间的联系机制仍不清楚。利用小鼠遗传学、单细胞 RNA 测序和空间转录组学，我们发现 GAS 感染会诱导小胶质细胞和脑内皮细胞 (BEC) 中的炎症转录程序，并伴有雌性小鼠血脑屏障 (BBB) 基因表达的丧失。空间转录组分析表明，GAS 反应性小胶质细胞位于浸润性 CD4+ T 细胞附近。在小鼠中诱导的几种小胶质细胞趋化因子在受影响患者的血清中升高。 CD4⁺ T 细胞中 GM-CSF 的缺失部分降低了小胶质细胞趋化因子基因的表达，但没有恢复 BBB 的完整性。相比之下，IL-17A 中和可以部分挽救 BBB 转录变化，但不能挽救 BBB 功能障碍，并减少小胶质细胞趋化因子的表达。小胶质细胞特异性删除 IL-17 受体 A 可部分恢复 GAS 感染后 BBB 的完整性。我们的研究结果表明，小胶质细胞 IL-17A–IL17RA 信号传导是 GAS 感染后 BBB 功能障碍和神经炎症的潜在介质。</w:t>
      </w:r>
    </w:p>
    <w:p>
      <w:pPr>
        <w:spacing w:before="0" w:after="200" w:lineRule="auto" w:line="276"/>
      </w:pPr>
      <w:r>
        <w:rPr>
          <w:b/>
        </w:rPr>
        <w:t xml:space="preserve">Abstract (EN): </w:t>
      </w:r>
      <w:r>
        <w:t>Group A Streptococcus (GAS) infections cause neuropsychiatric complications in children, but the mechanisms linking peripheral infection to brain dysfunction remain unclear. Using mouse genetics, single-cell RNA sequencing, and spatial transcriptomics, we show that GAS infections induce inflammatory transcriptional programs in microglia and brain endothelial cells (BECs), accompanied by loss of blood-brain barrier (BBB) gene expression in female mice. Spatial transcriptomic analyses reveal that GAS-responsive microglia localize near infiltrating CD4+ T cells. Several microglial chemokines induced in mice are elevated in sera from affected patients. Deletion of GM-CSF in CD4⁺ T cells partially reduces microglial chemokine gene expression, without restoring BBB integrity. In contrast, IL-17A neutralization partially rescues BBB transcriptional changes, but not BBB dysfunction, and reduces microglial chemokine expression. Microglia-specific deletion of IL-17 receptor A partially restores BBB integrity after GAS infections. Our findings identify microglial IL-17A–IL17RA signaling as a potential mediator of BBB dysfunction and neuroinflammation after GAS infections.</w:t>
      </w:r>
    </w:p>
    <w:p>
      <w:pPr>
        <w:spacing w:before="120" w:after="120"/>
      </w:pPr>
      <w:r>
        <w:rPr>
          <w:sz w:val="18"/>
        </w:rPr>
        <w:t>——————————————————————————————————————————————————————————————————————</w:t>
      </w:r>
    </w:p>
    <w:p>
      <w:pPr>
        <w:spacing w:before="160" w:after="40" w:line="240" w:lineRule="auto"/>
      </w:pPr>
      <w:r>
        <w:rPr>
          <w:b/>
        </w:rPr>
        <w:t xml:space="preserve">[386] </w:t>
      </w:r>
      <w:hyperlink r:id="rId1305">
        <w:r>
          <w:rPr>
            <w:color w:val="1155CC"/>
            <w:u w:val="single"/>
          </w:rPr>
          <w:t>脂肪细胞衍生的 β-羟基丁酸赋予多发性骨髓瘤代谢弹性</w:t>
        </w:r>
      </w:hyperlink>
    </w:p>
    <w:p>
      <w:pPr>
        <w:spacing w:before="0" w:after="80"/>
      </w:pPr>
      <w:r>
        <w:rPr>
          <w:i/>
          <w:sz w:val="20"/>
        </w:rPr>
        <w:t>EN: Adipocyte-derived β-hydroxybutyrate confers metabolic resilience in multiple myeloma</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多发性骨髓瘤 (MM) 仍然是一种无法治愈的血癌。肥胖是一个已知的危险因素，但脂肪细胞如何促进 MM 进展尚不完全清楚。在这里，我们发现脂肪细胞和 MM 细胞之间的代谢串扰能够促进 MM 细胞在葡萄糖剥夺下的存活。我们发现葡萄糖限制会激活 AMPK，破坏 HSP90-IRF4 结合并使 IRF4 容易受到 TRIM21 介导的蛋白酶体降解的影响。矛盾的是，同样的压力会刺激脂肪细胞产生β-羟基丁酸（β-OHB）。 MM细胞通过OXCT1介导的酮解作用利用β-OHB，促进IRF4在K87处的NAT10依赖性乙酰化，从而恢复IRF4-HSP90结合并维持肿瘤细胞存活。脂肪细胞中限速生酮酶 Hmgcs2 的基因消除消除了这种保护作用。重要的是，将 AMPK 激活剂（二甲双胍）与 OXCT1 抑制剂（匹莫齐特）或 NAT10 抑制剂（重塑蛋白）组合显示出体内协同抗肿瘤活性。我们的研究结果将脂肪细胞衍生的 β-OHB 定位为关键的代谢适配器，并强调了 MM​​ 的潜在联合疗法。</w:t>
      </w:r>
    </w:p>
    <w:p>
      <w:pPr>
        <w:spacing w:before="0" w:after="200" w:lineRule="auto" w:line="276"/>
      </w:pPr>
      <w:r>
        <w:rPr>
          <w:b/>
        </w:rPr>
        <w:t xml:space="preserve">Abstract (EN): </w:t>
      </w:r>
      <w:r>
        <w:t>Multiple myeloma (MM) remains an incurable blood cancer. Obesity is a known risk factor, but how adipocytes promote MM progression is not fully understood. Here, we uncover a metabolic crosstalk between adipocytes and MM cells that promotes MM cell survival under glucose deprivation. We show that glucose restriction activates AMPK, disrupting HSP90-IRF4 binding and rendering IRF4 susceptible to TRIM21-mediated proteasomal degradation. Paradoxically, the same stress stimulates adipocytes to produce β-hydroxybutyrate (β-OHB). MM cells utilize β-OHB through OXCT1-mediated ketolysis, fueling NAT10-dependent acetylation of IRF4 at K87, which restores IRF4-HSP90 binding and sustains tumor cell survival. Genetic ablation of the rate-limiting ketogenic enzyme Hmgcs2 in adipocytes abrogates this protective effect. Importantly, combining an AMPK activator (metformin) with an OXCT1 inhibitor (pimozide) or a NAT10 inhibitor (remodelin) shows synergistic anti-tumor activity in vivo. Our findings position adipocyte-derived β-OHB as a critical metabolic adaptor and highlight a potential combination therapy for MM.</w:t>
      </w:r>
    </w:p>
    <w:p>
      <w:pPr>
        <w:spacing w:before="120" w:after="120"/>
      </w:pPr>
      <w:r>
        <w:rPr>
          <w:sz w:val="18"/>
        </w:rPr>
        <w:t>——————————————————————————————————————————————————————————————————————</w:t>
      </w:r>
    </w:p>
    <w:p>
      <w:pPr>
        <w:spacing w:before="160" w:after="40" w:line="240" w:lineRule="auto"/>
      </w:pPr>
      <w:r>
        <w:rPr>
          <w:b/>
        </w:rPr>
        <w:t xml:space="preserve">[387] </w:t>
      </w:r>
      <w:hyperlink r:id="rId1306">
        <w:r>
          <w:rPr>
            <w:color w:val="1155CC"/>
            <w:u w:val="single"/>
          </w:rPr>
          <w:t>BRN1 的自然变异增强氮敏感性以提高水稻氮利用效率</w:t>
        </w:r>
      </w:hyperlink>
    </w:p>
    <w:p>
      <w:pPr>
        <w:spacing w:before="0" w:after="80"/>
      </w:pPr>
      <w:r>
        <w:rPr>
          <w:i/>
          <w:sz w:val="20"/>
        </w:rPr>
        <w:t>EN: Natural variation in BRN1 enhances nitrogen sensitivity to improve rice nitrogen use efficiency</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绿色革命水稻品种产量高，但需要过量的氮 (N) 肥料，并且氮响应能力下降，严重降低了氮利用效率 (NUE)。为了剖析现代品种低氮敏感性的分子基础，我们使用多种水稻种质资源，针对氮（BRN）的生物量响应（BRN）进行了全基因组关联研究（GWAS），这是一种与氮敏感性密切相关的性状。我们确定 BRN1 是 N 依赖性生物量积累的关键调节因子，它调节 NLP3，NLP3 是控制硝酸盐信号传导的主要转录因子。在氮供应增加的情况下，独脚金内酯信号抑制子 D53 大量积累并与 BRN1 相互作用，抑制 NLP3 转录，从而降低水稻氮响应。值得注意的是，高反应 BRN1H 等位基因编码一种更稳定的蛋白质，可以减轻 D53 介导的抑制。该等位基因渗入现代品种显着增强了低氮和高氮条件下的氮敏感性和谷物产量。我们的研究结果建立了控制水稻 NUE 的 D53-BRN1-NLP3 调控模块，为水稻育种提供了一个目标，以维持高生产力并提高资源可持续性。</w:t>
      </w:r>
    </w:p>
    <w:p>
      <w:pPr>
        <w:spacing w:before="0" w:after="200" w:lineRule="auto" w:line="276"/>
      </w:pPr>
      <w:r>
        <w:rPr>
          <w:b/>
        </w:rPr>
        <w:t xml:space="preserve">Abstract (EN): </w:t>
      </w:r>
      <w:r>
        <w:t>Green Revolution rice varieties deliver high yields but require excessive nitrogen (N) fertilizer and show diminished N responsiveness, severely reducing nitrogen-use efficiency (NUE). To dissect the molecular basis of low N sensitivity in modern cultivars, we conducted a genome-wide association study (GWAS) for biomass response to N (BRN), a trait tightly linked to N sensitivity, using a diverse rice germplasm panel. We identified BRN1 as a key regulator of N-dependent biomass accumulation that regulates NLP3, a master transcription factor governing nitrate signaling. Under elevated N supply, the strigolactone signaling repressor D53 accumulates substantially and interacts with BRN1 to repress NLP3 transcription, thereby reducing rice N response. Notably, the high-response BRN1H allele encodes a more stable protein that alleviates D53-mediated suppression. Introgression of this allele into modern cultivars significantly enhanced N sensitivity and grain yield under both low and high N conditions. Our findings establish a D53-BRN1-NLP3 regulatory module controlling rice NUE, providing a target for rice breeding to sustain high productivity with improved resource sustainability.</w:t>
      </w:r>
    </w:p>
    <w:p>
      <w:pPr>
        <w:spacing w:before="120" w:after="120"/>
      </w:pPr>
      <w:r>
        <w:rPr>
          <w:sz w:val="18"/>
        </w:rPr>
        <w:t>——————————————————————————————————————————————————————————————————————</w:t>
      </w:r>
    </w:p>
    <w:p>
      <w:pPr>
        <w:spacing w:before="160" w:after="40" w:line="240" w:lineRule="auto"/>
      </w:pPr>
      <w:r>
        <w:rPr>
          <w:b/>
        </w:rPr>
        <w:t xml:space="preserve">[388] </w:t>
      </w:r>
      <w:hyperlink r:id="rId1307">
        <w:r>
          <w:rPr>
            <w:color w:val="1155CC"/>
            <w:u w:val="single"/>
          </w:rPr>
          <w:t>CAKR：基因组学的交换代数 k-mer 表示</w:t>
        </w:r>
      </w:hyperlink>
    </w:p>
    <w:p>
      <w:pPr>
        <w:spacing w:before="0" w:after="80"/>
      </w:pPr>
      <w:r>
        <w:rPr>
          <w:i/>
          <w:sz w:val="20"/>
        </w:rPr>
        <w:t>EN: CAKR: commutative algebra k-mer representations for genomics</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尽管有各种序列分析模型可用，但比较基因组分析仍然是基因组学、遗传学和系统发育学中的挑战。交换代数是代数几何和数论的基本工具，但很少在数据和生物科学中使用。在本研究中，我们引入交换代数 k-mer 表示作为分析基因组序列的非线性代数框架。这种表示将交换代数、代数拓扑、组合学和机器学习联系起来，为比较基因组分析建立了数学框架。我们评估其在三个任务上的有效性，包括遗传变异分类、系统发育树重建和病毒分类，通常分别需要基于比对、无比对和机器学习方法。在这项工作中，我们表明，交换代数 k-mer 表示在 12 个主要数据集上优于 5 种最先进的序列分析方法，并具有两个额外的补充片段放置基准，特别是在病毒分类中，并且随着数据集大小的增加保持相对稳定的预测准确性，强调了可扩展性和鲁棒性。</w:t>
      </w:r>
    </w:p>
    <w:p>
      <w:pPr>
        <w:spacing w:before="0" w:after="200" w:lineRule="auto" w:line="276"/>
      </w:pPr>
      <w:r>
        <w:rPr>
          <w:b/>
        </w:rPr>
        <w:t xml:space="preserve">Abstract (EN): </w:t>
      </w:r>
      <w:r>
        <w:t>Despite the availability of various sequence analysis models, comparative genomic analysis remains a challenge in genomics, genetics, and phylogenetics. Commutative algebra, a fundamental tool in algebraic geometry and number theory, has rarely been used in data and biological sciences. In this study, we introduce commutative algebra k-mer representations as a nonlinear algebraic framework for analyzing genomic sequences. This representation bridges commutative algebra, algebraic topology, combinatorics, and machine learning to establish a mathematical framework for comparative genomic analysis. We evaluate its effectiveness on three tasks including genetic variant classification, phylogenetic tree reconstruction, and viral classification, typically requiring alignment-based, alignment-free, and machine-learning approaches, respectively. In this work, we show that commutative algebra k-mer representations outperform five state-of-the-art sequence analysis methods across twelve primary datasets, with two additional supplementary fragment-placement benchmarks, especially in viral classification, and maintain relatively stable predictive accuracy as dataset size increases, underscoring scalability and robustness.</w:t>
      </w:r>
    </w:p>
    <w:p>
      <w:pPr>
        <w:spacing w:before="120" w:after="120"/>
      </w:pPr>
      <w:r>
        <w:rPr>
          <w:sz w:val="18"/>
        </w:rPr>
        <w:t>——————————————————————————————————————————————————————————————————————</w:t>
      </w:r>
    </w:p>
    <w:p>
      <w:pPr>
        <w:spacing w:before="160" w:after="40" w:line="240" w:lineRule="auto"/>
      </w:pPr>
      <w:r>
        <w:rPr>
          <w:b/>
        </w:rPr>
        <w:t xml:space="preserve">[389] </w:t>
      </w:r>
      <w:hyperlink r:id="rId1308">
        <w:r>
          <w:rPr>
            <w:color w:val="1155CC"/>
            <w:u w:val="single"/>
          </w:rPr>
          <w:t>造山持续时间的长期变化揭示了太古代-元古代时期的交替构造状况</w:t>
        </w:r>
      </w:hyperlink>
    </w:p>
    <w:p>
      <w:pPr>
        <w:spacing w:before="0" w:after="80"/>
      </w:pPr>
      <w:r>
        <w:rPr>
          <w:i/>
          <w:sz w:val="20"/>
        </w:rPr>
        <w:t>EN: Secular change in orogenic duration reveals alternating tectonic regimes during the Archaean-Proterozoic</w:t>
      </w:r>
    </w:p>
    <w:p>
      <w:pPr>
        <w:spacing w:before="0" w:after="120"/>
      </w:pPr>
      <w:r>
        <w:rPr>
          <w:b/>
        </w:rPr>
        <w:t xml:space="preserve">Source: </w:t>
      </w:r>
      <w:r>
        <w:t>Earth and environmental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地质限制和建模结果揭示了太古宙晚期和元古代地球构造体系发生的重大但人们知之甚少的变化。这些变化与超大陆旋回有关，这是岩石圈和对流地幔行为的主要档案，并影响造山带持续时间和热状态。然而，缺乏关于哥伦比亚组装期间造山带持续时间的精确数据限制了我们对长期构造演化的理解以及与较年轻的造山带的比较。通过原位石榴石 Lu-Hf 和独居石微域 U-Pb 地质年代学，我们在哥伦比亚组装过程中限制了 220 Myr 的热碰撞造山带，明显长于当代的冷造山带（110-160 Myr）。碰撞造山带持续时间的长期变化表明从新太古代到新元古代的非单调趋势。这一趋势意味着哥伦比亚组装期间板的刚性和活动性增强，随后罗迪尼亚组装期间明显下降，与推断的板速度代理一致。这些发现支持新太古代-元古代期间缓慢的盖板构造和更活跃的板块构造之间不断变化的构造制度。</w:t>
      </w:r>
    </w:p>
    <w:p>
      <w:pPr>
        <w:spacing w:before="0" w:after="200" w:lineRule="auto" w:line="276"/>
      </w:pPr>
      <w:r>
        <w:rPr>
          <w:b/>
        </w:rPr>
        <w:t xml:space="preserve">Abstract (EN): </w:t>
      </w:r>
      <w:r>
        <w:t>Geological constraints and modelling results reveal major yet poorly understood changes in Earth’s tectonic regimes during the late Archaean and Proterozoic. These changes are associated with supercontinent cycles, a primary archive of lithosphere and convecting mantle behaviour, and impact orogen duration and thermal state. However, the lack of precise data on orogen duration during Columbia assembly limits our understanding of the long-term tectonic evolution and comparison with younger orogens. Through in-situ garnet Lu–Hf and monazite microdomain U–Pb geochronology, here we constrain a 220 Myr hot collisional orogen during Columbia assembly, significantly longer than contemporary cold orogens (110–160 Myr). Secular changes in collisional orogen duration indicate a non-monotonic trend from Neoarchaean to Neoproterozoic. This trend implies enhanced plate rigidity and mobility during Columbia assembly, followed by a marked decline during Rodinia assembly, consistent with inferred plate velocity proxies. These findings support evolving tectonic regimes alternating between sluggish lid and more active plate tectonics during the Neoarchaean-Proterozoic.</w:t>
      </w:r>
    </w:p>
    <w:p>
      <w:pPr>
        <w:spacing w:before="120" w:after="120"/>
      </w:pPr>
      <w:r>
        <w:rPr>
          <w:sz w:val="18"/>
        </w:rPr>
        <w:t>——————————————————————————————————————————————————————————————————————</w:t>
      </w:r>
    </w:p>
    <w:p>
      <w:pPr>
        <w:spacing w:before="160" w:after="40" w:line="240" w:lineRule="auto"/>
      </w:pPr>
      <w:r>
        <w:rPr>
          <w:b/>
        </w:rPr>
        <w:t xml:space="preserve">[390] </w:t>
      </w:r>
      <w:hyperlink r:id="rId1309">
        <w:r>
          <w:rPr>
            <w:color w:val="1155CC"/>
            <w:u w:val="single"/>
          </w:rPr>
          <w:t>2025 年 Marmara Ereğlisi 地震中基于 Android 智能手机的警报的性能和用户响应</w:t>
        </w:r>
      </w:hyperlink>
    </w:p>
    <w:p>
      <w:pPr>
        <w:spacing w:before="0" w:after="80"/>
      </w:pPr>
      <w:r>
        <w:rPr>
          <w:i/>
          <w:sz w:val="20"/>
        </w:rPr>
        <w:t>EN: Performance and user response of android’s smartphone-based alerts in the 2025 Marmara Ereğlisi earthquake</w:t>
      </w:r>
    </w:p>
    <w:p>
      <w:pPr>
        <w:spacing w:before="0" w:after="120"/>
      </w:pPr>
      <w:r>
        <w:rPr>
          <w:b/>
        </w:rPr>
        <w:t xml:space="preserve">Source: </w:t>
      </w:r>
      <w:r>
        <w:t>Earth and environmental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本研究对土耳其马尔马拉埃雷利西 6.2 级地震期间的 Google Android 地震警报 (AEA) 系统进行了全面评估。 AEA 在事件启动后 5.31 秒检测到该事件，向超过 1600 万用户发出警报。弱晃动（MMI III）的警告时间长达 150 秒，中位数为 56 秒。虽然近源警告窗口较短，但该系统的真阳性率和总体准确率达到 99%。电话网络的高密度使得检测速度比传统站点更快，即使对于这个离岸震中也是如此。反馈数据显示，AEA 接收者很有可能采取保护措施，例如“放下、掩护和抓住”或警告他人。及时的警报大大提高了用户参与度、感知有用性和未来信任。这些结果凸显了众包技术和行为洞察如何能够有效地大规模增强抗震能力。</w:t>
      </w:r>
    </w:p>
    <w:p>
      <w:pPr>
        <w:spacing w:before="0" w:after="200" w:lineRule="auto" w:line="276"/>
      </w:pPr>
      <w:r>
        <w:rPr>
          <w:b/>
        </w:rPr>
        <w:t xml:space="preserve">Abstract (EN): </w:t>
      </w:r>
      <w:r>
        <w:t>This study presents a comprehensive evaluation of Google’s Android Earthquake Alert (AEA) system during the Mw 6.2 Marmara Ereğlisi, Türkiye earthquake. AEA detected the event 5.31 seconds after its initiation, alerting over 16 million users. Warning times for weak shaking (MMI III) reached up to 150 seconds, with a median of 56 seconds. While near-source warning windows were shorter, the system achieved 90% true positives and 99% precision overall. The high density of the phone network enabled faster detection than traditional stations, even for this offshore epicenter. Feedback data shows AEA recipients were highly likely to take protective actions, such as “drop, cover, and hold on,” or warn others. Timely alerts substantially increased user engagement, perceived usefulness, and future trust. These results highlight how crowd-sourced technology and behavioral insights can effectively enhance seismic resilience on a massive scale.</w:t>
      </w:r>
    </w:p>
    <w:p>
      <w:pPr>
        <w:spacing w:before="120" w:after="120"/>
      </w:pPr>
      <w:r>
        <w:rPr>
          <w:sz w:val="18"/>
        </w:rPr>
        <w:t>——————————————————————————————————————————————————————————————————————</w:t>
      </w:r>
    </w:p>
    <w:p>
      <w:pPr>
        <w:spacing w:before="160" w:after="40" w:line="240" w:lineRule="auto"/>
      </w:pPr>
      <w:r>
        <w:rPr>
          <w:b/>
        </w:rPr>
        <w:t xml:space="preserve">[391] </w:t>
      </w:r>
      <w:hyperlink r:id="rId1310">
        <w:r>
          <w:rPr>
            <w:color w:val="1155CC"/>
            <w:u w:val="single"/>
          </w:rPr>
          <w:t>APOBEC3 驱动的 2022 年全球爆发猴痘病毒相对于其 IIb 分支祖先的减弱</w:t>
        </w:r>
      </w:hyperlink>
    </w:p>
    <w:p>
      <w:pPr>
        <w:spacing w:before="0" w:after="80"/>
      </w:pPr>
      <w:r>
        <w:rPr>
          <w:i/>
          <w:sz w:val="20"/>
        </w:rPr>
        <w:t>EN: APOBEC3-driven attenuation of the 2022 global outbreak monkeypox virus relative to its clade IIb ancestor</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猴痘病毒（MPXV）是一种非洲特有的人畜共患病毒，最近重新出现，成为自天花根除以来第一个在人与人之间持续传播的正痘病毒。 2022 年全球流行的 MPXV 是由 Clade IIb 病毒（B.1 谱系）引起的，该病毒通过 APOBEC3 微进化衍生自西非流行的 A 谱系 1-3。在这里，谱系 B.1 病毒与其最接近的早期 A.1 祖先的比较表明，尽管只有 46 个核苷酸差异，但谱系 B.1 具有减弱的表型变化。两种病毒在细胞培养物中复制效果相同，但 B.1 在远距离传播方面存在缺陷，这与 OPG057 (F13L) 中的 APOBEC3 突变 E353K 相对应。 MPXV B.1 在先天免疫控制方面也存在缺陷，会诱导较高的 IFNβ 和先天免疫信号基因表达，并表现出抑制白细胞介素 1β 介导的反应的能力降低，这与 OPG047 (F3L) 中的 APOBEC3 突变 R48C 相关。最后，相对于祖先 A.1 毒株，MPXV B.1 在 MPXV 感染小鼠模型中的毒力降低。我们的工作表明，2022 年全球爆发的 MPXV 本质上是减毒的，其减毒突变在同时发生的更严重的 IIb 分支爆发中并不存在。我们的数据还表明，APOBEC3 编辑是 MPXV 表型变异的一种机制，可能有助于进化枝的进化和竞争。</w:t>
      </w:r>
    </w:p>
    <w:p>
      <w:pPr>
        <w:spacing w:before="0" w:after="200" w:lineRule="auto" w:line="276"/>
      </w:pPr>
      <w:r>
        <w:rPr>
          <w:b/>
        </w:rPr>
        <w:t xml:space="preserve">Abstract (EN): </w:t>
      </w:r>
      <w:r>
        <w:t>Monkeypox virus (MPXV) is a zoonotic virus endemic to Africa that has recently re-emerged, becoming the first orthopoxvirus with sustained human-to-human transmission since smallpox eradication. The 2022 global epidemic of MPXV was caused by Clade IIb virus (lineage B.1) that derived from the lineage A endemic to West Africa through APOBEC3 microevolution1–3. Here, comparison of lineage B.1 virus with its closest earlier A.1 ancestor reveals that despite only 46 nucleotide differences, lineage B.1 has attenuating phenotypic changes. Both viruses replicated equivalently in cell culture, but B.1 had defects in long-range spread, which mapped to APOBEC3 mutation E353K in OPG057 (F13L). MPXV B.1 was also defective in innate immune control, inducing higher IFNβ and innate immune signalling gene expression, and showing reduced capacity to suppress interleukin-1β-mediated responses, which mapped to APOBEC3 mutation R48C in OPG047 (F3L). Finally, MPXV B.1 had reduced virulence in a mouse model of MPXV infection relative to the ancestral A.1 strain. Our work demonstrates that the 2022 global outbreak MPXV was intrinsically attenuated, with attenuating mutations that are absent in concurrent, more severe clade IIb outbreaks. Our data also reveal that APOBEC3 editing is a mechanism of MPXV phenotypic variation, potentially contributing to clade evolution and competition.</w:t>
      </w:r>
    </w:p>
    <w:p>
      <w:pPr>
        <w:spacing w:before="120" w:after="120"/>
      </w:pPr>
      <w:r>
        <w:rPr>
          <w:sz w:val="18"/>
        </w:rPr>
        <w:t>——————————————————————————————————————————————————————————————————————</w:t>
      </w:r>
    </w:p>
    <w:p>
      <w:pPr>
        <w:spacing w:before="160" w:after="40" w:line="240" w:lineRule="auto"/>
      </w:pPr>
      <w:r>
        <w:rPr>
          <w:b/>
        </w:rPr>
        <w:t xml:space="preserve">[392] </w:t>
      </w:r>
      <w:hyperlink r:id="rId1311">
        <w:r>
          <w:rPr>
            <w:color w:val="1155CC"/>
            <w:u w:val="single"/>
          </w:rPr>
          <w:t>通过听光控制心率</w:t>
        </w:r>
      </w:hyperlink>
    </w:p>
    <w:p>
      <w:pPr>
        <w:spacing w:before="0" w:after="80"/>
      </w:pPr>
      <w:r>
        <w:rPr>
          <w:i/>
          <w:sz w:val="20"/>
        </w:rPr>
        <w:t>EN: Heart rate control by listening to light</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听觉与心脏的相互作用使声音感知能够调节心律和体内平衡。然而，由于声刺激精度的根本限制，其潜在的调节机制和治疗潜力在很大程度上仍未得到充分探索。在这里，我们提出了一种光-机械-心脏耦合策略，该策略绕过声波的传播限制，从而实现心脏功能的精确声学调制。利用动态可重构光陷阱（1064 nm，100 kHz 刷新率），我们将音乐节奏转化为可编程耳石振荡模式，从而在机械刺激和心脏反应之间建立确定性的输入输出关系。我们发现后脑区域，主要是迷走神经运动区域，通过肾上腺素能激活以及交感神经和副交感神经活动之间平衡的转变来介导这种光机械心脏调节。利用实时节律转码，我们精确量化了具有不同频谱成分的听觉刺激对心律的调制能力，并成功挽救了药物引起的病理性心律紊乱。这项工作通过光机械耳石振荡连接光学物理学和自主心脏生理学，建立了一个探索感觉心脏调节和个性化心律失常管理的机械框架，为推进音乐治疗从经验实践到定量生物医学铺平了道路。</w:t>
      </w:r>
    </w:p>
    <w:p>
      <w:pPr>
        <w:spacing w:before="0" w:after="200" w:lineRule="auto" w:line="276"/>
      </w:pPr>
      <w:r>
        <w:rPr>
          <w:b/>
        </w:rPr>
        <w:t xml:space="preserve">Abstract (EN): </w:t>
      </w:r>
      <w:r>
        <w:t>The auditory-cardiac interplay enables sound perception to modulate cardiac rhythm and homeostasis. However, its underlying regulatory mechanism and therapeutic potential remain largely underexplored, due to fundamental limitations in acoustic stimulation precision. Here we present an opto-mechano-cardiac coupling strategy that bypasses the propagation constraints of sound wave to enable precise acoustic modulation of cardiac function. Utilizing dynamically reconfigurable optical traps (1064 nm, 100 kHz refresh rate), we translated musical rhythms into programmable otolith oscillation patterns, thus establishing deterministic input-output relationships between mechanical stimulation and cardiac responses. We found that hindbrain areas, primarily the vagal motor area, mediate this opto-mechano-cardiac modulation, through adrenergic activation and a shift in the balance between sympathetic and parasympathetic activity. Leveraging real-time rhythm transcoding, we precisely quantified the modulation capabilities of auditory stimuli with distinct spectral composition on cardiac rhythm, and successfully rescued the drug-induced pathological cardiac rhythm disorders. By bridging optical physics and autonomic cardiac physiology via optomechanical otolith oscillation, this work establishes a mechanistic framework to explore sensory-cardiac modulation and personalized arrhythmia management, paving the way for advancing music therapy from empirical practice to quantitative biomedicine.</w:t>
      </w:r>
    </w:p>
    <w:p>
      <w:pPr>
        <w:spacing w:before="120" w:after="120"/>
      </w:pPr>
      <w:r>
        <w:rPr>
          <w:sz w:val="18"/>
        </w:rPr>
        <w:t>——————————————————————————————————————————————————————————————————————</w:t>
      </w:r>
    </w:p>
    <w:p>
      <w:pPr>
        <w:spacing w:before="160" w:after="40" w:line="240" w:lineRule="auto"/>
      </w:pPr>
      <w:r>
        <w:rPr>
          <w:b/>
        </w:rPr>
        <w:t xml:space="preserve">[393] </w:t>
      </w:r>
      <w:hyperlink r:id="rId1312">
        <w:r>
          <w:rPr>
            <w:color w:val="1155CC"/>
            <w:u w:val="single"/>
          </w:rPr>
          <w:t>冰架解钉影响松岛冰川及其支流同步全新世变薄</w:t>
        </w:r>
      </w:hyperlink>
    </w:p>
    <w:p>
      <w:pPr>
        <w:spacing w:before="0" w:after="80"/>
      </w:pPr>
      <w:r>
        <w:rPr>
          <w:i/>
          <w:sz w:val="20"/>
        </w:rPr>
        <w:t>EN: Synchronous Holocene thinning of Pine Island Glacier and its tributaries influenced by ice-shelf unpinning</w:t>
      </w:r>
    </w:p>
    <w:p>
      <w:pPr>
        <w:spacing w:before="0" w:after="120"/>
      </w:pPr>
      <w:r>
        <w:rPr>
          <w:b/>
        </w:rPr>
        <w:t xml:space="preserve">Source: </w:t>
      </w:r>
      <w:r>
        <w:t>Earth and environmental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由于冰架下温暖的海洋流入支撑（抑制）冰川流动，南极洲阿蒙森海区的冰川正在退缩和变薄，但其未来的轨迹和对冰块损失的影响仍不确定。在这里，我们提供来自哈德逊山脉的详细宇宙成因核素暴露年龄数据，记录了松岛冰川及其支流 8-5 ka 的一致变薄。我们使用上次冰消期的数值冰盖模型将这种减薄联系起来，以将接地线动力学和减薄特征联系起来。模型重建将整体快速变薄的暂停归因于基岩高点上的冰架钉扎，强调了此类特征对于冰架稳定的重要性。在整个冰消过程中，来自样本点的冰流路径都汇聚在同一接地/崩解线区域，这意味着共同的支撑历史和对向上游传播的海洋接地线退缩的反应，从而控制了冰消减。我们的研究结果支持冰架支撑在影响该地区从全新世到未来的冰盖减薄方面发挥着关键作用。</w:t>
      </w:r>
    </w:p>
    <w:p>
      <w:pPr>
        <w:spacing w:before="0" w:after="200" w:lineRule="auto" w:line="276"/>
      </w:pPr>
      <w:r>
        <w:rPr>
          <w:b/>
        </w:rPr>
        <w:t xml:space="preserve">Abstract (EN): </w:t>
      </w:r>
      <w:r>
        <w:t>Glaciers in Antarctica’s Amundsen Sea sector are retreating and thinning due to warm ocean inflow beneath ice shelves that buttress (restrain) glacier flow, but their future trajectory and implications for ice-mass loss remain uncertain. Here we present detailed cosmogenic-nuclide exposure-age data from the Hudson Mountains that document concerted thinning of Pine Island Glacier and its tributaries 8–5 ka. We contextualise this thinning using numerical ice-sheet modelling of the last deglaciation to link grounding-line dynamics and thinning characteristics. The model reconstructions attribute pauses in overall rapid thinning to ice-shelf pinning on bedrock highs, underscoring the importance of such features for ice-shelf stabilisation. Ice-flow paths from the sample sites all converge in the same grounding/calving-line region throughout the deglaciation, implying a common buttressing history and response to marine-grounding-line retreat that propagated upstream, controlling thinning. Our results support a key role for ice-shelf buttressing in influencing ice-sheet thinning in this region through the Holocene and into the future.</w:t>
      </w:r>
    </w:p>
    <w:p>
      <w:pPr>
        <w:spacing w:before="120" w:after="120"/>
      </w:pPr>
      <w:r>
        <w:rPr>
          <w:sz w:val="18"/>
        </w:rPr>
        <w:t>——————————————————————————————————————————————————————————————————————</w:t>
      </w:r>
    </w:p>
    <w:p>
      <w:pPr>
        <w:spacing w:before="160" w:after="40" w:line="240" w:lineRule="auto"/>
      </w:pPr>
      <w:r>
        <w:rPr>
          <w:b/>
        </w:rPr>
        <w:t xml:space="preserve">[394] </w:t>
      </w:r>
      <w:hyperlink r:id="rId1313">
        <w:r>
          <w:rPr>
            <w:color w:val="1155CC"/>
            <w:u w:val="single"/>
          </w:rPr>
          <w:t>基于环加成的多环芳烃多样化和分子编辑逆合成逻辑</w:t>
        </w:r>
      </w:hyperlink>
    </w:p>
    <w:p>
      <w:pPr>
        <w:spacing w:before="0" w:after="80"/>
      </w:pPr>
      <w:r>
        <w:rPr>
          <w:i/>
          <w:sz w:val="20"/>
        </w:rPr>
        <w:t>EN: Cycloaddition-Based Retrosynthetic Logic for the Diversification and Molecular Editing of Polycyclic Aromatic Hydrocarbons</w:t>
      </w:r>
    </w:p>
    <w:p>
      <w:pPr>
        <w:spacing w:before="0" w:after="120"/>
      </w:pPr>
      <w:r>
        <w:rPr>
          <w:b/>
        </w:rPr>
        <w:t xml:space="preserve">Source: </w:t>
      </w:r>
      <w:r>
        <w:t>Chemical Reviews: Latest Articles (ACS Publications)</w:t>
      </w:r>
      <w:r>
        <w:t xml:space="preserve">    </w:t>
      </w:r>
      <w:r>
        <w:rPr>
          <w:b/>
        </w:rPr>
        <w:t xml:space="preserve">Pub date: </w:t>
      </w:r>
      <w:r>
        <w:t>2026-08-11 00:00:00+00:00</w:t>
      </w:r>
      <w:r>
        <w:t xml:space="preserve">    </w:t>
      </w:r>
      <w:r>
        <w:rPr>
          <w:b/>
        </w:rPr>
        <w:t xml:space="preserve">DOI: </w:t>
      </w:r>
      <w:hyperlink r:id="rId1314">
        <w:r>
          <w:rPr>
            <w:color w:val="1155CC"/>
            <w:u w:val="single"/>
          </w:rPr>
          <w:t>10.1021/acs.chemrev.6c00372</w:t>
        </w:r>
      </w:hyperlink>
    </w:p>
    <w:p>
      <w:pPr>
        <w:spacing w:before="0" w:after="120"/>
      </w:pPr>
      <w:r>
        <w:rPr>
          <w:b/>
        </w:rPr>
        <w:t xml:space="preserve">Notes: </w:t>
      </w:r>
      <w:r>
        <w:t>abstract_source=crossref</w:t>
      </w:r>
    </w:p>
    <w:p>
      <w:pPr>
        <w:spacing w:before="0" w:after="80" w:lineRule="auto" w:line="276"/>
      </w:pPr>
      <w:r>
        <w:rPr>
          <w:b/>
        </w:rPr>
        <w:t xml:space="preserve">摘要（ZH）: </w:t>
      </w:r>
      <w:r>
        <w:t>摘要 扩大多环芳烃 (PAH) 的化学和结构多样性是有机化学、材料科学和化学生物学领域的一个重要的理想目标，因为它能够精确调节其分子特性，以适应广泛的应用。 PAH 多样化的传统方法通常依赖于涉及预官能化芳香族底物和强氧化剂的冗长的多步骤序列，这限制了效率和底物通用性。相比之下，基于环加成-环化回复（逆环加成）或环加成-重芳构化过程的逆合成断开策略为 PAH 构建和修饰提供了概念上独特且简化的方法。这些方法能够直接从简单的非功能化 PAH 模板进行原子和步骤经济的转化，从而避免了对预装官能团的需要。最近的进展表明，这种断开策略可以实现多种转化，包括通过湾区、M区和L区环状π延伸(APEX)反应实现区域选择性PAH生长、K区氮杂-APEX反应、正式C-H胺化、通过脱芳香原子插入实现环扩张，以及通过两碳片段交换实现π延伸。本综述总结了这些进展，并强调了基于环加成的逆合成逻辑作为 PAH 多样化和分子编辑的统一平台的新兴潜力。</w:t>
      </w:r>
    </w:p>
    <w:p>
      <w:pPr>
        <w:spacing w:before="0" w:after="200" w:lineRule="auto" w:line="276"/>
      </w:pPr>
      <w:r>
        <w:rPr>
          <w:b/>
        </w:rPr>
        <w:t xml:space="preserve">Abstract (EN): </w:t>
      </w:r>
      <w:r>
        <w:t>Expanding the chemical and structural diversity of polycyclic aromatic hydrocarbons (PAHs) represents a significant aspirational goal in organic chemistry, materials science, and chemical biology, as it enables precise modulation of their molecular properties for a wide range of applications. Conventional approaches to PAH diversification typically rely on lengthy multistep sequences involving prefunctionalized aromatic substrates and strong oxidants, which limits efficiency and substrate generality. In contrast, retrosynthetic disconnection strategies based on cycloaddition–cycloreversion (retro-cycloaddition) or cycloaddition–rearomatization processes offer a conceptually distinct and streamlined approach to PAH construction and modification. These methods enable atom- and step-economical transformations directly from simple, unfunctionalized PAH templates, thereby circumventing the need for preinstalled functional groups. Recent advances have demonstrated that such disconnection strategies enable diverse transformations, including regioselective PAH growth via bay-, M- and L-region annulative π-extension (APEX) reactions, K-region aza-APEX reactions, formal C–H amination, ring-expansion through dearomative atom insertion, and π-extension via two-carbon fragment exchange. This review summarizes these developments and highlights the emerging potential of cycloaddition-based retrosynthetic logic as a unifying platform for the diversification and molecular editing of PAHs.</w:t>
      </w:r>
    </w:p>
    <w:p>
      <w:pPr>
        <w:spacing w:before="120" w:after="120"/>
      </w:pPr>
      <w:r>
        <w:rPr>
          <w:sz w:val="18"/>
        </w:rPr>
        <w:t>——————————————————————————————————————————————————————————————————————</w:t>
      </w:r>
    </w:p>
    <w:p>
      <w:pPr>
        <w:spacing w:before="160" w:after="40" w:line="240" w:lineRule="auto"/>
      </w:pPr>
      <w:r>
        <w:rPr>
          <w:b/>
        </w:rPr>
        <w:t xml:space="preserve">[395] </w:t>
      </w:r>
      <w:hyperlink r:id="rId1315">
        <w:r>
          <w:rPr>
            <w:color w:val="1155CC"/>
            <w:u w:val="single"/>
          </w:rPr>
          <w:t>解开 Ta3N5 光阳极的表面和体特性</w:t>
        </w:r>
      </w:hyperlink>
    </w:p>
    <w:p>
      <w:pPr>
        <w:spacing w:before="0" w:after="80"/>
      </w:pPr>
      <w:r>
        <w:rPr>
          <w:i/>
          <w:sz w:val="20"/>
        </w:rPr>
        <w:t>EN: Disentangling surface and bulk properties of Ta3N5 photoanodes</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了解材料和缺陷特性如何控制光电化学性能对于开发高效稳定的光电极至关重要。尽管经常强调体积特性，但表面和界面同样可以决定操作下的活性和稳定性。在这里，我们使用深度敏感表征来解开 Ta3N5 薄膜的表面和体特性。通过用 TaOx、TaNx 和 Ta 前驱体制备光电极，我们系统地改变浅层和深层缺陷浓度。结构、成分和光电分析表明，表面始终表现出比本体更高的氧富集、结构无序性增加和更高的深层缺陷密度。然而，特定的表面结构及其空间范围很大程度上取决于前体化学。源自 TaOx 的 Ta3N5 形成扩展的、非晶的、富含氧化物的表面，具有较少的深层缺陷，而 TaNx 和 Ta 衍生的 Ta3N5 薄膜表现出更薄、更多的结晶表面，并增加了中间带隙缺陷密度。短暂的氢氟酸处理可去除无序的表面层，提高结晶度和亲水性，并增强亚铁氰化物氧化的光电化学性能和稳定性。这些结果强调了界面和缺陷工程是实现耐用、高效 Ta3N5 光电极的途径。</w:t>
      </w:r>
    </w:p>
    <w:p>
      <w:pPr>
        <w:spacing w:before="0" w:after="200" w:lineRule="auto" w:line="276"/>
      </w:pPr>
      <w:r>
        <w:rPr>
          <w:b/>
        </w:rPr>
        <w:t xml:space="preserve">Abstract (EN): </w:t>
      </w:r>
      <w:r>
        <w:t>Understanding how material and defect characteristics govern photoelectrochemical performance is essential for developing efficient and stable photoelectrodes. Although bulk properties are often emphasized, surfaces and interfaces can equally determine activity and stability under operation. Here, we use depth-sensitive characterization to disentangle surface and bulk properties of Ta3N5 thin films. By preparing photoelectrodes from TaOx, TaNx, and Ta precursors, we systematically vary shallow and deep-level defect concentrations. Structural, compositional, and optoelectronic analyses show that the surfaces consistently exhibit oxygen enrichment, increased structural disorder, and higher deep-level defect densities than the bulk. However, the specific surface structure and its spatial extent depend strongly on precursor chemistry. Ta3N5 derived from TaOx forms an extended, amorphous, oxide-rich surface with fewer deep-level defects, whereas TaNx and Ta-derived Ta3N5 films exhibit thinner, more crystalline surfaces with increased mid-gap defect densities. A brief hydrofluoric acid treatment removes the disordered surface layer, improving crystallinity and hydrophilicity and enhancing photoelectrochemical performance and stability for ferrocyanide oxidation. These results highlight interfacial and defect engineering as routes toward durable, high-efficiency Ta3N5 photoelectrodes.</w:t>
      </w:r>
    </w:p>
    <w:p>
      <w:pPr>
        <w:spacing w:before="120" w:after="120"/>
      </w:pPr>
      <w:r>
        <w:rPr>
          <w:sz w:val="18"/>
        </w:rPr>
        <w:t>——————————————————————————————————————————————————————————————————————</w:t>
      </w:r>
    </w:p>
    <w:p>
      <w:pPr>
        <w:spacing w:before="160" w:after="40" w:line="240" w:lineRule="auto"/>
      </w:pPr>
      <w:r>
        <w:rPr>
          <w:b/>
        </w:rPr>
        <w:t xml:space="preserve">[396] </w:t>
      </w:r>
      <w:hyperlink r:id="rId1316">
        <w:r>
          <w:rPr>
            <w:color w:val="1155CC"/>
            <w:u w:val="single"/>
          </w:rPr>
          <w:t>SynCom 应该被严格定义，而不是重命名</w:t>
        </w:r>
      </w:hyperlink>
    </w:p>
    <w:p>
      <w:pPr>
        <w:spacing w:before="0" w:after="80"/>
      </w:pPr>
      <w:r>
        <w:rPr>
          <w:i/>
          <w:sz w:val="20"/>
        </w:rPr>
        <w:t>EN: SynComs should be rigorously defined, not renamed</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科赫等人。建议用“定义的微生物群落”取代“合成微生物群落（SynComs）”。我们认为，这种替代模糊了 SynCom 研究的设计驱动逻辑，并且该领域需要更清晰的概念分类，而不是对 SynCom 进行更广泛的重命名。</w:t>
      </w:r>
    </w:p>
    <w:p>
      <w:pPr>
        <w:spacing w:before="0" w:after="200" w:lineRule="auto" w:line="276"/>
      </w:pPr>
      <w:r>
        <w:rPr>
          <w:b/>
        </w:rPr>
        <w:t xml:space="preserve">Abstract (EN): </w:t>
      </w:r>
      <w:r>
        <w:t>Koch et al. propose replacing “synthetic microbial communities (SynComs)” with “defined microbial communities”. We argue that this substitution obscures the design-driven logic of SynCom research, and that the field needs clearer conceptual classification rather than a broader renaming of SynComs.</w:t>
      </w:r>
    </w:p>
    <w:p>
      <w:pPr>
        <w:spacing w:before="120" w:after="120"/>
      </w:pPr>
      <w:r>
        <w:rPr>
          <w:sz w:val="18"/>
        </w:rPr>
        <w:t>——————————————————————————————————————————————————————————————————————</w:t>
      </w:r>
    </w:p>
    <w:p>
      <w:pPr>
        <w:spacing w:before="160" w:after="40" w:line="240" w:lineRule="auto"/>
      </w:pPr>
      <w:r>
        <w:rPr>
          <w:b/>
        </w:rPr>
        <w:t xml:space="preserve">[397] </w:t>
      </w:r>
      <w:hyperlink r:id="rId1317">
        <w:r>
          <w:rPr>
            <w:color w:val="1155CC"/>
            <w:u w:val="single"/>
          </w:rPr>
          <w:t>染色质复制的体外重建概括了对称组蛋白回收</w:t>
        </w:r>
      </w:hyperlink>
    </w:p>
    <w:p>
      <w:pPr>
        <w:spacing w:before="0" w:after="80"/>
      </w:pPr>
      <w:r>
        <w:rPr>
          <w:i/>
          <w:sz w:val="20"/>
        </w:rPr>
        <w:t>EN: In vitro reconstitution of chromatin replication recapitulates symmetric histone recycling</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对称组蛋白回收对于维持真核 DNA 复制时的表观遗传至关重要。最近的全基因组研究发现了这一过程的关键决定因素，但这些因素如何共同支持亲本组蛋白转移仍不完全清楚。在这里，我们成功地用 24 种纯化蛋白重建组蛋白回收，并使用 Repli-pore-seq（新开发的结合纳米孔测序和基于深度学习的分类的管道）分析微球菌核酸酶消化的产物。结果，我们鉴定出在核小体有利序列上对称回收的组蛋白作为四体或六体。我们还观察到富含 GC 的 DNA 序列上滞后链和前导链之间的回收位置不一致。此外，去除 Pol δ、Pol32、Dpb3/4、Ctf4、Csm3/Tof1 或 Mrc1 会破坏两条子链之间的组蛋白回收平衡，而去除 Ctf4、Csm3/Tof1 或 Mrc1 还会另外改变组蛋白回收的位置。此外，添加滞后链成熟因子 Fen1 和 Cdc9 增强了组蛋白对滞后链的再循环。这些发现为对称组蛋白回收的分子参与者和机制提供了重要的见解。</w:t>
      </w:r>
    </w:p>
    <w:p>
      <w:pPr>
        <w:spacing w:before="0" w:after="200" w:lineRule="auto" w:line="276"/>
      </w:pPr>
      <w:r>
        <w:rPr>
          <w:b/>
        </w:rPr>
        <w:t xml:space="preserve">Abstract (EN): </w:t>
      </w:r>
      <w:r>
        <w:t>Symmetric histone recycling is vital for maintaining epigenetic inheritance upon eukaryotic DNA replication. Recent genome-wide studies have uncovered key determinants of this process, but how these factors collectively support parental histone transfer remains incompletely understood. Here, we successfully reconstitute histone recycling with 24 purified proteins and analyze the products digested by Micrococcal nuclease with Repli-pore-seq, the newly developed pipeline combining nanopore sequencing and deep-learning-based classification. As a result, we identify histones symmetrically recycled as tetrasomes or hexasomes on nucleosome-favorable sequences. We also observe the discordance of the recycled position between lagging and leading strands on the GC-rich DNA sequences. Moreover, removal of Pol δ, Pol32, Dpb3/4, Ctf4, Csm3/Tof1, or Mrc1 disrupts the balance of histone recycling between the two daughter strands, whereas removal of Ctf4, Csm3/Tof1, or Mrc1 additionally alters the positions at which histones were recycled. Furthermore, addition of the lagging-strand maturation factors Fen1 and Cdc9 enhances histone recycling to the lagging strand. These findings provide critical insights into the molecular players and mechanisms underlying symmetric histone recycling.</w:t>
      </w:r>
    </w:p>
    <w:p>
      <w:pPr>
        <w:spacing w:before="120" w:after="120"/>
      </w:pPr>
      <w:r>
        <w:rPr>
          <w:sz w:val="18"/>
        </w:rPr>
        <w:t>——————————————————————————————————————————————————————————————————————</w:t>
      </w:r>
    </w:p>
    <w:p>
      <w:pPr>
        <w:spacing w:before="160" w:after="40" w:line="240" w:lineRule="auto"/>
      </w:pPr>
      <w:r>
        <w:rPr>
          <w:b/>
        </w:rPr>
        <w:t xml:space="preserve">[398] </w:t>
      </w:r>
      <w:hyperlink r:id="rId1318">
        <w:r>
          <w:rPr>
            <w:color w:val="1155CC"/>
            <w:u w:val="single"/>
          </w:rPr>
          <w:t>不可定向流形上异常点的反直觉碰撞</w:t>
        </w:r>
      </w:hyperlink>
    </w:p>
    <w:p>
      <w:pPr>
        <w:spacing w:before="0" w:after="80"/>
      </w:pPr>
      <w:r>
        <w:rPr>
          <w:i/>
          <w:sz w:val="20"/>
        </w:rPr>
        <w:t>EN: Counterintuitive collision of exceptional points on nonorientable manifolds</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从厄米狄拉克点到非厄米特例外点（EP）的能带简并是拓扑物理学的核心。除了个体拓扑之外，它们的相互作用产生了更丰富的现象，例如成对创建的点简并的非湮灭碰撞，以前认为这种现象只发生在非阿贝尔多带系统中。在这里，我们从理论上和实验上证明，即使在简单的双带阿贝尔系统中，由于动量空间流形的不可定向性，这种非平凡的碰撞也可能发生。通过设计混合维非厄米特声晶格，我们测量了两个独立但互补的拓扑不变量——带状辫状体和贝里相——以明确地表明，从混合点成对创建的两个EP在重新相遇时合并成一个不同的涡旋点，而不是湮灭。使用路径压缩准则，我们进一步确认了这种违反直觉的碰撞的基本机制：EP 的编织电荷在穿过不可定向边界时反转。我们的研究结果将几何不可定向性确定为能带简并工程相互作用的新领域，并为进一步探索不可定向流形上的特殊拓扑铺平了道路。</w:t>
      </w:r>
    </w:p>
    <w:p>
      <w:pPr>
        <w:spacing w:before="0" w:after="200" w:lineRule="auto" w:line="276"/>
      </w:pPr>
      <w:r>
        <w:rPr>
          <w:b/>
        </w:rPr>
        <w:t xml:space="preserve">Abstract (EN): </w:t>
      </w:r>
      <w:r>
        <w:t>Band degeneracies, from Hermitian Dirac points to non-Hermitian exceptional points (EPs), are central to topological physics. Beyond individual topology, their interactions yield richer phenomena—such as non-annihilating collisions of pairwise-created point degeneracies, previously thought to occur only in non-Abelian multiband systems. Here, we theoretically and experimentally demonstrate that such nontrivial collisions can arise even in simple two-band Abelian systems, enabled by the nonorientability of momentum-space manifolds. By designing a mixed-dimensional non-Hermitian acoustic lattice, we measure two independent yet complementary topological invariants—band braid and Berry phase—to unambiguously show that two EPs, pairwise created from a hybrid point, merge into a distinct vortex point upon re-encounter, instead of annihilating. Using a path-squeezing criterion, we further confirm the underlying mechanism for such counterintiuitive collision: the braid charge of an EP inverts upon traversing a nonorientable boundary. Our findings identify the geometric nonorientability as a new arena for engineering interactions of band degeneracies, and pave the way for further exploring exceptional topology on nonorientable manifolds.</w:t>
      </w:r>
    </w:p>
    <w:p>
      <w:pPr>
        <w:spacing w:before="120" w:after="120"/>
      </w:pPr>
      <w:r>
        <w:rPr>
          <w:sz w:val="18"/>
        </w:rPr>
        <w:t>——————————————————————————————————————————————————————————————————————</w:t>
      </w:r>
    </w:p>
    <w:p>
      <w:pPr>
        <w:spacing w:before="160" w:after="40" w:line="240" w:lineRule="auto"/>
      </w:pPr>
      <w:r>
        <w:rPr>
          <w:b/>
        </w:rPr>
        <w:t xml:space="preserve">[399] </w:t>
      </w:r>
      <w:hyperlink r:id="rId1319">
        <w:r>
          <w:rPr>
            <w:color w:val="1155CC"/>
            <w:u w:val="single"/>
          </w:rPr>
          <w:t>分割任何肿瘤：用于全身分析的不确定性感知视觉基础模型</w:t>
        </w:r>
      </w:hyperlink>
    </w:p>
    <w:p>
      <w:pPr>
        <w:spacing w:before="0" w:after="80"/>
      </w:pPr>
      <w:r>
        <w:rPr>
          <w:i/>
          <w:sz w:val="20"/>
        </w:rPr>
        <w:t>EN: Segment any tumour: an uncertainty-aware vision foundation model for whole-body analysis</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即时驱动的视觉基础模型（例如分段任意模型）已显示出在计算机视觉中的适应性，但由于异质解剖结构、伪影和低对比度肿瘤边界，它们在医学成像中的使用仍然具有挑战性。这在全身肿瘤分析中尤其困难，其中模型必须跨模式、解剖结构和肿瘤外观进行转移。在这里，我们提出了 Segment Any Tumor 3D (SAT3D)，这是一种轻量级体积基础模型，用于跨不同医学成像模式、器官和队列的通用肿瘤分割。 SAT3D 将平移窗口视觉变换器与评论家引导的不确定性感知训练相结合，使用置信图作为密集提示来指导模糊区域的边界预测。我们针对 11 个公共数据集的视觉基础模型、提示驱动和特定于任务的方法对 SAT3D 进行基准测试。 SAT3D 在 17,075 个三维体积掩模对上进行训练，显示出强大的泛化能力，包括在分布外设置中，并由用于交互式分割的 3D-Slicer 插件支持，强调了 SAT3D 作为医学图像分析的可扩展基础模型的潜力。</w:t>
      </w:r>
    </w:p>
    <w:p>
      <w:pPr>
        <w:spacing w:before="0" w:after="200" w:lineRule="auto" w:line="276"/>
      </w:pPr>
      <w:r>
        <w:rPr>
          <w:b/>
        </w:rPr>
        <w:t xml:space="preserve">Abstract (EN): </w:t>
      </w:r>
      <w:r>
        <w:t>Prompt-driven vision foundation models, such as the Segment Anything Model, have shown adaptability in computer vision, but their use in medical imaging remains challenging due to heterogeneous anatomy, artefacts, and low-contrast tumour boundaries. This is particularly difficult in whole-body tumour analysis, where models must transfer across modalities, anatomies, and tumour appearances. Here, we present Segment Any Tumour 3D (SAT3D), a lightweight volumetric foundation model for generalisable tumour segmentation across diverse medical imaging modalities, organs, and cohorts. SAT3D integrates a shifted-window vision transformer with critic-guided uncertainty-aware training, using confidence maps as dense prompts to guide boundary prediction in ambiguous regions. We benchmark SAT3D against vision foundation models, prompt-driven and task-specific methods across 11 public datasets. Trained on 17,075 three-dimensional volume-mask pairs, SAT3D shows robust generalisation, including in out-of-distribution settings, and is supported by a 3D-Slicer plugin for interactive segmentation, underscoring SAT3D’s potential as a scalable foundation model for medical image analysis.</w:t>
      </w:r>
    </w:p>
    <w:p>
      <w:pPr>
        <w:spacing w:before="120" w:after="120"/>
      </w:pPr>
      <w:r>
        <w:rPr>
          <w:sz w:val="18"/>
        </w:rPr>
        <w:t>——————————————————————————————————————————————————————————————————————</w:t>
      </w:r>
    </w:p>
    <w:p>
      <w:pPr>
        <w:spacing w:before="160" w:after="40" w:line="240" w:lineRule="auto"/>
      </w:pPr>
      <w:r>
        <w:rPr>
          <w:b/>
        </w:rPr>
        <w:t xml:space="preserve">[400] </w:t>
      </w:r>
      <w:hyperlink r:id="rId1320">
        <w:r>
          <w:rPr>
            <w:color w:val="1155CC"/>
            <w:u w:val="single"/>
          </w:rPr>
          <w:t>通过里德堡原子接收器进行超宽带抗干扰通信</w:t>
        </w:r>
      </w:hyperlink>
    </w:p>
    <w:p>
      <w:pPr>
        <w:spacing w:before="0" w:after="80"/>
      </w:pPr>
      <w:r>
        <w:rPr>
          <w:i/>
          <w:sz w:val="20"/>
        </w:rPr>
        <w:t>EN: Ultra-broadband anti-jamming communication via a Rydberg atomic receiver</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超宽带抗干扰通信可以通过抗干扰和拦截的扩频技术支持安全的信息传输。波导耦合里德伯原子无需传统射频前端组件即可实现超宽带频谱传感。该框架为超宽抗干扰通信提供了实验平台。在这里，我们演示了波导耦合 Rydberg 接收器中基于跳频扩频 (FHSS) 的实时信号解调，实现了 100 kHz 至 20 GHz 的跳频，最大跳频率为 100 khop/s。在 2.4 GHz ISM 频段内，我们的系统实现了每 MHz 约 8 个通道的通道密度。除此之外，通过利用其超宽和连续的带宽，该系统支持超过150,000个频道。实验结果表明，与单频系统相比，窄带抗干扰能力提高了51 dB，证实了其强大的抗干扰能力。所报道的系统展示了基于量子技术的安全通信的潜力，特别是在复杂的电磁环境中。</w:t>
      </w:r>
    </w:p>
    <w:p>
      <w:pPr>
        <w:spacing w:before="0" w:after="200" w:lineRule="auto" w:line="276"/>
      </w:pPr>
      <w:r>
        <w:rPr>
          <w:b/>
        </w:rPr>
        <w:t xml:space="preserve">Abstract (EN): </w:t>
      </w:r>
      <w:r>
        <w:t>Ultra-broadband anti-jamming communication can support secure information transfer through spread-spectrum techniques that resist interference and interception. Waveguide-coupled Rydberg atoms enable ultra-broadband spectrum sensing without conventional RF front-end components. This framework provides an experimental platform for ultra-wide anti-jamming communication. Here we demonstrate real-time signal demodulation based on frequency-hopping spread spectrum (FHSS) in a waveguide-coupled Rydberg receiver, achieving frequency hopping across 100 kHz to 20 GHz and a maximum hopping rate of 100 khop/s. Within the 2.4 GHz ISM band, our system achieves a channel density of ~ 8 channels per MHz. Beyond this, by leveraging its ultra-broad and continuous bandwidth, the system supports over 150,000 channels. Experimental results show a 51 dB improvement in narrowband interference tolerance compared with single-frequency systems, confirming its strong anti-jamming capability. The reported system demonstrates potential for secure communications based on quantum technology, particularly in complex electromagnetic environments.</w:t>
      </w:r>
    </w:p>
    <w:p>
      <w:pPr>
        <w:spacing w:before="120" w:after="120"/>
      </w:pPr>
      <w:r>
        <w:rPr>
          <w:sz w:val="18"/>
        </w:rPr>
        <w:t>——————————————————————————————————————————————————————————————————————</w:t>
      </w:r>
    </w:p>
    <w:p>
      <w:pPr>
        <w:spacing w:before="160" w:after="40" w:line="240" w:lineRule="auto"/>
      </w:pPr>
      <w:r>
        <w:rPr>
          <w:b/>
        </w:rPr>
        <w:t xml:space="preserve">[401] </w:t>
      </w:r>
      <w:hyperlink r:id="rId1321">
        <w:r>
          <w:rPr>
            <w:color w:val="1155CC"/>
            <w:u w:val="single"/>
          </w:rPr>
          <w:t>弱氢键作为芳香族水合的驱动力</w:t>
        </w:r>
      </w:hyperlink>
    </w:p>
    <w:p>
      <w:pPr>
        <w:spacing w:before="0" w:after="80"/>
      </w:pPr>
      <w:r>
        <w:rPr>
          <w:i/>
          <w:sz w:val="20"/>
        </w:rPr>
        <w:t>EN: Weak hydrogen bonding as the driver of aromatic hydration</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分子间力是超分子结构的基本架构，其中电荷分布、熵和空间的微妙相互作用决定了结果。在芳香族分子中，离域 π 电子的分布受到取代基的调节，影响它们的分子间相互作用并在 π 轨道中引入“空穴”。虽然人们对固态中的 π 孔的了解越来越多，但 π 孔对液体中溶剂化和混溶性的影响仍然未知。在这里，总中子散射和基于建模的细化揭示了苯酚、苯胺和对硝基苯酚在水中的溶剂化。面内溶剂化主要由水和取代基之间的强经典氢键决定。在环平面外，水和苯酚或苯胺之间垂直的OH·π弱氢键通过电子密度的差异进行协同和调制。相比之下，在对硝基苯酚中，吸电子硝基的存在增强了整体分子偶极子，并引入了明显的π孔，显着破坏了整体面外溶剂化。后者主要由约 3.35 Å 处的紧密水-O…N 接触引起，这是由于局部电荷耗尽伴随着 O…π* 基序 (≈ 3.96 Å)。这些相互作用模板化了周围水的结构，重新定义了这些芳香族化合物在水中的溶解度，并强调了有机分子的复杂溶剂化。</w:t>
      </w:r>
    </w:p>
    <w:p>
      <w:pPr>
        <w:spacing w:before="0" w:after="200" w:lineRule="auto" w:line="276"/>
      </w:pPr>
      <w:r>
        <w:rPr>
          <w:b/>
        </w:rPr>
        <w:t xml:space="preserve">Abstract (EN): </w:t>
      </w:r>
      <w:r>
        <w:t>Intermolecular forces are the fundamental architects of supramolecular structure, where subtle interplays of charge distribution, entropy, and sterics determine the outcome. In aromatic molecules, the distribution of delocalised π electrons is modulated by the substituents, affecting their intermolecular interactions and introducing “holes” in the π orbitals. While increasingly well-understood in the solid state, the influence of π-holes on solvation and miscibility in the liquid remains unknown. Here, total neutron scattering and modelling-based refinement reveal the solvation of phenol, aniline, and p-nitrophenol in water. The in-plane solvation is dominated by strong classical hydrogen bonds between water and the substituents. Out of the ring plane, perpendicular OH···π weak hydrogen bonds between water and phenol or aniline are cooperative and modulated by differences in electron density. By contrast, in p-nitrophenol, the presence of the electron-withdrawing nitro group enhances the overall molecular dipole, and introduces a pronounced π-hole that significantly disrupts the overall out-of-plane solvation. The latter is dominated by close water-O···N contacts at ≈ 3.35 Å resulting from localized charge depletion accompanied by O···π* motifs (≈ 3.96 Å). These interactions template the structure of the surrounding water, redefining the solubility of these aromatics in water and underscoring the complex solvation of organic molecules.</w:t>
      </w:r>
    </w:p>
    <w:p>
      <w:pPr>
        <w:spacing w:before="120" w:after="120"/>
      </w:pPr>
      <w:r>
        <w:rPr>
          <w:sz w:val="18"/>
        </w:rPr>
        <w:t>——————————————————————————————————————————————————————————————————————</w:t>
      </w:r>
    </w:p>
    <w:p>
      <w:pPr>
        <w:spacing w:before="160" w:after="40" w:line="240" w:lineRule="auto"/>
      </w:pPr>
      <w:r>
        <w:rPr>
          <w:b/>
        </w:rPr>
        <w:t xml:space="preserve">[402] </w:t>
      </w:r>
      <w:hyperlink r:id="rId1322">
        <w:r>
          <w:rPr>
            <w:color w:val="1155CC"/>
            <w:u w:val="single"/>
          </w:rPr>
          <w:t>由受阻的 Wannier 电荷引起的相关 Mott NiS2 中的一维传导通道</w:t>
        </w:r>
      </w:hyperlink>
    </w:p>
    <w:p>
      <w:pPr>
        <w:spacing w:before="0" w:after="80"/>
      </w:pPr>
      <w:r>
        <w:rPr>
          <w:i/>
          <w:sz w:val="20"/>
        </w:rPr>
        <w:t>EN: One-dimensional conduction channels in the correlated Mott NiS2 arising from obstructed Wannier charges</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NiS2 是一种长期以来因其非共线磁序和相关绝缘行为而被认可的材料，但迄今为止，它作为拓扑现象的潜在宿主而被完全忽视。已知块状 NiS2 是莫特绝缘体或电荷转移绝缘体，但其表面表现出来源不明的异常有限电导率。此外，关于其低温磁转变的明确共识仍然难以捉摸。在这项工作中，我们为这两个长期存在的难题提供了统一的解释。首先，我们基于高分辨率中子散射数据的严格对称性分析提出了一种新颖的基态，对 NiS2 磁相进行了精细表征。其次，通过高分辨率扫描隧道显微镜和光谱学（STM/STS），我们揭示了 Ni 和 S 端接表面上存在鲁棒的边缘态，即使在施加的磁场下，这种边缘态仍然存在。使用从头计算与拓扑分析相结合，我们将这些边缘态归因于块体受阻性质产生的受阻原子电荷。总而言之，这项研究不仅为 NiS2 的物理学提供了新的线索，而且为探索拓扑和电子相关性之间的相互作用奠定了坚实的实验和理论基础。</w:t>
      </w:r>
    </w:p>
    <w:p>
      <w:pPr>
        <w:spacing w:before="0" w:after="200" w:lineRule="auto" w:line="276"/>
      </w:pPr>
      <w:r>
        <w:rPr>
          <w:b/>
        </w:rPr>
        <w:t xml:space="preserve">Abstract (EN): </w:t>
      </w:r>
      <w:r>
        <w:t>NiS2, a material long recognized for its non-collinear magnetic order and correlated insulating behavior, has until now been entirely overlooked as a potential host of topological phenomena. Bulk NiS2 is known to be a Mott or charge-transfer insulator, yet its surface exhibits anomalous finite conductivity of unclear origin. Additionally, a definitive consensus regarding its low-temperature magnetic transition remains elusive. In this work, we provide a unified explanation for both of these longstanding puzzles. First, we present a refined characterization of NiS2’s magnetic phases by proposing a novel ground state based on a rigorous symmetry analysis of high-resolution neutron scattering data. Second, through high-resolution scanning tunneling microscopy and spectroscopy (STM/STS), we reveal the presence of robust edge states on both Ni- and S-terminated surfaces, which persist even under applied magnetic fields. Using ab initio calculations combined with topological analysis, we attribute these edge states to obstructed atomic charges arising from the bulk’s obstructed nature. Altogether, this study not only sheds new light on the physics of NiS2, but also establishes a solid experimental and theoretical foundation for exploring the interplay between topology and electronic correlations.</w:t>
      </w:r>
    </w:p>
    <w:p>
      <w:pPr>
        <w:spacing w:before="120" w:after="120"/>
      </w:pPr>
      <w:r>
        <w:rPr>
          <w:sz w:val="18"/>
        </w:rPr>
        <w:t>——————————————————————————————————————————————————————————————————————</w:t>
      </w:r>
    </w:p>
    <w:p>
      <w:pPr>
        <w:spacing w:before="160" w:after="40" w:line="240" w:lineRule="auto"/>
      </w:pPr>
      <w:r>
        <w:rPr>
          <w:b/>
        </w:rPr>
        <w:t xml:space="preserve">[403] </w:t>
      </w:r>
      <w:hyperlink r:id="rId1323">
        <w:r>
          <w:rPr>
            <w:color w:val="1155CC"/>
            <w:u w:val="single"/>
          </w:rPr>
          <w:t>靶向 TGF-β1 的模块化自组装肽平台用于肌腱再生</w:t>
        </w:r>
      </w:hyperlink>
    </w:p>
    <w:p>
      <w:pPr>
        <w:spacing w:before="0" w:after="80"/>
      </w:pPr>
      <w:r>
        <w:rPr>
          <w:i/>
          <w:sz w:val="20"/>
        </w:rPr>
        <w:t>EN: A modular self-assembling peptide platform targeting TGF-β1 for tendon regeneration</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过度的转化生长因子-β1 (TGF-β1) 信号传导是肌腱病纤维化和基质解体病理过程的关键驱动因素，但目前的治疗方法并不直接针对这种纤维化微环境。在这里，我们展示了一种完全由天然氨基酸组成的自组装肽 AsPep-FTSQ，可以局部捕获 TGF-β1 并重塑病理性肌腱生态位。将 AsPep-FTSQ 注射到大鼠和比格犬肌腱病模型中，可原位形成互连的纳米纤维网络，选择性地隔离过量的 TGF-β1。该网络抑制促纤维化信号传导，限制病理性肌腱细胞 (TC) 状态转换，并促进胶原蛋白重新排列。这些效应改善了跨物种的肌腱结构和功能修复。这种由氨基酸组成的完全天然的自组装肽为局部细胞因子隔离提供了模块化策略，并为肌腱病和潜在的其他纤维化软组织疾病的治疗方法提出了建议。</w:t>
      </w:r>
    </w:p>
    <w:p>
      <w:pPr>
        <w:spacing w:before="0" w:after="200" w:lineRule="auto" w:line="276"/>
      </w:pPr>
      <w:r>
        <w:rPr>
          <w:b/>
        </w:rPr>
        <w:t xml:space="preserve">Abstract (EN): </w:t>
      </w:r>
      <w:r>
        <w:t>Excessive transforming growth factor-β1 (TGF-β1) signaling is a key driver of the pathological processes of fibrosis and matrix disorganization in tendinopathy, yet current treatments do not directly target this fibrotic microenvironment. Here we show that a self-assembling peptide composed entirely of natural amino acids, AsPep-FTSQ, can locally capture TGF-β1 and remodel the pathological tendon niche. Injecting AsPep-FTSQ into rat and beagle models of tendinopathy resulted in the formation of an interconnected nanofibrous network in situ that selectively sequesters excess TGF-β1. This network suppresses pro-fibrotic signaling, limits pathological tendon cell (TC) state transitions, and promotes collagen realignment. These effects improve tendon structure and functional repair across species. This fully natural, self-assembling peptide composed of amino acids provides a modular strategy for local cytokine sequestration and suggests a therapeutic approach for tendinopathy and potentially other fibrotic soft-tissue disorders.</w:t>
      </w:r>
    </w:p>
    <w:p>
      <w:pPr>
        <w:spacing w:before="120" w:after="120"/>
      </w:pPr>
      <w:r>
        <w:rPr>
          <w:sz w:val="18"/>
        </w:rPr>
        <w:t>——————————————————————————————————————————————————————————————————————</w:t>
      </w:r>
    </w:p>
    <w:p>
      <w:pPr>
        <w:spacing w:before="160" w:after="40" w:line="240" w:lineRule="auto"/>
      </w:pPr>
      <w:r>
        <w:rPr>
          <w:b/>
        </w:rPr>
        <w:t xml:space="preserve">[404] </w:t>
      </w:r>
      <w:hyperlink r:id="rId1324">
        <w:r>
          <w:rPr>
            <w:color w:val="1155CC"/>
            <w:u w:val="single"/>
          </w:rPr>
          <w:t>神经发育综合征相关转录因子 UNC-3/EBF 的内在和非细胞自主作用</w:t>
        </w:r>
      </w:hyperlink>
    </w:p>
    <w:p>
      <w:pPr>
        <w:spacing w:before="0" w:after="80"/>
      </w:pPr>
      <w:r>
        <w:rPr>
          <w:i/>
          <w:sz w:val="20"/>
        </w:rPr>
        <w:t>EN: Intrinsic and non-cell-autonomous roles for the neurodevelopmental syndrome-linked transcription factor UNC-3/EBF</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转录因子对于神经元发育至关重要，但它们在表达它们的细胞之外的功能仍然知之甚少。在这里，我们发现了 UNC-3 意想不到的非细胞自主作用，UNC-3 是秀丽隐杆线虫胆碱能运动神经元身份的终端选择器，其人类直系同源物 (EBF3) 与神经发育综合征有关。单细胞 RNA 测序揭示胆碱能运动神经元中 unc-3 的缺失会引起不表达 unc-3 的 GABA 能运动神经元的显着转录变化，而这种变化可以通过胆碱能特异性 UNC-3 恢复来挽救。从机制上讲，基因网络分析确定促再生 bZIP 因子 CEBP-1/CEBPB 是这些转录变化的关键驱动因素。在回路水平上，unc-3 缺失会导致 GABA 运动神经元的突触和轴突寻路缺陷以及神经突发育基因的失调。最后，UNC-3不仅充当直接转录激活剂，而且还通过间接机制抑制不适当的基因表达。总之，这些发现拓宽了末端选择器作为神经元身份和电路组装的内在和外在调节因子的范围，为理解 EBF3 相关神经发育疾病提供了一个机制框架。</w:t>
      </w:r>
    </w:p>
    <w:p>
      <w:pPr>
        <w:spacing w:before="0" w:after="200" w:lineRule="auto" w:line="276"/>
      </w:pPr>
      <w:r>
        <w:rPr>
          <w:b/>
        </w:rPr>
        <w:t xml:space="preserve">Abstract (EN): </w:t>
      </w:r>
      <w:r>
        <w:t>Transcription factors are central to neuronal development, yet their functions beyond the cells in which they are expressed remain poorly understood. Here, we uncover unexpected non-cell-autonomous roles for UNC-3, a terminal selector of cholinergic motor neuron identity in C. elegans, whose human ortholog (EBF3) is linked to a neurodevelopmental syndrome. Single-cell RNA-sequencing reveals unc-3 loss in cholinergic motor neurons elicits pronounced transcriptional changes in GABAergic motor neurons that do not express unc-3, which can be rescued by cholinergic-specific UNC-3 restoration. Mechanistically, gene network analysis identifies the pro-regenerative bZIP factor CEBP-1/CEBPB as a key driver of these transcriptional changes. At the circuit level, unc-3 loss causes synaptic and axon pathfinding defects in GABA motor neurons alongside misregulation of neurite development genes. Finally, UNC-3 not only acts as a direct transcriptional activator but also suppresses inappropriate gene expression through indirect mechanisms. Together, these findings broaden terminal selectors as both intrinsic and extrinsic regulators of neuronal identity and circuit assembly, providing a mechanistic framework for understanding EBF3-associated neurodevelopmental disease.</w:t>
      </w:r>
    </w:p>
    <w:p>
      <w:pPr>
        <w:spacing w:before="120" w:after="120"/>
      </w:pPr>
      <w:r>
        <w:rPr>
          <w:sz w:val="18"/>
        </w:rPr>
        <w:t>——————————————————————————————————————————————————————————————————————</w:t>
      </w:r>
    </w:p>
    <w:p>
      <w:pPr>
        <w:spacing w:before="160" w:after="40" w:line="240" w:lineRule="auto"/>
      </w:pPr>
      <w:r>
        <w:rPr>
          <w:b/>
        </w:rPr>
        <w:t xml:space="preserve">[405] </w:t>
      </w:r>
      <w:hyperlink r:id="rId1325">
        <w:r>
          <w:rPr>
            <w:color w:val="1155CC"/>
            <w:u w:val="single"/>
          </w:rPr>
          <w:t>广泛的水平转移和强烈的选择增强了南极土壤中的微生物适应</w:t>
        </w:r>
      </w:hyperlink>
    </w:p>
    <w:p>
      <w:pPr>
        <w:spacing w:before="0" w:after="80"/>
      </w:pPr>
      <w:r>
        <w:rPr>
          <w:i/>
          <w:sz w:val="20"/>
        </w:rPr>
        <w:t>EN: Widespread horizontal transfer and strong selection enhance microbial adaptation in Antarctic soils</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南极洲陆地蕴藏着成分多样且功能独特的微生物生命。然而，适应南极洲多重极端条件的生态进化过程仍然很大程度上未知。在这里，我们使用短读和长读组合数据集来探讨水平基因转移 (HGT) 和从头突变如何影响 16 个南极土壤中的微生物适应。对 676 个宏基因组组装基因组的系统发育协调和移动遗传元件分析显示，不同群落之间存在频繁的 HGT。虽然转移的基因跨越不同的功能类别，但参与能量代谢的基因交换频率更高。气养基因，即消耗大气中的微量气体来提供能量、碳和水合作用，是最常传播的基因之一。预计大约四分之一的一氧化碳脱氢酶和[NiFe]-氢化酶是水平获得的，并且通常与移动遗传元件相关。多态性分析表明存在广泛的纯化选择，特别是对于气养基因，这提供了进一步的证据，证明气养对于南极洲微生物的生存至关重要。氢化酶的遗传变异与预测的蛋白质结构密切相关，强烈的选择作用于关键位点以保持稳定性和功能。总之，这些发现表明，以前未被认识的生态进化动力学塑造了南极微生物群落的组成和功能，并证实了气动性是一种强烈选择和水平传播的特征</w:t>
      </w:r>
    </w:p>
    <w:p>
      <w:pPr>
        <w:spacing w:before="0" w:after="200" w:lineRule="auto" w:line="276"/>
      </w:pPr>
      <w:r>
        <w:rPr>
          <w:b/>
        </w:rPr>
        <w:t xml:space="preserve">Abstract (EN): </w:t>
      </w:r>
      <w:r>
        <w:t>Terrestrial Antarctica harbors compositionally diverse and functionally distinct microbial life. Yet the eco-evolutionary processes underlying adaptation to Antarctica’s polyextreme conditions remain largely unknown. Here, we address how horizontal gene transfer (HGT) and de novo mutations influence microbial adaptation in 16 Antarctic soils using combined short- and long-read datasets. Phylogenetic reconciliation and mobile genetic element analysis of 676 metagenome-assembled genomes show frequent HGT across communities. While transferred genes span diverse functional categories, those involved in energy metabolism are exchanged at higher frequency. Genes for aerotrophy, i.e. the consumption of atmospheric trace gases to provide energy, carbon, and hydration, are among the most frequently disseminated. Approximately a quarter of carbon monoxide dehydrogenases and [NiFe]-hydrogenases are predicted to be horizontally acquired and are often associated with mobile genetic elements. Analysis of polymorphisms suggests widespread purifying selection, particularly for aerotrophy genes, providing further evidence that aerotrophy is critical for microbial survival in Antarctica. Genetic variation in hydrogenases is tightly associated with predicted protein structures, with intense selection acting on critical sites preserving stability and function. Together, these findings show that previously unrecognized eco-evolutionary dynamics shape the composition and function of Antarctic microbial communities, and confirm aerotrophy is a strongly selected and horizontally disseminated trait.</w:t>
      </w:r>
    </w:p>
    <w:p>
      <w:pPr>
        <w:spacing w:before="120" w:after="120"/>
      </w:pPr>
      <w:r>
        <w:rPr>
          <w:sz w:val="18"/>
        </w:rPr>
        <w:t>——————————————————————————————————————————————————————————————————————</w:t>
      </w:r>
    </w:p>
    <w:p>
      <w:pPr>
        <w:spacing w:before="160" w:after="40" w:line="240" w:lineRule="auto"/>
      </w:pPr>
      <w:r>
        <w:rPr>
          <w:b/>
        </w:rPr>
        <w:t xml:space="preserve">[406] </w:t>
      </w:r>
      <w:hyperlink r:id="rId1326">
        <w:r>
          <w:rPr>
            <w:color w:val="1155CC"/>
            <w:u w:val="single"/>
          </w:rPr>
          <w:t>电子辐照六方氮化硼中圆形和三角形孔的起源</w:t>
        </w:r>
      </w:hyperlink>
    </w:p>
    <w:p>
      <w:pPr>
        <w:spacing w:before="0" w:after="80"/>
      </w:pPr>
      <w:r>
        <w:rPr>
          <w:i/>
          <w:sz w:val="20"/>
        </w:rPr>
        <w:t>EN: Origin of circular and triangular pores in electron-irradiated hexagonal boron nitride</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近二十年来，人们已经知道，在透射电子显微镜下对六方氮化硼（hBN）进行电子辐照会导致三角形孔的形成。这归因于硼的位移阈值能量较低，无论是否有非弹性散射事件的帮助，通常假设由残余气体引起的化学过程可以忽略不计。在这项研究中，与之前的高真空实验相比，我们发现超高真空中的电子辐照会导致圆形孔，而在实验过程中，即使大气中存在少量氧气，也会促使孔生长成具有氮端接边缘的三角形。该结果适用于不同类型、不同制造商、不同电子能量以及聚焦扫描和散焦固定光束的样品。我们的结果解释了六方氮化硼中三角形孔的化学起源，并证明了在这种重要的二维材料中创建原子定义的孔的确定性方法。</w:t>
      </w:r>
    </w:p>
    <w:p>
      <w:pPr>
        <w:spacing w:before="0" w:after="200" w:lineRule="auto" w:line="276"/>
      </w:pPr>
      <w:r>
        <w:rPr>
          <w:b/>
        </w:rPr>
        <w:t xml:space="preserve">Abstract (EN): </w:t>
      </w:r>
      <w:r>
        <w:t>For nearly two decades, it has been known that electron irradiation of hexagonal boron nitride (hBN) in a transmission electron microscope leads to the formation of triangular pores. This has been attributed to the lower displacement threshold energy of boron, with or without the assistance of an inelastic scattering event, typically assuming that chemical processes caused by residual gases can be neglected. In this study, in contrast to previous high-vacuum experiments, we show that electron irradiation in ultra-high vacuum leads to circular pores, whereas even small amounts of oxygen in the atmosphere during the experiment drive the pores to grow into triangle shapes with nitrogen-terminated edges. This result is shown to hold for samples of different types and from different manufacturers, and at different electron energies as well as focused scanning and defocused stationary beams. Our results explain the chemical origin of triangular pores in hBN and demonstrate a deterministic way to create atomically defined pores in this important 2D material.</w:t>
      </w:r>
    </w:p>
    <w:p>
      <w:pPr>
        <w:spacing w:before="120" w:after="120"/>
      </w:pPr>
      <w:r>
        <w:rPr>
          <w:sz w:val="18"/>
        </w:rPr>
        <w:t>——————————————————————————————————————————————————————————————————————</w:t>
      </w:r>
    </w:p>
    <w:p>
      <w:pPr>
        <w:spacing w:before="160" w:after="40" w:line="240" w:lineRule="auto"/>
      </w:pPr>
      <w:r>
        <w:rPr>
          <w:b/>
        </w:rPr>
        <w:t xml:space="preserve">[407] </w:t>
      </w:r>
      <w:hyperlink r:id="rId1327">
        <w:r>
          <w:rPr>
            <w:color w:val="1155CC"/>
            <w:u w:val="single"/>
          </w:rPr>
          <w:t>扭曲六方氮化硼面外弹性的莫尔感应调制</w:t>
        </w:r>
      </w:hyperlink>
    </w:p>
    <w:p>
      <w:pPr>
        <w:spacing w:before="0" w:after="80"/>
      </w:pPr>
      <w:r>
        <w:rPr>
          <w:i/>
          <w:sz w:val="20"/>
        </w:rPr>
        <w:t>EN: Moiré-induced modulation of out-of-plane elasticity in twisted hBN</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扭曲范德华材料中的莫尔超晶格提供了一个多功能平台，其中层间相互作用产生原子登记和局部物理性质的周期性变化。在这里，我们发现这些莫尔图案还调节扭曲六方氮化硼（t-hBN）的有效面外弹性响应。使用接触模式原子力显微镜和力谱纳米力学，我们证明有效面外杨氏模量在单个莫尔晶胞上表现出高达 10% 的可重复调制，具有较软的 AA 和鞍点区域以及较硬的 AB/BA 域。由此产生的对比度即使在环境条件下也会产生可测量的地形调制，使莫尔超晶格能够可视化为其弹性景观的表现。这些发现表明，有效的面外弹性响应是由莫尔超晶格调制的，将扭曲二维材料的理解扩展到其电子和光学特性之外，并为机械可调莫尔系统开辟了道路。</w:t>
      </w:r>
    </w:p>
    <w:p>
      <w:pPr>
        <w:spacing w:before="0" w:after="200" w:lineRule="auto" w:line="276"/>
      </w:pPr>
      <w:r>
        <w:rPr>
          <w:b/>
        </w:rPr>
        <w:t xml:space="preserve">Abstract (EN): </w:t>
      </w:r>
      <w:r>
        <w:t>Moiré superlattices in twisted van der Waals materials provide a versatile platform where interlayer interactions generate periodic variations of atomic registry and local physical properties. Here, we reveal that these moiré patterns also modulate the effective out-of-plane elastic response of twisted hexagonal boron nitride (t-hBN). Using contact-mode atomic force microscopy and force-spectroscopy nanomechanics, we show that the effective out-of-plane Young’s modulus exhibits a reproducible modulation by up to 10% across a single moiré unit cell, with softer AA and saddle-point regions and stiffer AB/BA domains. The resulting contrast produces a measurable topographic modulation even under ambient conditions, enabling the moiré superlattice to be visualized as a manifestation of its elastic landscape. These findings demonstrate that the effective out-of-plane elastic response is modulated by the moiré superlattice, extending the understanding of twisted two-dimensional materials beyond their electronic and optical properties and opening routes toward mechanically tunable moiré systems.</w:t>
      </w:r>
    </w:p>
    <w:p>
      <w:pPr>
        <w:spacing w:before="120" w:after="120"/>
      </w:pPr>
      <w:r>
        <w:rPr>
          <w:sz w:val="18"/>
        </w:rPr>
        <w:t>——————————————————————————————————————————————————————————————————————</w:t>
      </w:r>
    </w:p>
    <w:p>
      <w:pPr>
        <w:spacing w:before="160" w:after="40" w:line="240" w:lineRule="auto"/>
      </w:pPr>
      <w:r>
        <w:rPr>
          <w:b/>
        </w:rPr>
        <w:t xml:space="preserve">[408] </w:t>
      </w:r>
      <w:hyperlink r:id="rId1328">
        <w:r>
          <w:rPr>
            <w:color w:val="1155CC"/>
            <w:u w:val="single"/>
          </w:rPr>
          <w:t>人脾先天淋巴细胞的空间和功能特化</w:t>
        </w:r>
      </w:hyperlink>
    </w:p>
    <w:p>
      <w:pPr>
        <w:spacing w:before="0" w:after="80"/>
      </w:pPr>
      <w:r>
        <w:rPr>
          <w:i/>
          <w:sz w:val="20"/>
        </w:rPr>
        <w:t>EN: Spatial and functional specialization of human splenic innate lymphoid cells</w:t>
      </w:r>
    </w:p>
    <w:p>
      <w:pPr>
        <w:spacing w:before="0" w:after="120"/>
      </w:pPr>
      <w:r>
        <w:rPr>
          <w:b/>
        </w:rPr>
        <w:t xml:space="preserve">Source: </w:t>
      </w:r>
      <w:r>
        <w:t>Biological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二级淋巴器官，包括脾脏，整合先天性和适应性免疫反应。对小鼠模型和人类的研究强调自然杀伤 (NK) 细胞和其他先天淋巴细胞 (ILC) 是脾免疫活动的关键组织者，但它们在免疫网络内的原位组织和相互作用尚不完全清楚。在这里，我们报告了人类脾脏 NK 细胞和 ILC 的空间分辨单细胞图谱。我们鉴定了 CD39+TIGIT+CD56bright NK 细胞，它们与 B 细胞滤泡外的替代激活的巨噬细胞一起定位。脾脏 ILC2 富含血管相关区域，表达 CD40L，可以促进 B 细胞存活和 IgA 分泌。最后，我们定义了三个空间和功能不同的 ILC3 子集，即 KLF2⁺ 祖细胞样 ILC3、滤泡相关 CD38⁺ ILC3 和 IFNGR1⁺ ILC3，它们可以促进 B 细胞增殖、IL-10 产生和 IgG 类别转换。该空间解析图谱提供了人类脾脏 ILC 组织、专业化和交互网络的综合参考。</w:t>
      </w:r>
    </w:p>
    <w:p>
      <w:pPr>
        <w:spacing w:before="0" w:after="200" w:lineRule="auto" w:line="276"/>
      </w:pPr>
      <w:r>
        <w:rPr>
          <w:b/>
        </w:rPr>
        <w:t xml:space="preserve">Abstract (EN): </w:t>
      </w:r>
      <w:r>
        <w:t>Secondary lymphoid organs, including the spleen, integrate innate and adaptive immune responses. Studies in murine models and humans highlight Natural Killer (NK) cells and other innate lymphoid cells (ILC) as key organizers of splenic immune activity, yet their in situ organization and interactions within immune networks are incompletely understood. Here, we report a spatially resolved single-cell atlas of human splenic NK cells and ILCs. We identify CD39+TIGIT+CD56bright NK cells that localize with alternatively activated macrophages outside of B cell follicles. Splenic ILC2s, enriched in vascular-associated regions, express CD40L and can promote B cell survival and IgA secretion. Finally, we define three spatially and functionally distinct ILC3 subsets, namely KLF2⁺ progenitor-like ILC3s, follicle-associated CD38⁺ ILC3s, and IFNGR1⁺ ILC3s, that can promote B cell proliferation, IL-10 production, and IgG class switching. This spatially resolved atlas provides a comprehensive reference of human splenic ILC organization, specialization, and interaction networks.</w:t>
      </w:r>
    </w:p>
    <w:p>
      <w:pPr>
        <w:spacing w:before="120" w:after="120"/>
      </w:pPr>
      <w:r>
        <w:rPr>
          <w:sz w:val="18"/>
        </w:rPr>
        <w:t>——————————————————————————————————————————————————————————————————————</w:t>
      </w:r>
    </w:p>
    <w:p>
      <w:pPr>
        <w:spacing w:before="160" w:after="40" w:line="240" w:lineRule="auto"/>
      </w:pPr>
      <w:r>
        <w:rPr>
          <w:b/>
        </w:rPr>
        <w:t xml:space="preserve">[409] </w:t>
      </w:r>
      <w:hyperlink r:id="rId1329">
        <w:r>
          <w:rPr>
            <w:color w:val="1155CC"/>
            <w:u w:val="single"/>
          </w:rPr>
          <w:t>自封装纳米纤维离子皮肤，具有超高的抗疲劳性和广泛的环境耐受性</w:t>
        </w:r>
      </w:hyperlink>
    </w:p>
    <w:p>
      <w:pPr>
        <w:spacing w:before="0" w:after="80"/>
      </w:pPr>
      <w:r>
        <w:rPr>
          <w:i/>
          <w:sz w:val="20"/>
        </w:rPr>
        <w:t>EN: Self-encapsulated nanofibrous ionic skin with superhigh fatigue resistance and broad environmental tolerance</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虽然受皮肤启发的离子导体是用于先进机器人技术的有前途的软传感接口，但它们的实际部署通常受到疲劳裂纹扩展和环境引起的信号漂移的限制。在这里，我们展示了一种超薄、自封装的纳米纤维离子皮肤，它通过机械互锁的三层结构集成了超高的抗疲劳性和广泛的环境耐受性。通过将高模量离子凝胶纳米网嵌入软粘合剂基质中并用全氟弹性体覆盖层将其密封，该设计减轻了传统后封装材料中通常观察到的机械失配。由此产生的离子皮肤表现出 12.4 kJ m−2 的超高疲劳阈值，同时保留了仿皮肤的柔软性、弹性、应变硬化和保形自粘性。此外，这种自封装结构可确保在各种环境条件下稳定的离子传导和可重复的传感，包括真空、水下/盐水浸泡、有机溶剂和宽温度波动（-35 至 200 °C）。这项工作提供了一个强大的、离子电子的、环境适应性强的平台，可以在要求苛刻的软机器人应用中实现可靠的传感。</w:t>
      </w:r>
    </w:p>
    <w:p>
      <w:pPr>
        <w:spacing w:before="0" w:after="200" w:lineRule="auto" w:line="276"/>
      </w:pPr>
      <w:r>
        <w:rPr>
          <w:b/>
        </w:rPr>
        <w:t xml:space="preserve">Abstract (EN): </w:t>
      </w:r>
      <w:r>
        <w:t>While skin-inspired ionic conductors are promising soft sensing interfaces for advanced robotics, their practical deployment is often restricted by fatigue crack growth and environment-induced signal drift. Here we present an ultrathin, self-encapsulated nanofibrous ionic skin that integrates superhigh fatigue resistance and broad environmental tolerance via a mechanically interlocked triple-layer architecture. By embedding a high-modulus ionogel nanomesh within a soft adhesive matrix and sealing it with a perfluoroelastomer overlayer, this design mitigates the mechanical mismatch typically observed in conventional post-encapsulated materials. The resulting ionic skin exhibits an ultrahigh fatigue threshold of 12.4 kJ m−2 while preserving skin-mimetic softness, elasticity, strain-stiffening, and conformal self-adhesion. Furthermore, this self-encapsulated structure ensures stable ionic conduction and reproducible sensing under diverse environmental conditions, including vacuum, underwater/saline immersion, organic solvents, and wide temperature fluctuations (−35 to 200 °C). This work offers a robust, iontronic, and environmentally resilient platform for reliable sensing in demanding soft robotic applications.</w:t>
      </w:r>
    </w:p>
    <w:p>
      <w:pPr>
        <w:spacing w:before="120" w:after="120"/>
      </w:pPr>
      <w:r>
        <w:rPr>
          <w:sz w:val="18"/>
        </w:rPr>
        <w:t>——————————————————————————————————————————————————————————————————————</w:t>
      </w:r>
    </w:p>
    <w:p>
      <w:pPr>
        <w:spacing w:before="160" w:after="40" w:line="240" w:lineRule="auto"/>
      </w:pPr>
      <w:r>
        <w:rPr>
          <w:b/>
        </w:rPr>
        <w:t xml:space="preserve">[410] </w:t>
      </w:r>
      <w:hyperlink r:id="rId1330">
        <w:r>
          <w:rPr>
            <w:color w:val="1155CC"/>
            <w:u w:val="single"/>
          </w:rPr>
          <w:t>基于递归逆设计的高光谱光子集成电路</w:t>
        </w:r>
      </w:hyperlink>
    </w:p>
    <w:p>
      <w:pPr>
        <w:spacing w:before="0" w:after="80"/>
      </w:pPr>
      <w:r>
        <w:rPr>
          <w:i/>
          <w:sz w:val="20"/>
        </w:rPr>
        <w:t>EN: Hyper-spectral photonic integrated circuits based on recursive inverse design</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利用复杂的光谱响应来操纵光谱是高性能光子计算和传感的核心，但传统的集成电路通常通过级联器件来增加功能，这会随着级联深度线性扩展复杂性，并且难以扩展。在这里，我们介绍包含互连反射节点链的高光谱光子集成电路。中心思想是引入部分反射率，从而利用每个组件节点内的透射和反射干扰。该架构扩展了可访问的延迟分布，并呈现出超线性的复杂性增长。我们通过递归逆向设计工作流程来实现电路，该工作流程联合利用节点几何形状和电路拓扑来最大化频谱复杂性。实验上，包含 11 个反射节点的单个波导的复杂性相当于至少 100 个级联的马赫-曾德尔干涉仪级。这些电路阵列可在 800 nm 带宽内以亚皮米分辨率重建光谱。这种性能通过在单个设备内同时监控光学和无线电信号来桥接光学和微波频率。</w:t>
      </w:r>
    </w:p>
    <w:p>
      <w:pPr>
        <w:spacing w:before="0" w:after="200" w:lineRule="auto" w:line="276"/>
      </w:pPr>
      <w:r>
        <w:rPr>
          <w:b/>
        </w:rPr>
        <w:t xml:space="preserve">Abstract (EN): </w:t>
      </w:r>
      <w:r>
        <w:t>Manipulating optical spectra with complex spectral responses is central to high-performance photonic computing and sensing, but conventional integrated circuits typically increase features by cascading devices, which scales complexity linearly with cascade depth and is difficult to expand. Here, we introduce hyper-spectral photonic integrated circuits comprising a chain of interconnected reflective nodes. The central idea is to introduce partial reflectivity, thereby leveraging both transmissive and reflective interference within each component node. This architecture expands the accessible delay distribution and exhibits a superlinear complexity growth. We implement the circuits through a recursive inverse-design workflow that jointly exploits node geometry and circuit topology to maximize spectral complexity. Experimentally, a single waveguide incorporating 11 reflective nodes achieves a complexity comparable to at least 100 cascaded Mach-Zehnder interferometer stages. An array of these circuits reconstructs spectra with sub-picometer resolution across an 800 nm bandwidth. This performance bridges optical and microwave frequencies by enabling simultaneous monitoring of optical and radio signals within a single device.</w:t>
      </w:r>
    </w:p>
    <w:p>
      <w:pPr>
        <w:spacing w:before="120" w:after="120"/>
      </w:pPr>
      <w:r>
        <w:rPr>
          <w:sz w:val="18"/>
        </w:rPr>
        <w:t>——————————————————————————————————————————————————————————————————————</w:t>
      </w:r>
    </w:p>
    <w:p>
      <w:pPr>
        <w:spacing w:before="160" w:after="40" w:line="240" w:lineRule="auto"/>
      </w:pPr>
      <w:r>
        <w:rPr>
          <w:b/>
        </w:rPr>
        <w:t xml:space="preserve">[411] </w:t>
      </w:r>
      <w:hyperlink r:id="rId1331">
        <w:r>
          <w:rPr>
            <w:color w:val="1155CC"/>
            <w:u w:val="single"/>
          </w:rPr>
          <w:t>通过跨竞争途径的分层组装从螺旋到超螺旋</w:t>
        </w:r>
      </w:hyperlink>
    </w:p>
    <w:p>
      <w:pPr>
        <w:spacing w:before="0" w:after="80"/>
      </w:pPr>
      <w:r>
        <w:rPr>
          <w:i/>
          <w:sz w:val="20"/>
        </w:rPr>
        <w:t>EN: From helices to superhelices through hierarchical assembly across competing pathways</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了解分子手性如何通过竞争性自组装途径传播仍然是超分子化学的核心挑战。我们报道了一种手性π-共轭五喹噻吩-罗丹宁衍生物，在相同的化学条件下，由单一对映体形成四种不同且可分离的超分子聚集体。这些组件表现出不同的手性光学特征、形态、层次结构，并通过热处理和机械处理选择性地访问。量热法使得能量景观的实验构建成为可能，而长期动力学研究和光谱反卷积揭示了螺旋结构之间的相互转换，识别了非路径分层状态。值得注意的是，最稳定的结构是通过二次成核控制的螺旋到超螺旋的转变形成的。交叉播种实验表明，不同维度的组装加速了跨层次的转换，揭示了异常互连的组装网络。这些结果提供了一个实验示例，其中在单个分子系统内建立了多个超分子结构、它们的热力学排序和动力学连接性，展示了路径选择如何编程超分子材料中的手性、层次结构和形态。</w:t>
      </w:r>
    </w:p>
    <w:p>
      <w:pPr>
        <w:spacing w:before="0" w:after="200" w:lineRule="auto" w:line="276"/>
      </w:pPr>
      <w:r>
        <w:rPr>
          <w:b/>
        </w:rPr>
        <w:t xml:space="preserve">Abstract (EN): </w:t>
      </w:r>
      <w:r>
        <w:t>Understanding how molecular chirality propagates through competing self-assembly pathways remains a central challenge in supramolecular chemistry. We report a chiral π-conjugated quinquethiophene–rhodanine derivative forming four distinct and isolatable supramolecular aggregates from a single enantiomer under identical chemical conditions. These assemblies exhibit different chiroptical signatures, morphologies, hierarchical organization, and are selectively accessed through thermal and mechanical treatment. Calorimetry enables the experimental construction of the energy landscape, while long-term kinetic studies and spectral deconvolution reveal interconversions between helical structures, identifying an off-pathway hierarchical state. Remarkably, the most stable structure forms through a helix-to-superhelix transition governed by secondary nucleation. Cross-seeding experiments demonstrate that different dimensionality assemblies accelerate transformations across hierarchical levels, revealing an unusually interconnected assembly network. These results provide an experimental example where multiple supramolecular structures, their thermodynamic ordering, and kinetic connectivity are established within a single molecular system, showing how pathway selection programs chirality, hierarchy, and morphology in supramolecular materials.</w:t>
      </w:r>
    </w:p>
    <w:p>
      <w:pPr>
        <w:spacing w:before="120" w:after="120"/>
      </w:pPr>
      <w:r>
        <w:rPr>
          <w:sz w:val="18"/>
        </w:rPr>
        <w:t>——————————————————————————————————————————————————————————————————————</w:t>
      </w:r>
    </w:p>
    <w:p>
      <w:pPr>
        <w:spacing w:before="160" w:after="40" w:line="240" w:lineRule="auto"/>
      </w:pPr>
      <w:r>
        <w:rPr>
          <w:b/>
        </w:rPr>
        <w:t xml:space="preserve">[412] </w:t>
      </w:r>
      <w:hyperlink r:id="rId1332">
        <w:r>
          <w:rPr>
            <w:color w:val="1155CC"/>
            <w:u w:val="single"/>
          </w:rPr>
          <w:t>使用混响剪切波对组织应力进行无创 3D 测绘</w:t>
        </w:r>
      </w:hyperlink>
    </w:p>
    <w:p>
      <w:pPr>
        <w:spacing w:before="0" w:after="80"/>
      </w:pPr>
      <w:r>
        <w:rPr>
          <w:i/>
          <w:sz w:val="20"/>
        </w:rPr>
        <w:t>EN: Noninvasive 3D mapping of tissue stress using reverberant shear wave</w:t>
      </w:r>
    </w:p>
    <w:p>
      <w:pPr>
        <w:spacing w:before="0" w:after="120"/>
      </w:pPr>
      <w:r>
        <w:rPr>
          <w:b/>
        </w:rPr>
        <w:t xml:space="preserve">Source: </w:t>
      </w:r>
      <w:r>
        <w:t>Physical sciences : Nature Communications subject feeds</w:t>
      </w:r>
      <w:r>
        <w:t xml:space="preserve">    </w:t>
      </w:r>
      <w:r>
        <w:rPr>
          <w:b/>
        </w:rPr>
        <w:t xml:space="preserve">Pub date: </w:t>
      </w:r>
      <w:r>
        <w:t>2026-08-11 00:00:00+00:00</w:t>
      </w:r>
    </w:p>
    <w:p>
      <w:pPr>
        <w:spacing w:before="0" w:after="120"/>
      </w:pPr>
      <w:r>
        <w:rPr>
          <w:b/>
        </w:rPr>
        <w:t xml:space="preserve">Notes: </w:t>
      </w:r>
      <w:r>
        <w:t>abstract_source=nature_html</w:t>
      </w:r>
    </w:p>
    <w:p>
      <w:pPr>
        <w:spacing w:before="0" w:after="80" w:lineRule="auto" w:line="276"/>
      </w:pPr>
      <w:r>
        <w:rPr>
          <w:b/>
        </w:rPr>
        <w:t xml:space="preserve">摘要（ZH）: </w:t>
      </w:r>
      <w:r>
        <w:t>机械应力是软组织的一个基本方面，影响细胞行为和组织完整性，但体内应力的无创成像仍然是一个重大挑战。传统的磁共振弹性成像 (MRE) 测量组织硬度，但不测量应力。我们采用物理模型，分析 MRE 记录的混响剪切波场，以捕获组织应力的 3D 映射。通过将混响波分解为各向异性行波分量，我们建立了波速、极化和局部应力之间的直接关系，而不需要波方向知识。该方法通过数值模拟和模型实验得到验证。应用于脑膜瘤和垂体腺瘤患者时，它会生成符合解剖学和生理学的高分辨率应力图。皮质应力测量可以估计颅内压，揭示与患者年龄和病理相关的趋势。我们的结果表明，无创应力成像为机械生物学研究提供了一种新颖的定量生物标志物，并为临床应用提供了新的可能性。</w:t>
      </w:r>
    </w:p>
    <w:p>
      <w:pPr>
        <w:spacing w:before="0" w:after="200" w:lineRule="auto" w:line="276"/>
      </w:pPr>
      <w:r>
        <w:rPr>
          <w:b/>
        </w:rPr>
        <w:t xml:space="preserve">Abstract (EN): </w:t>
      </w:r>
      <w:r>
        <w:t>Mechanical stress is a fundamental aspect of soft tissues that influences cellular behavior and tissue integrity, yet noninvasive imaging of stress in vivo remains a major challenge. Conventional magnetic resonance elastography (MRE) measures tissue stiffness but not stress. Employing a physics-informed model, we analyze reverberant shear wave fields recorded by MRE to capture the 3D mapping of tissue stress. By decomposing reverberant waves into anisotropic traveling wave components, we establish a direct relationship between wave speed, polarization, and local stress, without requiring wave direction knowledge. This method was validated with numerical simulations and phantom experiments. Applied to patients with meningiomas and pituitary adenomas, it generated high-resolution stress maps consistent with anatomy and physiology. Cortical stress measurements enabled intracranial pressure estimation, uncovering trends related to patient age and pathology. Our results demonstrate that noninvasive stress imaging provides a novel quantitative biomarker for mechanobiological research and suggests new possibilities for clinical applications.</w:t>
      </w:r>
    </w:p>
    <w:p>
      <w:pPr>
        <w:spacing w:before="120" w:after="120"/>
      </w:pPr>
      <w:r>
        <w:rPr>
          <w:sz w:val="18"/>
        </w:rPr>
        <w:t>——————————————————————————————————————————————————————————————————————</w:t>
      </w:r>
    </w:p>
    <w:p>
      <w:pPr>
        <w:spacing w:before="160" w:after="40" w:line="240" w:lineRule="auto"/>
      </w:pPr>
      <w:r>
        <w:rPr>
          <w:b/>
        </w:rPr>
        <w:t xml:space="preserve">[413] </w:t>
      </w:r>
      <w:hyperlink r:id="rId1333">
        <w:r>
          <w:rPr>
            <w:color w:val="1155CC"/>
            <w:u w:val="single"/>
          </w:rPr>
          <w:t>大语言模型时代的科学生产：结果触发的治疗时机和虚假事件研究动态</w:t>
        </w:r>
      </w:hyperlink>
    </w:p>
    <w:p>
      <w:pPr>
        <w:spacing w:before="0" w:after="80"/>
      </w:pPr>
      <w:r>
        <w:rPr>
          <w:i/>
          <w:sz w:val="20"/>
        </w:rPr>
        <w:t>EN: Scientific production in the era of large language models: Outcome-triggered treatment timing and spurious event-study dynamics</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34">
        <w:r>
          <w:rPr>
            <w:color w:val="1155CC"/>
            <w:u w:val="single"/>
          </w:rPr>
          <w:t>10.1073/pnas.2618638123</w:t>
        </w:r>
      </w:hyperlink>
    </w:p>
    <w:p>
      <w:pPr>
        <w:spacing w:before="0" w:after="120"/>
      </w:pPr>
      <w:r>
        <w:rPr>
          <w:b/>
        </w:rPr>
        <w:t xml:space="preserve">Notes: </w:t>
      </w:r>
      <w:r>
        <w:t>abstract_source=crossref</w:t>
      </w:r>
    </w:p>
    <w:p>
      <w:pPr>
        <w:spacing w:before="0" w:after="80" w:lineRule="auto" w:line="276"/>
      </w:pPr>
      <w:r>
        <w:rPr>
          <w:b/>
        </w:rPr>
        <w:t xml:space="preserve">摘要（ZH）: </w:t>
      </w:r>
      <w:r>
        <w:t>大型语言模型（LLM）越来越多地用于科学写作，但它们对个人生产力的影响很难确定，因为很少直接观察到其采用情况。 [K.草目木</w:t>
      </w:r>
      <w:r>
        <w:t xml:space="preserve"> </w:t>
      </w:r>
      <w:r>
        <w:t>等人。</w:t>
      </w:r>
      <w:r>
        <w:t xml:space="preserve"> </w:t>
      </w:r>
      <w:r>
        <w:t>,</w:t>
      </w:r>
      <w:r>
        <w:t xml:space="preserve"> </w:t>
      </w:r>
      <w:r>
        <w:t>科学</w:t>
      </w:r>
      <w:r>
        <w:rPr>
          <w:vertAlign w:val="subscript"/>
        </w:rPr>
        <w:t>390</w:t>
      </w:r>
      <w:r>
        <w:t>, 1240–1243 (2025)] 从第一篇检测为法学硕士辅助的论文推断采用情况，并报告采用后生产力大幅提高。我们证明，即使没有任何因果效应，这种治疗时机规则也会机械地产生积极的事件研究动态。由于高产出月份更有可能产生检测到的论文，因此治疗分配与生产力有着内在的联系。使用重建的 arXiv 数据，我们表明随机治疗分配、中性关键词触发、反向治疗和 ChatGPT 前安慰剂期都会产生类似的动态。无治疗效果的模拟也重现了 K. Kusumegi 中报道的相同的治疗后模式</w:t>
      </w:r>
      <w:r>
        <w:t xml:space="preserve"> </w:t>
      </w:r>
      <w:r>
        <w:t>等人。</w:t>
      </w:r>
      <w:r>
        <w:t xml:space="preserve"> </w:t>
      </w:r>
      <w:r>
        <w:t>,</w:t>
      </w:r>
      <w:r>
        <w:t xml:space="preserve"> </w:t>
      </w:r>
      <w:r>
        <w:t>科学</w:t>
      </w:r>
      <w:r>
        <w:rPr>
          <w:vertAlign w:val="subscript"/>
        </w:rPr>
        <w:t>390</w:t>
      </w:r>
      <w:r>
        <w:t>，1240–1243（2025）。我们的结果表明，仅首次检测时间就产生了采用法学硕士提高生产力的虚假证据。</w:t>
      </w:r>
    </w:p>
    <w:p>
      <w:pPr>
        <w:spacing w:before="0" w:after="200" w:lineRule="auto" w:line="276"/>
      </w:pPr>
      <w:r>
        <w:rPr>
          <w:b/>
        </w:rPr>
        <w:t xml:space="preserve">Abstract (EN): </w:t>
      </w:r>
      <w:r>
        <w:t>Large language models (LLMs) are increasingly used in scientific writing, but their effect on individual productivity is difficult to identify because adoption is rarely directly observed. [K. Kusumegi</w:t>
      </w:r>
      <w:r>
        <w:t xml:space="preserve"> </w:t>
      </w:r>
      <w:r>
        <w:t>et al.</w:t>
      </w:r>
      <w:r>
        <w:t xml:space="preserve"> </w:t>
      </w:r>
      <w:r>
        <w:t>,</w:t>
      </w:r>
      <w:r>
        <w:t xml:space="preserve"> </w:t>
      </w:r>
      <w:r>
        <w:t>Science</w:t>
      </w:r>
      <w:r>
        <w:rPr>
          <w:vertAlign w:val="subscript"/>
        </w:rPr>
        <w:t>390</w:t>
      </w:r>
      <w:r>
        <w:t>, 1240–1243 (2025)] infer adoption from the first paper detected as LLM-assisted and report large productivity gains after adoption. We show that this treatment-timing rule mechanically generates positive event-study dynamics even in the absence of any causal effect. Because high-output months are more likely to produce a detected paper, treatment assignment becomes intrinsically linked to productivity. Using reconstructed arXiv data, we show that random treatment assignments, neutral-keyword triggers, inverted treatment, and pre-ChatGPT placebo periods all generate similar dynamics. Simulations with no treatment effect also reproduce the same posttreatment patterns reported in K. Kusumegi</w:t>
      </w:r>
      <w:r>
        <w:t xml:space="preserve"> </w:t>
      </w:r>
      <w:r>
        <w:t>et al.</w:t>
      </w:r>
      <w:r>
        <w:t xml:space="preserve"> </w:t>
      </w:r>
      <w:r>
        <w:t>,</w:t>
      </w:r>
      <w:r>
        <w:t xml:space="preserve"> </w:t>
      </w:r>
      <w:r>
        <w:t>Science</w:t>
      </w:r>
      <w:r>
        <w:rPr>
          <w:vertAlign w:val="subscript"/>
        </w:rPr>
        <w:t>390</w:t>
      </w:r>
      <w:r>
        <w:t>, 1240–1243 (2025). Our results demonstrate that first-detection timing alone creates spurious evidence of productivity gains from LLM adoption.</w:t>
      </w:r>
    </w:p>
    <w:p>
      <w:pPr>
        <w:spacing w:before="120" w:after="120"/>
      </w:pPr>
      <w:r>
        <w:rPr>
          <w:sz w:val="18"/>
        </w:rPr>
        <w:t>——————————————————————————————————————————————————————————————————————</w:t>
      </w:r>
    </w:p>
    <w:p>
      <w:pPr>
        <w:spacing w:before="160" w:after="40" w:line="240" w:lineRule="auto"/>
      </w:pPr>
      <w:r>
        <w:rPr>
          <w:b/>
        </w:rPr>
        <w:t xml:space="preserve">[414] </w:t>
      </w:r>
      <w:hyperlink r:id="rId1335">
        <w:r>
          <w:rPr>
            <w:color w:val="1155CC"/>
            <w:u w:val="single"/>
          </w:rPr>
          <w:t>微生物群衍生的异戊酸可改善营养不良中性别特异性肠道屏障功能障碍</w:t>
        </w:r>
      </w:hyperlink>
    </w:p>
    <w:p>
      <w:pPr>
        <w:spacing w:before="0" w:after="80"/>
      </w:pPr>
      <w:r>
        <w:rPr>
          <w:i/>
          <w:sz w:val="20"/>
        </w:rPr>
        <w:t>EN: Microbiota-derived isovalerate ameliorates sex-specific gut barrier dysfunction in malnutrition</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36">
        <w:r>
          <w:rPr>
            <w:color w:val="1155CC"/>
            <w:u w:val="single"/>
          </w:rPr>
          <w:t>10.1073/pnas.2611392123</w:t>
        </w:r>
      </w:hyperlink>
    </w:p>
    <w:p>
      <w:pPr>
        <w:spacing w:before="0" w:after="120"/>
      </w:pPr>
      <w:r>
        <w:rPr>
          <w:b/>
        </w:rPr>
        <w:t xml:space="preserve">Notes: </w:t>
      </w:r>
      <w:r>
        <w:t>abstract_source=crossref</w:t>
      </w:r>
    </w:p>
    <w:p>
      <w:pPr>
        <w:spacing w:before="0" w:after="80" w:lineRule="auto" w:line="276"/>
      </w:pPr>
      <w:r>
        <w:rPr>
          <w:b/>
        </w:rPr>
        <w:t xml:space="preserve">摘要（ZH）: </w:t>
      </w:r>
      <w:r>
        <w:t>营养不良会增加肠道通透性和败血症的风险，但营养不良引起的肠道屏障功能障碍的机制尚不清楚。在这里，我们的目的是确定肠道微生物组和微生物群衍生的代谢物如何影响营养不良宿主的肠道屏障功能。我们使用低蛋白、低脂肪饮食诱导特定无病原体（SPF）和无菌（GF）小鼠营养不良。在尤斯室中对结肠通透性进行量化，并从肝脏和脾脏中培养侵入细菌。靶向代谢组学鉴定了营养不良时微生物代谢物的消耗。在人源类结肠单层中筛选候选代谢物，并将其给予营养不良的小鼠，以确定是否可以挽救肠道屏障功能障碍。营养不良使雄性 SPF 小鼠的结肠粘液层变薄，肠道屏障通透性增加，并促进细菌移位，但雌性 SPF 小鼠则不然。营养不良的 GF 小鼠表现出正常的屏障功能。在营养不良的小鼠肠道中，微生物短链脂肪酸的一个子集，即支链脂肪酸（BCFA），在 SPF 和雌性小鼠中都被耗尽。用 BCFA（尤其是异戊酸）处理人源性结肠单层，会增加跨上皮电阻并改变与上皮连接复合物相关的基因表达。在营养不良的雄性 SPF 小鼠中，用异戊酸灌肠或用其支链氨基酸发酵底物亮氨酸灌胃，恢复了结肠内整合膜蛋白 claudin-8 的定位。</w:t>
      </w:r>
    </w:p>
    <w:p>
      <w:pPr>
        <w:spacing w:before="0" w:after="200" w:lineRule="auto" w:line="276"/>
      </w:pPr>
      <w:r>
        <w:rPr>
          <w:b/>
        </w:rPr>
        <w:t xml:space="preserve">Abstract (EN): </w:t>
      </w:r>
      <w:r>
        <w:t>Malnutrition increases intestinal permeability and the risk of sepsis, yet mechanisms underlying malnutrition-induced gut barrier dysfunction are poorly defined. Here, we aimed to determine how the gut microbiome and microbiota-derived metabolites influence intestinal barrier function in the malnourished host. We induced malnutrition in specific pathogen-free (SPF) and germ-free (GF) mice using a low-protein, low-fat diet. Colonic permeability was quantified in Ussing chambers and invasive bacteria were cultured from liver and spleen. Targeted metabolomics identified microbial metabolites depleted in malnutrition. Candidate metabolites were screened in human-derived colonoid monolayers and administered to malnourished mice to determine whether gut barrier dysfunction can be rescued. Malnutrition thinned the colonic mucus layer, increased gut barrier permeability, and facilitated bacterial translocation in male, but not female, SPF mice. Malnourished GF mice exhibited normal barrier function. In the malnourished intestine, a subset of microbial short-chain fatty acids, the branched-chain fatty acids (BCFAs), was depleted in SPF mice of both sexes. Treating human-derived colonoid monolayers with BCFAs, especially isovalerate, increased transepithelial electrical resistance and altered the expression of genes associated with epithelial junction complexes. In malnourished male SPF mice, either enemas with isovalerate or gavages with its branched-chain amino acid fermentation substrate, leucine, restored the localization of the integral membrane protein claudin-8 within the colonic crypt and reduced barrier permeability. Together, these findings identify BCFAs, including isovalerate, as microbiota-derived regulators of intestinal junction complexes and barrier integrity. We propose the branched-chain amino acid leucine as a microbiota-directed precision nutrition therapy that could target intestinal barrier dysfunction in malnutrition.</w:t>
      </w:r>
    </w:p>
    <w:p>
      <w:pPr>
        <w:spacing w:before="120" w:after="120"/>
      </w:pPr>
      <w:r>
        <w:rPr>
          <w:sz w:val="18"/>
        </w:rPr>
        <w:t>——————————————————————————————————————————————————————————————————————</w:t>
      </w:r>
    </w:p>
    <w:p>
      <w:pPr>
        <w:spacing w:before="160" w:after="40" w:line="240" w:lineRule="auto"/>
      </w:pPr>
      <w:r>
        <w:rPr>
          <w:b/>
        </w:rPr>
        <w:t xml:space="preserve">[415] </w:t>
      </w:r>
      <w:hyperlink r:id="rId1337">
        <w:r>
          <w:rPr>
            <w:color w:val="1155CC"/>
            <w:u w:val="single"/>
          </w:rPr>
          <w:t>新陈代谢中酶的进化史</w:t>
        </w:r>
      </w:hyperlink>
    </w:p>
    <w:p>
      <w:pPr>
        <w:spacing w:before="0" w:after="80"/>
      </w:pPr>
      <w:r>
        <w:rPr>
          <w:i/>
          <w:sz w:val="20"/>
        </w:rPr>
        <w:t>EN: The history of enzyme evolution embedded in metabolism</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38">
        <w:r>
          <w:rPr>
            <w:color w:val="1155CC"/>
            <w:u w:val="single"/>
          </w:rPr>
          <w:t>10.1073/pnas.2609531123</w:t>
        </w:r>
      </w:hyperlink>
    </w:p>
    <w:p>
      <w:pPr>
        <w:spacing w:before="0" w:after="120"/>
      </w:pPr>
      <w:r>
        <w:rPr>
          <w:b/>
        </w:rPr>
        <w:t xml:space="preserve">Notes: </w:t>
      </w:r>
      <w:r>
        <w:t>abstract_source=crossref</w:t>
      </w:r>
    </w:p>
    <w:p>
      <w:pPr>
        <w:spacing w:before="0" w:after="80" w:lineRule="auto" w:line="276"/>
      </w:pPr>
      <w:r>
        <w:rPr>
          <w:b/>
        </w:rPr>
        <w:t xml:space="preserve">摘要（ZH）: </w:t>
      </w:r>
      <w:r>
        <w:t>尽管系统发育重建是蛋白质进化的主要记录，但尚不清楚酶的深层历史是否是在更高水平的生物组织中编码的。在这里，我们证明酶折叠的出现和再利用历史嵌入到构成生物圈规模代谢反应网络的代谢物-辅因子-酶相互依赖性网络中。使用简单的网络分析方法，我们重建了酶促折叠出现的相对顺序，并在可能的情况下重建了每个酶促折叠催化的第一个反应。我们发现绝大多数酶促折叠足以作为独立的添加物，为代谢生长开辟新的途径。由此产生的基于网络的历史与原核生物中酶的系统分布（酶年龄的代表）大致一致。我们的结果表明，最早的酶介导的代谢富含 α/β 蛋白，可能是由于它们与辅因子利用密切相关，并且 α 蛋白优先在后期出现。摇篮环桶是小 β 桶元折叠的成员，预计是 β 折叠的创始者，这与核糖体结构的分析一致。对蛋白质宇宙如何响应分子氧的生物产生的研究表明，现有酶促折叠的适应，而不是新折叠的出现，是代谢进化的主要驱动力。这项工作提出了一个自洽的代谢和酶进化模型，是将不同观点整合到一个联合国系统中的关键进展。</w:t>
      </w:r>
    </w:p>
    <w:p>
      <w:pPr>
        <w:spacing w:before="0" w:after="200" w:lineRule="auto" w:line="276"/>
      </w:pPr>
      <w:r>
        <w:rPr>
          <w:b/>
        </w:rPr>
        <w:t xml:space="preserve">Abstract (EN): </w:t>
      </w:r>
      <w:r>
        <w:t>Whereas phylogenetic reconstructions are a primary record of protein evolution, it is unknown whether the deep history of enzymes is encoded at higher levels of biological organization. Here, we demonstrate that the emergence and reuse history of enzymatic folds is embedded within the web of metabolite-cofactor-enzyme interdependencies that comprise biosphere-scale metabolic reaction networks. Using a simple network analysis approach, we reconstruct the relative ordering of enzymatic fold emergence and, where possible, the first reaction(s) that each enzymatic fold catalyzed. We find that a large majority of enzymatic folds were sufficient as independent additions to open new avenues for metabolic growth. The resulting network-based histories are broadly concordant with enzyme phyletic distribution in prokaryotes, a proxy for enzyme age. Our results suggest that the earliest enzyme-mediated metabolisms were enriched for α/β proteins, likely due to their strong association with cofactor utilization, and that α-proteins preferentially emerge at later stages. The cradle-loop barrel, a member of the small β-barrel metafold, is predicted to be the founding β-fold, in agreement with analyses of ribosome structure. An examination of how the protein universe responded to the biological production of molecular oxygen reveals that the adaptation of existing enzymatic folds, not novel fold emergence, was the primary driver of metabolic evolution. This work presents a self-consistent model of metabolic and enzyme evolution, key progress toward integrating diverse perspectives into a unified history of protein evolution.</w:t>
      </w:r>
    </w:p>
    <w:p>
      <w:pPr>
        <w:spacing w:before="120" w:after="120"/>
      </w:pPr>
      <w:r>
        <w:rPr>
          <w:sz w:val="18"/>
        </w:rPr>
        <w:t>——————————————————————————————————————————————————————————————————————</w:t>
      </w:r>
    </w:p>
    <w:p>
      <w:pPr>
        <w:spacing w:before="160" w:after="40" w:line="240" w:lineRule="auto"/>
      </w:pPr>
      <w:r>
        <w:rPr>
          <w:b/>
        </w:rPr>
        <w:t xml:space="preserve">[416] </w:t>
      </w:r>
      <w:hyperlink r:id="rId1339">
        <w:r>
          <w:rPr>
            <w:color w:val="1155CC"/>
            <w:u w:val="single"/>
          </w:rPr>
          <w:t>美国学校靠近环境危害地点：全国分析</w:t>
        </w:r>
      </w:hyperlink>
    </w:p>
    <w:p>
      <w:pPr>
        <w:spacing w:before="0" w:after="80"/>
      </w:pPr>
      <w:r>
        <w:rPr>
          <w:i/>
          <w:sz w:val="20"/>
        </w:rPr>
        <w:t>EN: US schools’ proximity to environmental hazard sites: A national analysis</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40">
        <w:r>
          <w:rPr>
            <w:color w:val="1155CC"/>
            <w:u w:val="single"/>
          </w:rPr>
          <w:t>10.1073/pnas.2609567123</w:t>
        </w:r>
      </w:hyperlink>
    </w:p>
    <w:p>
      <w:pPr>
        <w:spacing w:before="0" w:after="120"/>
      </w:pPr>
      <w:r>
        <w:rPr>
          <w:b/>
        </w:rPr>
        <w:t xml:space="preserve">Notes: </w:t>
      </w:r>
      <w:r>
        <w:t>abstract_source=crossref</w:t>
      </w:r>
    </w:p>
    <w:p>
      <w:pPr>
        <w:spacing w:before="0" w:after="80" w:lineRule="auto" w:line="276"/>
      </w:pPr>
      <w:r>
        <w:rPr>
          <w:b/>
        </w:rPr>
        <w:t xml:space="preserve">摘要（ZH）: </w:t>
      </w:r>
      <w:r>
        <w:t>我们对美国 PreK-12 公立和私立学校与美国环境保护局追踪的已知环境危害地点的接近程度进行了全国范围的评估：超级基金地点、棕地和有毒物质排放清单设施。先前的研究记录了暴露于这些场所释放的遗留污染物和污染的青少年的一系列负面健康和学业后果。近 10,000 所学校 (8%) 招收 336 万名学生，雇用 480,000 名教职员工，位于暴露风险最严重的危险地点四分之一英里 (~400 m) 范围内。大约 44% 的学校位于一英里以内——这一距离的负面暴露影响已得到充分记录。土著学生、黑人学生、西班牙裔学生和低收入学生承担的风险不成比例，他们在危险地点四分之一英里范围内上学的可能性分别高出 124%、86%、43% 和 40%。靠近多种危险和高风险地点也是非常不公平的。</w:t>
      </w:r>
    </w:p>
    <w:p>
      <w:pPr>
        <w:spacing w:before="0" w:after="200" w:lineRule="auto" w:line="276"/>
      </w:pPr>
      <w:r>
        <w:rPr>
          <w:b/>
        </w:rPr>
        <w:t xml:space="preserve">Abstract (EN): </w:t>
      </w:r>
      <w:r>
        <w:t>We conduct a nationwide assessment of U.S. PreK-12 public and private schools’ proximity to known environmental hazard sites tracked by the U.S. Environmental Protection Agency: Superfund sites, brownfields, and Toxics Release Inventory facilities. Prior research documents a range of negative health and academic consequences for youth exposed to legacy contaminants and pollution released by these sites. Nearly 10,000 schools (8%), enrolling 3.36 million students and employing 480,000 teachers and staff, are located within a quarter mile (~400 m) of a hazardous site where exposure risk is most acute. Approximately 44% of schools are located within one mile—a distance where negative exposure effects are well documented. Risks are borne disproportionately by Native, Black, Hispanic, and low-income students who are 124%, 86%, 43%, and 40% more likely to attend schools within a quarter mile of a hazardous site. Proximity to multiple hazards and higher-risk sites is also highly inequitable.</w:t>
      </w:r>
    </w:p>
    <w:p>
      <w:pPr>
        <w:spacing w:before="120" w:after="120"/>
      </w:pPr>
      <w:r>
        <w:rPr>
          <w:sz w:val="18"/>
        </w:rPr>
        <w:t>——————————————————————————————————————————————————————————————————————</w:t>
      </w:r>
    </w:p>
    <w:p>
      <w:pPr>
        <w:spacing w:before="160" w:after="40" w:line="240" w:lineRule="auto"/>
      </w:pPr>
      <w:r>
        <w:rPr>
          <w:b/>
        </w:rPr>
        <w:t xml:space="preserve">[417] </w:t>
      </w:r>
      <w:hyperlink r:id="rId1341">
        <w:r>
          <w:rPr>
            <w:color w:val="1155CC"/>
            <w:u w:val="single"/>
          </w:rPr>
          <w:t>通过流域城市综合管理缓解中国与粮食相关的水资源短缺和空间不平等</w:t>
        </w:r>
      </w:hyperlink>
    </w:p>
    <w:p>
      <w:pPr>
        <w:spacing w:before="0" w:after="80"/>
      </w:pPr>
      <w:r>
        <w:rPr>
          <w:i/>
          <w:sz w:val="20"/>
        </w:rPr>
        <w:t>EN: Mitigating China’s food-related water scarcity and spatial inequality via integrated basin–city management</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42">
        <w:r>
          <w:rPr>
            <w:color w:val="1155CC"/>
            <w:u w:val="single"/>
          </w:rPr>
          <w:t>10.1073/pnas.2610855123</w:t>
        </w:r>
      </w:hyperlink>
    </w:p>
    <w:p>
      <w:pPr>
        <w:spacing w:before="0" w:after="120"/>
      </w:pPr>
      <w:r>
        <w:rPr>
          <w:b/>
        </w:rPr>
        <w:t xml:space="preserve">Notes: </w:t>
      </w:r>
      <w:r>
        <w:t>abstract_source=crossref</w:t>
      </w:r>
    </w:p>
    <w:p>
      <w:pPr>
        <w:spacing w:before="0" w:after="80" w:lineRule="auto" w:line="276"/>
      </w:pPr>
      <w:r>
        <w:rPr>
          <w:b/>
        </w:rPr>
        <w:t xml:space="preserve">摘要（ZH）: </w:t>
      </w:r>
      <w:r>
        <w:t>流域范围内的粮食生产受到水资源供应的限制，而粮食贸易的治理则主要在城市范围内进行。这种空间不匹配阻碍了粮食和水系统的可持续发展。为了弥补这一差距，我们开发了一个结合了水文（流域）和行政（城市）规模的综合框架，并将其应用于中国，以量化食品贸易中的虚拟水流如何影响流域间和流域内的水分配不平等。我们的研究结果显示，38% 的稀缺水资源是跨流域交易的，使流域间不平等加剧了 6%。相比之下，大约30%的稀缺水资源体现在流域内贸易中，这缓解了流域内的不平等。单尺度干预措施，无论是通过生产还是消费调整，都涉及流域间平等、流域内平等和节水总量之间的权衡。相比之下，干预强度为 50% 的流域城市一体化管理策略可将流域间不平等减少 7%，节水量相当于长江流域总用水量的五分之四（80%）以上。它还优于现有的省市垂直管理模式。这些发现为制定整合水文和行政视角的全球虚拟水管理战略提供了宝贵的见解。</w:t>
      </w:r>
    </w:p>
    <w:p>
      <w:pPr>
        <w:spacing w:before="0" w:after="200" w:lineRule="auto" w:line="276"/>
      </w:pPr>
      <w:r>
        <w:rPr>
          <w:b/>
        </w:rPr>
        <w:t xml:space="preserve">Abstract (EN): </w:t>
      </w:r>
      <w:r>
        <w:t>Food production is constrained by water availability at the basin scale, whereas the governance of food trade primarily operates at the city scale. This spatial mismatch hinders the sustainable development of both food and water systems. To bridge this gap, we develop an integrated framework that combines hydrological (basin) and administrative (city) scales and apply it to China to quantify how virtual water flows embedded in food trade affect inequality in water allocation across and within basins. Our results show that 38% of scarce water is traded across basins, exacerbating interbasin inequality by 6%. In contrast, approximately 30% of scarce water is embodied in intrabasin trade, which alleviates intrabasin inequality. Single-scale interventions, whether through production or consumption adjustments, involve trade-offs among interbasin equality, intrabasin equality, and total water savings. By contrast, an integrated basin–city management strategy at a 50% intervention intensity reduces interbasin inequality by 7% and achieves water savings equivalent to more than four-fifths (80%) of total water use in the Yangtze River basin. It also outperforms existing province-city vertical management models across scales. These findings provide valuable insights for developing global virtual water management strategies that integrate both hydrological and administrative perspectives.</w:t>
      </w:r>
    </w:p>
    <w:p>
      <w:pPr>
        <w:spacing w:before="120" w:after="120"/>
      </w:pPr>
      <w:r>
        <w:rPr>
          <w:sz w:val="18"/>
        </w:rPr>
        <w:t>——————————————————————————————————————————————————————————————————————</w:t>
      </w:r>
    </w:p>
    <w:p>
      <w:pPr>
        <w:spacing w:before="160" w:after="40" w:line="240" w:lineRule="auto"/>
      </w:pPr>
      <w:r>
        <w:rPr>
          <w:b/>
        </w:rPr>
        <w:t xml:space="preserve">[418] </w:t>
      </w:r>
      <w:hyperlink r:id="rId1343">
        <w:r>
          <w:rPr>
            <w:color w:val="1155CC"/>
            <w:u w:val="single"/>
          </w:rPr>
          <w:t>在 AMD 氧化损伤模型中，AAV-NRF2 以 GDF15 依赖性方式保护视网膜和脉络膜血管系统</w:t>
        </w:r>
      </w:hyperlink>
    </w:p>
    <w:p>
      <w:pPr>
        <w:spacing w:before="0" w:after="80"/>
      </w:pPr>
      <w:r>
        <w:rPr>
          <w:i/>
          <w:sz w:val="20"/>
        </w:rPr>
        <w:t>EN: AAV-NRF2 protects retinal and choroidal vasculature in a GDF15-dependent manner in an oxidative damage model of AMD</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44">
        <w:r>
          <w:rPr>
            <w:color w:val="1155CC"/>
            <w:u w:val="single"/>
          </w:rPr>
          <w:t>10.1073/pnas.2616985123</w:t>
        </w:r>
      </w:hyperlink>
    </w:p>
    <w:p>
      <w:pPr>
        <w:spacing w:before="0" w:after="120"/>
      </w:pPr>
      <w:r>
        <w:rPr>
          <w:b/>
        </w:rPr>
        <w:t xml:space="preserve">Notes: </w:t>
      </w:r>
      <w:r>
        <w:t>abstract_source=crossref</w:t>
      </w:r>
    </w:p>
    <w:p>
      <w:pPr>
        <w:spacing w:before="0" w:after="80" w:lineRule="auto" w:line="276"/>
      </w:pPr>
      <w:r>
        <w:rPr>
          <w:b/>
        </w:rPr>
        <w:t xml:space="preserve">摘要（ZH）: </w:t>
      </w:r>
      <w:r>
        <w:t>氧化应激被认为是与年龄相关的疾病的驱动因素。年龄相关性黄斑变性（AMD）就是这样一种疾病，视网膜色素上皮（RPE）在疾病早期就受到影响。血管损伤也会发生，有时先于 RPE 损伤。为了模拟干 AMD 的某些方面，我们使用了 NaIO</w:t>
      </w:r>
      <w:r>
        <w:rPr>
          <w:vertAlign w:val="subscript"/>
        </w:rPr>
        <w:t>3</w:t>
      </w:r>
      <w:r>
        <w:t>小鼠氧化损伤模型。观察到视网膜深部血管丛的破坏、脉络膜毛细血管内毛细血管的紊乱和死亡以及视网膜电图显着下降。腺相关病毒 (AAV) 过表达转录因子 NRF2，可诱导抗氧化酶并抑制炎症，并测试了其对损伤的保护作用。 BEST1 启动子将表达限制在 RPE。视网膜和脉络膜区的 RPE、光感受器和血管结构均受到保护。来自被 AAV8/BEST1-NRF2 感染的 RPE-脉络膜外植体的条件培养基足以在体内转移部分保护，表明 NRF2 诱导保护性分泌因子。 RNA-seq 数据分析指定生长分化因子 15 (GDF15) 作为候选分泌介质。注射重组 GDF15 在体内再现了关键的保护表型，而 Gdf15 缺乏则减弱了 NRF2 介导的拯救。 TGF-β 受体信号传导的药理学抑制减弱了 NRF2 诱导的保护，支持了该信号传导途径的参与。在激光诱导脉络膜新生血管模型中，玻璃体内注射 GDF15 可减少荧光素渗漏并减少</w:t>
      </w:r>
    </w:p>
    <w:p>
      <w:pPr>
        <w:spacing w:before="0" w:after="200" w:lineRule="auto" w:line="276"/>
      </w:pPr>
      <w:r>
        <w:rPr>
          <w:b/>
        </w:rPr>
        <w:t xml:space="preserve">Abstract (EN): </w:t>
      </w:r>
      <w:r>
        <w:t>Oxidative stress is proposed to be a driver of age-related diseases. Age-related macular degeneration (AMD) is one such disease, where the retinal pigment epithelium (RPE) is affected early in the disease. Vasculature damage also occurs, sometimes preceding RPE damage. To model some aspects of dry AMD, we used the NaIO</w:t>
      </w:r>
      <w:r>
        <w:rPr>
          <w:vertAlign w:val="subscript"/>
        </w:rPr>
        <w:t>3</w:t>
      </w:r>
      <w:r>
        <w:t>mouse model of oxidative damage. Disruption of the deep retinal vascular plexus, disorganization and death of capillaries within the choriocapillaris, and marked electroretinographic decline were observed. Adeno-associated virus (AAV) overexpressing the transcription factor, NRF2, which induces antioxidation enzymes and represses inflammation, was tested for protection of damage. The BEST1 promoter limited expression to the RPE. The RPE, photoreceptors, and vascular architecture in both retinal and choroidal compartments were protected. Conditioned medium from RPE–choroid explants, infected by AAV8/BEST1-NRF2, was sufficient to transfer partial protection in vivo, suggesting that NRF2 induces a protective secreted factor(s). Analysis of RNA-seq data nominated growth differentiation factor 15 (GDF15) as a candidate secreted mediator. Injection of recombinant GDF15 reproduced key protective phenotypes in vivo, whereas Gdf15 deficiency attenuated NRF2-mediated rescue. Pharmacologic inhibition of TGF-β receptor signaling diminished NRF2-induced protection, supporting involvement of this signaling pathway. In a laser-induced choroidal neovascularization model, intravitreal GDF15 injection reduced fluorescein leakage and lesion size. These findings support a model in which NRF2 activation in the RPE induces expression of GDF15, which is capable of protecting the RPE, photoreceptors, and the retinal and choroidal vasculature. NRF2 and GDF15 have therapeutic potential for ocular diseases, as well as for other diseases with vascular pathology.</w:t>
      </w:r>
    </w:p>
    <w:p>
      <w:pPr>
        <w:spacing w:before="120" w:after="120"/>
      </w:pPr>
      <w:r>
        <w:rPr>
          <w:sz w:val="18"/>
        </w:rPr>
        <w:t>——————————————————————————————————————————————————————————————————————</w:t>
      </w:r>
    </w:p>
    <w:p>
      <w:pPr>
        <w:spacing w:before="160" w:after="40" w:line="240" w:lineRule="auto"/>
      </w:pPr>
      <w:r>
        <w:rPr>
          <w:b/>
        </w:rPr>
        <w:t xml:space="preserve">[419] </w:t>
      </w:r>
      <w:hyperlink r:id="rId1345">
        <w:r>
          <w:rPr>
            <w:color w:val="1155CC"/>
            <w:u w:val="single"/>
          </w:rPr>
          <w:t>肝细胞固有的 ER 应激和 NRF2 引发原发性硬化性胆管炎，提供治疗见解</w:t>
        </w:r>
      </w:hyperlink>
    </w:p>
    <w:p>
      <w:pPr>
        <w:spacing w:before="0" w:after="80"/>
      </w:pPr>
      <w:r>
        <w:rPr>
          <w:i/>
          <w:sz w:val="20"/>
        </w:rPr>
        <w:t>EN: Hepatocyte-intrinsic ER stress and NRF2 initiate primary sclerosing cholangitis, providing therapeutic insights</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46">
        <w:r>
          <w:rPr>
            <w:color w:val="1155CC"/>
            <w:u w:val="single"/>
          </w:rPr>
          <w:t>10.1073/pnas.2616211123</w:t>
        </w:r>
      </w:hyperlink>
    </w:p>
    <w:p>
      <w:pPr>
        <w:spacing w:before="0" w:after="120"/>
      </w:pPr>
      <w:r>
        <w:rPr>
          <w:b/>
        </w:rPr>
        <w:t xml:space="preserve">Notes: </w:t>
      </w:r>
      <w:r>
        <w:t>abstract_source=crossref</w:t>
      </w:r>
    </w:p>
    <w:p>
      <w:pPr>
        <w:spacing w:before="0" w:after="80" w:lineRule="auto" w:line="276"/>
      </w:pPr>
      <w:r>
        <w:rPr>
          <w:b/>
        </w:rPr>
        <w:t xml:space="preserve">摘要（ZH）: </w:t>
      </w:r>
      <w:r>
        <w:t>原发性硬化性胆管炎（PSC）是一种严重的肝脏疾病，可进展为胆管癌。 PSC 的稀有性及其起源知之甚少，这反映了遗传和环境风险因素的不完全定义，这阻碍了治疗的发展。在这里，我们描述了一种小鼠模型，该模型结合了两种可疑的环境危险因素，即肝细胞固有的 ER 应激和氧化应激，导致肝细胞和胆管细胞中转录因子 NRF2 的激活。受遗传影响的小鼠以及接受 ER 应激诱导剂和 NRF2 激活剂治疗的小鼠，均进展为具有类似人类特征的 PSC。具体来说，肝细胞固有的 ER 应激与激活的 NRF2 协同导致 JNK-JUN 信号的间接激活，从而消除 HNF1α 刺激的</w:t>
      </w:r>
      <w:r>
        <w:t xml:space="preserve"> </w:t>
      </w:r>
      <w:r>
        <w:t>FXr</w:t>
      </w:r>
      <w:r>
        <w:t xml:space="preserve"> </w:t>
      </w:r>
      <w:r>
        <w:t>基因转录并减少胆汁盐输出泵 BSEP 的表达。这些信号异常的临床相关性得到了人类 PSC 组织单细胞转录组学的支持，它们导致胆汁淤积、肝细胞和胆小管损伤、胆管增生和胆管周围纤维化，这些都定义了 PSC。相应地，减轻胆汁淤积和/或抑制胆道增生可以解决小鼠的 PSC。</w:t>
      </w:r>
    </w:p>
    <w:p>
      <w:pPr>
        <w:spacing w:before="0" w:after="200" w:lineRule="auto" w:line="276"/>
      </w:pPr>
      <w:r>
        <w:rPr>
          <w:b/>
        </w:rPr>
        <w:t xml:space="preserve">Abstract (EN): </w:t>
      </w:r>
      <w:r>
        <w:t>primary sclerosing cholangitis (PSC) is a severe liver disease that can progress to cholangiocarcinoma. Therapeutic development has been hindered by the rarity of PSC and by its poorly understood origin, which reflects incompletely defined genetic and environmental risk factors. Here we describe a mouse model that combines two suspected environmental risk factors, hepatocyte-intrinsic ER stress and oxidative stress, which leads to activation of transcription factor NRF2 in both hepatocytes and cholangiocytes. Genetically affected mice, as well as mice treated with an ER stress inducer and an NRF2 activator, progressed to PSC with human-like features. Specifically, hepatocyte-intrinsic ER stress in cooperation with activated NRF2 leads to indirect activation of JNK-JUN signaling, which abrogates HNF1α-stimulated</w:t>
      </w:r>
      <w:r>
        <w:t xml:space="preserve"> </w:t>
      </w:r>
      <w:r>
        <w:t>Fxr</w:t>
      </w:r>
      <w:r>
        <w:t xml:space="preserve"> </w:t>
      </w:r>
      <w:r>
        <w:t>gene transcription and reduces expression of the bile salt export pump BSEP. These signaling abnormalities, whose clinical relevance is supported by single cell transcriptomics of human PSC tissue, cause cholestasis, hepatocyte and bile canaliculi injury, biliary hyperplasia, and periductular fibrosis, which define PSC. Congruently, alleviation of cholestasis and/or inhibition of biliary hyperplasia resolve PSC in mice.</w:t>
      </w:r>
    </w:p>
    <w:p>
      <w:pPr>
        <w:spacing w:before="120" w:after="120"/>
      </w:pPr>
      <w:r>
        <w:rPr>
          <w:sz w:val="18"/>
        </w:rPr>
        <w:t>——————————————————————————————————————————————————————————————————————</w:t>
      </w:r>
    </w:p>
    <w:p>
      <w:pPr>
        <w:spacing w:before="160" w:after="40" w:line="240" w:lineRule="auto"/>
      </w:pPr>
      <w:r>
        <w:rPr>
          <w:b/>
        </w:rPr>
        <w:t xml:space="preserve">[420] </w:t>
      </w:r>
      <w:hyperlink r:id="rId1347">
        <w:r>
          <w:rPr>
            <w:color w:val="1155CC"/>
            <w:u w:val="single"/>
          </w:rPr>
          <w:t>接近人类中心凹视网膜的连接组</w:t>
        </w:r>
      </w:hyperlink>
    </w:p>
    <w:p>
      <w:pPr>
        <w:spacing w:before="0" w:after="80"/>
      </w:pPr>
      <w:r>
        <w:rPr>
          <w:i/>
          <w:sz w:val="20"/>
        </w:rPr>
        <w:t>EN: Approaching a connectome of the human foveal retina</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48">
        <w:r>
          <w:rPr>
            <w:color w:val="1155CC"/>
            <w:u w:val="single"/>
          </w:rPr>
          <w:t>10.1073/pnas.2603286123</w:t>
        </w:r>
      </w:hyperlink>
    </w:p>
    <w:p>
      <w:pPr>
        <w:spacing w:before="0" w:after="120"/>
      </w:pPr>
      <w:r>
        <w:rPr>
          <w:b/>
        </w:rPr>
        <w:t xml:space="preserve">Notes: </w:t>
      </w:r>
      <w:r>
        <w:t>abstract_source=crossref</w:t>
      </w:r>
    </w:p>
    <w:p>
      <w:pPr>
        <w:spacing w:before="0" w:after="80" w:lineRule="auto" w:line="276"/>
      </w:pPr>
      <w:r>
        <w:rPr>
          <w:b/>
        </w:rPr>
        <w:t xml:space="preserve">摘要（ZH）: </w:t>
      </w:r>
      <w:r>
        <w:t>中心凹视网膜是一种独特的灵长类动物特化，也是人类中枢神经系统结构第一个连接组的有希望的目标。在中央凹中，神经细胞和电路被小型化和压缩，以高空间分辨率对视觉图像进行采样，从而启动形状、颜色和运动感知。在这里，我们报告了人类中心凹连接组的工作草案。我们使用深度学习来分割人类中央凹中的所有细胞及其突触连接。我们根据形态和连接性将约 3,000 个细胞分为 51 种神经元类型和 3 种神经胶质类型。一些细胞类型和突触基序（包括侏儒和小型双层神经节细胞回路）在人类和非人类灵长类动物之间是保守的。然而，大多数其他细胞类型和相关的突触连接仍未被探索。我们发现，与周边视网膜相比，人类中心凹视网膜的细胞类型多样性减少，密度明显不均，突触连接模式不同。例如，中心凹 H1 水平细胞相对于 H2 细胞以高密度存在，并接收来自 S 锥体的意外突触输入，预测下游感受野的中心凹特异性色彩特性。视网膜神经节细胞只能分为 13 种类型，与周边视网膜的约 20 种类型和小鼠视网膜中识别的 40 多种类型形成鲜明对比，但与最近对人类中央凹的转录组学研究一致。这些发现支持这样的假设：人类中央凹已经将一系列特征检测器换成了高精度、支持眼跳的主动检测器。</w:t>
      </w:r>
    </w:p>
    <w:p>
      <w:pPr>
        <w:spacing w:before="0" w:after="200" w:lineRule="auto" w:line="276"/>
      </w:pPr>
      <w:r>
        <w:rPr>
          <w:b/>
        </w:rPr>
        <w:t xml:space="preserve">Abstract (EN): </w:t>
      </w:r>
      <w:r>
        <w:t>The foveal retina is a unique primate specialization and a promising target for the first connectome of a human central nervous system structure. In the fovea, neural cells and circuits are miniaturized and compressed to sample the visual image at high spatial resolution, initiating form, color, and motion perception. Here, we report a working-draft human foveal connectome. We used deep learning to segment all cells and their synaptic connections in a piece of human fovea. We classified ~3,000 cells into 51 neuronal types and three glial types based on morphology and connectivity. Some cell types and synaptic motifs—including the midget and small bistratified ganglion cell circuits—are conserved between human and nonhuman primates. However, most other cell types and related synaptic connectivity remain unexplored. We find that in comparison to peripheral retina, the human foveal retina shows reduced cell type diversity with markedly unequal densities and distinct patterns of synaptic connectivity. For example, foveal H1 horizontal cells are present at high density relative to H2 cells and receive unexpected synaptic input from S cones, predicting fovea-specific chromatic properties of downstream receptive fields. Retinal ganglion cells could be divided into only 13 types—a contrast to the ~20 types in peripheral retina and the 40+ types recognized in mouse retina—but consistent with recent transcriptomic studies of human fovea. These findings support the hypothesis that the human fovea has traded a repertoire of feature detectors for high-precision, saccade-supported active vision centered around a small number of high-density visual pathways.</w:t>
      </w:r>
    </w:p>
    <w:p>
      <w:pPr>
        <w:spacing w:before="120" w:after="120"/>
      </w:pPr>
      <w:r>
        <w:rPr>
          <w:sz w:val="18"/>
        </w:rPr>
        <w:t>——————————————————————————————————————————————————————————————————————</w:t>
      </w:r>
    </w:p>
    <w:p>
      <w:pPr>
        <w:spacing w:before="160" w:after="40" w:line="240" w:lineRule="auto"/>
      </w:pPr>
      <w:r>
        <w:rPr>
          <w:b/>
        </w:rPr>
        <w:t xml:space="preserve">[421] </w:t>
      </w:r>
      <w:hyperlink r:id="rId1349">
        <w:r>
          <w:rPr>
            <w:color w:val="1155CC"/>
            <w:u w:val="single"/>
          </w:rPr>
          <w:t>DNA 结合的禽类 R2 非 LTR 逆转录转座子蛋白招募第二个 R2 蛋白来保护基因组第二链切口</w:t>
        </w:r>
      </w:hyperlink>
    </w:p>
    <w:p>
      <w:pPr>
        <w:spacing w:before="0" w:after="80"/>
      </w:pPr>
      <w:r>
        <w:rPr>
          <w:i/>
          <w:sz w:val="20"/>
        </w:rPr>
        <w:t>EN: DNA-bound avian R2 non-LTR retrotransposon protein recruits a second R2 protein for genome-protective second-strand nicking</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50">
        <w:r>
          <w:rPr>
            <w:color w:val="1155CC"/>
            <w:u w:val="single"/>
          </w:rPr>
          <w:t>10.1073/pnas.2619612123</w:t>
        </w:r>
      </w:hyperlink>
    </w:p>
    <w:p>
      <w:pPr>
        <w:spacing w:before="0" w:after="120"/>
      </w:pPr>
      <w:r>
        <w:rPr>
          <w:b/>
        </w:rPr>
        <w:t xml:space="preserve">Notes: </w:t>
      </w:r>
      <w:r>
        <w:t>abstract_source=crossref</w:t>
      </w:r>
    </w:p>
    <w:p>
      <w:pPr>
        <w:spacing w:before="0" w:after="80" w:lineRule="auto" w:line="276"/>
      </w:pPr>
      <w:r>
        <w:rPr>
          <w:b/>
        </w:rPr>
        <w:t xml:space="preserve">摘要（ZH）: </w:t>
      </w:r>
      <w:r>
        <w:t>动物基因组随着非长末端重复逆转录转座子的移动性而扩展。这些反转录转座子使用反转录转座子蛋白启动基因组插入，该反转录转座子蛋白协调地在靶位点上产生切口，并使用该切口来启动结合模板RNA的第一链cDNA合成。为了产生稳定的基因组插入，需要第二个切口和涉及 DNA 修复机制的第二链合成。在这里，我们使用逐步生化重建、细胞测定和定量基因组学来建立第二链切口机制，支持禽类 R2 非 LTR 反转录转座子蛋白 (R2p) 精确插入人类基因组。我们表明，与其靶位点结合的 R2p 会招募另一个 R2p 来在第二条链上产生切口，而招募依赖于通过 cDNA 合成从 RNA 中释放的蛋白质结构域的可用性。我们通过生化方法筛选了选择性削弱或消除第二链切口的侧链取代，然后使用这些变体研究 R2p 第二链切口在细胞中的重要性。使用编码 R2p 的 mRNA 和编码转基因的模板 RNA 的共传递来分析人类基因组插入[精确的 RNA 介导的转基因插入 (PRINT)]。因第二链切口而受损的 R2p 变体具有较低的转基因插入效率，但在没有 R2p 介导的第二链切口的情况下也可以发生插入。转基因连接分析揭示了靶位点结果的意外转变，从小缺失到需要广泛 DNA 修复的大重复。这种插入不精确性被 co 拯救了</w:t>
      </w:r>
    </w:p>
    <w:p>
      <w:pPr>
        <w:spacing w:before="0" w:after="200" w:lineRule="auto" w:line="276"/>
      </w:pPr>
      <w:r>
        <w:rPr>
          <w:b/>
        </w:rPr>
        <w:t xml:space="preserve">Abstract (EN): </w:t>
      </w:r>
      <w:r>
        <w:t>Animal genomes have expanded with the mobility of non-long-terminal-repeat retrotransposons. These retrotransposons initiate genome insertions using a retrotransposon protein that coordinately nicks a target site and uses the nick to prime first-strand cDNA synthesis with bound template RNA. To generate a stable genome insertion, a second nick is required and second-strand synthesis involving DNA repair machinery. Here, we use step-wise biochemical reconstitution, cellular assays, and quantitative genomics to establish the second-strand nicking mechanism that supports precise human genome insertions by avian R2 non-LTR retrotransposon protein (R2p). We show that R2p bound to its target site recruits another R2p to nick the second strand, with recruitment reliant on availability of protein domains liberated from RNA by cDNA synthesis. We biochemically screened for side-chain substitutions that selectively crippled or eliminated second-strand nicking and then used these variants to investigate the significance of R2p second-strand nicking in cells. Human genome insertions were assayed using codelivery of mRNA encoding R2p and template RNA encoding a transgene [precise RNA-mediated insertion of transgenes (PRINT)]. R2p variants compromised for second-strand nicking had lower transgene insertion efficiency, yet insertions could occur without R2p-mediated second-strand nicking. Transgene junction profiling revealed an unexpected shift in target-site consequences from small deletions to large duplications obliging extensive DNA repair. This insertion imprecision was rescued by coexpressing the R2p selectively deficient for second-strand nicking with a truncated R2p capable only of second-strand nicking. These insights inform mechanisms that underlie retrotransposon mobility and enable PRINT optimization for therapeutic transgene supplementation of the human genome.</w:t>
      </w:r>
    </w:p>
    <w:p>
      <w:pPr>
        <w:spacing w:before="120" w:after="120"/>
      </w:pPr>
      <w:r>
        <w:rPr>
          <w:sz w:val="18"/>
        </w:rPr>
        <w:t>——————————————————————————————————————————————————————————————————————</w:t>
      </w:r>
    </w:p>
    <w:p>
      <w:pPr>
        <w:spacing w:before="160" w:after="40" w:line="240" w:lineRule="auto"/>
      </w:pPr>
      <w:r>
        <w:rPr>
          <w:b/>
        </w:rPr>
        <w:t xml:space="preserve">[422] </w:t>
      </w:r>
      <w:hyperlink r:id="rId1351">
        <w:r>
          <w:rPr>
            <w:color w:val="1155CC"/>
            <w:u w:val="single"/>
          </w:rPr>
          <w:t>整合实验进化和转录组学揭示了生活节奏综合征的表型和分子结构</w:t>
        </w:r>
      </w:hyperlink>
    </w:p>
    <w:p>
      <w:pPr>
        <w:spacing w:before="0" w:after="80"/>
      </w:pPr>
      <w:r>
        <w:rPr>
          <w:i/>
          <w:sz w:val="20"/>
        </w:rPr>
        <w:t>EN: Integrating experimental evolution and transcriptomics reveals the phenotypic and molecular architecture of the pace-of-life syndrome</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52">
        <w:r>
          <w:rPr>
            <w:color w:val="1155CC"/>
            <w:u w:val="single"/>
          </w:rPr>
          <w:t>10.1073/pnas.2610487123</w:t>
        </w:r>
      </w:hyperlink>
    </w:p>
    <w:p>
      <w:pPr>
        <w:spacing w:before="0" w:after="120"/>
      </w:pPr>
      <w:r>
        <w:rPr>
          <w:b/>
        </w:rPr>
        <w:t xml:space="preserve">Notes: </w:t>
      </w:r>
      <w:r>
        <w:t>abstract_source=crossref</w:t>
      </w:r>
    </w:p>
    <w:p>
      <w:pPr>
        <w:spacing w:before="0" w:after="80" w:lineRule="auto" w:line="276"/>
      </w:pPr>
      <w:r>
        <w:rPr>
          <w:b/>
        </w:rPr>
        <w:t xml:space="preserve">摘要（ZH）: </w:t>
      </w:r>
      <w:r>
        <w:t>表型特征通常通过共同的遗传和环境影响而发生共变，从而影响综合生活史策略的演变。特别是，行为和生活史特征之间的相关性构成了生活节奏综合症（POLS）假说的核心，但对其进化和分子基础的直接实验测试仍然有限。在这里，我们结合实验进化和转录组分析来研究红面粉甲虫 POLS 的表型和分子结构</w:t>
      </w:r>
      <w:r>
        <w:t xml:space="preserve"> </w:t>
      </w:r>
      <w:r>
        <w:t>赤拟谷盗</w:t>
      </w:r>
      <w:r>
        <w:t xml:space="preserve"> </w:t>
      </w:r>
      <w:r>
        <w:t>。使用人工选择的增加或减少运动活性的复制系，我们量化了生活史特征和雌性生殖性能的相关反应，并检查了基因表达的全基因组差异。进化出更高活性的品系表现出显着缩短的寿命和升高的雌性生殖输出，而发育时间保持不变，这揭示了对 POLS 预测的部分支持以及活性和发育之间的脱钩。转录组分析进一步鉴定了活性选择系之间的多个差异表达基因，表明与行为和生活史差异相关的代谢和调节途径的参与。通过在受控实验进化下整合表型和分子数据，我们的研究为 POLS 假设提供了可靠的实验检验。这些发现揭示了生活节奏特征的不对称和环境依赖性演变，并提供了关于行为方式的见解</w:t>
      </w:r>
    </w:p>
    <w:p>
      <w:pPr>
        <w:spacing w:before="0" w:after="200" w:lineRule="auto" w:line="276"/>
      </w:pPr>
      <w:r>
        <w:rPr>
          <w:b/>
        </w:rPr>
        <w:t xml:space="preserve">Abstract (EN): </w:t>
      </w:r>
      <w:r>
        <w:t>Phenotypic traits often covary through shared genetic and environmental influences, shaping the evolution of integrated life-history strategies. In particular, correlations between behavioral and life-history traits form the core of the pace-of-life syndrome (POLS) hypothesis, yet direct experimental tests of its evolutionary and molecular foundations remain limited. Here, we combined experimental evolution and transcriptomic analyses to investigate the phenotypic and molecular architecture of POLS in the red flour beetle</w:t>
      </w:r>
      <w:r>
        <w:t xml:space="preserve"> </w:t>
      </w:r>
      <w:r>
        <w:t>Tribolium castaneum</w:t>
      </w:r>
      <w:r>
        <w:t xml:space="preserve"> </w:t>
      </w:r>
      <w:r>
        <w:t>. Using replicate lines artificially selected for increased or decreased locomotor activity, we quantified correlated responses in life-history traits and female reproductive performance and examined genome-wide divergence in gene expression. Lines evolving higher activity exhibited significantly reduced lifespan and elevated female reproductive output, whereas development time remained unchanged, revealing partial support for POLS predictions and a decoupling between activity and development. Transcriptomic analyses further identified multiple differentially expressed genes between activity-selected lines, suggesting the involvement of metabolic and regulatory pathways associated with behavioral and life-history divergence. By integrating phenotypic and molecular data under controlled experimental evolution, our study provides a robust experimental test of the POLS hypothesis. These findings reveal asymmetric and context-dependent evolution of pace-of-life traits and offer insights into how behavioral variation and life-history strategies are genetically integrated and maintained in natural populations.</w:t>
      </w:r>
    </w:p>
    <w:p>
      <w:pPr>
        <w:spacing w:before="120" w:after="120"/>
      </w:pPr>
      <w:r>
        <w:rPr>
          <w:sz w:val="18"/>
        </w:rPr>
        <w:t>——————————————————————————————————————————————————————————————————————</w:t>
      </w:r>
    </w:p>
    <w:p>
      <w:pPr>
        <w:spacing w:before="160" w:after="40" w:line="240" w:lineRule="auto"/>
      </w:pPr>
      <w:r>
        <w:rPr>
          <w:b/>
        </w:rPr>
        <w:t xml:space="preserve">[423] </w:t>
      </w:r>
      <w:hyperlink r:id="rId1353">
        <w:r>
          <w:rPr>
            <w:color w:val="1155CC"/>
            <w:u w:val="single"/>
          </w:rPr>
          <w:t>在西南极洲松岛冰架上观察到支撑应力几乎完全消失</w:t>
        </w:r>
      </w:hyperlink>
    </w:p>
    <w:p>
      <w:pPr>
        <w:spacing w:before="0" w:after="80"/>
      </w:pPr>
      <w:r>
        <w:rPr>
          <w:i/>
          <w:sz w:val="20"/>
        </w:rPr>
        <w:t>EN: Near-total loss of buttressing stresses observed on Pine Island Ice Shelf, West Antarctica</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54">
        <w:r>
          <w:rPr>
            <w:color w:val="1155CC"/>
            <w:u w:val="single"/>
          </w:rPr>
          <w:t>10.1073/pnas.2602994123</w:t>
        </w:r>
      </w:hyperlink>
    </w:p>
    <w:p>
      <w:pPr>
        <w:spacing w:before="0" w:after="120"/>
      </w:pPr>
      <w:r>
        <w:rPr>
          <w:b/>
        </w:rPr>
        <w:t xml:space="preserve">Notes: </w:t>
      </w:r>
      <w:r>
        <w:t>abstract_source=crossref</w:t>
      </w:r>
    </w:p>
    <w:p>
      <w:pPr>
        <w:spacing w:before="0" w:after="80" w:lineRule="auto" w:line="276"/>
      </w:pPr>
      <w:r>
        <w:rPr>
          <w:b/>
        </w:rPr>
        <w:t xml:space="preserve">摘要（ZH）: </w:t>
      </w:r>
      <w:r>
        <w:t>冰架是南极冰盖的浮动延伸部分，提供临界支撑应力，抵抗冰向海的流动，并帮助确定冰漂浮的接地线的位置。随着冰架变薄、破裂和崩塌而减少支撑应力，冰川往往会加速。在这里，我们重点关注南极洲西部松岛冰架（PIIS）对多次崩解事件和侧向剪切边缘崩解的响应。利用 2015 年至 2024 年观测到的表面速度场时间序列，我们显示了冰流的多次加速和支撑应力的显着减少。这些观测结果表明，在观测记录期间，PIIS 的支撑能力显着下降。然后，我们研究模型冰川如何响应边缘支撑的损失，并能够广泛地重现观察结果。通过将模型模拟与观测结果联系起来，我们在 PIIS 上重新创建了支撑损失的时间表。这些损失可能预示着一段时期的接地线后退以及松岛冰川对全球平均海平面上升的加速。</w:t>
      </w:r>
    </w:p>
    <w:p>
      <w:pPr>
        <w:spacing w:before="0" w:after="200" w:lineRule="auto" w:line="276"/>
      </w:pPr>
      <w:r>
        <w:rPr>
          <w:b/>
        </w:rPr>
        <w:t xml:space="preserve">Abstract (EN): </w:t>
      </w:r>
      <w:r>
        <w:t>Ice shelves, the floating extensions of the Antarctic Ice Sheet, provide critical buttressing stresses that resist the seaward flow of ice and help set the position of the grounding line, where the ice goes afloat. As buttressing stresses are diminished by thinning or fracturing and collapse of the ice shelf, glaciers tend to accelerate. Here, we focus on the response of Pine Island Ice Shelf (PIIS) in West Antarctica to multiple calving events and the disintegration of the lateral shear margins. Using observed time-series of the surface velocity fields between 2015 and 2024, we show multiple episodes of acceleration in ice flow and a marked reduction in the buttressing stresses. These observations show that PIIS experienced a significant reduction of its buttressing capacity during the observational record. We then investigate how a model glacier responds to loss in margin buttressing, and are able to broadly reproduce observations. By linking model simulations to observations, we recreate a timeline of buttressing loss on PIIS. These losses likely foreshadow a period of grounding line retreat and acceleration of Pine Island Glacier’s contribution to global mean sea level rise.</w:t>
      </w:r>
    </w:p>
    <w:p>
      <w:pPr>
        <w:spacing w:before="120" w:after="120"/>
      </w:pPr>
      <w:r>
        <w:rPr>
          <w:sz w:val="18"/>
        </w:rPr>
        <w:t>——————————————————————————————————————————————————————————————————————</w:t>
      </w:r>
    </w:p>
    <w:p>
      <w:pPr>
        <w:spacing w:before="160" w:after="40" w:line="240" w:lineRule="auto"/>
      </w:pPr>
      <w:r>
        <w:rPr>
          <w:b/>
        </w:rPr>
        <w:t xml:space="preserve">[424] </w:t>
      </w:r>
      <w:hyperlink r:id="rId1355">
        <w:r>
          <w:rPr>
            <w:color w:val="1155CC"/>
            <w:u w:val="single"/>
          </w:rPr>
          <w:t>橘子：来自地衣形成真菌的新星舰家族</w:t>
        </w:r>
      </w:hyperlink>
    </w:p>
    <w:p>
      <w:pPr>
        <w:spacing w:before="0" w:after="80"/>
      </w:pPr>
      <w:r>
        <w:rPr>
          <w:i/>
          <w:sz w:val="20"/>
        </w:rPr>
        <w:t>EN: Tangerine: A new family of Starships from lichen-forming fungi</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56">
        <w:r>
          <w:rPr>
            <w:color w:val="1155CC"/>
            <w:u w:val="single"/>
          </w:rPr>
          <w:t>10.1073/pnas.2534402123</w:t>
        </w:r>
      </w:hyperlink>
    </w:p>
    <w:p>
      <w:pPr>
        <w:spacing w:before="0" w:after="120"/>
      </w:pPr>
      <w:r>
        <w:rPr>
          <w:b/>
        </w:rPr>
        <w:t xml:space="preserve">Notes: </w:t>
      </w:r>
      <w:r>
        <w:t>abstract_source=crossref</w:t>
      </w:r>
    </w:p>
    <w:p>
      <w:pPr>
        <w:spacing w:before="0" w:after="80" w:lineRule="auto" w:line="276"/>
      </w:pPr>
      <w:r>
        <w:rPr>
          <w:b/>
        </w:rPr>
        <w:t xml:space="preserve">摘要（ZH）: </w:t>
      </w:r>
      <w:r>
        <w:t>地衣是丝状真菌和光合微生物（例如绿藻和/或蓝藻）之间的共生关联，形成单一的解剖学复杂结构，可以在不适合大多数生物生存的环境中繁衍生息，包括北极苔原、高山和沙漠。最近的证据表明，地衣可能比以前认为的更加复杂，包含多种微生物成分，但主要真菌共生体（提供地衣组织中的大部分生物量）的基因组在进化过程中是如何形成的很大程度上尚未被探索。最近，巨大的转座元件被称为</w:t>
      </w:r>
      <w:r>
        <w:t xml:space="preserve"> </w:t>
      </w:r>
      <w:r>
        <w:t>星舰</w:t>
      </w:r>
      <w:r>
        <w:t xml:space="preserve"> </w:t>
      </w:r>
      <w:r>
        <w:t>已在丝状真菌的许多基因组中发现，但它们在地衣形成真菌中的存在程度尚不清楚。在本报告中，我们描述了</w:t>
      </w:r>
      <w:r>
        <w:t xml:space="preserve"> </w:t>
      </w:r>
      <w:r>
        <w:t>星舰</w:t>
      </w:r>
      <w:r>
        <w:t xml:space="preserve"> </w:t>
      </w:r>
      <w:r>
        <w:t>来自地衣真菌的元素</w:t>
      </w:r>
      <w:r>
        <w:t xml:space="preserve"> </w:t>
      </w:r>
      <w:r>
        <w:t>苍耳</w:t>
      </w:r>
      <w:r>
        <w:t xml:space="preserve"> </w:t>
      </w:r>
      <w:r>
        <w:t>。该元素名为</w:t>
      </w:r>
      <w:r>
        <w:t xml:space="preserve"> </w:t>
      </w:r>
      <w:r>
        <w:t>橘子</w:t>
      </w:r>
      <w:r>
        <w:t xml:space="preserve"> </w:t>
      </w:r>
      <w:r>
        <w:t>，包含几个具有来自非地衣形成真菌的水平基因转移特征的基因，最有可能来自通常与地衣相关的毛囊藻目黑酵母。携带的重复序列</w:t>
      </w:r>
      <w:r>
        <w:t xml:space="preserve"> </w:t>
      </w:r>
      <w:r>
        <w:t>橘子</w:t>
      </w:r>
      <w:r>
        <w:t xml:space="preserve"> </w:t>
      </w:r>
      <w:r>
        <w:t>，并在其他网站中找到</w:t>
      </w:r>
      <w:r>
        <w:t xml:space="preserve"> </w:t>
      </w:r>
      <w:r>
        <w:t>黄花属</w:t>
      </w:r>
      <w:r>
        <w:t xml:space="preserve"> </w:t>
      </w:r>
      <w:r>
        <w:t>基因组，受到重复诱导的点突变的影响，这是一种基因组防御转座元件的机制，与真菌有性繁殖一致，真菌有性繁殖总是p</w:t>
      </w:r>
    </w:p>
    <w:p>
      <w:pPr>
        <w:spacing w:before="0" w:after="200" w:lineRule="auto" w:line="276"/>
      </w:pPr>
      <w:r>
        <w:rPr>
          <w:b/>
        </w:rPr>
        <w:t xml:space="preserve">Abstract (EN): </w:t>
      </w:r>
      <w:r>
        <w:t>Lichens are symbiotic associations between filamentous fungi and photosynthetic micro-organisms, such as green algae and/or cyanobacteria, that result in a single anatomically complex structure that can thrive in environments inhospitable to most organisms, including arctic tundra, high mountains, and deserts. Recent evidence suggests that lichens may be even more complex than previously appreciated, containing multiple microbial constituents, but how genomes of the principal fungal symbiont (which provides the majority of biomass in lichen tissue) have been shaped during evolution is largely unexplored. Recently, giant transposable elements called</w:t>
      </w:r>
      <w:r>
        <w:t xml:space="preserve"> </w:t>
      </w:r>
      <w:r>
        <w:t>Starships</w:t>
      </w:r>
      <w:r>
        <w:t xml:space="preserve"> </w:t>
      </w:r>
      <w:r>
        <w:t>have been found in many genomes of filamentous fungi, but to which extent they occur in lichen-forming fungi is not known. In this report, we describe a</w:t>
      </w:r>
      <w:r>
        <w:t xml:space="preserve"> </w:t>
      </w:r>
      <w:r>
        <w:t>Starship</w:t>
      </w:r>
      <w:r>
        <w:t xml:space="preserve"> </w:t>
      </w:r>
      <w:r>
        <w:t>element from the lichen fungus</w:t>
      </w:r>
      <w:r>
        <w:t xml:space="preserve"> </w:t>
      </w:r>
      <w:r>
        <w:t>Xanthoria parietina</w:t>
      </w:r>
      <w:r>
        <w:t xml:space="preserve"> </w:t>
      </w:r>
      <w:r>
        <w:t>. This element, named</w:t>
      </w:r>
      <w:r>
        <w:t xml:space="preserve"> </w:t>
      </w:r>
      <w:r>
        <w:t>Tangerine</w:t>
      </w:r>
      <w:r>
        <w:t xml:space="preserve"> </w:t>
      </w:r>
      <w:r>
        <w:t>, contains several genes that have signatures of horizontal gene transfer from nonlichen-forming fungi, most likely from black yeasts of the Chaetothyriales, that are often lichen-associated. Repetitive sequences carried by</w:t>
      </w:r>
      <w:r>
        <w:t xml:space="preserve"> </w:t>
      </w:r>
      <w:r>
        <w:t>Tangerine</w:t>
      </w:r>
      <w:r>
        <w:t xml:space="preserve"> </w:t>
      </w:r>
      <w:r>
        <w:t>, and found in other sites in</w:t>
      </w:r>
      <w:r>
        <w:t xml:space="preserve"> </w:t>
      </w:r>
      <w:r>
        <w:t>Xanthoria</w:t>
      </w:r>
      <w:r>
        <w:t xml:space="preserve"> </w:t>
      </w:r>
      <w:r>
        <w:t>genomes, are affected by repeat-induced point mutation, a mechanism of genome defense against transposable elements, consistent with fungal sexual reproduction which always precedes new lichen formation by</w:t>
      </w:r>
      <w:r>
        <w:t xml:space="preserve"> </w:t>
      </w:r>
      <w:r>
        <w:t>X. parietina</w:t>
      </w:r>
      <w:r>
        <w:t xml:space="preserve"> </w:t>
      </w:r>
      <w:r>
        <w:t>.</w:t>
      </w:r>
      <w:r>
        <w:t xml:space="preserve"> </w:t>
      </w:r>
      <w:r>
        <w:t>Tangerine</w:t>
      </w:r>
      <w:r>
        <w:t xml:space="preserve"> </w:t>
      </w:r>
      <w:r>
        <w:t>’s “captain” belongs to a newly defined family of tyrosine recombinases specific to lichen-forming Lecanoromycetes. Several other captain clades have signatures of horizontal gene transfer between distantly related lichen-forming fungi and nonmycobiont lichen-associated fungi. We speculate that</w:t>
      </w:r>
      <w:r>
        <w:t xml:space="preserve"> </w:t>
      </w:r>
      <w:r>
        <w:t>Starships</w:t>
      </w:r>
      <w:r>
        <w:t xml:space="preserve"> </w:t>
      </w:r>
      <w:r>
        <w:t>may play a significant, yet hitherto unrecognized role, in lichen genome evolution and provide a roadmap for further investigation.</w:t>
      </w:r>
    </w:p>
    <w:p>
      <w:pPr>
        <w:spacing w:before="120" w:after="120"/>
      </w:pPr>
      <w:r>
        <w:rPr>
          <w:sz w:val="18"/>
        </w:rPr>
        <w:t>——————————————————————————————————————————————————————————————————————</w:t>
      </w:r>
    </w:p>
    <w:p>
      <w:pPr>
        <w:spacing w:before="160" w:after="40" w:line="240" w:lineRule="auto"/>
      </w:pPr>
      <w:r>
        <w:rPr>
          <w:b/>
        </w:rPr>
        <w:t xml:space="preserve">[425] </w:t>
      </w:r>
      <w:hyperlink r:id="rId1357">
        <w:r>
          <w:rPr>
            <w:color w:val="1155CC"/>
            <w:u w:val="single"/>
          </w:rPr>
          <w:t>磷酸化开关控制 KIF11 有丝分裂期间的机械输出</w:t>
        </w:r>
      </w:hyperlink>
    </w:p>
    <w:p>
      <w:pPr>
        <w:spacing w:before="0" w:after="80"/>
      </w:pPr>
      <w:r>
        <w:rPr>
          <w:i/>
          <w:sz w:val="20"/>
        </w:rPr>
        <w:t>EN: A phosphorylation switch governs KIF11’s mechanical output during mitosis</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58">
        <w:r>
          <w:rPr>
            <w:color w:val="1155CC"/>
            <w:u w:val="single"/>
          </w:rPr>
          <w:t>10.1073/pnas.2602415123</w:t>
        </w:r>
      </w:hyperlink>
    </w:p>
    <w:p>
      <w:pPr>
        <w:spacing w:before="0" w:after="120"/>
      </w:pPr>
      <w:r>
        <w:rPr>
          <w:b/>
        </w:rPr>
        <w:t xml:space="preserve">Notes: </w:t>
      </w:r>
      <w:r>
        <w:t>abstract_source=crossref</w:t>
      </w:r>
    </w:p>
    <w:p>
      <w:pPr>
        <w:spacing w:before="0" w:after="80" w:lineRule="auto" w:line="276"/>
      </w:pPr>
      <w:r>
        <w:rPr>
          <w:b/>
        </w:rPr>
        <w:t xml:space="preserve">摘要（ZH）: </w:t>
      </w:r>
      <w:r>
        <w:t>驱动蛋白 5 运动蛋白 KIF11 对于有丝分裂纺锤体组装至关重要，通过微管滑动驱动纺锤体极的分离。 Src 家族激酶在 KIF11 运动域内的多个酪氨酸残基处磷酸化 KIF11，但这些修饰的机制后果仍不清楚。在这里，我们使用磷酸模拟物 (Y211E) 和不可磷酸化突变体 (Y211F) 剖析了 Y211 磷酸化在生化、生物物理和细胞测定中的作用。光学捕获和 Förster 共振能量转移分析表明，Y211 磷酸化会减慢颈连接器对接，从而降低电机速度和负载下力的产生。在人类细胞中，Y211E 表达会损害双极纺锤体形成并降低纺锤体极分离速度，而 Y211F 会缩短稳态纺锤体长度。光漂白分析后的荧光恢复表明，Y211E 加速了纺锤体微管上的运动转换，这与突变体运动的负载敏感性增强一致。总之，这些发现支持了一个模型，其中 Src 介导的 Y211 磷酸化充当变阻器来调整 KIF11 机械化学和纺锤体组装动力学，将癌症相关激酶信号传导与有丝分裂力的产生联系起来。</w:t>
      </w:r>
    </w:p>
    <w:p>
      <w:pPr>
        <w:spacing w:before="0" w:after="200" w:lineRule="auto" w:line="276"/>
      </w:pPr>
      <w:r>
        <w:rPr>
          <w:b/>
        </w:rPr>
        <w:t xml:space="preserve">Abstract (EN): </w:t>
      </w:r>
      <w:r>
        <w:t>The kinesin-5 motor protein KIF11 is crucial for mitotic spindle assembly, driving the separation of spindle poles through microtubule sliding. Src-family kinases phosphorylate KIF11 at multiple tyrosine residues within its motor domain, but the mechanistic consequences of these modifications remain unclear. Here, we dissect the role of phosphorylation at Y211 using phospho-mimetic (Y211E) and nonphosphorylatable mutants (Y211F) in biochemical, biophysical, and cellular assays. Optical trapping and Förster resonance energy transfer analyses reveal that Y211 phosphorylation slows neck-linker docking, reducing motor velocity and force generation under load. In human cells, Y211E expression impairs bipolar spindle formation and decreases spindle pole separation velocity, while Y211F shortens steady-state spindle length. Fluorescence recovery after photobleaching analyses show that Y211E accelerates motor turnover on spindle microtubules, consistent with the mutant motor’s heightened load sensitivity. Together, these findings support a model in which Src-mediated phosphorylation at Y211 acts as a rheostat to tune KIF11 mechanochemistry and spindle assembly dynamics, linking cancer-relevant kinase signaling to mitotic force generation.</w:t>
      </w:r>
    </w:p>
    <w:p>
      <w:pPr>
        <w:spacing w:before="120" w:after="120"/>
      </w:pPr>
      <w:r>
        <w:rPr>
          <w:sz w:val="18"/>
        </w:rPr>
        <w:t>——————————————————————————————————————————————————————————————————————</w:t>
      </w:r>
    </w:p>
    <w:p>
      <w:pPr>
        <w:spacing w:before="160" w:after="40" w:line="240" w:lineRule="auto"/>
      </w:pPr>
      <w:r>
        <w:rPr>
          <w:b/>
        </w:rPr>
        <w:t xml:space="preserve">[426] </w:t>
      </w:r>
      <w:hyperlink r:id="rId1359">
        <w:r>
          <w:rPr>
            <w:color w:val="1155CC"/>
            <w:u w:val="single"/>
          </w:rPr>
          <w:t>本期</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60">
        <w:r>
          <w:rPr>
            <w:color w:val="1155CC"/>
            <w:u w:val="single"/>
          </w:rPr>
          <w:t>10.1073/iti3226123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[427] </w:t>
      </w:r>
      <w:hyperlink r:id="rId1361">
        <w:r>
          <w:rPr>
            <w:color w:val="1155CC"/>
            <w:u w:val="single"/>
          </w:rPr>
          <w:t>用 1-甲基-D-色氨酸治疗性重塑结核肉芽肿可增强 CD8+ T 细胞与巨噬细胞的相互作用</w:t>
        </w:r>
      </w:hyperlink>
    </w:p>
    <w:p>
      <w:pPr>
        <w:spacing w:before="0" w:after="80"/>
      </w:pPr>
      <w:r>
        <w:rPr>
          <w:i/>
          <w:sz w:val="20"/>
        </w:rPr>
        <w:t>EN: Therapeutic remodeling of the tuberculosis granuloma with 1-methyl-D-tryptophan enhances CD8+ T cell–macrophage interactions</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62">
        <w:r>
          <w:rPr>
            <w:color w:val="1155CC"/>
            <w:u w:val="single"/>
          </w:rPr>
          <w:t>10.1073/pnas.2528104123</w:t>
        </w:r>
      </w:hyperlink>
    </w:p>
    <w:p>
      <w:pPr>
        <w:spacing w:before="0" w:after="120"/>
      </w:pPr>
      <w:r>
        <w:rPr>
          <w:b/>
        </w:rPr>
        <w:t xml:space="preserve">Notes: </w:t>
      </w:r>
      <w:r>
        <w:t>abstract_source=crossref</w:t>
      </w:r>
    </w:p>
    <w:p>
      <w:pPr>
        <w:spacing w:before="0" w:after="80" w:lineRule="auto" w:line="276"/>
      </w:pPr>
      <w:r>
        <w:rPr>
          <w:b/>
        </w:rPr>
        <w:t xml:space="preserve">摘要（ZH）: </w:t>
      </w:r>
      <w:r>
        <w:t>肉芽肿是结核病 (TB) 疾病的标志，可以限制</w:t>
      </w:r>
      <w:r>
        <w:t xml:space="preserve"> </w:t>
      </w:r>
      <w:r>
        <w:t>结核分枝杆菌</w:t>
      </w:r>
      <w:r>
        <w:t xml:space="preserve"> </w:t>
      </w:r>
      <w:r>
        <w:t>（</w:t>
      </w:r>
      <w:r>
        <w:t xml:space="preserve"> </w:t>
      </w:r>
      <w:r>
        <w:t>山地车</w:t>
      </w:r>
      <w:r>
        <w:t xml:space="preserve"> </w:t>
      </w:r>
      <w:r>
        <w:t>）传播并阻碍其清除。最近的研究表明，吲哚胺 2,3-双加氧酶 (IDO1) 是一种免疫抑制代谢酶，可限制活化 T 细胞的浸润，并可能促进结核病的进展。使用 1-甲基-D-色氨酸 (D-1MT)（一种恢复 mTOR 信号传导的小分子抑制剂）治疗已被证明可以降低 IDO1 活性并改善免疫反应</w:t>
      </w:r>
      <w:r>
        <w:t xml:space="preserve"> </w:t>
      </w:r>
      <w:r>
        <w:t>山地车</w:t>
      </w:r>
      <w:r>
        <w:t xml:space="preserve"> </w:t>
      </w:r>
      <w:r>
        <w:t>-受感染的恒河猴。在这里，我们使用恒河猴的 30 重高维问题成像研究了 D-1MT 治疗对结核肉芽肿结构的影响。通过对 13 个不同细胞群进行空间映射，我们发现 D-1MT 处理与 CD8 浸润显着增加相对应</w:t>
      </w:r>
      <w:r>
        <w:t xml:space="preserve"> </w:t>
      </w:r>
      <w:r>
        <w:t>+</w:t>
      </w:r>
      <w:r>
        <w:t xml:space="preserve"> </w:t>
      </w:r>
      <w:r>
        <w:t>与未治疗的对照相比，T 细胞变成肉芽肿。值得注意的是，这些 CD8</w:t>
      </w:r>
      <w:r>
        <w:t xml:space="preserve"> </w:t>
      </w:r>
      <w:r>
        <w:t>+</w:t>
      </w:r>
      <w:r>
        <w:t xml:space="preserve"> </w:t>
      </w:r>
      <w:r>
        <w:t>T 细胞表达细胞增殖和细胞毒性的标志物。 D-1MT增强型CD8</w:t>
      </w:r>
      <w:r>
        <w:t xml:space="preserve"> </w:t>
      </w:r>
      <w:r>
        <w:t>+</w:t>
      </w:r>
      <w:r>
        <w:t xml:space="preserve"> </w:t>
      </w:r>
      <w:r>
        <w:t>T 细胞浸润整个肉芽肿，在骨髓核心的影响尤其明显，我们观察到巨噬细胞和 CD8 之间的空间相互作用显着增强</w:t>
      </w:r>
      <w:r>
        <w:t xml:space="preserve"> </w:t>
      </w:r>
      <w:r>
        <w:t>+</w:t>
      </w:r>
      <w:r>
        <w:t xml:space="preserve"> </w:t>
      </w:r>
      <w:r>
        <w:t>T 细胞，但不是 CD4</w:t>
      </w:r>
      <w:r>
        <w:t xml:space="preserve"> </w:t>
      </w:r>
      <w:r>
        <w:t>+</w:t>
      </w:r>
      <w:r>
        <w:t xml:space="preserve"> </w:t>
      </w:r>
      <w:r>
        <w:t>T细胞。我们的结果表明： i) 有效的肉芽肿内</w:t>
      </w:r>
    </w:p>
    <w:p>
      <w:pPr>
        <w:spacing w:before="0" w:after="200" w:lineRule="auto" w:line="276"/>
      </w:pPr>
      <w:r>
        <w:rPr>
          <w:b/>
        </w:rPr>
        <w:t xml:space="preserve">Abstract (EN): </w:t>
      </w:r>
      <w:r>
        <w:t>Granulomas, the hallmark of tuberculosis (TB) disease, can both restrict</w:t>
      </w:r>
      <w:r>
        <w:t xml:space="preserve"> </w:t>
      </w:r>
      <w:r>
        <w:t>Mycobacterium tuberculosis</w:t>
      </w:r>
      <w:r>
        <w:t xml:space="preserve"> </w:t>
      </w:r>
      <w:r>
        <w:t>(</w:t>
      </w:r>
      <w:r>
        <w:t xml:space="preserve"> </w:t>
      </w:r>
      <w:r>
        <w:t>Mtb</w:t>
      </w:r>
      <w:r>
        <w:t xml:space="preserve"> </w:t>
      </w:r>
      <w:r>
        <w:t>) dissemination and impede its clearance. Recent studies indicate that indoleamine 2,3-dioxygenase (IDO1), an immunosuppressive metabolic enzyme, limits infiltration of activated T cells and can contribute to TB disease progression. Treatment with 1-methyl-D-tryptophan (D-1MT), a small molecule inhibitor that restores mTOR signaling, has been shown to reduce IDO1 activity and improve immune responses in</w:t>
      </w:r>
      <w:r>
        <w:t xml:space="preserve"> </w:t>
      </w:r>
      <w:r>
        <w:t>Mtb</w:t>
      </w:r>
      <w:r>
        <w:t xml:space="preserve"> </w:t>
      </w:r>
      <w:r>
        <w:t>-infected rhesus macaques. Here, we investigated the impact of D-1MT treatment on TB granuloma architecture using 30-plex high-dimensional issue imaging in rhesus macaques. By spatially mapping 13 distinct cell populations, we found D-1MT treatment corresponded with significantly increased infiltration CD8</w:t>
      </w:r>
      <w:r>
        <w:t xml:space="preserve"> </w:t>
      </w:r>
      <w:r>
        <w:t>+</w:t>
      </w:r>
      <w:r>
        <w:t xml:space="preserve"> </w:t>
      </w:r>
      <w:r>
        <w:t>T cells into granulomas compared to untreated controls. Notably, these CD8</w:t>
      </w:r>
      <w:r>
        <w:t xml:space="preserve"> </w:t>
      </w:r>
      <w:r>
        <w:t>+</w:t>
      </w:r>
      <w:r>
        <w:t xml:space="preserve"> </w:t>
      </w:r>
      <w:r>
        <w:t>T cells expressed markers of cell proliferation and cytotoxicity. D-1MT enhanced CD8</w:t>
      </w:r>
      <w:r>
        <w:t xml:space="preserve"> </w:t>
      </w:r>
      <w:r>
        <w:t>+</w:t>
      </w:r>
      <w:r>
        <w:t xml:space="preserve"> </w:t>
      </w:r>
      <w:r>
        <w:t>T cell infiltration throughout the granuloma, with particularly pronounced effects in the myeloid core, where we observed significantly enhanced spatial interactions between macrophages and CD8</w:t>
      </w:r>
      <w:r>
        <w:t xml:space="preserve"> </w:t>
      </w:r>
      <w:r>
        <w:t>+</w:t>
      </w:r>
      <w:r>
        <w:t xml:space="preserve"> </w:t>
      </w:r>
      <w:r>
        <w:t>T cells, but not CD4</w:t>
      </w:r>
      <w:r>
        <w:t xml:space="preserve"> </w:t>
      </w:r>
      <w:r>
        <w:t>+</w:t>
      </w:r>
      <w:r>
        <w:t xml:space="preserve"> </w:t>
      </w:r>
      <w:r>
        <w:t>T cells. Our results demonstrate that: i) effective intragranulomatous</w:t>
      </w:r>
      <w:r>
        <w:t xml:space="preserve"> </w:t>
      </w:r>
      <w:r>
        <w:t>Mtb</w:t>
      </w:r>
      <w:r>
        <w:t xml:space="preserve"> </w:t>
      </w:r>
      <w:r>
        <w:t>control is associated with the close spatial proximity between CD8</w:t>
      </w:r>
      <w:r>
        <w:t xml:space="preserve"> </w:t>
      </w:r>
      <w:r>
        <w:t>+</w:t>
      </w:r>
      <w:r>
        <w:t xml:space="preserve"> </w:t>
      </w:r>
      <w:r>
        <w:t>T cells and macrophages, a feature less abundant in uncontrolled pulmonary TB; ii) IDO1 induction blocks CD8</w:t>
      </w:r>
      <w:r>
        <w:t xml:space="preserve"> </w:t>
      </w:r>
      <w:r>
        <w:t>+</w:t>
      </w:r>
      <w:r>
        <w:t xml:space="preserve"> </w:t>
      </w:r>
      <w:r>
        <w:t>T cell infiltration and reduces T cell activation and proliferation; and iii) therapeutic strategies, including D-1MT, that improve intragranulomatous killing hold strong translational potential.</w:t>
      </w:r>
    </w:p>
    <w:p>
      <w:pPr>
        <w:spacing w:before="120" w:after="120"/>
      </w:pPr>
      <w:r>
        <w:rPr>
          <w:sz w:val="18"/>
        </w:rPr>
        <w:t>——————————————————————————————————————————————————————————————————————</w:t>
      </w:r>
    </w:p>
    <w:p>
      <w:pPr>
        <w:spacing w:before="160" w:after="40" w:line="240" w:lineRule="auto"/>
      </w:pPr>
      <w:r>
        <w:rPr>
          <w:b/>
        </w:rPr>
        <w:t xml:space="preserve">[428] </w:t>
      </w:r>
      <w:hyperlink r:id="rId1363">
        <w:r>
          <w:rPr>
            <w:color w:val="1155CC"/>
            <w:u w:val="single"/>
          </w:rPr>
          <w:t>PTPN1 和 PTPN2 共同设定控制癌症免疫逃避的干扰素反应阈值</w:t>
        </w:r>
      </w:hyperlink>
    </w:p>
    <w:p>
      <w:pPr>
        <w:spacing w:before="0" w:after="80"/>
      </w:pPr>
      <w:r>
        <w:rPr>
          <w:i/>
          <w:sz w:val="20"/>
        </w:rPr>
        <w:t>EN: PTPN1 and PTPN2 cooperatively set interferon responsiveness thresholds that govern cancer immune evasion</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64">
        <w:r>
          <w:rPr>
            <w:color w:val="1155CC"/>
            <w:u w:val="single"/>
          </w:rPr>
          <w:t>10.1073/pnas.2537555123</w:t>
        </w:r>
      </w:hyperlink>
    </w:p>
    <w:p>
      <w:pPr>
        <w:spacing w:before="0" w:after="120"/>
      </w:pPr>
      <w:r>
        <w:rPr>
          <w:b/>
        </w:rPr>
        <w:t xml:space="preserve">Notes: </w:t>
      </w:r>
      <w:r>
        <w:t>abstract_source=crossref</w:t>
      </w:r>
    </w:p>
    <w:p>
      <w:pPr>
        <w:spacing w:before="0" w:after="80" w:lineRule="auto" w:line="276"/>
      </w:pPr>
      <w:r>
        <w:rPr>
          <w:b/>
        </w:rPr>
        <w:t xml:space="preserve">摘要（ZH）: </w:t>
      </w:r>
      <w:r>
        <w:t>癌细胞的免疫逃避仍然是免疫检查点阻断（ICB）成功的主要障碍。近年来，蛋白酪氨酸磷酸酶非受体2型（PTPN2）已成为癌症免疫治疗的一个有前景且可药物化的靶点。目前正在临床开发中的抑制 PTPN2 的小分子药物也对密切相关的磷酸酶 PTPN1 表现出显着的活性。然而，每种磷酸酶的相对贡献及其对癌细胞的直接影响仍不清楚。在这里，我们将磷酸酶 PTPN1 和 PTPN2 确定为肿瘤免疫抵抗的协同调节因子。癌细胞中 PTPN1/2 的双重基因消除增强了 I 型和 II 型干扰素信号传导、MHC-I 和 CXCL9 表达，并使肿瘤细胞对细胞毒性 T 淋巴细胞介导的杀伤敏感。从机制上讲，PTPN1/2 的缺失会增强 STAT1/3/5 信号传导，降低干扰素驱动的炎症细胞死亡的激活阈值，并增加免疫识别的抗原可用性。然而，通过放大 STAT1/3 信号传导，PTPN1/2 消除或抑制会同时增加肿瘤细胞中的 PD-L1 表达，从而揭示 PD-1/PD-L1 轴是 PTPN1/2 抑制期间的治疗瓶颈。与该模型一致，PTPN1/2 抑制以肿瘤固有的方式使免疫检查点封锁难治性肿瘤对 PD-1 封锁敏感。这些发现将 PTPN1/2 确定为癌症免疫逃避的协同介质，并支持 PTPN1/2 抑制作为增强实体瘤对检查点封锁的反应性的策略。</w:t>
      </w:r>
    </w:p>
    <w:p>
      <w:pPr>
        <w:spacing w:before="0" w:after="200" w:lineRule="auto" w:line="276"/>
      </w:pPr>
      <w:r>
        <w:rPr>
          <w:b/>
        </w:rPr>
        <w:t xml:space="preserve">Abstract (EN): </w:t>
      </w:r>
      <w:r>
        <w:t>Immune evasion by cancer cells remains a major barrier to the success of immune checkpoint blockade (ICB). In recent years, Protein tyrosine phosphatase non-receptor type 2 (PTPN2) has emerged as a promising and druggable target for cancer immunotherapy. Small-molecule agents currently in clinical development to inhibit PTPN2 also exhibit substantial activity against the closely related phosphatase PTPN1. However, the relative contribution of each phosphatase and its direct effect in cancer cells remains unclear. Here, we identify the phosphatases PTPN1 and PTPN2 as cooperative regulators of tumor immune resistance. Dual genetic ablation of PTPN1/2 in cancer cells enhances Type I and II interferon signaling, MHC-I and CXCL9 expression, and sensitizes tumor cells to cytotoxic T lymphocyte–mediated killing. Mechanistically, loss of PTPN1/2 augments STAT1/3/5 signaling, lowering the activation threshold for interferon-driven inflammatory cell death and increasing antigen availability for immune recognition. However, by amplifying STAT1/3 signaling, PTPN1/2 ablation or inhibition concomitantly increases PD-L1 expression in tumor cells, thereby revealing the PD-1/PD-L1 axis as a therapeutic bottleneck during PTPN1/2 inhibition. Consistent with this model, PTPN1/2 inhibition sensitized immune checkpoint blockade–refractory tumors to PD-1 blockade in a tumor-intrinsic manner. These findings identify PTPN1/2 as cooperative mediators of cancer immune evasion and support PTPN1/2 inhibition as a strategy to enhance the responsiveness of solid tumors to checkpoint blockade.</w:t>
      </w:r>
    </w:p>
    <w:p>
      <w:pPr>
        <w:spacing w:before="120" w:after="120"/>
      </w:pPr>
      <w:r>
        <w:rPr>
          <w:sz w:val="18"/>
        </w:rPr>
        <w:t>——————————————————————————————————————————————————————————————————————</w:t>
      </w:r>
    </w:p>
    <w:p>
      <w:pPr>
        <w:spacing w:before="160" w:after="40" w:line="240" w:lineRule="auto"/>
      </w:pPr>
      <w:r>
        <w:rPr>
          <w:b/>
        </w:rPr>
        <w:t xml:space="preserve">[429] </w:t>
      </w:r>
      <w:hyperlink r:id="rId1365">
        <w:r>
          <w:rPr>
            <w:color w:val="1155CC"/>
            <w:u w:val="single"/>
          </w:rPr>
          <w:t>大语言模型的兴起以及美国联邦研究经费的方向和影响</w:t>
        </w:r>
      </w:hyperlink>
    </w:p>
    <w:p>
      <w:pPr>
        <w:spacing w:before="0" w:after="80"/>
      </w:pPr>
      <w:r>
        <w:rPr>
          <w:i/>
          <w:sz w:val="20"/>
        </w:rPr>
        <w:t>EN: The rise of large language models and the direction and impact of US federal research funding</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66">
        <w:r>
          <w:rPr>
            <w:color w:val="1155CC"/>
            <w:u w:val="single"/>
          </w:rPr>
          <w:t>10.1073/pnas.2601439123</w:t>
        </w:r>
      </w:hyperlink>
    </w:p>
    <w:p>
      <w:pPr>
        <w:spacing w:before="0" w:after="120"/>
      </w:pPr>
      <w:r>
        <w:rPr>
          <w:b/>
        </w:rPr>
        <w:t xml:space="preserve">Notes: </w:t>
      </w:r>
      <w:r>
        <w:t>abstract_source=crossref</w:t>
      </w:r>
    </w:p>
    <w:p>
      <w:pPr>
        <w:spacing w:before="0" w:after="80" w:lineRule="auto" w:line="276"/>
      </w:pPr>
      <w:r>
        <w:rPr>
          <w:b/>
        </w:rPr>
        <w:t xml:space="preserve">摘要（ZH）: </w:t>
      </w:r>
      <w:r>
        <w:t>联邦研究经费决定了美国科学事业的方向、多样性和影响力。大型语言模型（LLM）正在迅速扩散到科学实践中，在带来巨大前景的同时也引起了广泛的关注。尽管人们越来越关注人工智能在科学写作和评估中的应用，但人们对法学硕士的兴起如何重塑公共资助格局知之甚少。在这里，我们通过结合两个互补的数据源来研究法学硕士在联邦资助渠道关键阶段的参与情况：美国两所大型 R1 大学提交的机密 NSF 和 NIH 提案，包括资助、未资助和待决提案，以及公开发布的 NSF 和 NIH 奖项的全部数据。我们发现，LLM 的使用量从 2023 年开始急剧上升，并呈现出双峰分布，表明最低限度的使用和实质性使用之间存在明显的区别。在私人提交和公共奖项中，较高的法学硕士参与度始终与较低的语义独特性相关，使项目更接近同一机构内最近资助的工作。这种转变的后果取决于机构。在 NIH，LLM 的使用与提案的成功和较高的早期发表产出呈正相关，而在 NSF 则没有观察到类似的关联。值得注意的是，美国国立卫生研究院生产力的提高集中在非热门论文上，而不是被引用次数最多的论文上。总之，这些发现提供了大量证据，表明法学硕士的兴起正在重塑科学思想的定位、选择和转化为公共资助研究的方式，</w:t>
      </w:r>
    </w:p>
    <w:p>
      <w:pPr>
        <w:spacing w:before="0" w:after="200" w:lineRule="auto" w:line="276"/>
      </w:pPr>
      <w:r>
        <w:rPr>
          <w:b/>
        </w:rPr>
        <w:t xml:space="preserve">Abstract (EN): </w:t>
      </w:r>
      <w:r>
        <w:t>Federal research funding shapes the direction, diversity, and impact of the US scientific enterprise. Large language models (LLMs) are rapidly diffusing into scientific practice, holding substantial promise while raising widespread concerns. Despite growing attention to AI use in scientific writing and evaluation, little is known about how the rise of LLMs is reshaping the public funding landscape. Here, we examine LLM involvement at key stages of the federal funding pipeline by combining two complementary data sources: confidential NSF and NIH proposal submissions from two large US R1 universities, including funded, unfunded, and pending proposals, and the full population of publicly released NSF and NIH awards. We find that LLM use rises sharply beginning in 2023 and exhibits a bimodal distribution, indicating a clear split between minimal and substantive use. Across both private submissions and public awards, higher LLM involvement is consistently associated with lower semantic distinctiveness, positioning projects closer to recently funded work within the same agency. The consequences of this shift are agency-dependent. LLM use is positively associated with proposal success and higher early-stage publication output at NIH, whereas no comparable associations are observed at NSF. Notably, the productivity gains at NIH are concentrated in nonhit papers rather than the most highly cited work. Together, these findings provide large-scale evidence that the rise of LLMs is reshaping how scientific ideas are positioned, selected, and translated into publicly funded research, with implications for portfolio governance, research diversity, and the long-run impact of science.</w:t>
      </w:r>
    </w:p>
    <w:p>
      <w:pPr>
        <w:spacing w:before="120" w:after="120"/>
      </w:pPr>
      <w:r>
        <w:rPr>
          <w:sz w:val="18"/>
        </w:rPr>
        <w:t>——————————————————————————————————————————————————————————————————————</w:t>
      </w:r>
    </w:p>
    <w:p>
      <w:pPr>
        <w:spacing w:before="160" w:after="40" w:line="240" w:lineRule="auto"/>
      </w:pPr>
      <w:r>
        <w:rPr>
          <w:b/>
        </w:rPr>
        <w:t xml:space="preserve">[430] </w:t>
      </w:r>
      <w:hyperlink r:id="rId1367">
        <w:r>
          <w:rPr>
            <w:color w:val="1155CC"/>
            <w:u w:val="single"/>
          </w:rPr>
          <w:t>通过耗尽相互作用自组装胶体金刚石</w:t>
        </w:r>
      </w:hyperlink>
    </w:p>
    <w:p>
      <w:pPr>
        <w:spacing w:before="0" w:after="80"/>
      </w:pPr>
      <w:r>
        <w:rPr>
          <w:i/>
          <w:sz w:val="20"/>
        </w:rPr>
        <w:t>EN: Self-assembly of colloidal diamond via the depletion interaction</w:t>
      </w:r>
    </w:p>
    <w:p>
      <w:pPr>
        <w:spacing w:before="0" w:after="120"/>
      </w:pPr>
      <w:r>
        <w:rPr>
          <w:b/>
        </w:rPr>
        <w:t xml:space="preserve">Source: </w:t>
      </w:r>
      <w:r>
        <w:t>Proceedings of the National Academy of Sciences: Keyword search for query</w:t>
      </w:r>
      <w:r>
        <w:t xml:space="preserve">    </w:t>
      </w:r>
      <w:r>
        <w:rPr>
          <w:b/>
        </w:rPr>
        <w:t xml:space="preserve">Pub date: </w:t>
      </w:r>
      <w:r>
        <w:t>2026-08-11 07:00:00+00:00</w:t>
      </w:r>
      <w:r>
        <w:t xml:space="preserve">    </w:t>
      </w:r>
      <w:r>
        <w:rPr>
          <w:b/>
        </w:rPr>
        <w:t xml:space="preserve">DOI: </w:t>
      </w:r>
      <w:hyperlink r:id="rId1368">
        <w:r>
          <w:rPr>
            <w:color w:val="1155CC"/>
            <w:u w:val="single"/>
          </w:rPr>
          <w:t>10.1073/pnas.2607577123</w:t>
        </w:r>
      </w:hyperlink>
    </w:p>
    <w:p>
      <w:pPr>
        <w:spacing w:before="0" w:after="120"/>
      </w:pPr>
      <w:r>
        <w:rPr>
          <w:b/>
        </w:rPr>
        <w:t xml:space="preserve">Notes: </w:t>
      </w:r>
      <w:r>
        <w:t>abstract_source=crossref</w:t>
      </w:r>
    </w:p>
    <w:p>
      <w:pPr>
        <w:spacing w:before="0" w:after="80" w:lineRule="auto" w:line="276"/>
      </w:pPr>
      <w:r>
        <w:rPr>
          <w:b/>
        </w:rPr>
        <w:t xml:space="preserve">摘要（ZH）: </w:t>
      </w:r>
      <w:r>
        <w:t>具有立方金刚石结构的胶体晶体是三维光子带隙材料的有吸引力的模板，但它们的自组装因四面体配位和交错的次近邻键的需要而受到阻碍，这两者共同在先前实现的DNA介导的系统中施加了巨大的动力学障碍。在这里，我们展示了一种熵引导的、非位点特定的胶体金刚石路线，该路线利用耗尽相互作用来组装四面体片状颗粒（TLPP）。非凸 TLPP 形状编码交错的几何形状，并允许相邻粒子之间进行多次连续接触，因此当粒子接近完全互锁的配置时，排除体积重叠逐渐增加。使用聚合物胶束 (Pluronic F127) 作为消耗剂，以及二氧化硅和二氧化钛纳米颗粒以及聚环氧乙烷，我们获得了立方金刚石晶体，该晶体在较低的颗粒浓度下形成，并且在时间尺度上比通过 DNA 涂层贴片连接的 TLPP 快一个数量级。荧光标记、折射率匹配颗粒的光学显微镜通过分析键网络、径向分布函数和三重键取向有序参数，证实了三维金刚石有序和主要是 {111} 平面的 ABC 堆叠。蒙特卡罗排除体积计算和伞采样表明，增加耗尽强度将平均力的潜力重塑为宽阔的漏斗状景观，朝向完全互锁的近接状态，从而大大减少了旋转</w:t>
      </w:r>
    </w:p>
    <w:p>
      <w:pPr>
        <w:spacing w:before="0" w:after="200" w:lineRule="auto" w:line="276"/>
      </w:pPr>
      <w:r>
        <w:rPr>
          <w:b/>
        </w:rPr>
        <w:t xml:space="preserve">Abstract (EN): </w:t>
      </w:r>
      <w:r>
        <w:t>Colloidal crystals with the cubic diamond structure are attractive templates for three-dimensional photonic band-gap materials, but their self-assembly is hindered by the need for tetrahedral coordination and staggered next-nearest-neighbor bonds, which together impose substantial kinetic barriers in previously realized DNA-mediated systems. Here we demonstrate an entropically guided, non-site-specific route to colloidal diamond that uses the depletion interaction to assemble tetrahedrally lobed patchy particles (TLPPs). The nonconvex TLPP shape encodes the staggered geometry and permits multiple sequential contacts between neighbors, so excluded-volume overlap increases progressively as particles approach the fully interlocked configuration. Using polymer micelles (Pluronic F127) as depletants, as well as silica and titania nanoparticles and polyethylene oxide, we obtain cubic-diamond crystals that form at lower particle concentrations and on timescales about an order of magnitude faster than TLPPs linked through DNA-coated patches. Optical microscopy of fluorescently labeled, refractive-index-matched particles confirms three-dimensional diamond order and predominantly ABC stacking of the {111} planes through analysis of bond networks, radial distribution functions, and a threefold bond-orientational order parameter. Monte Carlo excluded-volume calculations and umbrella sampling show that increasing depletion strength reshapes the potential of mean force into a broad, funnel-like landscape toward the fully interlocked subkissing state, substantially reducing the rotational entropic barrier to binding. Finally, we show that depletion-assembled structures can be permanently fixed by hybridization of palindromic DNA linkers followed by ultraviolet light (UV)-induced thymine photodimerization, enabling washing, drying, and downstream conversion to inverse photonic lattices.</w:t>
      </w:r>
    </w:p>
    <w:p>
      <w:pPr>
        <w:spacing w:before="120" w:after="120"/>
      </w:pPr>
      <w:r>
        <w:rPr>
          <w:sz w:val="18"/>
        </w:rPr>
        <w:t>——————————————————————————————————————————————————————————————————————</w:t>
      </w:r>
    </w:p>
    <w:p>
      <w:pPr>
        <w:spacing w:before="160" w:after="40" w:line="240" w:lineRule="auto"/>
      </w:pPr>
      <w:r>
        <w:rPr>
          <w:b/>
        </w:rPr>
        <w:t xml:space="preserve">[431] </w:t>
      </w:r>
      <w:hyperlink r:id="rId1369">
        <w:r>
          <w:rPr>
            <w:color w:val="1155CC"/>
            <w:u w:val="single"/>
          </w:rPr>
          <w:t>具有机械化学反馈的一维活性固体中的对称保护相</w:t>
        </w:r>
      </w:hyperlink>
    </w:p>
    <w:p>
      <w:pPr>
        <w:spacing w:before="0" w:after="80"/>
      </w:pPr>
      <w:r>
        <w:rPr>
          <w:i/>
          <w:sz w:val="20"/>
        </w:rPr>
        <w:t>EN: Symmetry-Protected Phases in a 1D Active Solid with Mechanochemical Feedback</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370">
        <w:r>
          <w:rPr>
            <w:color w:val="1155CC"/>
            <w:u w:val="single"/>
          </w:rPr>
          <w:t>10.1103/p1bw-v87g</w:t>
        </w:r>
      </w:hyperlink>
    </w:p>
    <w:p>
      <w:pPr>
        <w:spacing w:before="0" w:after="120"/>
      </w:pPr>
      <w:r>
        <w:rPr>
          <w:b/>
        </w:rPr>
        <w:t xml:space="preserve">Notes: </w:t>
      </w:r>
      <w:r>
        <w:t>abstract_source=rss_description</w:t>
      </w:r>
    </w:p>
    <w:p>
      <w:pPr>
        <w:spacing w:before="0" w:after="80" w:lineRule="auto" w:line="276"/>
      </w:pPr>
      <w:r>
        <w:rPr>
          <w:b/>
        </w:rPr>
        <w:t xml:space="preserve">摘要（ZH）: </w:t>
      </w:r>
      <w:r>
        <w:t>作者：Soumyadeep Mondal、Phanindra Dewan、Lakshman Santhosh Kumar 和 Sumantra Sarkar 我们提出了活性固体中机械化学自组织的框架，其中弹性与 Hopf 振荡器相互耦合。我们的模型揭示了通过振幅方程和群论分析识别的丰富的对称保护相。我们发现了一种普遍的现象……[物理。莱特牧师。 137, 078401] 2026 年 8 月 11 日星期二发布</w:t>
      </w:r>
    </w:p>
    <w:p>
      <w:pPr>
        <w:spacing w:before="0" w:after="200" w:lineRule="auto" w:line="276"/>
      </w:pPr>
      <w:r>
        <w:rPr>
          <w:b/>
        </w:rPr>
        <w:t xml:space="preserve">Abstract (EN): </w:t>
      </w:r>
      <w:r>
        <w:t>Author(s): Soumyadeep Mondal, Phanindra Dewan, Lakshman Santhosh Kumar, and Sumantra SarkarWe present a framework for mechanochemical self-organization in active solids where elasticity is reciprocally coupled to Hopf oscillators. Our model reveals a rich landscape of symmetry-protected phases identified through amplitude equations and group-theoretic analysis. We uncover a universal tran…[Phys. Rev. Lett. 137, 078401] Published Tue Aug 11, 2026</w:t>
      </w:r>
    </w:p>
    <w:p>
      <w:pPr>
        <w:spacing w:before="120" w:after="120"/>
      </w:pPr>
      <w:r>
        <w:rPr>
          <w:sz w:val="18"/>
        </w:rPr>
        <w:t>——————————————————————————————————————————————————————————————————————</w:t>
      </w:r>
    </w:p>
    <w:p>
      <w:pPr>
        <w:spacing w:before="160" w:after="40" w:line="240" w:lineRule="auto"/>
      </w:pPr>
      <w:r>
        <w:rPr>
          <w:b/>
        </w:rPr>
        <w:t xml:space="preserve">[432] </w:t>
      </w:r>
      <w:hyperlink r:id="rId1371">
        <w:r>
          <w:rPr>
            <w:color w:val="1155CC"/>
            <w:u w:val="single"/>
          </w:rPr>
          <w:t>从第一原理看固体振动谱中的费米和达林-丹尼森共振</w:t>
        </w:r>
      </w:hyperlink>
    </w:p>
    <w:p>
      <w:pPr>
        <w:spacing w:before="0" w:after="80"/>
      </w:pPr>
      <w:r>
        <w:rPr>
          <w:i/>
          <w:sz w:val="20"/>
        </w:rPr>
        <w:t>EN: Fermi and Darling-Dennison Resonances in Vibrational Spectra of Solids from First Principles</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372">
        <w:r>
          <w:rPr>
            <w:color w:val="1155CC"/>
            <w:u w:val="single"/>
          </w:rPr>
          <w:t>10.1103/s3jm-3977</w:t>
        </w:r>
      </w:hyperlink>
    </w:p>
    <w:p>
      <w:pPr>
        <w:spacing w:before="0" w:after="120"/>
      </w:pPr>
      <w:r>
        <w:rPr>
          <w:b/>
        </w:rPr>
        <w:t xml:space="preserve">Notes: </w:t>
      </w:r>
      <w:r>
        <w:t>abstract_source=rss_description</w:t>
      </w:r>
    </w:p>
    <w:p>
      <w:pPr>
        <w:spacing w:before="0" w:after="80" w:lineRule="auto" w:line="276"/>
      </w:pPr>
      <w:r>
        <w:rPr>
          <w:b/>
        </w:rPr>
        <w:t xml:space="preserve">摘要（ZH）: </w:t>
      </w:r>
      <w:r>
        <w:t>作者：Davide Mitoli、Jacques K. Desmarais、Jean-Pierre Flament、Lorenzo Mino 和 Alessandro Erba 材料和表面的红外 (IR) 和拉曼振动光谱可能相当复杂，通常结合基于双谐波近似的模拟来解释。各种非谐波光谱特征（带移、组合带、泛音、热带、共振……[Phys. Rev. Lett. 137, 076902] 于 2026 年 8 月 11 日星期二发布</w:t>
      </w:r>
    </w:p>
    <w:p>
      <w:pPr>
        <w:spacing w:before="0" w:after="200" w:lineRule="auto" w:line="276"/>
      </w:pPr>
      <w:r>
        <w:rPr>
          <w:b/>
        </w:rPr>
        <w:t xml:space="preserve">Abstract (EN): </w:t>
      </w:r>
      <w:r>
        <w:t>Author(s): Davide Mitoli, Jacques K. Desmarais, Jean-Pierre Flament, Lorenzo Mino, and Alessandro ErbaInfrared (IR) and Raman vibrational spectra of materials and surfaces can be rather complex and are often interpreted in combination with simulations based on the double-harmonic approximation. A variety of anharmonic spectral features (band shifts, combination bands, overtones, hot bands, resonance…[Phys. Rev. Lett. 137, 076902] Published Tue Aug 11, 2026</w:t>
      </w:r>
    </w:p>
    <w:p>
      <w:pPr>
        <w:spacing w:before="120" w:after="120"/>
      </w:pPr>
      <w:r>
        <w:rPr>
          <w:sz w:val="18"/>
        </w:rPr>
        <w:t>——————————————————————————————————————————————————————————————————————</w:t>
      </w:r>
    </w:p>
    <w:p>
      <w:pPr>
        <w:spacing w:before="160" w:after="40" w:line="240" w:lineRule="auto"/>
      </w:pPr>
      <w:r>
        <w:rPr>
          <w:b/>
        </w:rPr>
        <w:t xml:space="preserve">[433] </w:t>
      </w:r>
      <w:hyperlink r:id="rId1373">
        <w:r>
          <w:rPr>
            <w:color w:val="1155CC"/>
            <w:u w:val="single"/>
          </w:rPr>
          <w:t>$d$ 波交替磁体中的电流驱动非线性斯格明子动力学</w:t>
        </w:r>
      </w:hyperlink>
    </w:p>
    <w:p>
      <w:pPr>
        <w:spacing w:before="0" w:after="80"/>
      </w:pPr>
      <w:r>
        <w:rPr>
          <w:i/>
          <w:sz w:val="20"/>
        </w:rPr>
        <w:t>EN: Current-Driven Nonlinear Skyrmion Dynamics in $d$-Wave Altermagnets</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374">
        <w:r>
          <w:rPr>
            <w:color w:val="1155CC"/>
            <w:u w:val="single"/>
          </w:rPr>
          <w:t>10.1103/y9q4-13fw</w:t>
        </w:r>
      </w:hyperlink>
    </w:p>
    <w:p>
      <w:pPr>
        <w:spacing w:before="0" w:after="120"/>
      </w:pPr>
      <w:r>
        <w:rPr>
          <w:b/>
        </w:rPr>
        <w:t xml:space="preserve">Notes: </w:t>
      </w:r>
      <w:r>
        <w:t>abstract_source=rss_description</w:t>
      </w:r>
    </w:p>
    <w:p>
      <w:pPr>
        <w:spacing w:before="0" w:after="80" w:lineRule="auto" w:line="276"/>
      </w:pPr>
      <w:r>
        <w:rPr>
          <w:b/>
        </w:rPr>
        <w:t xml:space="preserve">摘要（ZH）: </w:t>
      </w:r>
      <w:r>
        <w:t>作者：刘阳、金哲君宇、刘杰、严鹏质心和螺旋度是斯格明子的两个动态自由度。在这封信中，我们研究了受挫 $d$ 波交流磁体中电流驱动的斯格明子运动。与传统观点相反，我们发现斯格明子螺旋度并不与斯格明子霍尔角锁定，而是与unidir锁定......[物理。莱特牧师。 137, 076702] 2026 年 8 月 11 日星期二发布</w:t>
      </w:r>
    </w:p>
    <w:p>
      <w:pPr>
        <w:spacing w:before="0" w:after="200" w:lineRule="auto" w:line="276"/>
      </w:pPr>
      <w:r>
        <w:rPr>
          <w:b/>
        </w:rPr>
        <w:t xml:space="preserve">Abstract (EN): </w:t>
      </w:r>
      <w:r>
        <w:t>Author(s): Yang Liu, Zhejunyu Jin, Jie Liu, and Peng YanThe center of mass and helicity are two dynamic degrees of freedom of skyrmions. In this Letter, we study the current-driven skyrmion motion in frustrated $d$-wave altermagnets. Contrary to conventional wisdom, we find that the skyrmion helicity is not locked with the skyrmion Hall angle, but unidir…[Phys. Rev. Lett. 137, 076702] Published Tue Aug 11, 2026</w:t>
      </w:r>
    </w:p>
    <w:p>
      <w:pPr>
        <w:spacing w:before="120" w:after="120"/>
      </w:pPr>
      <w:r>
        <w:rPr>
          <w:sz w:val="18"/>
        </w:rPr>
        <w:t>——————————————————————————————————————————————————————————————————————</w:t>
      </w:r>
    </w:p>
    <w:p>
      <w:pPr>
        <w:spacing w:before="160" w:after="40" w:line="240" w:lineRule="auto"/>
      </w:pPr>
      <w:r>
        <w:rPr>
          <w:b/>
        </w:rPr>
        <w:t xml:space="preserve">[434] </w:t>
      </w:r>
      <w:hyperlink r:id="rId1375">
        <w:r>
          <w:rPr>
            <w:color w:val="1155CC"/>
            <w:u w:val="single"/>
          </w:rPr>
          <w:t>辅音与不和谐声音感知的耳蜗非线性网络相关性</w:t>
        </w:r>
      </w:hyperlink>
    </w:p>
    <w:p>
      <w:pPr>
        <w:spacing w:before="0" w:after="80"/>
      </w:pPr>
      <w:r>
        <w:rPr>
          <w:i/>
          <w:sz w:val="20"/>
        </w:rPr>
        <w:t>EN: Cochlear Nonlinear Network Correlate of Consonant vs Dissonant Sounds Perception</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376">
        <w:r>
          <w:rPr>
            <w:color w:val="1155CC"/>
            <w:u w:val="single"/>
          </w:rPr>
          <w:t>10.1103/8brp-kdpy</w:t>
        </w:r>
      </w:hyperlink>
    </w:p>
    <w:p>
      <w:pPr>
        <w:spacing w:before="0" w:after="120"/>
      </w:pPr>
      <w:r>
        <w:rPr>
          <w:b/>
        </w:rPr>
        <w:t xml:space="preserve">Notes: </w:t>
      </w:r>
      <w:r>
        <w:t>abstract_source=rss_description</w:t>
      </w:r>
    </w:p>
    <w:p>
      <w:pPr>
        <w:spacing w:before="0" w:after="80" w:lineRule="auto" w:line="276"/>
      </w:pPr>
      <w:r>
        <w:rPr>
          <w:b/>
        </w:rPr>
        <w:t xml:space="preserve">摘要（ZH）: </w:t>
      </w:r>
      <w:r>
        <w:t>作者：Florian Gomez 和 Ruedi Stoop 几个世纪以来，人类对辅音和不和谐二元声音（“c-d 感知现象”）的区分一直是一个悬而未决的难题，激发了物理学研究的新方向。在这里，我们证明了激活耳蜗放大器网络的非线性声音处理......[Phys。莱特牧师。 137, 078402] 2026 年 8 月 11 日星期二发布</w:t>
      </w:r>
    </w:p>
    <w:p>
      <w:pPr>
        <w:spacing w:before="0" w:after="200" w:lineRule="auto" w:line="276"/>
      </w:pPr>
      <w:r>
        <w:rPr>
          <w:b/>
        </w:rPr>
        <w:t xml:space="preserve">Abstract (EN): </w:t>
      </w:r>
      <w:r>
        <w:t>Author(s): Florian Gomez and Ruedi StoopFor centuries, the human distinction between consonant and dissonant dyadic sounds (“c-d perception phenomenon”) has remained an unresolved puzzle, igniting novel directions in physics research. Here, we demonstrate that nonlinear sound processing by the network of activated cochlear amplifiers reve…[Phys. Rev. Lett. 137, 078402] Published Tue Aug 11, 2026</w:t>
      </w:r>
    </w:p>
    <w:p>
      <w:pPr>
        <w:spacing w:before="120" w:after="120"/>
      </w:pPr>
      <w:r>
        <w:rPr>
          <w:sz w:val="18"/>
        </w:rPr>
        <w:t>——————————————————————————————————————————————————————————————————————</w:t>
      </w:r>
    </w:p>
    <w:p>
      <w:pPr>
        <w:spacing w:before="160" w:after="40" w:line="240" w:lineRule="auto"/>
      </w:pPr>
      <w:r>
        <w:rPr>
          <w:b/>
        </w:rPr>
        <w:t xml:space="preserve">[435] </w:t>
      </w:r>
      <w:hyperlink r:id="rId1377">
        <w:r>
          <w:rPr>
            <w:color w:val="1155CC"/>
            <w:u w:val="single"/>
          </w:rPr>
          <w:t>一维硬棒的精确动力结构因子及其通用随机矩阵行为</w:t>
        </w:r>
      </w:hyperlink>
    </w:p>
    <w:p>
      <w:pPr>
        <w:spacing w:before="0" w:after="80"/>
      </w:pPr>
      <w:r>
        <w:rPr>
          <w:i/>
          <w:sz w:val="20"/>
        </w:rPr>
        <w:t>EN: Exact Dynamical Structure Factor of One-Dimensional Hard Rods and its Universal Random Matrix Behavior</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378">
        <w:r>
          <w:rPr>
            <w:color w:val="1155CC"/>
            <w:u w:val="single"/>
          </w:rPr>
          <w:t>10.1103/3vp9-dpws</w:t>
        </w:r>
      </w:hyperlink>
    </w:p>
    <w:p>
      <w:pPr>
        <w:spacing w:before="0" w:after="120"/>
      </w:pPr>
      <w:r>
        <w:rPr>
          <w:b/>
        </w:rPr>
        <w:t xml:space="preserve">Notes: </w:t>
      </w:r>
      <w:r>
        <w:t>abstract_source=rss_description</w:t>
      </w:r>
    </w:p>
    <w:p>
      <w:pPr>
        <w:spacing w:before="0" w:after="80" w:lineRule="auto" w:line="276"/>
      </w:pPr>
      <w:r>
        <w:rPr>
          <w:b/>
        </w:rPr>
        <w:t xml:space="preserve">摘要（ZH）: </w:t>
      </w:r>
      <w:r>
        <w:t>作者：Oleksandr Gamayun 和 Miłosz Panfil 量子硬棒强相关气体的动态结构因子的精确、非微扰公式捕获了诸如边缘奇点和大时空间隔相关性的扩散行为等特征。莱特牧师。 137, 076502] 2026 年 8 月 11 日星期二发布</w:t>
      </w:r>
    </w:p>
    <w:p>
      <w:pPr>
        <w:spacing w:before="0" w:after="200" w:lineRule="auto" w:line="276"/>
      </w:pPr>
      <w:r>
        <w:rPr>
          <w:b/>
        </w:rPr>
        <w:t xml:space="preserve">Abstract (EN): </w:t>
      </w:r>
      <w:r>
        <w:t>Author(s): Oleksandr Gamayun and Miłosz PanfilAn exact, nonperturbative formula for the dynamic structure factor of a strongly correlated gas of quantum hard rods captures features such as edge singularities and the diffusive behavior of correlations at large space-time intervals.[Phys. Rev. Lett. 137, 076502] Published Tue Aug 11, 2026</w:t>
      </w:r>
    </w:p>
    <w:p>
      <w:pPr>
        <w:spacing w:before="120" w:after="120"/>
      </w:pPr>
      <w:r>
        <w:rPr>
          <w:sz w:val="18"/>
        </w:rPr>
        <w:t>——————————————————————————————————————————————————————————————————————</w:t>
      </w:r>
    </w:p>
    <w:p>
      <w:pPr>
        <w:spacing w:before="160" w:after="40" w:line="240" w:lineRule="auto"/>
      </w:pPr>
      <w:r>
        <w:rPr>
          <w:b/>
        </w:rPr>
        <w:t xml:space="preserve">[436] </w:t>
      </w:r>
      <w:hyperlink r:id="rId1379">
        <w:r>
          <w:rPr>
            <w:color w:val="1155CC"/>
            <w:u w:val="single"/>
          </w:rPr>
          <w:t>扭曲双层石墨烯中准晶体-莫尔交叉的电子重建</w:t>
        </w:r>
      </w:hyperlink>
    </w:p>
    <w:p>
      <w:pPr>
        <w:spacing w:before="0" w:after="80"/>
      </w:pPr>
      <w:r>
        <w:rPr>
          <w:i/>
          <w:sz w:val="20"/>
        </w:rPr>
        <w:t>EN: Electronic Reconstruction at the Quasicrystal-Moiré Crossover in Twisted Bilayer Graphene</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380">
        <w:r>
          <w:rPr>
            <w:color w:val="1155CC"/>
            <w:u w:val="single"/>
          </w:rPr>
          <w:t>10.1103/jmsx-2g8l</w:t>
        </w:r>
      </w:hyperlink>
    </w:p>
    <w:p>
      <w:pPr>
        <w:spacing w:before="0" w:after="120"/>
      </w:pPr>
      <w:r>
        <w:rPr>
          <w:b/>
        </w:rPr>
        <w:t xml:space="preserve">Notes: </w:t>
      </w:r>
      <w:r>
        <w:t>abstract_source=rss_description</w:t>
      </w:r>
    </w:p>
    <w:p>
      <w:pPr>
        <w:spacing w:before="0" w:after="80" w:lineRule="auto" w:line="276"/>
      </w:pPr>
      <w:r>
        <w:rPr>
          <w:b/>
        </w:rPr>
        <w:t xml:space="preserve">摘要（ZH）: </w:t>
      </w:r>
      <w:r>
        <w:t>作者：Kuo-En Chang、Aitor Garcia-Ruiz (艾飞宇)、Ta-Lei Chou、Yen-Ting Liu、Sheng-Chin Ho、Yu-Chiang Hsieh、Ching-Hua Kao (高庆桦)、Chiu-Hua Huang、Ying-Mei Yang、Kenji Watanabe、Takashi Taniguchi、Ming-Wen Chu、Ming-Hao Liu (刘明豪) 和 Tse-Ming Chen 准晶扭转角附近的扭转双层石墨烯揭示了强层间耦合和电子传输中异常的四倍至十二倍朗道能级跃迁。莱特牧师。 137, 076301] 2026 年 8 月 11 日星期二发布</w:t>
      </w:r>
    </w:p>
    <w:p>
      <w:pPr>
        <w:spacing w:before="0" w:after="200" w:lineRule="auto" w:line="276"/>
      </w:pPr>
      <w:r>
        <w:rPr>
          <w:b/>
        </w:rPr>
        <w:t xml:space="preserve">Abstract (EN): </w:t>
      </w:r>
      <w:r>
        <w:t>Author(s): Kuo-En Chang, Aitor Garcia-Ruiz (艾飛宇), Ta-Lei Chou, Yen-Ting Liu, Sheng-Chin Ho, Yu-Chiang Hsieh, Ching-Hua Kao (高慶樺), Chiu-Hua Huang, Ying-Mei Yang, Kenji Watanabe, Takashi Taniguchi, Ming-Wen Chu, Ming-Hao Liu (劉明豪), and Tse-Ming ChenTwisted bilayer graphene near the quasicrystalline twist angle reveals strong interlayer coupling and an anomalous fourfold-to-twelvefold Landau-level transition in electron transport.[Phys. Rev. Lett. 137, 076301] Published Tue Aug 11, 2026</w:t>
      </w:r>
    </w:p>
    <w:p>
      <w:pPr>
        <w:spacing w:before="120" w:after="120"/>
      </w:pPr>
      <w:r>
        <w:rPr>
          <w:sz w:val="18"/>
        </w:rPr>
        <w:t>——————————————————————————————————————————————————————————————————————</w:t>
      </w:r>
    </w:p>
    <w:p>
      <w:pPr>
        <w:spacing w:before="160" w:after="40" w:line="240" w:lineRule="auto"/>
      </w:pPr>
      <w:r>
        <w:rPr>
          <w:b/>
        </w:rPr>
        <w:t xml:space="preserve">[437] </w:t>
      </w:r>
      <w:hyperlink r:id="rId1381">
        <w:r>
          <w:rPr>
            <w:color w:val="1155CC"/>
            <w:u w:val="single"/>
          </w:rPr>
          <w:t>连接腔 QED 中的量子和半经典热力学</w:t>
        </w:r>
      </w:hyperlink>
    </w:p>
    <w:p>
      <w:pPr>
        <w:spacing w:before="0" w:after="80"/>
      </w:pPr>
      <w:r>
        <w:rPr>
          <w:i/>
          <w:sz w:val="20"/>
        </w:rPr>
        <w:t>EN: Bridging Quantum and Semiclassical Thermodynamics in Cavity QED</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382">
        <w:r>
          <w:rPr>
            <w:color w:val="1155CC"/>
            <w:u w:val="single"/>
          </w:rPr>
          <w:t>10.1103/y6h7-sx93</w:t>
        </w:r>
      </w:hyperlink>
    </w:p>
    <w:p>
      <w:pPr>
        <w:spacing w:before="0" w:after="120"/>
      </w:pPr>
      <w:r>
        <w:rPr>
          <w:b/>
        </w:rPr>
        <w:t xml:space="preserve">Notes: </w:t>
      </w:r>
      <w:r>
        <w:t>abstract_source=rss_description</w:t>
      </w:r>
    </w:p>
    <w:p>
      <w:pPr>
        <w:spacing w:before="0" w:after="80" w:lineRule="auto" w:line="276"/>
      </w:pPr>
      <w:r>
        <w:rPr>
          <w:b/>
        </w:rPr>
        <w:t xml:space="preserve">摘要（ZH）: </w:t>
      </w:r>
      <w:r>
        <w:t>作者：Marcelo Janovitch、Sander Stammbach、Matteo Brunelli 和 Patrick P. Potts 在腔量子电动力学 (QED) 中，离开腔的光子可能会不可逆地丢失或重新用作电源。这种二分法反映在光场的两种不同的热力学簿记方法中，两者都对应于有效的热力学框架。在这封信中，我们制定了……[物理。莱特牧师。 137, 070401] 2026 年 8 月 11 日星期二发布</w:t>
      </w:r>
    </w:p>
    <w:p>
      <w:pPr>
        <w:spacing w:before="0" w:after="200" w:lineRule="auto" w:line="276"/>
      </w:pPr>
      <w:r>
        <w:rPr>
          <w:b/>
        </w:rPr>
        <w:t xml:space="preserve">Abstract (EN): </w:t>
      </w:r>
      <w:r>
        <w:t>Author(s): Marcelo Janovitch, Sander Stammbach, Matteo Brunelli, and Patrick P. PottsIn cavity quantum electrodynamics (QED), photons leaving the cavity can be irreversibly lost or reused as a power source. This dichotomy is reflected in two different thermodynamic bookkeeping methods of the light field, both corresponding to valid thermodynamic frameworks. In this Letter, we formul…[Phys. Rev. Lett. 137, 070401] Published Tue Aug 11, 2026</w:t>
      </w:r>
    </w:p>
    <w:p>
      <w:pPr>
        <w:spacing w:before="120" w:after="120"/>
      </w:pPr>
      <w:r>
        <w:rPr>
          <w:sz w:val="18"/>
        </w:rPr>
        <w:t>——————————————————————————————————————————————————————————————————————</w:t>
      </w:r>
    </w:p>
    <w:p>
      <w:pPr>
        <w:spacing w:before="160" w:after="40" w:line="240" w:lineRule="auto"/>
      </w:pPr>
      <w:r>
        <w:rPr>
          <w:b/>
        </w:rPr>
        <w:t xml:space="preserve">[438] </w:t>
      </w:r>
      <w:hyperlink r:id="rId1383">
        <w:r>
          <w:rPr>
            <w:color w:val="1155CC"/>
            <w:u w:val="single"/>
          </w:rPr>
          <w:t>磁化受阻磁体有限通量 Gutzwiller 态的手性和准长程有序</w:t>
        </w:r>
      </w:hyperlink>
    </w:p>
    <w:p>
      <w:pPr>
        <w:spacing w:before="0" w:after="80"/>
      </w:pPr>
      <w:r>
        <w:rPr>
          <w:i/>
          <w:sz w:val="20"/>
        </w:rPr>
        <w:t>EN: Chirality and Quasi-Long-Range Order in Finite-Flux Gutzwiller States for Magnetized Frustrated Magnets</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384">
        <w:r>
          <w:rPr>
            <w:color w:val="1155CC"/>
            <w:u w:val="single"/>
          </w:rPr>
          <w:t>10.1103/g52b-t4cj</w:t>
        </w:r>
      </w:hyperlink>
    </w:p>
    <w:p>
      <w:pPr>
        <w:spacing w:before="0" w:after="120"/>
      </w:pPr>
      <w:r>
        <w:rPr>
          <w:b/>
        </w:rPr>
        <w:t xml:space="preserve">Notes: </w:t>
      </w:r>
      <w:r>
        <w:t>abstract_source=rss_description</w:t>
      </w:r>
    </w:p>
    <w:p>
      <w:pPr>
        <w:spacing w:before="0" w:after="80" w:lineRule="auto" w:line="276"/>
      </w:pPr>
      <w:r>
        <w:rPr>
          <w:b/>
        </w:rPr>
        <w:t xml:space="preserve">摘要（ZH）: </w:t>
      </w:r>
      <w:r>
        <w:t>作者：Wen O. Wang、Urban F. P. Seifert、Oleg A. Starykh 和 Leon Balents 我们研究了塞曼场中三角晶格 U(1) 狄拉克自旋液体的 Gutzwiller 投影波函数，其中我们允许 U(1) 规范场产生规范通量，从而产生（自旋分裂）自旋朗道能级。我们发现，在给定的磁化强度下，最佳候选状态具有有限的……[物理。莱特牧师。 137, 076701] 2026 年 8 月 11 日星期二发布</w:t>
      </w:r>
    </w:p>
    <w:p>
      <w:pPr>
        <w:spacing w:before="0" w:after="200" w:lineRule="auto" w:line="276"/>
      </w:pPr>
      <w:r>
        <w:rPr>
          <w:b/>
        </w:rPr>
        <w:t xml:space="preserve">Abstract (EN): </w:t>
      </w:r>
      <w:r>
        <w:t>Author(s): Wen O. Wang, Urban F. P. Seifert, Oleg A. Starykh, and Leon BalentsWe study Gutzwiller-projected wave functions for triangular-lattice U(1) Dirac spin liquids in a Zeeman field, where we allow the U(1) gauge field to develop a gauge flux, resulting in (spin-split) spinon Landau levels. We find that at a given magnetization, the optimal candidate state has a finite …[Phys. Rev. Lett. 137, 076701] Published Tue Aug 11, 2026</w:t>
      </w:r>
    </w:p>
    <w:p>
      <w:pPr>
        <w:spacing w:before="120" w:after="120"/>
      </w:pPr>
      <w:r>
        <w:rPr>
          <w:sz w:val="18"/>
        </w:rPr>
        <w:t>——————————————————————————————————————————————————————————————————————</w:t>
      </w:r>
    </w:p>
    <w:p>
      <w:pPr>
        <w:spacing w:before="160" w:after="40" w:line="240" w:lineRule="auto"/>
      </w:pPr>
      <w:r>
        <w:rPr>
          <w:b/>
        </w:rPr>
        <w:t xml:space="preserve">[439] </w:t>
      </w:r>
      <w:hyperlink r:id="rId1385">
        <w:r>
          <w:rPr>
            <w:color w:val="1155CC"/>
            <w:u w:val="single"/>
          </w:rPr>
          <w:t>勘误表：二环四引力子散射振幅 [物理。莱特牧师。 124、211601(2020)]</w:t>
        </w:r>
      </w:hyperlink>
    </w:p>
    <w:p>
      <w:pPr>
        <w:spacing w:before="0" w:after="80"/>
      </w:pPr>
      <w:r>
        <w:rPr>
          <w:i/>
          <w:sz w:val="20"/>
        </w:rPr>
        <w:t>EN: Erratum: Two-Loop Four-Graviton Scattering Amplitudes [Phys. Rev. Lett. 124, 211601 (2020)]</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386">
        <w:r>
          <w:rPr>
            <w:color w:val="1155CC"/>
            <w:u w:val="single"/>
          </w:rPr>
          <w:t>10.1103/811n-z924</w:t>
        </w:r>
      </w:hyperlink>
    </w:p>
    <w:p>
      <w:pPr>
        <w:spacing w:before="0" w:after="120"/>
      </w:pPr>
      <w:r>
        <w:rPr>
          <w:b/>
        </w:rPr>
        <w:t xml:space="preserve">Notes: </w:t>
      </w:r>
      <w:r>
        <w:t>abstract_source=rss_description</w:t>
      </w:r>
    </w:p>
    <w:p>
      <w:pPr>
        <w:spacing w:before="0" w:after="80" w:lineRule="auto" w:line="276"/>
      </w:pPr>
      <w:r>
        <w:rPr>
          <w:b/>
        </w:rPr>
        <w:t xml:space="preserve">摘要（ZH）: </w:t>
      </w:r>
      <w:r>
        <w:t>作者：S. Abreu、F. Lamb Fever、H. Ita、M. Jaquier、B. Page、M. S. Ruf 和 V. Sotnikov [物理​​学。牧师神父。莱特。 137, 079901] 8 月 11 日星期二发布，</w:t>
      </w:r>
    </w:p>
    <w:p>
      <w:pPr>
        <w:spacing w:before="0" w:after="200" w:lineRule="auto" w:line="276"/>
      </w:pPr>
      <w:r>
        <w:rPr>
          <w:b/>
        </w:rPr>
        <w:t xml:space="preserve">Abstract (EN): </w:t>
      </w:r>
      <w:r>
        <w:t>Author(s): S. Abreu, F. Febres Cordero, H. Ita, M. Jaquier, B. Page, M. S. Ruf, and V. Sotnikov[Phys. Rev. Lett. 137, 079901] Published Tue Aug 11, 2026</w:t>
      </w:r>
    </w:p>
    <w:p>
      <w:pPr>
        <w:spacing w:before="120" w:after="120"/>
      </w:pPr>
      <w:r>
        <w:rPr>
          <w:sz w:val="18"/>
        </w:rPr>
        <w:t>——————————————————————————————————————————————————————————————————————</w:t>
      </w:r>
    </w:p>
    <w:p>
      <w:pPr>
        <w:spacing w:before="160" w:after="40" w:line="240" w:lineRule="auto"/>
      </w:pPr>
      <w:r>
        <w:rPr>
          <w:b/>
        </w:rPr>
        <w:t xml:space="preserve">[440] </w:t>
      </w:r>
      <w:hyperlink r:id="rId1387">
        <w:r>
          <w:rPr>
            <w:color w:val="1155CC"/>
            <w:u w:val="single"/>
          </w:rPr>
          <w:t>对两个中微子双贝塔衰变的辐射修正</w:t>
        </w:r>
      </w:hyperlink>
    </w:p>
    <w:p>
      <w:pPr>
        <w:spacing w:before="0" w:after="80"/>
      </w:pPr>
      <w:r>
        <w:rPr>
          <w:i/>
          <w:sz w:val="20"/>
        </w:rPr>
        <w:t>EN: Radiative Corrections to Two-Neutrino Double-Beta Decay</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388">
        <w:r>
          <w:rPr>
            <w:color w:val="1155CC"/>
            <w:u w:val="single"/>
          </w:rPr>
          <w:t>10.1103/gbjc-wsdn</w:t>
        </w:r>
      </w:hyperlink>
    </w:p>
    <w:p>
      <w:pPr>
        <w:spacing w:before="0" w:after="120"/>
      </w:pPr>
      <w:r>
        <w:rPr>
          <w:b/>
        </w:rPr>
        <w:t xml:space="preserve">Notes: </w:t>
      </w:r>
      <w:r>
        <w:t>abstract_source=rss_description</w:t>
      </w:r>
    </w:p>
    <w:p>
      <w:pPr>
        <w:spacing w:before="0" w:after="80" w:lineRule="auto" w:line="276"/>
      </w:pPr>
      <w:r>
        <w:rPr>
          <w:b/>
        </w:rPr>
        <w:t xml:space="preserve">摘要（ZH）: </w:t>
      </w:r>
      <w:r>
        <w:t>作者：Jordy de Vries、Emanuele Mereghetti、Saad el Morabit 和 Stefan Sandner 我们使用重核有效场理论来计算对两个中微子双 $β$ 衰变 ($2νββ$) 的辐射修正。我们的主要结果是首次推导了双弱衰变的通用辐射校正因子（类似于单 $β$ 衰变中的瑟林函数），与核无关……[物理学。莱特牧师。 137, 072501] 2026 年 8 月 11 日星期二发布</w:t>
      </w:r>
    </w:p>
    <w:p>
      <w:pPr>
        <w:spacing w:before="0" w:after="200" w:lineRule="auto" w:line="276"/>
      </w:pPr>
      <w:r>
        <w:rPr>
          <w:b/>
        </w:rPr>
        <w:t xml:space="preserve">Abstract (EN): </w:t>
      </w:r>
      <w:r>
        <w:t>Author(s): Jordy de Vries, Emanuele Mereghetti, Saad el Morabit, and Stefan SandnerWe use heavy-nucleus effective field theory to compute radiative corrections to two-neutrino double-$β$ decay ($2νββ$). Our main result is the first derivation of a universal radiative-correction factor for double-weak decays—the analog of the Sirlin function in single-$β$ decay—independent of nucle…[Phys. Rev. Lett. 137, 072501] Published Tue Aug 11, 2026</w:t>
      </w:r>
    </w:p>
    <w:p>
      <w:pPr>
        <w:spacing w:before="120" w:after="120"/>
      </w:pPr>
      <w:r>
        <w:rPr>
          <w:sz w:val="18"/>
        </w:rPr>
        <w:t>——————————————————————————————————————————————————————————————————————</w:t>
      </w:r>
    </w:p>
    <w:p>
      <w:pPr>
        <w:spacing w:before="160" w:after="40" w:line="240" w:lineRule="auto"/>
      </w:pPr>
      <w:r>
        <w:rPr>
          <w:b/>
        </w:rPr>
        <w:t xml:space="preserve">[441] </w:t>
      </w:r>
      <w:hyperlink r:id="rId1389">
        <w:r>
          <w:rPr>
            <w:color w:val="1155CC"/>
            <w:u w:val="single"/>
          </w:rPr>
          <w:t>层 Edelstein 效果</w:t>
        </w:r>
      </w:hyperlink>
    </w:p>
    <w:p>
      <w:pPr>
        <w:spacing w:before="0" w:after="80"/>
      </w:pPr>
      <w:r>
        <w:rPr>
          <w:i/>
          <w:sz w:val="20"/>
        </w:rPr>
        <w:t>EN: Layer Edelstein Effect</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390">
        <w:r>
          <w:rPr>
            <w:color w:val="1155CC"/>
            <w:u w:val="single"/>
          </w:rPr>
          <w:t>10.1103/qhvs-pfkq</w:t>
        </w:r>
      </w:hyperlink>
    </w:p>
    <w:p>
      <w:pPr>
        <w:spacing w:before="0" w:after="120"/>
      </w:pPr>
      <w:r>
        <w:rPr>
          <w:b/>
        </w:rPr>
        <w:t xml:space="preserve">Notes: </w:t>
      </w:r>
      <w:r>
        <w:t>abstract_source=rss_description</w:t>
      </w:r>
    </w:p>
    <w:p>
      <w:pPr>
        <w:spacing w:before="0" w:after="80" w:lineRule="auto" w:line="276"/>
      </w:pPr>
      <w:r>
        <w:rPr>
          <w:b/>
        </w:rPr>
        <w:t xml:space="preserve">摘要（ZH）: </w:t>
      </w:r>
      <w:r>
        <w:t>作者：Binchang Zhou、Pan Zhou、Baoru Pan、Yuzhong Hu、Songmin Liu 和 Lizhong Sun 磁性的电控制代表了下一代自旋电子功能的基本途径。在这封信中，我们介绍了双层系统中普遍存在的电流引起的自旋现象，称为层埃德尔斯坦效应（LEE），它是层的自然对应物......[物理。莱特牧师。 137, 076401] 2026 年 8 月 11 日星期二发布</w:t>
      </w:r>
    </w:p>
    <w:p>
      <w:pPr>
        <w:spacing w:before="0" w:after="200" w:lineRule="auto" w:line="276"/>
      </w:pPr>
      <w:r>
        <w:rPr>
          <w:b/>
        </w:rPr>
        <w:t xml:space="preserve">Abstract (EN): </w:t>
      </w:r>
      <w:r>
        <w:t>Author(s): Binchang Zhou, Pan Zhou, Baoru Pan, Yuzhong Hu, Songmin Liu, and Lizhong SunElectrical control of magnetism represents a fundamental route toward next-generation spintronic functionalities. In this Letter, we introduce a universal current-induced spin phenomenon in bilayer systems, termed the layer Edelstein effect (LEE), which serves as the natural counterpart of the layer…[Phys. Rev. Lett. 137, 076401] Published Tue Aug 11, 2026</w:t>
      </w:r>
    </w:p>
    <w:p>
      <w:pPr>
        <w:spacing w:before="120" w:after="120"/>
      </w:pPr>
      <w:r>
        <w:rPr>
          <w:sz w:val="18"/>
        </w:rPr>
        <w:t>——————————————————————————————————————————————————————————————————————</w:t>
      </w:r>
    </w:p>
    <w:p>
      <w:pPr>
        <w:spacing w:before="160" w:after="40" w:line="240" w:lineRule="auto"/>
      </w:pPr>
      <w:r>
        <w:rPr>
          <w:b/>
        </w:rPr>
        <w:t xml:space="preserve">[442] </w:t>
      </w:r>
      <w:hyperlink r:id="rId1391">
        <w:r>
          <w:rPr>
            <w:color w:val="1155CC"/>
            <w:u w:val="single"/>
          </w:rPr>
          <w:t>微观洞察硅纳米粒子中增强的电子热容</w:t>
        </w:r>
      </w:hyperlink>
    </w:p>
    <w:p>
      <w:pPr>
        <w:spacing w:before="0" w:after="80"/>
      </w:pPr>
      <w:r>
        <w:rPr>
          <w:i/>
          <w:sz w:val="20"/>
        </w:rPr>
        <w:t>EN: Microscopic Insight into Enhanced Electron Heat Capacity in Silicon Nanoparticles</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392">
        <w:r>
          <w:rPr>
            <w:color w:val="1155CC"/>
            <w:u w:val="single"/>
          </w:rPr>
          <w:t>10.1103/nxw2-sz2m</w:t>
        </w:r>
      </w:hyperlink>
    </w:p>
    <w:p>
      <w:pPr>
        <w:spacing w:before="0" w:after="120"/>
      </w:pPr>
      <w:r>
        <w:rPr>
          <w:b/>
        </w:rPr>
        <w:t xml:space="preserve">Notes: </w:t>
      </w:r>
      <w:r>
        <w:t>abstract_source=rss_description</w:t>
      </w:r>
    </w:p>
    <w:p>
      <w:pPr>
        <w:spacing w:before="0" w:after="80" w:lineRule="auto" w:line="276"/>
      </w:pPr>
      <w:r>
        <w:rPr>
          <w:b/>
        </w:rPr>
        <w:t xml:space="preserve">摘要（ZH）: </w:t>
      </w:r>
      <w:r>
        <w:t>作者：A. Aryanpour 和 Ali Sadeghi 我们报告了硅纳米团簇的电子热容的强烈尺寸依赖性，将其起源追溯到表面原子独特的电子结构。通过将从头计算与机器学习的局部态密度相结合并利用热容的广度，w…[Phys。莱特牧师。 137, 076201] 2026 年 8 月 11 日星期二发布</w:t>
      </w:r>
    </w:p>
    <w:p>
      <w:pPr>
        <w:spacing w:before="0" w:after="200" w:lineRule="auto" w:line="276"/>
      </w:pPr>
      <w:r>
        <w:rPr>
          <w:b/>
        </w:rPr>
        <w:t xml:space="preserve">Abstract (EN): </w:t>
      </w:r>
      <w:r>
        <w:t>Author(s): A. Aryanpour and Ali SadeghiWe report a strong size dependence in the electronic heat capacity of silicon nanoclusters, tracing its origin to the distinctive electronic structure of surface atoms. By combining ab initio calculations with machine-learned local density of states and exploiting the extensivity of heat capacity, w…[Phys. Rev. Lett. 137, 076201] Published Tue Aug 11, 2026</w:t>
      </w:r>
    </w:p>
    <w:p>
      <w:pPr>
        <w:spacing w:before="120" w:after="120"/>
      </w:pPr>
      <w:r>
        <w:rPr>
          <w:sz w:val="18"/>
        </w:rPr>
        <w:t>——————————————————————————————————————————————————————————————————————</w:t>
      </w:r>
    </w:p>
    <w:p>
      <w:pPr>
        <w:spacing w:before="160" w:after="40" w:line="240" w:lineRule="auto"/>
      </w:pPr>
      <w:r>
        <w:rPr>
          <w:b/>
        </w:rPr>
        <w:t xml:space="preserve">[443] </w:t>
      </w:r>
      <w:hyperlink r:id="rId1393">
        <w:r>
          <w:rPr>
            <w:color w:val="1155CC"/>
            <w:u w:val="single"/>
          </w:rPr>
          <w:t>原子薄层中超流体刚度的非接触式空腔传感 $4\mathrm{Hb}\text{−}{\mathrm{TaS}}_{2}$</w:t>
        </w:r>
      </w:hyperlink>
    </w:p>
    <w:p>
      <w:pPr>
        <w:spacing w:before="0" w:after="80"/>
      </w:pPr>
      <w:r>
        <w:rPr>
          <w:i/>
          <w:sz w:val="20"/>
        </w:rPr>
        <w:t>EN: Contactless Cavity Sensing of Superfluid Stiffness in Atomically Thin $4\mathrm{Hb}\text{−}{\mathrm{TaS}}_{2}$</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394">
        <w:r>
          <w:rPr>
            <w:color w:val="1155CC"/>
            <w:u w:val="single"/>
          </w:rPr>
          <w:t>10.1103/p6wt-2dkx</w:t>
        </w:r>
      </w:hyperlink>
    </w:p>
    <w:p>
      <w:pPr>
        <w:spacing w:before="0" w:after="120"/>
      </w:pPr>
      <w:r>
        <w:rPr>
          <w:b/>
        </w:rPr>
        <w:t xml:space="preserve">Notes: </w:t>
      </w:r>
      <w:r>
        <w:t>abstract_source=rss_description</w:t>
      </w:r>
    </w:p>
    <w:p>
      <w:pPr>
        <w:spacing w:before="0" w:after="80" w:lineRule="auto" w:line="276"/>
      </w:pPr>
      <w:r>
        <w:rPr>
          <w:b/>
        </w:rPr>
        <w:t xml:space="preserve">摘要（ZH）: </w:t>
      </w:r>
      <w:r>
        <w:t>作者：Trevor Chistolini、Ha-Leem Kim、Qiyu Wang、Su-Di Chen、Luke Pritchard Cairns、Ryan Patrick Day、Collin Sanborn、Hyunseong Kim、Zahra Pedramrazi、Ruishi Qi、Takashi Taniguchi、Kenji Watanabe、James G. Analytis、David I. Santiago、Irfan Siddiqi 和 Feng Wang 称为超流体刚度的超导体的关键特性现在可以可在各种 2D 系统中进行测量。莱特牧师。 137, 076002] 2026 年 8 月 11 日星期二发布</w:t>
      </w:r>
    </w:p>
    <w:p>
      <w:pPr>
        <w:spacing w:before="0" w:after="200" w:lineRule="auto" w:line="276"/>
      </w:pPr>
      <w:r>
        <w:rPr>
          <w:b/>
        </w:rPr>
        <w:t xml:space="preserve">Abstract (EN): </w:t>
      </w:r>
      <w:r>
        <w:t>Author(s): Trevor Chistolini, Ha-Leem Kim, Qiyu Wang, Su-Di Chen, Luke Pritchard Cairns, Ryan Patrick Day, Collin Sanborn, Hyunseong Kim, Zahra Pedramrazi, Ruishi Qi, Takashi Taniguchi, Kenji Watanabe, James G. Analytis, David I. Santiago, Irfan Siddiqi, and Feng WangA key property of superconductors called superfluid stiffness can now be measured in a wide range of 2D systems.[Phys. Rev. Lett. 137, 076002] Published Tue Aug 11, 2026</w:t>
      </w:r>
    </w:p>
    <w:p>
      <w:pPr>
        <w:spacing w:before="120" w:after="120"/>
      </w:pPr>
      <w:r>
        <w:rPr>
          <w:sz w:val="18"/>
        </w:rPr>
        <w:t>——————————————————————————————————————————————————————————————————————</w:t>
      </w:r>
    </w:p>
    <w:p>
      <w:pPr>
        <w:spacing w:before="160" w:after="40" w:line="240" w:lineRule="auto"/>
      </w:pPr>
      <w:r>
        <w:rPr>
          <w:b/>
        </w:rPr>
        <w:t xml:space="preserve">[444] </w:t>
      </w:r>
      <w:hyperlink r:id="rId1395">
        <w:r>
          <w:rPr>
            <w:color w:val="1155CC"/>
            <w:u w:val="single"/>
          </w:rPr>
          <w:t>魔角扭曲石墨烯中的珍珠涡隧道效应</w:t>
        </w:r>
      </w:hyperlink>
    </w:p>
    <w:p>
      <w:pPr>
        <w:spacing w:before="0" w:after="80"/>
      </w:pPr>
      <w:r>
        <w:rPr>
          <w:i/>
          <w:sz w:val="20"/>
        </w:rPr>
        <w:t>EN: Pearl-Vortex Tunneling in Magic-Angle Twisted Graphene</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396">
        <w:r>
          <w:rPr>
            <w:color w:val="1155CC"/>
            <w:u w:val="single"/>
          </w:rPr>
          <w:t>10.1103/1vnb-k7zd</w:t>
        </w:r>
      </w:hyperlink>
    </w:p>
    <w:p>
      <w:pPr>
        <w:spacing w:before="0" w:after="120"/>
      </w:pPr>
      <w:r>
        <w:rPr>
          <w:b/>
        </w:rPr>
        <w:t xml:space="preserve">Notes: </w:t>
      </w:r>
      <w:r>
        <w:t>abstract_source=rss_description</w:t>
      </w:r>
    </w:p>
    <w:p>
      <w:pPr>
        <w:spacing w:before="0" w:after="80" w:lineRule="auto" w:line="276"/>
      </w:pPr>
      <w:r>
        <w:rPr>
          <w:b/>
        </w:rPr>
        <w:t xml:space="preserve">摘要（ZH）: </w:t>
      </w:r>
      <w:r>
        <w:t>作者：Marta Perego、Peter Koopmann、Clara Galante Agero、Alexandra Mestre Torà、Artem O. Denisov、Takashi Taniguchi、Kenji Watanabe、Vadim Geshkenbein、Gianni Blatter、Thomas Ihn 和 Klaus Ensslin 约瑟夫森结充当单涡流传感器，能够检测魔角扭曲石墨烯中单个珍珠涡流的动力学。莱特牧师。 137, 076001] 2026 年 8 月 11 日星期二发布</w:t>
      </w:r>
    </w:p>
    <w:p>
      <w:pPr>
        <w:spacing w:before="0" w:after="200" w:lineRule="auto" w:line="276"/>
      </w:pPr>
      <w:r>
        <w:rPr>
          <w:b/>
        </w:rPr>
        <w:t xml:space="preserve">Abstract (EN): </w:t>
      </w:r>
      <w:r>
        <w:t>Author(s): Marta Perego, Peter Koopmann, Clara Galante Agero, Alexandra Mestre Torà, Artem O. Denisov, Takashi Taniguchi, Kenji Watanabe, Vadim Geshkenbein, Gianni Blatter, Thomas Ihn, and Klaus EnsslinA Josephson junction acts as a single-vortex sensor, enabling the detection of the dynamics of individual Pearl vortices in magic-angle twisted graphene.[Phys. Rev. Lett. 137, 076001] Published Tue Aug 11, 2026</w:t>
      </w:r>
    </w:p>
    <w:p>
      <w:pPr>
        <w:spacing w:before="120" w:after="120"/>
      </w:pPr>
      <w:r>
        <w:rPr>
          <w:sz w:val="18"/>
        </w:rPr>
        <w:t>——————————————————————————————————————————————————————————————————————</w:t>
      </w:r>
    </w:p>
    <w:p>
      <w:pPr>
        <w:spacing w:before="160" w:after="40" w:line="240" w:lineRule="auto"/>
      </w:pPr>
      <w:r>
        <w:rPr>
          <w:b/>
        </w:rPr>
        <w:t xml:space="preserve">[445] </w:t>
      </w:r>
      <w:hyperlink r:id="rId1397">
        <w:r>
          <w:rPr>
            <w:color w:val="1155CC"/>
            <w:u w:val="single"/>
          </w:rPr>
          <w:t>高斯时间平移协变运算：结构、实现和热力学</w:t>
        </w:r>
      </w:hyperlink>
    </w:p>
    <w:p>
      <w:pPr>
        <w:spacing w:before="0" w:after="80"/>
      </w:pPr>
      <w:r>
        <w:rPr>
          <w:i/>
          <w:sz w:val="20"/>
        </w:rPr>
        <w:t>EN: Gaussian Time-Translation Covariant Operations: Structure, Implementation, and Thermodynamics</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398">
        <w:r>
          <w:rPr>
            <w:color w:val="1155CC"/>
            <w:u w:val="single"/>
          </w:rPr>
          <w:t>10.1103/9kmm-52nx</w:t>
        </w:r>
      </w:hyperlink>
    </w:p>
    <w:p>
      <w:pPr>
        <w:spacing w:before="0" w:after="120"/>
      </w:pPr>
      <w:r>
        <w:rPr>
          <w:b/>
        </w:rPr>
        <w:t xml:space="preserve">Notes: </w:t>
      </w:r>
      <w:r>
        <w:t>abstract_source=rss_description</w:t>
      </w:r>
    </w:p>
    <w:p>
      <w:pPr>
        <w:spacing w:before="0" w:after="80" w:lineRule="auto" w:line="276"/>
      </w:pPr>
      <w:r>
        <w:rPr>
          <w:b/>
        </w:rPr>
        <w:t xml:space="preserve">摘要（ZH）: </w:t>
      </w:r>
      <w:r>
        <w:t>作者：Xueyuan Hu、Lea Lautenbacher、Giovanni Spaventa、Martin B. Plenio、Nelly H. Y. Ng 和 Jeongrak Son 时间平移对称性强烈约束物理动力学，但连续变量系统的系统表征落后于离散变量系统。我们通过提供严格的高斯量子运算分类来缩小这一差距，这些运算在时间变换下是协变的......[Phys。莱特牧师。 137, 070201] 2026 年 8 月 11 日星期二发布</w:t>
      </w:r>
    </w:p>
    <w:p>
      <w:pPr>
        <w:spacing w:before="0" w:after="200" w:lineRule="auto" w:line="276"/>
      </w:pPr>
      <w:r>
        <w:rPr>
          <w:b/>
        </w:rPr>
        <w:t xml:space="preserve">Abstract (EN): </w:t>
      </w:r>
      <w:r>
        <w:t>Author(s): Xueyuan Hu, Lea Lautenbacher, Giovanni Spaventa, Martin B. Plenio, Nelly H. Y. Ng, and Jeongrak SonTime-translation symmetry strongly constrains physical dynamics, yet systematic characterization for continuous-variable systems lags behind its discrete-variable counterpart. We close this gap by providing a rigorous classification of Gaussian quantum operations that are covariant under time transl…[Phys. Rev. Lett. 137, 070201] Published Tue Aug 11, 2026</w:t>
      </w:r>
    </w:p>
    <w:p>
      <w:pPr>
        <w:spacing w:before="120" w:after="120"/>
      </w:pPr>
      <w:r>
        <w:rPr>
          <w:sz w:val="18"/>
        </w:rPr>
        <w:t>——————————————————————————————————————————————————————————————————————</w:t>
      </w:r>
    </w:p>
    <w:p>
      <w:pPr>
        <w:spacing w:before="160" w:after="40" w:line="240" w:lineRule="auto"/>
      </w:pPr>
      <w:r>
        <w:rPr>
          <w:b/>
        </w:rPr>
        <w:t xml:space="preserve">[446] </w:t>
      </w:r>
      <w:hyperlink r:id="rId1399">
        <w:r>
          <w:rPr>
            <w:color w:val="1155CC"/>
            <w:u w:val="single"/>
          </w:rPr>
          <w:t>轻离子碰撞中核效应对魅力产生的研究</w:t>
        </w:r>
      </w:hyperlink>
    </w:p>
    <w:p>
      <w:pPr>
        <w:spacing w:before="0" w:after="80"/>
      </w:pPr>
      <w:r>
        <w:rPr>
          <w:i/>
          <w:sz w:val="20"/>
        </w:rPr>
        <w:t>EN: Study of Nuclear Effects on Charm Production in Light-Ion Collisions</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400">
        <w:r>
          <w:rPr>
            <w:color w:val="1155CC"/>
            <w:u w:val="single"/>
          </w:rPr>
          <w:t>10.1103/yr8h-pd77</w:t>
        </w:r>
      </w:hyperlink>
    </w:p>
    <w:p>
      <w:pPr>
        <w:spacing w:before="0" w:after="120"/>
      </w:pPr>
      <w:r>
        <w:rPr>
          <w:b/>
        </w:rPr>
        <w:t xml:space="preserve">Notes: </w:t>
      </w:r>
      <w:r>
        <w:t>abstract_source=rss_description</w:t>
      </w:r>
    </w:p>
    <w:p>
      <w:pPr>
        <w:spacing w:before="0" w:after="80" w:lineRule="auto" w:line="276"/>
      </w:pPr>
      <w:r>
        <w:rPr>
          <w:b/>
        </w:rPr>
        <w:t xml:space="preserve">摘要（ZH）: </w:t>
      </w:r>
      <w:r>
        <w:t>作者：R. Aaij 等人。 （LHCb 合作）通过测量 LHCb 探测器记录的每个核子对质心能量为 5.36 TeV 时 NeNe 和 OO 碰撞之间 ${D}^{0}$ 介子产生的比率来研究轻离子碰撞中核效应的发生。 ${D}^{0}$ 介子产量在横向上进行差分测量...[Phys.莱特牧师。 137, 072301] 2026 年 8 月 11 日星期二发布</w:t>
      </w:r>
    </w:p>
    <w:p>
      <w:pPr>
        <w:spacing w:before="0" w:after="200" w:lineRule="auto" w:line="276"/>
      </w:pPr>
      <w:r>
        <w:rPr>
          <w:b/>
        </w:rPr>
        <w:t xml:space="preserve">Abstract (EN): </w:t>
      </w:r>
      <w:r>
        <w:t>Author(s): R. Aaij et al. (LHCb Collaboration)The onset of nuclear effects in light-ion collisions is studied by measuring the ratio of ${D}^{0}$ meson production between NeNe and OO collisions at a center-of-mass energy per nucleon pair of 5.36 TeV recorded by the LHCb detector. The ${D}^{0}$ meson yields are measured differentially in transve…[Phys. Rev. Lett. 137, 072301] Published Tue Aug 11, 2026</w:t>
      </w:r>
    </w:p>
    <w:p>
      <w:pPr>
        <w:spacing w:before="120" w:after="120"/>
      </w:pPr>
      <w:r>
        <w:rPr>
          <w:sz w:val="18"/>
        </w:rPr>
        <w:t>——————————————————————————————————————————————————————————————————————</w:t>
      </w:r>
    </w:p>
    <w:p>
      <w:pPr>
        <w:spacing w:before="160" w:after="40" w:line="240" w:lineRule="auto"/>
      </w:pPr>
      <w:r>
        <w:rPr>
          <w:b/>
        </w:rPr>
        <w:t xml:space="preserve">[447] </w:t>
      </w:r>
      <w:hyperlink r:id="rId1401">
        <w:r>
          <w:rPr>
            <w:color w:val="1155CC"/>
            <w:u w:val="single"/>
          </w:rPr>
          <w:t>使用 ATLAS 探测器证明希格斯玻色子在高横向动量下包容性产生一对 $b$-夸克</w:t>
        </w:r>
      </w:hyperlink>
    </w:p>
    <w:p>
      <w:pPr>
        <w:spacing w:before="0" w:after="80"/>
      </w:pPr>
      <w:r>
        <w:rPr>
          <w:i/>
          <w:sz w:val="20"/>
        </w:rPr>
        <w:t>EN: Evidence of Higgs Boson Inclusive Production at High Transverse Momentum Decaying to a Pair of $b$-Quarks with the ATLAS Detector</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402">
        <w:r>
          <w:rPr>
            <w:color w:val="1155CC"/>
            <w:u w:val="single"/>
          </w:rPr>
          <w:t>10.1103/vbxg-71c2</w:t>
        </w:r>
      </w:hyperlink>
    </w:p>
    <w:p>
      <w:pPr>
        <w:spacing w:before="0" w:after="120"/>
      </w:pPr>
      <w:r>
        <w:rPr>
          <w:b/>
        </w:rPr>
        <w:t xml:space="preserve">Notes: </w:t>
      </w:r>
      <w:r>
        <w:t>abstract_source=rss_description</w:t>
      </w:r>
    </w:p>
    <w:p>
      <w:pPr>
        <w:spacing w:before="0" w:after="80" w:lineRule="auto" w:line="276"/>
      </w:pPr>
      <w:r>
        <w:rPr>
          <w:b/>
        </w:rPr>
        <w:t xml:space="preserve">摘要（ZH）: </w:t>
      </w:r>
      <w:r>
        <w:t>作者：G. Aad 等人。 （ATLAS 合作）这封信报告了在 $b\overline{b}$ 最终状态下以高横向动量产生包容性希格斯玻色子的第一个证据，并在单个大半径射流中重建。结果基于大型强子对撞机 ATLAS 探测器记录的质子-质子碰撞数据……[Phys.莱特牧师。 137, 071801] 2026 年 8 月 11 日星期二发布</w:t>
      </w:r>
    </w:p>
    <w:p>
      <w:pPr>
        <w:spacing w:before="0" w:after="200" w:lineRule="auto" w:line="276"/>
      </w:pPr>
      <w:r>
        <w:rPr>
          <w:b/>
        </w:rPr>
        <w:t xml:space="preserve">Abstract (EN): </w:t>
      </w:r>
      <w:r>
        <w:t>Author(s): G. Aad et al. (ATLAS Collaboration)This Letter reports on the first evidence of inclusive Higgs-boson production at high transverse momentum in the $b\overline{b}$ final state, reconstructed in a single large-radius jet. The results are based on proton-proton collision data recorded by the ATLAS detector at the Large Hadron Collider …[Phys. Rev. Lett. 137, 071801] Published Tue Aug 11, 2026</w:t>
      </w:r>
    </w:p>
    <w:p>
      <w:pPr>
        <w:spacing w:before="120" w:after="120"/>
      </w:pPr>
      <w:r>
        <w:rPr>
          <w:sz w:val="18"/>
        </w:rPr>
        <w:t>——————————————————————————————————————————————————————————————————————</w:t>
      </w:r>
    </w:p>
    <w:p>
      <w:pPr>
        <w:spacing w:before="160" w:after="40" w:line="240" w:lineRule="auto"/>
      </w:pPr>
      <w:r>
        <w:rPr>
          <w:b/>
        </w:rPr>
        <w:t xml:space="preserve">[448] </w:t>
      </w:r>
      <w:hyperlink r:id="rId1403">
        <w:r>
          <w:rPr>
            <w:color w:val="1155CC"/>
            <w:u w:val="single"/>
          </w:rPr>
          <w:t>用 $\mathrm{H}α$ 线发射寻找暗物质湮灭和衰变</w:t>
        </w:r>
      </w:hyperlink>
    </w:p>
    <w:p>
      <w:pPr>
        <w:spacing w:before="0" w:after="80"/>
      </w:pPr>
      <w:r>
        <w:rPr>
          <w:i/>
          <w:sz w:val="20"/>
        </w:rPr>
        <w:t>EN: Search for Dark Matter Annihilation and Decay with $\mathrm{H}α$ Line Emission</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404">
        <w:r>
          <w:rPr>
            <w:color w:val="1155CC"/>
            <w:u w:val="single"/>
          </w:rPr>
          <w:t>10.1103/x38l-5dqc</w:t>
        </w:r>
      </w:hyperlink>
    </w:p>
    <w:p>
      <w:pPr>
        <w:spacing w:before="0" w:after="120"/>
      </w:pPr>
      <w:r>
        <w:rPr>
          <w:b/>
        </w:rPr>
        <w:t xml:space="preserve">Notes: </w:t>
      </w:r>
      <w:r>
        <w:t>abstract_source=rss_description</w:t>
      </w:r>
    </w:p>
    <w:p>
      <w:pPr>
        <w:spacing w:before="0" w:after="80" w:lineRule="auto" w:line="276"/>
      </w:pPr>
      <w:r>
        <w:rPr>
          <w:b/>
        </w:rPr>
        <w:t xml:space="preserve">摘要（ZH）: </w:t>
      </w:r>
      <w:r>
        <w:t>作者：Rebecca K. LeaneI 提出了一种利用氢-$α$ ($\mathrm{H}α$) 重组发射来间接寻找暗物质 (DM) 的新方法。 DM湮没或衰变产物可电离中性气体；随后的重组级联通过$3→2$跃迁产生$\mathrm{H}α$光子。在安静的富含气体的矮星系中，t…[物理。莱特牧师。 137, 071002] 2026 年 8 月 11 日星期二发布</w:t>
      </w:r>
    </w:p>
    <w:p>
      <w:pPr>
        <w:spacing w:before="0" w:after="200" w:lineRule="auto" w:line="276"/>
      </w:pPr>
      <w:r>
        <w:rPr>
          <w:b/>
        </w:rPr>
        <w:t xml:space="preserve">Abstract (EN): </w:t>
      </w:r>
      <w:r>
        <w:t>Author(s): Rebecca K. LeaneI present a new indirect search for dark matter (DM) using hydrogen-$α$ ($\mathrm{H}α$) recombination emission. DM annihilation or decay products can ionize neutral gas; subsequent recombination cascades generate $\mathrm{H}α$ photons through the $3→2$ transition. In quiet gas-rich dwarf galaxies, t…[Phys. Rev. Lett. 137, 071002] Published Tue Aug 11, 2026</w:t>
      </w:r>
    </w:p>
    <w:p>
      <w:pPr>
        <w:spacing w:before="120" w:after="120"/>
      </w:pPr>
      <w:r>
        <w:rPr>
          <w:sz w:val="18"/>
        </w:rPr>
        <w:t>——————————————————————————————————————————————————————————————————————</w:t>
      </w:r>
    </w:p>
    <w:p>
      <w:pPr>
        <w:spacing w:before="160" w:after="40" w:line="240" w:lineRule="auto"/>
      </w:pPr>
      <w:r>
        <w:rPr>
          <w:b/>
        </w:rPr>
        <w:t xml:space="preserve">[449] </w:t>
      </w:r>
      <w:hyperlink r:id="rId1405">
        <w:r>
          <w:rPr>
            <w:color w:val="1155CC"/>
            <w:u w:val="single"/>
          </w:rPr>
          <w:t>用强引力透镜测量最小冷暗物质晕质量</w:t>
        </w:r>
      </w:hyperlink>
    </w:p>
    <w:p>
      <w:pPr>
        <w:spacing w:before="0" w:after="80"/>
      </w:pPr>
      <w:r>
        <w:rPr>
          <w:i/>
          <w:sz w:val="20"/>
        </w:rPr>
        <w:t>EN: Measurement of the Minimum Cold Dark Matter Halo Mass with Strong Gravitational Lensing</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406">
        <w:r>
          <w:rPr>
            <w:color w:val="1155CC"/>
            <w:u w:val="single"/>
          </w:rPr>
          <w:t>10.1103/jnjt-1ghp</w:t>
        </w:r>
      </w:hyperlink>
    </w:p>
    <w:p>
      <w:pPr>
        <w:spacing w:before="0" w:after="120"/>
      </w:pPr>
      <w:r>
        <w:rPr>
          <w:b/>
        </w:rPr>
        <w:t xml:space="preserve">Notes: </w:t>
      </w:r>
      <w:r>
        <w:t>abstract_source=rss_description</w:t>
      </w:r>
    </w:p>
    <w:p>
      <w:pPr>
        <w:spacing w:before="0" w:after="80" w:lineRule="auto" w:line="276"/>
      </w:pPr>
      <w:r>
        <w:rPr>
          <w:b/>
        </w:rPr>
        <w:t xml:space="preserve">摘要（ZH）: </w:t>
      </w:r>
      <w:r>
        <w:t>作者：A. M. Nierenberg、D. Gilman、T. Treu、X. Du、C. Gannon、H. Paugnat、S. Birrer、A. J. Benson、K. N. Abazajian、T. Anguita、S. G. Djorgovski、S. F. Hoenig、R. E. Keeley、A. Kusenko、H. R. Larsson、L. A. Moustakas、P. Mozumdar、W. Sheu、D. Sluse、D. Stern、D. Williams 和 K. C. Wong 我们利用 28 个强引力透镜探索了冷暗物质 (CDM) 中晕质量函数的最低质量极限。为此，我们研究了一个极端模型，其中晕质量函数和质量浓度关系遵循 CDM，在某些质量尺度上有尖锐的截止......[Phys.莱特牧师。 137, 071001] 2026 年 8 月 11 日星期二发布</w:t>
      </w:r>
    </w:p>
    <w:p>
      <w:pPr>
        <w:spacing w:before="0" w:after="200" w:lineRule="auto" w:line="276"/>
      </w:pPr>
      <w:r>
        <w:rPr>
          <w:b/>
        </w:rPr>
        <w:t xml:space="preserve">Abstract (EN): </w:t>
      </w:r>
      <w:r>
        <w:t>Author(s): A. M. Nierenberg, D. Gilman, T. Treu, X. Du, C. Gannon, H. Paugnat, S. Birrer, A. J. Benson, K. N. Abazajian, T. Anguita, S. G. Djorgovski, S. F. Hoenig, R. E. Keeley, A. Kusenko, H. R. Larsson, L. A. Moustakas, P. Mozumdar, W. Sheu, D. Sluse, D. Stern, D. Williams, and K. C. WongWe explore the lowest mass limit that can be placed on the halo mass function in cold dark matter (CDM) using 28 strong gravitational lenses. For this purpose, we study an extreme model in which the halo mass function and mass-concentration relation follow CDM, with a sharp cutoff at some mass scale…[Phys. Rev. Lett. 137, 071001] Published Tue Aug 11, 2026</w:t>
      </w:r>
    </w:p>
    <w:p>
      <w:pPr>
        <w:spacing w:before="120" w:after="120"/>
      </w:pPr>
      <w:r>
        <w:rPr>
          <w:sz w:val="18"/>
        </w:rPr>
        <w:t>——————————————————————————————————————————————————————————————————————</w:t>
      </w:r>
    </w:p>
    <w:p>
      <w:pPr>
        <w:spacing w:before="160" w:after="40" w:line="240" w:lineRule="auto"/>
      </w:pPr>
      <w:r>
        <w:rPr>
          <w:b/>
        </w:rPr>
        <w:t xml:space="preserve">[450] </w:t>
      </w:r>
      <w:hyperlink r:id="rId1407">
        <w:r>
          <w:rPr>
            <w:color w:val="1155CC"/>
            <w:u w:val="single"/>
          </w:rPr>
          <w:t>通过 420 公里长的光纤纠缠量子存储器</w:t>
        </w:r>
      </w:hyperlink>
    </w:p>
    <w:p>
      <w:pPr>
        <w:spacing w:before="0" w:after="80"/>
      </w:pPr>
      <w:r>
        <w:rPr>
          <w:i/>
          <w:sz w:val="20"/>
        </w:rPr>
        <w:t>EN: Entangling Quantum Memories through a 420 km Long Fiber</w:t>
      </w:r>
    </w:p>
    <w:p>
      <w:pPr>
        <w:spacing w:before="0" w:after="120"/>
      </w:pPr>
      <w:r>
        <w:rPr>
          <w:b/>
        </w:rPr>
        <w:t xml:space="preserve">Source: </w:t>
      </w:r>
      <w:r>
        <w:t>Recent Articles in Phys. Rev. Lett.</w:t>
      </w:r>
      <w:r>
        <w:t xml:space="preserve">    </w:t>
      </w:r>
      <w:r>
        <w:rPr>
          <w:b/>
        </w:rPr>
        <w:t xml:space="preserve">Pub date: </w:t>
      </w:r>
      <w:r>
        <w:t>2026-08-11 10:00:00+00:00</w:t>
      </w:r>
      <w:r>
        <w:t xml:space="preserve">    </w:t>
      </w:r>
      <w:r>
        <w:rPr>
          <w:b/>
        </w:rPr>
        <w:t xml:space="preserve">DOI: </w:t>
      </w:r>
      <w:hyperlink r:id="rId1408">
        <w:r>
          <w:rPr>
            <w:color w:val="1155CC"/>
            <w:u w:val="single"/>
          </w:rPr>
          <w:t>10.1103/ccd6-rf1s</w:t>
        </w:r>
      </w:hyperlink>
    </w:p>
    <w:p>
      <w:pPr>
        <w:spacing w:before="0" w:after="120"/>
      </w:pPr>
      <w:r>
        <w:rPr>
          <w:b/>
        </w:rPr>
        <w:t xml:space="preserve">Notes: </w:t>
      </w:r>
      <w:r>
        <w:t>abstract_source=rss_description</w:t>
      </w:r>
    </w:p>
    <w:p>
      <w:pPr>
        <w:spacing w:before="0" w:after="80" w:lineRule="auto" w:line="276"/>
      </w:pPr>
      <w:r>
        <w:rPr>
          <w:b/>
        </w:rPr>
        <w:t xml:space="preserve">摘要（ZH）: </w:t>
      </w:r>
      <w:r>
        <w:t>Author(s): Xi-Yu Luo, Chao-Yang Wang, Ming-Yang Zheng, Bin Wang, Jian-Long Liu, Bo-Feng Gao, Jun Li, Zi Yan, Qiao-Mu Ke, Da Teng, Rui-Chun Wang, Jun Wu, Jia Huang, Hao Li, Li-Xing You, Xiu-Ping Xie, Feihu Xu, Qiang Zhang, Xiao-Hui Bao, and Jian-Wei PanEntanglement generation between remote quantum memories is demonstrated in a regime that surpasses the repeaterless communication limit.[Phys. Rev. Lett. 137, 070801] Published Tue Aug 11, 2026</w:t>
      </w:r>
    </w:p>
    <w:p>
      <w:pPr>
        <w:spacing w:before="0" w:after="200" w:lineRule="auto" w:line="276"/>
      </w:pPr>
      <w:r>
        <w:rPr>
          <w:b/>
        </w:rPr>
        <w:t xml:space="preserve">Abstract (EN): </w:t>
      </w:r>
      <w:r>
        <w:t>Author(s): Xi-Yu Luo, Chao-Yang Wang, Ming-Yang Zheng, Bin Wang, Jian-Long Liu, Bo-Feng Gao, Jun Li, Zi Yan, Qiao-Mu Ke, Da Teng, Rui-Chun Wang, Jun Wu, Jia Huang, Hao Li, Li-Xing You, Xiu-Ping Xie, Feihu Xu, Qiang Zhang, Xiao-Hui Bao, and Jian-Wei PanEntanglement generation between remote quantum memories is demonstrated in a regime that surpasses the repeaterless communication limit.[Phys. Rev. Lett. 137, 070801] Published Tue Aug 11, 2026</w:t>
      </w:r>
    </w:p>
    <w:p>
      <w:pPr>
        <w:spacing w:before="120" w:after="120"/>
      </w:pPr>
      <w:r>
        <w:rPr>
          <w:sz w:val="18"/>
        </w:rPr>
        <w:t>——————————————————————————————————————————————————————————————————————</w:t>
      </w:r>
    </w:p>
    <w:p>
      <w:pPr>
        <w:spacing w:before="160" w:after="40" w:line="240" w:lineRule="auto"/>
      </w:pPr>
      <w:r>
        <w:rPr>
          <w:b/>
        </w:rPr>
        <w:t xml:space="preserve">[451] </w:t>
      </w:r>
      <w:hyperlink r:id="rId1409">
        <w:r>
          <w:rPr>
            <w:color w:val="1155CC"/>
            <w:u w:val="single"/>
          </w:rPr>
          <w:t>非共轭侧链工程实现刺激响应光动力疗法的跨空间相互作用</w:t>
        </w:r>
      </w:hyperlink>
    </w:p>
    <w:p>
      <w:pPr>
        <w:spacing w:before="0" w:after="80"/>
      </w:pPr>
      <w:r>
        <w:rPr>
          <w:i/>
          <w:sz w:val="20"/>
        </w:rPr>
        <w:t>EN: Nonconjugated Side-Chain Engineering Enables Through-Space Interactions for Stimuli-Responsive Photodynamic Therapy</w:t>
      </w:r>
    </w:p>
    <w:p>
      <w:pPr>
        <w:spacing w:before="0" w:after="120"/>
      </w:pPr>
      <w:r>
        <w:rPr>
          <w:b/>
        </w:rPr>
        <w:t xml:space="preserve">Source: </w:t>
      </w:r>
      <w:r>
        <w:t>Journal of the American Chemical Society: Latest Articles (ACS Publications)</w:t>
      </w:r>
      <w:r>
        <w:t xml:space="preserve">    </w:t>
      </w:r>
      <w:r>
        <w:rPr>
          <w:b/>
        </w:rPr>
        <w:t xml:space="preserve">Pub date: </w:t>
      </w:r>
      <w:r>
        <w:t>2026-08-12 00:00:00+00:00</w:t>
      </w:r>
      <w:r>
        <w:t xml:space="preserve">    </w:t>
      </w:r>
      <w:r>
        <w:rPr>
          <w:b/>
        </w:rPr>
        <w:t xml:space="preserve">DOI: </w:t>
      </w:r>
      <w:hyperlink r:id="rId1410">
        <w:r>
          <w:rPr>
            <w:color w:val="1155CC"/>
            <w:u w:val="single"/>
          </w:rPr>
          <w:t>10.1021/jacs.6c07829</w:t>
        </w:r>
      </w:hyperlink>
    </w:p>
    <w:p>
      <w:pPr>
        <w:spacing w:before="0" w:after="120"/>
      </w:pPr>
      <w:r>
        <w:rPr>
          <w:b/>
        </w:rPr>
        <w:t xml:space="preserve">Notes: </w:t>
      </w:r>
      <w:r>
        <w:t>abstract_source=crossref</w:t>
      </w:r>
    </w:p>
    <w:p>
      <w:pPr>
        <w:spacing w:before="0" w:after="80" w:lineRule="auto" w:line="276"/>
      </w:pPr>
      <w:r>
        <w:rPr>
          <w:b/>
        </w:rPr>
        <w:t xml:space="preserve">摘要（ZH）: </w:t>
      </w:r>
      <w:r>
        <w:t>摘要 光动力疗法 (PDT) 中的高效刺激调制系统间交叉 (ISC) 通常是通过 π 共轭核心结构的分子工程设计的。在此，我们报道苝二酰亚胺（PDI）光敏剂的非共轭质子化酰亚胺侧链可以充当ISC的全空间静电调节剂，从而能够产生酸响应性活性氧（ROS）。在酰亚胺位置掺入构象灵活的二甲胺链可以实现酸触发的质子化，从而诱导质子化的二甲胺和邻近的酰亚胺羰基之间发生贯穿空间的阳离子-羰基相互作用。这种局部静电场重新分布 PDI-DMA 核心内的电子，显着减少单重态-三重态能隙，并促进 ISC。因此，PDI-DMA 表现出酸增强的 ROS 生成，相对于其烷基取代的类似物 PDI-Bt 实现了一个数量级的增强。系统分子控制、主客体屏蔽实验和理论计算共同确定了这种非共轭侧链诱导的静电相互作用是增强ROS生成的主要来源，推翻了非共轭酰亚胺取代基具有光物理惰性的传统假设。当配制成生物相容性纳米粒子时，它们优选在溶酶体中积聚并保留酸增强的ROS产生，在荷瘤小鼠的瘤内给药后提供有效的光动力抗肿瘤功效。这项工作建立了非共轭 sid</w:t>
      </w:r>
    </w:p>
    <w:p>
      <w:pPr>
        <w:spacing w:before="0" w:after="200" w:lineRule="auto" w:line="276"/>
      </w:pPr>
      <w:r>
        <w:rPr>
          <w:b/>
        </w:rPr>
        <w:t xml:space="preserve">Abstract (EN): </w:t>
      </w:r>
      <w:r>
        <w:t>Efficient and stimulus-modulated intersystem crossing (ISC) in photodynamic therapy (PDT) is usually designed via molecular engineering of π-conjugated core structures. Herein, we report that nonconjugated protonatable imide side chains of perylene diimide (PDI) photosensitizers can function as through-space electrostatic regulators of ISC, enabling acid-responsive reactive oxygen species (ROS) generation. Incorporation of a conformationally flexible dimethylamine chain at the imide position enables acid-triggered protonation, inducing a through-space cation–carbonyl interaction between protonated dimethylamine and the neighboring imide carbonyl group. This localized electrostatic field redistributes electrons within the PDI-DMA core, markedly reduces singlet–triplet energy gaps, and promotes ISC. Consequently, PDI-DMA exhibits acid-enhanced ROS generation, achieving over an order-of-magnitude enhancement relative to its alkyl-substituted analogue PDI-Bt. Systematic molecular controls, host–guest shielding experiments, and theoretical calculations collectively identify this nonconjugated side-chain-induced electrostatic interaction as the dominant origin of the enhanced ROS generation, overturning the conventional assumption that nonconjugated imide substituents are photophysically inert. When formulated into biocompatible nanoparticles, they preferably accumulate at lysosomes and retain acid-enhanced ROS production, delivering potent photodynamic antitumor efficacy following intratumoral administration in tumor-bearing mice. This work establishes nonconjugated side-chain electrostatic modulation as an unexplored design paradigm for reprogramming excited-state processes in stimuli-responsive organic photosensitizers.</w:t>
      </w:r>
    </w:p>
    <w:p>
      <w:pPr>
        <w:spacing w:before="120" w:after="120"/>
      </w:pPr>
      <w:r>
        <w:rPr>
          <w:sz w:val="18"/>
        </w:rPr>
        <w:t>——————————————————————————————————————————————————————————————————————</w:t>
      </w:r>
    </w:p>
    <w:p>
      <w:pPr>
        <w:spacing w:before="160" w:after="40" w:line="240" w:lineRule="auto"/>
      </w:pPr>
      <w:r>
        <w:rPr>
          <w:b/>
        </w:rPr>
        <w:t xml:space="preserve">[452] </w:t>
      </w:r>
      <w:hyperlink r:id="rId1411">
        <w:r>
          <w:rPr>
            <w:color w:val="1155CC"/>
            <w:u w:val="single"/>
          </w:rPr>
          <w:t>阐明超分子聚合物细胞骨架与燃料依赖性合成电池之间的相互作用</w:t>
        </w:r>
      </w:hyperlink>
    </w:p>
    <w:p>
      <w:pPr>
        <w:spacing w:before="0" w:after="80"/>
      </w:pPr>
      <w:r>
        <w:rPr>
          <w:i/>
          <w:sz w:val="20"/>
        </w:rPr>
        <w:t>EN: Elucidating the Reciprocal Interplay between Supramolecular Polymer Cytoskeletons and Fuel-Dependent Synthetic Cells</w:t>
      </w:r>
    </w:p>
    <w:p>
      <w:pPr>
        <w:spacing w:before="0" w:after="120"/>
      </w:pPr>
      <w:r>
        <w:rPr>
          <w:b/>
        </w:rPr>
        <w:t xml:space="preserve">Source: </w:t>
      </w:r>
      <w:r>
        <w:t>Journal of the American Chemical Society: Latest Articles (ACS Publications)</w:t>
      </w:r>
      <w:r>
        <w:t xml:space="preserve">    </w:t>
      </w:r>
      <w:r>
        <w:rPr>
          <w:b/>
        </w:rPr>
        <w:t xml:space="preserve">Pub date: </w:t>
      </w:r>
      <w:r>
        <w:t>2026-08-12 00:00:00+00:00</w:t>
      </w:r>
      <w:r>
        <w:t xml:space="preserve">    </w:t>
      </w:r>
      <w:r>
        <w:rPr>
          <w:b/>
        </w:rPr>
        <w:t xml:space="preserve">DOI: </w:t>
      </w:r>
      <w:hyperlink r:id="rId1412">
        <w:r>
          <w:rPr>
            <w:color w:val="1155CC"/>
            <w:u w:val="single"/>
          </w:rPr>
          <w:t>10.1021/jacs.6c09705</w:t>
        </w:r>
      </w:hyperlink>
    </w:p>
    <w:p>
      <w:pPr>
        <w:spacing w:before="0" w:after="120"/>
      </w:pPr>
      <w:r>
        <w:rPr>
          <w:b/>
        </w:rPr>
        <w:t xml:space="preserve">Notes: </w:t>
      </w:r>
      <w:r>
        <w:t>abstract_source=crossref</w:t>
      </w:r>
    </w:p>
    <w:p>
      <w:pPr>
        <w:spacing w:before="0" w:after="80" w:lineRule="auto" w:line="276"/>
      </w:pPr>
      <w:r>
        <w:rPr>
          <w:b/>
        </w:rPr>
        <w:t xml:space="preserve">摘要（ZH）: </w:t>
      </w:r>
      <w:r>
        <w:t>摘要 合成细胞是旨在模仿活细胞功能和特征的隔室。通过用非生物基本成分（自下而上）构建合成细胞，可以研究生命的最低需求并深入了解生物学的基本原理。在可用的平台中，复杂凝聚层特别有吸引力，因为它们有可能封装各种生物分子和其他货物，从而实现基因型-表型作图。通过将凝聚层形成与燃料化学反应循环相结合，合成细胞变得依赖于燃料，在燃料存在时生长，在燃料不存在时衰变，类似于生物细胞。然而，为这些依赖燃料的合成细胞构建细胞子结构（例如细胞骨架）仍然是一个未解决的挑战。在这里，我们证明超分子（共）聚合物可以充当合成细胞的细胞骨架，具体取决于它们的亲合性（它们对液滴相的亲和力）。通过使用两种不同的超分子构件，可以调节亲合性。在超分子共聚物中，只有一些单体与复合凝聚层结合，导致在液滴内和周围形成突出的细胞骨架。然而，随着亲缩性的增加，聚合物强烈分割成凝聚层，导致形成完全封装的细胞骨架。我们发现这些内部结构影响合成细胞的特性，例如形态和寿命。此外，合成细胞可以</w:t>
      </w:r>
    </w:p>
    <w:p>
      <w:pPr>
        <w:spacing w:before="0" w:after="200" w:lineRule="auto" w:line="276"/>
      </w:pPr>
      <w:r>
        <w:rPr>
          <w:b/>
        </w:rPr>
        <w:t xml:space="preserve">Abstract (EN): </w:t>
      </w:r>
      <w:r>
        <w:t>Synthetic cells are compartments designed to mimic the functions and characteristics of living cells. By constructing synthetic cells from abiotic, basic components (bottom-up), it is possible to investigate the minimal requirements for life and gain insights into fundamental principles of biology. Among the available platforms, complex coacervates are particularly attractive, due to their potential to encapsulate a wide range of biomolecules and other cargo, enabling genotype-phenotype mapping. By coupling coacervate formation to a fueled chemical reaction cycle, the synthetic cells become fuel-dependent, growing in the presence of fuel and decaying in its absence, resembling biological cells. However, constructing cellular substructures for these fuel-dependent synthetic cells, such as cytoskeletons, has remained an unresolved challenge. Here, we show that supramolecular (co)polymers can act as cytoskeletons for the synthetic cells, depending on their condenophilicity (their affinity for the droplet phase). By using two distinct supramolecular building blocks, the condenophilicity can be modulated. Supramolecular copolymers where only some of the monomers bind to the complex coacervate result in the formation of a protruding cytoskeleton in and around the droplet. However, as condenophilicity increases, the polymers partition strongly into the coacervates, leading to the formation of a fully encapsulated cytoskeleton. We found that these internal structures influence the synthetic cell properties, such as morphology and lifespan. Moreover, the synthetic cells can dynamically reconstitute the supramolecular fibers, creating distinct populations within the cells and the surrounding dilute phase. Our results demonstrate that orthogonally assembled structures can serve as cellular substructures for active complex coacervate-based synthetic cells, broadening the existing arsenal of tools to bestow these rudimentary synthetic cells with more life-like properties.</w:t>
      </w:r>
    </w:p>
    <w:p>
      <w:pPr>
        <w:spacing w:before="120" w:after="120"/>
      </w:pPr>
      <w:r>
        <w:rPr>
          <w:sz w:val="18"/>
        </w:rPr>
        <w:t>——————————————————————————————————————————————————————————————————————</w:t>
      </w:r>
    </w:p>
    <w:p>
      <w:pPr>
        <w:spacing w:before="160" w:after="40" w:line="240" w:lineRule="auto"/>
      </w:pPr>
      <w:r>
        <w:rPr>
          <w:b/>
        </w:rPr>
        <w:t xml:space="preserve">[453] </w:t>
      </w:r>
      <w:hyperlink r:id="rId1413">
        <w:r>
          <w:rPr>
            <w:color w:val="1155CC"/>
            <w:u w:val="single"/>
          </w:rPr>
          <w:t>Ag(110) 上铁化学计量驱动的路径发散 C-C 偶联</w:t>
        </w:r>
      </w:hyperlink>
    </w:p>
    <w:p>
      <w:pPr>
        <w:spacing w:before="0" w:after="80"/>
      </w:pPr>
      <w:r>
        <w:rPr>
          <w:i/>
          <w:sz w:val="20"/>
        </w:rPr>
        <w:t>EN: Iron Stoichiometry-Driven Pathway-Divergent C–C Couplings on Ag(110)</w:t>
      </w:r>
    </w:p>
    <w:p>
      <w:pPr>
        <w:spacing w:before="0" w:after="120"/>
      </w:pPr>
      <w:r>
        <w:rPr>
          <w:b/>
        </w:rPr>
        <w:t xml:space="preserve">Source: </w:t>
      </w:r>
      <w:r>
        <w:t>Journal of the American Chemical Society: Latest Articles (ACS Publications)</w:t>
      </w:r>
      <w:r>
        <w:t xml:space="preserve">    </w:t>
      </w:r>
      <w:r>
        <w:rPr>
          <w:b/>
        </w:rPr>
        <w:t xml:space="preserve">Pub date: </w:t>
      </w:r>
      <w:r>
        <w:t>2026-08-12 00:00:00+00:00</w:t>
      </w:r>
      <w:r>
        <w:t xml:space="preserve">    </w:t>
      </w:r>
      <w:r>
        <w:rPr>
          <w:b/>
        </w:rPr>
        <w:t xml:space="preserve">DOI: </w:t>
      </w:r>
      <w:hyperlink r:id="rId1414">
        <w:r>
          <w:rPr>
            <w:color w:val="1155CC"/>
            <w:u w:val="single"/>
          </w:rPr>
          <w:t>10.1021/jacs.6c03641</w:t>
        </w:r>
      </w:hyperlink>
    </w:p>
    <w:p>
      <w:pPr>
        <w:spacing w:before="0" w:after="120"/>
      </w:pPr>
      <w:r>
        <w:rPr>
          <w:b/>
        </w:rPr>
        <w:t xml:space="preserve">Notes: </w:t>
      </w:r>
      <w:r>
        <w:t>abstract_source=crossref</w:t>
      </w:r>
    </w:p>
    <w:p>
      <w:pPr>
        <w:spacing w:before="0" w:after="80" w:lineRule="auto" w:line="276"/>
      </w:pPr>
      <w:r>
        <w:rPr>
          <w:b/>
        </w:rPr>
        <w:t xml:space="preserve">摘要（ZH）: </w:t>
      </w:r>
      <w:r>
        <w:t>摘要：精确控制表面分子间 C-C 耦合将有助于合成具有可调组成、结构和性能的新型有机分子或碳基共价纳米结构。先前通过引入特定的金属吸附原子实现了在多个竞争反应途径中选择某些C-C偶联。关于如何从常见前体分子选择性触发途径或位点发散的 C-C 偶联的研究在很大程度上尚未探索，这将有助于控制合成所需的产物。在这项工作中，通过利用众所周知的铁吸附原子催化剂和精细调节铁化学计量，我们实现了3-溴萘-2-醇分子在Ag(110)上高选择性的路径发散C-C偶联，从而能够选择性合成不同的产物，特别是迄今为止无法获得的更高化学计量的杂环萘并呋喃衍生物。关键在于，逐渐改变的Fe化学计量会导致C-Br裂解产生的碳自由基发生不同程度的氢钝化，从而显着影响后续C-C偶联的反应途径。</w:t>
      </w:r>
    </w:p>
    <w:p>
      <w:pPr>
        <w:spacing w:before="0" w:after="200" w:lineRule="auto" w:line="276"/>
      </w:pPr>
      <w:r>
        <w:rPr>
          <w:b/>
        </w:rPr>
        <w:t xml:space="preserve">Abstract (EN): </w:t>
      </w:r>
      <w:r>
        <w:t>Precise control over intermolecular C–C couplings on surfaces would unlock the synthesis of novel organic molecules or carbon-based covalent nanoarchitectures with tunable compositions, structures, and properties. Selection of certain C–C coupling among multiple competing reaction pathways has previously been achieved by introducing specific metal adatoms. Research on how to selectively trigger pathway- or site-divergent C–C couplings from common precursor molecules remains largely unexplored, which would facilitate the controlled synthesis toward desired products. In this work, by utilizing the well-known catalyst of iron adatoms and delicately modulating iron stoichiometry, we have achieved pathway-divergent C–C couplings of 3-bromonaphthalen-2-ol molecules on Ag(110) with high selectivity, enabling selective synthesis of distinct products, especially hitherto inaccessible heterocyclic naphthofuran derivatives at higher stoichiometry. The key is that the gradually changed Fe stoichiometry induces varying degrees of hydrogen passivation of carbon radicals generated via C–Br cleavage, which significantly affects the reaction pathways of subsequent C–C couplings.</w:t>
      </w:r>
    </w:p>
    <w:p>
      <w:pPr>
        <w:spacing w:before="120" w:after="120"/>
      </w:pPr>
      <w:r>
        <w:rPr>
          <w:sz w:val="18"/>
        </w:rPr>
        <w:t>——————————————————————————————————————————————————————————————————————</w:t>
      </w:r>
    </w:p>
    <w:p>
      <w:pPr>
        <w:spacing w:before="160" w:after="40" w:line="240" w:lineRule="auto"/>
      </w:pPr>
      <w:r>
        <w:rPr>
          <w:b/>
        </w:rPr>
        <w:t xml:space="preserve">[454] </w:t>
      </w:r>
      <w:hyperlink r:id="rId1415">
        <w:r>
          <w:rPr>
            <w:color w:val="1155CC"/>
            <w:u w:val="single"/>
          </w:rPr>
          <w:t>具有强手性光学活性和增强电荷传输能力的手性一维金属卤化物半导体的手性萘二亚胺基阳离子的分子设计</w:t>
        </w:r>
      </w:hyperlink>
    </w:p>
    <w:p>
      <w:pPr>
        <w:spacing w:before="0" w:after="80"/>
      </w:pPr>
      <w:r>
        <w:rPr>
          <w:i/>
          <w:sz w:val="20"/>
        </w:rPr>
        <w:t>EN: Molecular Design of Chiral Naphthalenediimide-Based Cations for Chiral One-Dimensional Metal Halide Semiconductors with Strong Chiroptical Activity and Amplified Charge Transport Ability</w:t>
      </w:r>
    </w:p>
    <w:p>
      <w:pPr>
        <w:spacing w:before="0" w:after="120"/>
      </w:pPr>
      <w:r>
        <w:rPr>
          <w:b/>
        </w:rPr>
        <w:t xml:space="preserve">Source: </w:t>
      </w:r>
      <w:r>
        <w:t>Journal of the American Chemical Society: Latest Articles (ACS Publications)</w:t>
      </w:r>
      <w:r>
        <w:t xml:space="preserve">    </w:t>
      </w:r>
      <w:r>
        <w:rPr>
          <w:b/>
        </w:rPr>
        <w:t xml:space="preserve">Pub date: </w:t>
      </w:r>
      <w:r>
        <w:t>2026-08-12 00:00:00+00:00</w:t>
      </w:r>
      <w:r>
        <w:t xml:space="preserve">    </w:t>
      </w:r>
      <w:r>
        <w:rPr>
          <w:b/>
        </w:rPr>
        <w:t xml:space="preserve">DOI: </w:t>
      </w:r>
      <w:hyperlink r:id="rId1416">
        <w:r>
          <w:rPr>
            <w:color w:val="1155CC"/>
            <w:u w:val="single"/>
          </w:rPr>
          <w:t>10.1021/jacs.6c09248</w:t>
        </w:r>
      </w:hyperlink>
    </w:p>
    <w:p>
      <w:pPr>
        <w:spacing w:before="0" w:after="120"/>
      </w:pPr>
      <w:r>
        <w:rPr>
          <w:b/>
        </w:rPr>
        <w:t xml:space="preserve">Notes: </w:t>
      </w:r>
      <w:r>
        <w:t>abstract_source=crossref</w:t>
      </w:r>
    </w:p>
    <w:p>
      <w:pPr>
        <w:spacing w:before="0" w:after="80" w:lineRule="auto" w:line="276"/>
      </w:pPr>
      <w:r>
        <w:rPr>
          <w:b/>
        </w:rPr>
        <w:t xml:space="preserve">摘要（ZH）: </w:t>
      </w:r>
      <w:r>
        <w:t>摘要 手性有机-无机金属卤化物半导体（MHS）已成为手性光电子学、自旋电子学和铁电学领域有前景的材料。然而，与无机骨架相比，常用的具有非导电脂肪族和芳香族结构的手性阳离子在最高占据分子轨道（HOMO）和最低未占据分子轨道（LUMO）之间表现出较大的能隙。手性间隔基和无机亚晶格之间的能量不匹配产生了阻碍电荷载流子传输的势垒，导致低效的面外电荷迁移率和强烈的量子限制效应。为了应对这一挑战，我们设计并合成了基于手性n型萘二亚胺（NDI）的阳离子，（R）-2-（7-乙基-1,3,6,8-四氧代-3,6,7,8-四氢苯并[lmn][3,8]菲咯啉-2（1H）-基）丙-1-铵（（R）-NDIEPA+）。我们成功地将 (R)-NDIEPA+ 的 LUMO 能级调整为与无机亚晶格的 LUMO 能级一致，所得的手性一维 (1D) (R-NDIEPA)PbI3 MHS 表现出促进电荷分离的 II 型能带排列，猝灭光致发光和瞬态吸收动力学表明有机-无机界面上的超快电荷转移。因此，与包含非导电芳香族阳离子的手性 1D MHS 相比，这些材料的电子迁移率提高了约 7 倍。 (R-NDIEPA)PbI3 还表现出强烈的圆二色性 (CD) 信号，证实了从有机阳离子到无机阳离子的有效手性转移</w:t>
      </w:r>
    </w:p>
    <w:p>
      <w:pPr>
        <w:spacing w:before="0" w:after="200" w:lineRule="auto" w:line="276"/>
      </w:pPr>
      <w:r>
        <w:rPr>
          <w:b/>
        </w:rPr>
        <w:t xml:space="preserve">Abstract (EN): </w:t>
      </w:r>
      <w:r>
        <w:t>Chiral organic–inorganic metal halide semiconductors (MHSs) have emerged as promising materials for chiroptoelectronics, spintronics and ferroelectrics. However, commonly used chiral cations with nonconductive aliphatic and aromatic structures exhibit large energy gaps between the highest occupied molecular orbital (HOMO) and the lowest unoccupied molecular orbital (LUMO) relative to those of the inorganic frameworks. This energy mismatch between the chiral spacer and the inorganic sublattice creates a barrier that hinders charge-carrier transport, leading to inefficient out-of-plane charge mobility and strong quantum confinement effects. To address this challenge, we design and synthesize chiral n-type naphthalenediimide (NDI)-based cations, (R)-2-(7-ethyl-1,3,6,8-tetraoxo-3,6,7,8-tetrahydrobenzo[lmn][3,8]phenanthrolin-2(1H)-yl)propan-1-aminium ((R)-NDIEPA+). We successfully tune the LUMO level of (R)-NDIEPA+ to align with that of the inorganic sublattice, and the resulting chiral one-dimensional (1D) (R-NDIEPA)PbI3 MHS demonstrates a type II band alignment that facilitates charge separation, as evidenced by quenched photoluminescence and transient absorption dynamics indicative of ultrafast charge transfer across the organic–inorganic interface. As a result, these materials demonstrate an approximately 7-fold enhancement in electron mobility compared to the chiral 1D MHS incorporating nonconductive aromatic cations. (R-NDIEPA)PbI3 also exhibits a strong circular dichroism (CD) signal, confirming effective chirality transfer from the organic cation to the inorganic framework. These findings underscore the importance of leveraging the electronic properties of chiral organic cations while preserving strong chiroptical activity, highlighting the potential of (R-NDIEPA)PbI3 for chiroptoelectronic applications such as circularly polarized light photodetectors and other spintronic devices.</w:t>
      </w:r>
    </w:p>
    <w:p>
      <w:pPr>
        <w:spacing w:before="120" w:after="120"/>
      </w:pPr>
      <w:r>
        <w:rPr>
          <w:sz w:val="18"/>
        </w:rPr>
        <w:t>——————————————————————————————————————————————————————————————————————</w:t>
      </w:r>
    </w:p>
    <w:p>
      <w:pPr>
        <w:spacing w:before="160" w:after="40" w:line="240" w:lineRule="auto"/>
      </w:pPr>
      <w:r>
        <w:rPr>
          <w:b/>
        </w:rPr>
        <w:t xml:space="preserve">[455] </w:t>
      </w:r>
      <w:hyperlink r:id="rId1417">
        <w:r>
          <w:rPr>
            <w:color w:val="1155CC"/>
            <w:u w:val="single"/>
          </w:rPr>
          <w:t>卡宾稳定的单体氧化氰</w:t>
        </w:r>
      </w:hyperlink>
    </w:p>
    <w:p>
      <w:pPr>
        <w:spacing w:before="0" w:after="80"/>
      </w:pPr>
      <w:r>
        <w:rPr>
          <w:i/>
          <w:sz w:val="20"/>
        </w:rPr>
        <w:t>EN: Carbene-Stabilized Monomeric Cyanogen N -Oxide</w:t>
      </w:r>
    </w:p>
    <w:p>
      <w:pPr>
        <w:spacing w:before="0" w:after="120"/>
      </w:pPr>
      <w:r>
        <w:rPr>
          <w:b/>
        </w:rPr>
        <w:t xml:space="preserve">Source: </w:t>
      </w:r>
      <w:r>
        <w:t>Journal of the American Chemical Society: Latest Articles (ACS Publications)</w:t>
      </w:r>
      <w:r>
        <w:t xml:space="preserve">    </w:t>
      </w:r>
      <w:r>
        <w:rPr>
          <w:b/>
        </w:rPr>
        <w:t xml:space="preserve">Pub date: </w:t>
      </w:r>
      <w:r>
        <w:t>2026-08-12 00:00:00+00:00</w:t>
      </w:r>
      <w:r>
        <w:t xml:space="preserve">    </w:t>
      </w:r>
      <w:r>
        <w:rPr>
          <w:b/>
        </w:rPr>
        <w:t xml:space="preserve">DOI: </w:t>
      </w:r>
      <w:hyperlink r:id="rId1418">
        <w:r>
          <w:rPr>
            <w:color w:val="1155CC"/>
            <w:u w:val="single"/>
          </w:rPr>
          <w:t>10.1021/jacs.6c10469</w:t>
        </w:r>
      </w:hyperlink>
    </w:p>
    <w:p>
      <w:pPr>
        <w:spacing w:before="0" w:after="120"/>
      </w:pPr>
      <w:r>
        <w:rPr>
          <w:b/>
        </w:rPr>
        <w:t xml:space="preserve">Notes: </w:t>
      </w:r>
      <w:r>
        <w:t>abstract_source=crossref</w:t>
      </w:r>
    </w:p>
    <w:p>
      <w:pPr>
        <w:spacing w:before="0" w:after="80" w:lineRule="auto" w:line="276"/>
      </w:pPr>
      <w:r>
        <w:rPr>
          <w:b/>
        </w:rPr>
        <w:t xml:space="preserve">摘要（ZH）: </w:t>
      </w:r>
      <w:r>
        <w:t>摘要 N-氧化氰（NCCNO）是含有碳、氮和氧的最简单的分子之一，使其成为一种有吸引力的星际光谱探针，也是生命起源化学中有趣的组成部分。然而，NCCNO 的详细研究因其高反应活性和自聚合倾向而受到阻碍。在本报告中，通过添加“超亲电”硝鎓 (NO2+)，C-H 激活的乙腈异常完全脱氢，合成了单体、卡宾稳定的氰基 N-氧化物 (1)。 1 的实验和计算研究揭示了光谱特征，支持其作为 NCCNO 捕获形式的表征，而新颖的电子结构特性将其与密切相关的有机腈氧化物区分开来。化合物 1 还很容易配位金属离子（Mg2+ 和 Fe3+），这证明 NCCNO 分子可以在 O 端表现出比 N 端优先的反应性，但仍然能够采用多种结合模式。稳定的 NCCNO 分子还会还原成可分离的 N-氧化氰自由基阴离子，该化合物的特点是自由基定位在 O 末端，卡宾参与最少，支持它们作为 N-氧化氰的开壳形式。最后，对乙酸甲酯和硝基甲烷中的其他 R-CH3 基团应用脱氢条件，合成其他小分子腈氧化物：氰基甲酸甲酯 N-氧化物（其游离形式未知）和雷酸（最简单的有机腈）。总之，这些结果展示了 c 的多功能策略</w:t>
      </w:r>
    </w:p>
    <w:p>
      <w:pPr>
        <w:spacing w:before="0" w:after="200" w:lineRule="auto" w:line="276"/>
      </w:pPr>
      <w:r>
        <w:rPr>
          <w:b/>
        </w:rPr>
        <w:t xml:space="preserve">Abstract (EN): </w:t>
      </w:r>
      <w:r>
        <w:t>Cyanogen N-oxide (NCCNO) is one of the simplest molecules containing carbon, nitrogen, and oxygen, making it an attractive interstellar spectroscopic probe and an intriguing building block in prebiotic chemistry. However, detailed studies of NCCNO are hindered by its high reactivity and propensity for autopolymerization. In this report, monomeric, carbene-stabilized cyanogen N-oxide (1) is synthesized by the unusual complete dehydrogenation of C–H-activated acetonitrile via the addition of “superelectrophilic” nitronium (NO2+). Experimental and computational studies of 1 reveal spectroscopic features supporting its characterization as a trapped form of NCCNO, while novel electronic structure properties distinguish it from closely related organic nitrile oxides. Compound 1 also readily coordinates metal ions (Mg2+ and Fe3+), providing evidence that the NCCNO molecule can display preferential reactivity at the O-terminus over the N-terminus but nevertheless is capable of multiple binding modes. The stabilized NCCNO molecules also undergo reduction to isolable cyanogen N-oxide radical anions─compounds featuring radical localization on the O-terminus with minimal carbene involvement, supporting their assignment as open-shell forms of cyanogen N-oxide. Finally, dehydrogenation conditions were applied to other R–CH3 groups in methyl acetate and nitromethane to synthesize additional small nitrile oxides: methyl cyanoformate N-oxide, which is unknown in its free form, and fulminic acid, the simplest organonitrile. Together, these results showcase a versatile strategy for converting stable carbene C–H activation products to isolable forms of highly reactive carbonaceous small molecules.</w:t>
      </w:r>
    </w:p>
    <w:p>
      <w:pPr>
        <w:spacing w:before="120" w:after="120"/>
      </w:pPr>
      <w:r>
        <w:rPr>
          <w:sz w:val="18"/>
        </w:rPr>
        <w:t>——————————————————————————————————————————————————————————————————————</w:t>
      </w:r>
    </w:p>
    <w:p>
      <w:pPr>
        <w:spacing w:before="160" w:after="40" w:line="240" w:lineRule="auto"/>
      </w:pPr>
      <w:r>
        <w:rPr>
          <w:b/>
        </w:rPr>
        <w:t xml:space="preserve">[456] </w:t>
      </w:r>
      <w:hyperlink r:id="rId1419">
        <w:r>
          <w:rPr>
            <w:color w:val="1155CC"/>
            <w:u w:val="single"/>
          </w:rPr>
          <w:t>化学修饰糖作为多功能前体，用于直接、无模板合成纳米多孔碳质材料</w:t>
        </w:r>
      </w:hyperlink>
    </w:p>
    <w:p>
      <w:pPr>
        <w:spacing w:before="0" w:after="80"/>
      </w:pPr>
      <w:r>
        <w:rPr>
          <w:i/>
          <w:sz w:val="20"/>
        </w:rPr>
        <w:t>EN: Chemically Modified Sugars as Multifunctional Precursors for Direct, Template-Free Synthesis of Nanoporous Carbonaceous Materials</w:t>
      </w:r>
    </w:p>
    <w:p>
      <w:pPr>
        <w:spacing w:before="0" w:after="120"/>
      </w:pPr>
      <w:r>
        <w:rPr>
          <w:b/>
        </w:rPr>
        <w:t xml:space="preserve">Source: </w:t>
      </w:r>
      <w:r>
        <w:t>Journal of the American Chemical Society: Latest Articles (ACS Publications)</w:t>
      </w:r>
      <w:r>
        <w:t xml:space="preserve">    </w:t>
      </w:r>
      <w:r>
        <w:rPr>
          <w:b/>
        </w:rPr>
        <w:t xml:space="preserve">Pub date: </w:t>
      </w:r>
      <w:r>
        <w:t>2026-08-12 00:00:00+00:00</w:t>
      </w:r>
      <w:r>
        <w:t xml:space="preserve">    </w:t>
      </w:r>
      <w:r>
        <w:rPr>
          <w:b/>
        </w:rPr>
        <w:t xml:space="preserve">DOI: </w:t>
      </w:r>
      <w:hyperlink r:id="rId1420">
        <w:r>
          <w:rPr>
            <w:color w:val="1155CC"/>
            <w:u w:val="single"/>
          </w:rPr>
          <w:t>10.1021/jacs.5c16771</w:t>
        </w:r>
      </w:hyperlink>
    </w:p>
    <w:p>
      <w:pPr>
        <w:spacing w:before="0" w:after="120"/>
      </w:pPr>
      <w:r>
        <w:rPr>
          <w:b/>
        </w:rPr>
        <w:t xml:space="preserve">Notes: </w:t>
      </w:r>
      <w:r>
        <w:t>abstract_source=crossref</w:t>
      </w:r>
    </w:p>
    <w:p>
      <w:pPr>
        <w:spacing w:before="0" w:after="80" w:lineRule="auto" w:line="276"/>
      </w:pPr>
      <w:r>
        <w:rPr>
          <w:b/>
        </w:rPr>
        <w:t xml:space="preserve">摘要（ZH）: </w:t>
      </w:r>
      <w:r>
        <w:t>摘要 具有纳米级孔隙的碳质固体由于其易于吸附/分离、催化和电化学应用而具有重要的技术重要性。在此，我们证明了对糖进行简单而有针对性的化学修饰，特别是使用烷基化蔗糖作为碳前体，可以在水热环境下通过原位孔形成（即自生成孔）导致碳质固体的直接纳米结构和无模板生产多孔碳质固体。化学修饰的糖具有多功能和可编程性，可以​​调节（i）自组装（由于两亲性），（ii）碳化（通过糖主链的缩合）和（iii）尾部裂解（通过连接基分解）。该合成方法进一步扩展到使用另一种具有不同糖头基的烷基化糖前体的合成。湿实验室合成的果糖单月桂酸酯在水热碳化后产生层状碳质纳米结构。最后，利用较高水溶液浓度的烷基化蔗糖水热合成的多孔碳质固体表现出1155 m2 g-1的高比表面积和1.00 cm3 g-1的总孔体积，具有均匀的约32 nm尺寸的孔。我们演示的程序比广泛使用的传统模板方法具有优势。不需要牺牲模板；因此，获得新型多孔结构不受模板的可用性和有效性的限制。我们的前体修饰-bas</w:t>
      </w:r>
    </w:p>
    <w:p>
      <w:pPr>
        <w:spacing w:before="0" w:after="200" w:lineRule="auto" w:line="276"/>
      </w:pPr>
      <w:r>
        <w:rPr>
          <w:b/>
        </w:rPr>
        <w:t xml:space="preserve">Abstract (EN): </w:t>
      </w:r>
      <w:r>
        <w:t>Carbonaceous solids with pores in the nanometer domain are of great technological importance owing to their amenability to sorption/separation, catalysis, and electrochemical applications. Herein, we demonstrate that a simple yet targeted chemical modification of sugar, specifically the use of alkylated sucrose as a carbon precursor, leads to direct nanostructuring of carbonaceous solids and template-free production of porous carbonaceous solids via in situ pore formation (i.e., self-generation of pores) under a hydrothermal environment. Chemically modified sugars are multifunctional and programmable, allowing tuning of (i) self-assembly (due to amphiphilicity), (ii) carbonization (via condensation of the sugar backbone), and (iii) tail cleavage (via linker decomposition). The synthetic approach was further extended to the synthesis using another alkylated sugar precursor with a different sugar headgroup. Wet-laboratory synthesized fructose monolaurate yielded a layered carbonaceous nanostructure upon hydrothermal carbonization. Finally, the porous carbonaceous solid synthesized hydrothermally utilizing alkylated sucrose at a higher aqueous concentration exhibited a high specific surface area of 1155 m2 g–1 and a total pore volume of 1.00 cm3 g–1 with uniform, ∼32 nm-sized pores. Our demonstrated procedure presents advantages over the widely exploited, conventional templating method. It does not require sacrificial templates; hence, access to novel porous structures is not restricted by the availability and effectiveness of templates. Our precursor modification-based, direct one-step procedure is an attractive tool for precise yet flexible pore control and as a future resource- and energy-efficient approach toward nanoporous carbonaceous solids.</w:t>
      </w:r>
    </w:p>
    <w:p>
      <w:pPr>
        <w:spacing w:before="120" w:after="120"/>
      </w:pPr>
      <w:r>
        <w:rPr>
          <w:sz w:val="18"/>
        </w:rPr>
        <w:t>——————————————————————————————————————————————————————————————————————</w:t>
      </w:r>
    </w:p>
    <w:p>
      <w:pPr>
        <w:spacing w:before="160" w:after="40" w:line="240" w:lineRule="auto"/>
      </w:pPr>
      <w:r>
        <w:rPr>
          <w:b/>
        </w:rPr>
        <w:t xml:space="preserve">[457] </w:t>
      </w:r>
      <w:hyperlink r:id="rId1421">
        <w:r>
          <w:rPr>
            <w:color w:val="1155CC"/>
            <w:u w:val="single"/>
          </w:rPr>
          <w:t>Pd(0)-催化 Morita-Baylis-Hillman 碳酸盐与 1,3-二烯的对映选择性形式正电子需求交叉-[4 + 2] 环加成</w:t>
        </w:r>
      </w:hyperlink>
    </w:p>
    <w:p>
      <w:pPr>
        <w:spacing w:before="0" w:after="80"/>
      </w:pPr>
      <w:r>
        <w:rPr>
          <w:i/>
          <w:sz w:val="20"/>
        </w:rPr>
        <w:t>EN: Pd(0)-Catalyzed Enantioselective Formal Normal-Electron-Demand Cross-[4 + 2] Cycloadditions of Morita–Baylis–Hillman Carbonates with 1,3-Dienes</w:t>
      </w:r>
    </w:p>
    <w:p>
      <w:pPr>
        <w:spacing w:before="0" w:after="120"/>
      </w:pPr>
      <w:r>
        <w:rPr>
          <w:b/>
        </w:rPr>
        <w:t xml:space="preserve">Source: </w:t>
      </w:r>
      <w:r>
        <w:t>Journal of the American Chemical Society: Latest Articles (ACS Publications)</w:t>
      </w:r>
      <w:r>
        <w:t xml:space="preserve">    </w:t>
      </w:r>
      <w:r>
        <w:rPr>
          <w:b/>
        </w:rPr>
        <w:t xml:space="preserve">Pub date: </w:t>
      </w:r>
      <w:r>
        <w:t>2026-08-12 00:00:00+00:00</w:t>
      </w:r>
      <w:r>
        <w:t xml:space="preserve">    </w:t>
      </w:r>
      <w:r>
        <w:rPr>
          <w:b/>
        </w:rPr>
        <w:t xml:space="preserve">DOI: </w:t>
      </w:r>
      <w:hyperlink r:id="rId1422">
        <w:r>
          <w:rPr>
            <w:color w:val="1155CC"/>
            <w:u w:val="single"/>
          </w:rPr>
          <w:t>10.1021/jacs.6c08998</w:t>
        </w:r>
      </w:hyperlink>
    </w:p>
    <w:p>
      <w:pPr>
        <w:spacing w:before="0" w:after="120"/>
      </w:pPr>
      <w:r>
        <w:rPr>
          <w:b/>
        </w:rPr>
        <w:t xml:space="preserve">Notes: </w:t>
      </w:r>
      <w:r>
        <w:t>abstract_source=crossref</w:t>
      </w:r>
    </w:p>
    <w:p>
      <w:pPr>
        <w:spacing w:before="0" w:after="80" w:lineRule="auto" w:line="276"/>
      </w:pPr>
      <w:r>
        <w:rPr>
          <w:b/>
        </w:rPr>
        <w:t xml:space="preserve">摘要（ZH）: </w:t>
      </w:r>
      <w:r>
        <w:t>摘要 在此，我们描述了由 Morita-Baylis-Hillman 碳酸盐原位生成的 2-烷氧基-1,3-丁二烯与 1,3-二烯在钯 (0) 催化下的交叉 [4 + 2] 环加成反应。使用钯(0)催化剂和侧臂修饰的手性亚磷酰胺配体（包含二氢吖啶部分）促进[4 + 2]环加成在正式的正电子需求途径中进行，具有优异的区域选择性和立体选择性。通过该方法，可以高产率和优异的对映选择性获得多种带有季手性中心的对位取代环己烯。该方法的合成价值通过[4 + 2]环加成产物向各种结构新颖的环系统的各种下游转化进一步证明。 DFT计算表明，[4 + 2]环加成通过涉及高选择性[4 + 4+1]氧化环金属化、烯丙基异构化和3,3'-还原消除步骤的途径进行。还表明高水平的对映选择性可能是由于配体侧臂上的苯基的弱非键相互作用。</w:t>
      </w:r>
    </w:p>
    <w:p>
      <w:pPr>
        <w:spacing w:before="0" w:after="200" w:lineRule="auto" w:line="276"/>
      </w:pPr>
      <w:r>
        <w:rPr>
          <w:b/>
        </w:rPr>
        <w:t xml:space="preserve">Abstract (EN): </w:t>
      </w:r>
      <w:r>
        <w:t>Herein, we describe a palladium(0)-catalyzed cross-[4 + 2] cycloaddition of 2-carboalkoxy-1,3-butadienes, generated in situ from Morita–Baylis–Hillman carbonates, with 1,3-dienes. The use of a palladium(0) catalyst and a side arm-modified chiral phosphoramidite ligand, which contains a dihydroacridine moiety, facilitates the [4 + 2] cycloaddition proceeding in a formal normal-electron-demand pathway with excellent regioselectivity and stereoselectivity. With this method, a wide range of para-substituted cyclohexenes bearing a quaternary chiral center are obtained in high yields and excellent enantioselectivities. The synthetic value of this method is further demonstrated by diverse downstream transformations of the [4 + 2] cycloaddition products into various structurally novel ring systems. DFT calculations show that the [4 + 2] cycloaddition proceeds through a pathway involving highly selective [4 + 4+1] oxidative cyclometalation, allylic isomerization, and 3,3′-reductive elimination steps. It is also suggested that the high level of enantioselectivity is probably due to weak nonbonding interactions from the phenyl group on the side arm of the ligand.</w:t>
      </w:r>
    </w:p>
    <w:p>
      <w:pPr>
        <w:spacing w:before="120" w:after="120"/>
      </w:pPr>
      <w:r>
        <w:rPr>
          <w:sz w:val="18"/>
        </w:rPr>
        <w:t>——————————————————————————————————————————————————————————————————————</w:t>
      </w:r>
    </w:p>
    <w:p>
      <w:pPr>
        <w:spacing w:before="160" w:after="40" w:line="240" w:lineRule="auto"/>
      </w:pPr>
      <w:r>
        <w:rPr>
          <w:b/>
        </w:rPr>
        <w:t xml:space="preserve">[458] </w:t>
      </w:r>
      <w:hyperlink r:id="rId1423">
        <w:r>
          <w:rPr>
            <w:color w:val="1155CC"/>
            <w:u w:val="single"/>
          </w:rPr>
          <w:t>基因编码的亲电赖氨酸衍生物可实现基于 SUMO 活性的探针的分选酶介导组装</w:t>
        </w:r>
      </w:hyperlink>
    </w:p>
    <w:p>
      <w:pPr>
        <w:spacing w:before="0" w:after="80"/>
      </w:pPr>
      <w:r>
        <w:rPr>
          <w:i/>
          <w:sz w:val="20"/>
        </w:rPr>
        <w:t>EN: A Genetically Encoded Electrophilic Lysine Derivative Enables Sortase-Mediated Assembly of SUMO Activity-Based Probes</w:t>
      </w:r>
    </w:p>
    <w:p>
      <w:pPr>
        <w:spacing w:before="0" w:after="120"/>
      </w:pPr>
      <w:r>
        <w:rPr>
          <w:b/>
        </w:rPr>
        <w:t xml:space="preserve">Source: </w:t>
      </w:r>
      <w:r>
        <w:t>Journal of the American Chemical Society: Latest Articles (ACS Publications)</w:t>
      </w:r>
      <w:r>
        <w:t xml:space="preserve">    </w:t>
      </w:r>
      <w:r>
        <w:rPr>
          <w:b/>
        </w:rPr>
        <w:t xml:space="preserve">Pub date: </w:t>
      </w:r>
      <w:r>
        <w:t>2026-08-12 00:00:00+00:00</w:t>
      </w:r>
      <w:r>
        <w:t xml:space="preserve">    </w:t>
      </w:r>
      <w:r>
        <w:rPr>
          <w:b/>
        </w:rPr>
        <w:t xml:space="preserve">DOI: </w:t>
      </w:r>
      <w:hyperlink r:id="rId1424">
        <w:r>
          <w:rPr>
            <w:color w:val="1155CC"/>
            <w:u w:val="single"/>
          </w:rPr>
          <w:t>10.1021/jacs.6c10081</w:t>
        </w:r>
      </w:hyperlink>
    </w:p>
    <w:p>
      <w:pPr>
        <w:spacing w:before="0" w:after="120"/>
      </w:pPr>
      <w:r>
        <w:rPr>
          <w:b/>
        </w:rPr>
        <w:t xml:space="preserve">Notes: </w:t>
      </w:r>
      <w:r>
        <w:t>abstract_source=crossref</w:t>
      </w:r>
    </w:p>
    <w:p>
      <w:pPr>
        <w:spacing w:before="0" w:after="80" w:lineRule="auto" w:line="276"/>
      </w:pPr>
      <w:r>
        <w:rPr>
          <w:b/>
        </w:rPr>
        <w:t xml:space="preserve">摘要（ZH）: </w:t>
      </w:r>
      <w:r>
        <w:t>摘要 基于活性的探针 (ABP) 已成为分析写入和擦除泛素 (Ub) 和泛素样修饰符 (Ubl) 信号的酶的强大工具。将这种策略扩展到特定底物环境中的小型泛素样修饰剂 (SUMO) 特异性蛋白酶仍然具有挑战性，因为位点特异性 SUMO 连接必须与可剪切异肽键附近的精确亲电子试剂放置相结合。在这里，我们介绍了一个支持分选酶的化学酶平台，用于生成 SUMO ABP，范围从单相扑探针到天然相扑底物缀合物。工程化分选酶 Srt2A 将 SUMO 变体与带有甘氨酸的亲电子试剂连接，从而可以轻松获取在体外、细胞裂解物和活细胞中捕获去SUMO 化酶的 monoSUMO 探针。为了生成 SUMO 底物探针，我们开发了 AzGVAisoK，这是一种基因可编码的双功能赖氨酸衍生物，含有叠氮化物保护的分选酶手柄和乙烯基酰胺亲电子试剂。工程化的吡咯赖氨酰-tRNA 合成酶/tRNA 对能够使其位点特异性掺入靶蛋白中。随后的蛋白质施陶丁格还原和分选酶介导的 SUMO 化在温和的水性条件下提供了确定的 SUMO 底物 ABP。将该平台应用于 PCNA 和 K11 连接的 diSUMO 缀合物，揭示了由 SUMO 旁系同源物和受体-底物环境控制的不同去SUMO化酶捕获谱。这项工作建立了一种类似于天然 SUMO 探针的模块化途径，并提供了一种用于询问 Ubl 信号传导中上下文依赖性酶识别的通用策略。</w:t>
      </w:r>
    </w:p>
    <w:p>
      <w:pPr>
        <w:spacing w:before="0" w:after="200" w:lineRule="auto" w:line="276"/>
      </w:pPr>
      <w:r>
        <w:rPr>
          <w:b/>
        </w:rPr>
        <w:t xml:space="preserve">Abstract (EN): </w:t>
      </w:r>
      <w:r>
        <w:t>Activity-based probes (ABPs) have become powerful tools for profiling enzymes that write and erase ubiquitin (Ub) and ubiquitin-like modifier (Ubl) signals. Extending this strategy to small ubiquitin-like modifier (SUMO)-specific proteases in defined substrate contexts remains challenging, because site-specific SUMO attachment must be combined with precise electrophile placement near the scissile isopeptide linkage. Here, we introduce a sortase-enabled chemoenzymatic platform for generating SUMO ABPs ranging from monoSUMO probes to native-like SUMO-substrate conjugates. The engineered sortase Srt2A ligates SUMO variants to glycine-bearing electrophiles, providing facile access to monoSUMO probes that trap deSUMOylases in vitro, in cellular lysates, and in living cells. To generate SUMO-substrate probes, we develop AzGVAisoK, a genetically encodable bifunctional lysine derivative containing both an azide-protected sortase handle and a vinyl amide electrophile. An engineered pyrrolysyl-tRNA synthetase/tRNA pair enables its site-specific incorporation into target proteins. Subsequent on-protein Staudinger reduction and sortase-mediated SUMOylation furnish defined SUMO-substrate ABPs under mild aqueous conditions. Applying this platform to PCNA and K11-linked diSUMO conjugates revealed distinct deSUMOylase trapping profiles governed by SUMO paralog and acceptor-substrate contexts. This work establishes a modular route to native-like SUMO probes and provides a general strategy for interrogating context-dependent enzyme recognition in Ubl signaling.</w:t>
      </w:r>
    </w:p>
    <w:p>
      <w:pPr>
        <w:spacing w:before="120" w:after="120"/>
      </w:pPr>
      <w:r>
        <w:rPr>
          <w:sz w:val="18"/>
        </w:rPr>
        <w:t>——————————————————————————————————————————————————————————————————————</w:t>
      </w:r>
    </w:p>
    <w:p>
      <w:pPr>
        <w:spacing w:before="160" w:after="40" w:line="240" w:lineRule="auto"/>
      </w:pPr>
      <w:r>
        <w:rPr>
          <w:b/>
        </w:rPr>
        <w:t xml:space="preserve">[459] </w:t>
      </w:r>
      <w:hyperlink r:id="rId1425">
        <w:r>
          <w:rPr>
            <w:color w:val="1155CC"/>
            <w:u w:val="single"/>
          </w:rPr>
          <w:t>不确定性自平衡能力：微电网灵活性及其经济评估的新指标</w:t>
        </w:r>
      </w:hyperlink>
    </w:p>
    <w:p>
      <w:pPr>
        <w:spacing w:before="0" w:after="80"/>
      </w:pPr>
      <w:r>
        <w:rPr>
          <w:i/>
          <w:sz w:val="20"/>
        </w:rPr>
        <w:t>EN: Uncertainty self-balancing capability: A novel indicator for microgrid flexibility and its economic valuation</w:t>
      </w:r>
    </w:p>
    <w:p>
      <w:pPr>
        <w:spacing w:before="0" w:after="120"/>
      </w:pPr>
      <w:r>
        <w:rPr>
          <w:b/>
        </w:rPr>
        <w:t xml:space="preserve">Source: </w:t>
      </w:r>
      <w:r>
        <w:t>ScienceDirect Publication: Applied Energy</w:t>
      </w:r>
      <w:r>
        <w:t xml:space="preserve">    </w:t>
      </w:r>
      <w:r>
        <w:rPr>
          <w:b/>
        </w:rPr>
        <w:t xml:space="preserve">Pub date: </w:t>
      </w:r>
      <w:r>
        <w:t>2026-08-12 00:00:00+00:00</w:t>
      </w:r>
      <w:r>
        <w:t xml:space="preserve">    </w:t>
      </w:r>
      <w:r>
        <w:rPr>
          <w:b/>
        </w:rPr>
        <w:t xml:space="preserve">DOI: </w:t>
      </w:r>
      <w:hyperlink r:id="rId1426">
        <w:r>
          <w:rPr>
            <w:color w:val="1155CC"/>
            <w:u w:val="single"/>
          </w:rPr>
          <w:t>10.1016/j.apenergy.2026.128631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[460] </w:t>
      </w:r>
      <w:hyperlink r:id="rId1427">
        <w:r>
          <w:rPr>
            <w:color w:val="1155CC"/>
            <w:u w:val="single"/>
          </w:rPr>
          <w:t>金属有机框架中的多转子动力学绘图</w:t>
        </w:r>
      </w:hyperlink>
    </w:p>
    <w:p>
      <w:pPr>
        <w:spacing w:before="0" w:after="80"/>
      </w:pPr>
      <w:r>
        <w:rPr>
          <w:i/>
          <w:sz w:val="20"/>
        </w:rPr>
        <w:t>EN: Mapping of Multirotor Dynamics in Metal–Organic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2026-08-12 00:00:00+00:00</w:t>
      </w:r>
      <w:r>
        <w:t xml:space="preserve">    </w:t>
      </w:r>
      <w:r>
        <w:rPr>
          <w:b/>
        </w:rPr>
        <w:t xml:space="preserve">DOI: </w:t>
      </w:r>
      <w:hyperlink r:id="rId1428">
        <w:r>
          <w:rPr>
            <w:color w:val="1155CC"/>
            <w:u w:val="single"/>
          </w:rPr>
          <w:t>10.1021/jacs.6c06870</w:t>
        </w:r>
      </w:hyperlink>
    </w:p>
    <w:p>
      <w:pPr>
        <w:spacing w:before="0" w:after="120"/>
      </w:pPr>
      <w:r>
        <w:rPr>
          <w:b/>
        </w:rPr>
        <w:t xml:space="preserve">Notes: </w:t>
      </w:r>
      <w:r>
        <w:t>abstract_source=crossref</w:t>
      </w:r>
    </w:p>
    <w:p>
      <w:pPr>
        <w:spacing w:before="0" w:after="80" w:lineRule="auto" w:line="276"/>
      </w:pPr>
      <w:r>
        <w:rPr>
          <w:b/>
        </w:rPr>
        <w:t xml:space="preserve">摘要（ZH）: </w:t>
      </w:r>
      <w:r>
        <w:t>摘要 金属有机框架（MOF）的两亲动力学性质源于有机连接器上合并的移动转子，有机连接器将金属或簇结构单元连接成刚性晶体网络。量化这种动态对于推进 MOF 在气体储存、分离和分子机械中的最终应用至关重要。然而，缺乏能够在单一框架中解析多个不同转子运动的通用、无标记表征技术，导致定量动态数据集严重短缺，从而阻碍了结构-性能相关性。在这里，我们建立了一种高分辨率固态13C MAS NMR（魔角旋转核磁共振）方法，该方法采用经典的横向弛豫理论，能够定量绘制MOF中的多转子动力学。该方法在一系列结构复杂性不断增加的 Zn4O(COO)6 基 MOF 上得到了验证。特别是，同时确定多个连接器的转子特定亚苯基运动，产生独特的活化能和跨越 102-107 Hz 的运动频率。活化能的 DFT 计算和已知的 2H NMR 数据（如果有）证实了 13C 动力学分析。由此产生的动力学图将迁移率与局部结构特征和吸附特性相关联，揭示了较高的孔隙率和较弱的π共轭增强了旋转，并且高迁移率减少了低压下不可用的甲烷吸收，从而提高了可输送的甲烷容量。这种多功能方法广泛适用于动态</w:t>
      </w:r>
    </w:p>
    <w:p>
      <w:pPr>
        <w:spacing w:before="0" w:after="200" w:lineRule="auto" w:line="276"/>
      </w:pPr>
      <w:r>
        <w:rPr>
          <w:b/>
        </w:rPr>
        <w:t xml:space="preserve">Abstract (EN): </w:t>
      </w:r>
      <w:r>
        <w:t>The amphidynamic nature of metal–organic frameworks (MOFs) arises from incorporated mobile rotors on organic linkers that connect metal or cluster building blocks into rigid crystalline networks. Quantifying such dynamics is crucial for advancing ultimate applications of MOFs in gas storage, separation, and molecular machinery. However, the lack of a versatile, label-free characterization technique capable of resolving the motions of multiple distinct rotors in a single framework results in an acute shortage of quantitative dynamical data sets, which hinders structure–property correlation. Here, we establish a high-resolution solid-state 13C MAS NMR (Magic Angle Spinning Nuclear Magnetic Resonance) method that employs a classic transverse relaxation theory, enabling quantitative mapping of multirotor dynamics in MOFs. This method is validated on a series of Zn4O(COO)6-based MOFs with increasing structural complexity. In particular, the rotor-specific phenylene motion of multiple linkers is simultaneously determined, yielding distinctive activation energies and motion frequencies spanning 102–107 Hz. DFT calculations of activation energies and known 2H NMR data, where available, corroborate the 13C dynamical analysis. The resulting dynamics maps correlate mobility with local structural features and sorption properties, revealing that higher porosity and weaker π-conjugation enhance rotation, and that high mobility reduces unusable methane uptake at low pressure, thereby enhancing deliverable methane capacity. This versatile methodology is broadly applicable to dynamic systems, providing site-specific insights into complex motional landscapes to establish structure–dynamics–property relationships.</w:t>
      </w:r>
    </w:p>
    <w:p>
      <w:pPr>
        <w:spacing w:before="120" w:after="120"/>
      </w:pPr>
      <w:r>
        <w:rPr>
          <w:sz w:val="18"/>
        </w:rPr>
        <w:t>——————————————————————————————————————————————————————————————————————</w:t>
      </w:r>
    </w:p>
    <w:p>
      <w:pPr>
        <w:spacing w:before="160" w:after="40" w:line="240" w:lineRule="auto"/>
      </w:pPr>
      <w:r>
        <w:rPr>
          <w:b/>
        </w:rPr>
        <w:t xml:space="preserve">[461] </w:t>
      </w:r>
      <w:hyperlink r:id="rId1429">
        <w:r>
          <w:rPr>
            <w:color w:val="1155CC"/>
            <w:u w:val="single"/>
          </w:rPr>
          <w:t>金量子棒：通过棒长度调节单线态和三线态激子种群</w:t>
        </w:r>
      </w:hyperlink>
    </w:p>
    <w:p>
      <w:pPr>
        <w:spacing w:before="0" w:after="80"/>
      </w:pPr>
      <w:r>
        <w:rPr>
          <w:i/>
          <w:sz w:val="20"/>
        </w:rPr>
        <w:t>EN: Gold Quantum Rods: Modulation of Singlet and Triplet Exciton Populations by the Rod Length</w:t>
      </w:r>
    </w:p>
    <w:p>
      <w:pPr>
        <w:spacing w:before="0" w:after="120"/>
      </w:pPr>
      <w:r>
        <w:rPr>
          <w:b/>
        </w:rPr>
        <w:t xml:space="preserve">Source: </w:t>
      </w:r>
      <w:r>
        <w:t>Journal of the American Chemical Society: Latest Articles (ACS Publications)</w:t>
      </w:r>
      <w:r>
        <w:t xml:space="preserve">    </w:t>
      </w:r>
      <w:r>
        <w:rPr>
          <w:b/>
        </w:rPr>
        <w:t xml:space="preserve">Pub date: </w:t>
      </w:r>
      <w:r>
        <w:t>2026-08-12 00:00:00+00:00</w:t>
      </w:r>
      <w:r>
        <w:t xml:space="preserve">    </w:t>
      </w:r>
      <w:r>
        <w:rPr>
          <w:b/>
        </w:rPr>
        <w:t xml:space="preserve">DOI: </w:t>
      </w:r>
      <w:hyperlink r:id="rId1430">
        <w:r>
          <w:rPr>
            <w:color w:val="1155CC"/>
            <w:u w:val="single"/>
          </w:rPr>
          <w:t>10.1021/jacs.6c10470</w:t>
        </w:r>
      </w:hyperlink>
    </w:p>
    <w:p>
      <w:pPr>
        <w:spacing w:before="0" w:after="120"/>
      </w:pPr>
      <w:r>
        <w:rPr>
          <w:b/>
        </w:rPr>
        <w:t xml:space="preserve">Notes: </w:t>
      </w:r>
      <w:r>
        <w:t>abstract_source=crossref</w:t>
      </w:r>
    </w:p>
    <w:p>
      <w:pPr>
        <w:spacing w:before="0" w:after="80" w:lineRule="auto" w:line="276"/>
      </w:pPr>
      <w:r>
        <w:rPr>
          <w:b/>
        </w:rPr>
        <w:t xml:space="preserve">摘要（ZH）: </w:t>
      </w:r>
      <w:r>
        <w:t>摘要 Au60、Au78、Au96 和 Au114（受硫醇盐配体保护）的金量子棒（QR）表现出独特的荧光，这与具有双发射（荧光 + 磷光）的较短 Au42 QR 不同。在此，我们报告了这一系列 QR 的激发波长依赖性近红外 II 光致发光 (PL) 和激子动力学。有趣的是，与高位态（Sn）的激发相比，当最低单重激发态（S1）激发时，QR的荧光量子产率（QY）要高得多（2-10×）。当 Sn 被激发时，通过瞬态吸收光谱识别出亚稳态中间单线态（表示为 S'），并且该 S' 态导致快速“天桥”系间跨越（ISC），这对总三重态种群有主要贡献（&gt;60%）。随着 QR 纵横比 (AR) 的增加（从 6.3 到 18.7），非辐射过程加速，导致 S1 态（因此 QY 较少）和 T1 态（几乎没有磷光）快速衰减。确定了光激发后 QR 的详细能量流机制，这为操纵激子动力学以在应用中潜在利用更高的激发态提供了设计原理。</w:t>
      </w:r>
    </w:p>
    <w:p>
      <w:pPr>
        <w:spacing w:before="0" w:after="200" w:lineRule="auto" w:line="276"/>
      </w:pPr>
      <w:r>
        <w:rPr>
          <w:b/>
        </w:rPr>
        <w:t xml:space="preserve">Abstract (EN): </w:t>
      </w:r>
      <w:r>
        <w:t>Gold quantum rods (QRs) of Au60, Au78, Au96, and Au114 (protected by thiolate ligands) exhibit exclusive fluorescence, which is different from the shorter Au42 QR with dual emission (fluorescence + phosphorescence). Herein, we report the excitation wavelength-dependent near-infrared-II photoluminescence (PL) and exciton dynamics of this series of QRs. Interestingly, the fluorescence quantum yield (QY) of the QRs is much higher (2–10×) when the lowest singlet excited state (S1) is excited compared to the excitation of high-lying states (Sn). A metastable intermediate singlet state (denoted S′) is identified by transient absorption spectroscopy when Sn is excited, and this S′ state leads to fast “skybridge” intersystem crossing (ISC), which contributes primarily (&amp;gt;60%) to the total triplet population. With increasing aspect ratio (AR) of QRs (from 6.3 to 18.7), nonradiative processes accelerate, leading to fast decay of the S1 state (hence, less QY) and of the T1 state (barely phosphorescent). A detailed energy flow mechanism is determined for the QRs after photoexcitation, which offers a design principle for manipulation of exciton dynamics toward potential utilization of higher excited states in applications.</w:t>
      </w:r>
    </w:p>
    <w:p>
      <w:pPr>
        <w:spacing w:before="120" w:after="120"/>
      </w:pPr>
      <w:r>
        <w:rPr>
          <w:sz w:val="18"/>
        </w:rPr>
        <w:t>——————————————————————————————————————————————————————————————————————</w:t>
      </w:r>
    </w:p>
    <w:p>
      <w:pPr>
        <w:spacing w:before="160" w:after="40" w:line="240" w:lineRule="auto"/>
      </w:pPr>
      <w:r>
        <w:rPr>
          <w:b/>
        </w:rPr>
        <w:t xml:space="preserve">[462] </w:t>
      </w:r>
      <w:hyperlink r:id="rId1431">
        <w:r>
          <w:rPr>
            <w:color w:val="1155CC"/>
            <w:u w:val="single"/>
          </w:rPr>
          <w:t>定制范德华金属有机框架中的堆积顺序</w:t>
        </w:r>
      </w:hyperlink>
    </w:p>
    <w:p>
      <w:pPr>
        <w:spacing w:before="0" w:after="80"/>
      </w:pPr>
      <w:r>
        <w:rPr>
          <w:i/>
          <w:sz w:val="20"/>
        </w:rPr>
        <w:t>EN: Tailoring packing sequences in van der Waals metal–organic frameworks</w:t>
      </w:r>
    </w:p>
    <w:p>
      <w:pPr>
        <w:spacing w:before="0" w:after="120"/>
      </w:pPr>
      <w:r>
        <w:rPr>
          <w:b/>
        </w:rPr>
        <w:t xml:space="preserve">Source: </w:t>
      </w:r>
      <w:r>
        <w:t>Nature Chemistry</w:t>
      </w:r>
      <w:r>
        <w:t xml:space="preserve">    </w:t>
      </w:r>
      <w:r>
        <w:rPr>
          <w:b/>
        </w:rPr>
        <w:t xml:space="preserve">Pub date: </w:t>
      </w:r>
      <w:r>
        <w:t>2026-08-12 00:00:00+00:00</w:t>
      </w:r>
      <w:r>
        <w:t xml:space="preserve">    </w:t>
      </w:r>
      <w:r>
        <w:rPr>
          <w:b/>
        </w:rPr>
        <w:t xml:space="preserve">DOI: </w:t>
      </w:r>
      <w:hyperlink r:id="rId1432">
        <w:r>
          <w:rPr>
            <w:color w:val="1155CC"/>
            <w:u w:val="single"/>
          </w:rPr>
          <w:t>10.1038/s41557-026-02223-5</w:t>
        </w:r>
      </w:hyperlink>
    </w:p>
    <w:p>
      <w:pPr>
        <w:spacing w:before="0" w:after="120"/>
      </w:pPr>
      <w:r>
        <w:rPr>
          <w:b/>
        </w:rPr>
        <w:t xml:space="preserve">Notes: </w:t>
      </w:r>
      <w:r>
        <w:t>abstract_source=rss_nature</w:t>
      </w:r>
    </w:p>
    <w:p>
      <w:pPr>
        <w:spacing w:before="0" w:after="80" w:lineRule="auto" w:line="276"/>
      </w:pPr>
      <w:r>
        <w:rPr>
          <w:b/>
        </w:rPr>
        <w:t xml:space="preserve">摘要（ZH）: </w:t>
      </w:r>
      <w:r>
        <w:t>导电范德华金属有机框架（vdW-MOF）是一类新兴的电子材料，其特性对层堆叠高度敏感。现在，一种策略可以通过在框架组装之前使用溶剂引导亚稳态超分子配体聚集体的形成来精确控制 vdW-MOF 的堆叠结构。</w:t>
      </w:r>
    </w:p>
    <w:p>
      <w:pPr>
        <w:spacing w:before="0" w:after="200" w:lineRule="auto" w:line="276"/>
      </w:pPr>
      <w:r>
        <w:rPr>
          <w:b/>
        </w:rPr>
        <w:t xml:space="preserve">Abstract (EN): </w:t>
      </w:r>
      <w:r>
        <w:t>Conductive van der Waals metal–organic frameworks (vdW–MOFs) are an emerging class of electronic materials whose properties are highly sensitive to layer stacking. Now, a strategy enables precise control over the stacking structures of vdW–MOFs by using solvents to direct the formation of metastable supramolecular ligand aggregates prior to framework assembly.</w:t>
      </w:r>
    </w:p>
    <w:p>
      <w:pPr>
        <w:spacing w:before="120" w:after="120"/>
      </w:pPr>
      <w:r>
        <w:rPr>
          <w:sz w:val="18"/>
        </w:rPr>
        <w:t>——————————————————————————————————————————————————————————————————————</w:t>
      </w:r>
    </w:p>
    <w:p>
      <w:pPr>
        <w:spacing w:before="160" w:after="40" w:line="240" w:lineRule="auto"/>
      </w:pPr>
      <w:r>
        <w:rPr>
          <w:b/>
        </w:rPr>
        <w:t xml:space="preserve">[463] </w:t>
      </w:r>
      <w:hyperlink r:id="rId1433">
        <w:r>
          <w:rPr>
            <w:color w:val="1155CC"/>
            <w:u w:val="single"/>
          </w:rPr>
          <w:t>迈向可操作的行星边界情报</w:t>
        </w:r>
      </w:hyperlink>
    </w:p>
    <w:p>
      <w:pPr>
        <w:spacing w:before="0" w:after="80"/>
      </w:pPr>
      <w:r>
        <w:rPr>
          <w:i/>
          <w:sz w:val="20"/>
        </w:rPr>
        <w:t>EN: Toward actionable planetary boundary intelligence</w:t>
      </w:r>
    </w:p>
    <w:p>
      <w:pPr>
        <w:spacing w:before="0" w:after="120"/>
      </w:pPr>
      <w:r>
        <w:rPr>
          <w:b/>
        </w:rPr>
        <w:t xml:space="preserve">Source: </w:t>
      </w:r>
      <w:r>
        <w:t>One Earth</w:t>
      </w:r>
      <w:r>
        <w:t xml:space="preserve">    </w:t>
      </w:r>
      <w:r>
        <w:rPr>
          <w:b/>
        </w:rPr>
        <w:t xml:space="preserve">Pub date: </w:t>
      </w:r>
      <w:r>
        <w:t>2026-08-12 00:00:00+00:00</w:t>
      </w:r>
      <w:r>
        <w:t xml:space="preserve">    </w:t>
      </w:r>
      <w:r>
        <w:rPr>
          <w:b/>
        </w:rPr>
        <w:t xml:space="preserve">DOI: </w:t>
      </w:r>
      <w:hyperlink r:id="rId1434">
        <w:r>
          <w:rPr>
            <w:color w:val="1155CC"/>
            <w:u w:val="single"/>
          </w:rPr>
          <w:t>10.1016/j.oneear.2026.101780</w:t>
        </w:r>
      </w:hyperlink>
    </w:p>
    <w:p>
      <w:pPr>
        <w:spacing w:before="0" w:after="120"/>
      </w:pPr>
      <w:r>
        <w:rPr>
          <w:b/>
        </w:rPr>
        <w:t xml:space="preserve">Notes: </w:t>
      </w:r>
      <w:r>
        <w:t>abstract_source=jina_reader</w:t>
      </w:r>
    </w:p>
    <w:p>
      <w:pPr>
        <w:spacing w:before="0" w:after="80" w:lineRule="auto" w:line="276"/>
      </w:pPr>
      <w:r>
        <w:rPr>
          <w:b/>
        </w:rPr>
        <w:t xml:space="preserve">摘要（ZH）: </w:t>
      </w:r>
      <w:r>
        <w:t>行星边界框架支撑着可持续发展治理，但九个边界中有七个被违反，评估仍然过于粗略和不频繁，无法指导行动。如果建立在明确的需求和持续的基础设施之上，利用地球观测和地理空间人工智能的行星边界情报系统可以提供经过验证的、具有不确定性的地球系统动态指标。</w:t>
      </w:r>
    </w:p>
    <w:p>
      <w:pPr>
        <w:spacing w:before="0" w:after="200" w:lineRule="auto" w:line="276"/>
      </w:pPr>
      <w:r>
        <w:rPr>
          <w:b/>
        </w:rPr>
        <w:t xml:space="preserve">Abstract (EN): </w:t>
      </w:r>
      <w:r>
        <w:t>The Planetary Boundaries framework underpins sustainability governance, yet seven of nine boundaries are transgressed and assessments remain too coarse and infrequent to guide action. A planetary boundary intelligence system leveraging Earth observation and geospatial AI could deliver validated, uncertainty-aware indicators of Earth system dynamics if built on defined needs and sustained infrastructure.</w:t>
      </w:r>
    </w:p>
    <w:p>
      <w:pPr>
        <w:spacing w:before="120" w:after="120"/>
      </w:pPr>
      <w:r>
        <w:rPr>
          <w:sz w:val="18"/>
        </w:rPr>
        <w:t>——————————————————————————————————————————————————————————————————————</w:t>
      </w:r>
    </w:p>
    <w:p>
      <w:pPr>
        <w:spacing w:before="160" w:after="40" w:line="240" w:lineRule="auto"/>
      </w:pPr>
      <w:r>
        <w:rPr>
          <w:b/>
        </w:rPr>
        <w:t xml:space="preserve">[464] </w:t>
      </w:r>
      <w:hyperlink r:id="rId1435">
        <w:r>
          <w:rPr>
            <w:color w:val="1155CC"/>
            <w:u w:val="single"/>
          </w:rPr>
          <w:t>聚集体中的蝴蝶效应：堆积基序诱导的空间相互作用使 NIR-II 发射能够用于图像引导膀胱癌手术</w:t>
        </w:r>
      </w:hyperlink>
    </w:p>
    <w:p>
      <w:pPr>
        <w:spacing w:before="0" w:after="80"/>
      </w:pPr>
      <w:r>
        <w:rPr>
          <w:i/>
          <w:sz w:val="20"/>
        </w:rPr>
        <w:t>EN: Butterfly effect in aggregates: Packing motif-induced through-space interactions enable NIR-II emission for image-guided bladder cancer surgery</w:t>
      </w:r>
    </w:p>
    <w:p>
      <w:pPr>
        <w:spacing w:before="0" w:after="120"/>
      </w:pPr>
      <w:r>
        <w:rPr>
          <w:b/>
        </w:rPr>
        <w:t xml:space="preserve">Source: </w:t>
      </w:r>
      <w:r>
        <w:t>Matter</w:t>
      </w:r>
      <w:r>
        <w:t xml:space="preserve">    </w:t>
      </w:r>
      <w:r>
        <w:rPr>
          <w:b/>
        </w:rPr>
        <w:t xml:space="preserve">Pub date: </w:t>
      </w:r>
      <w:r>
        <w:t>2026-08-12 00:00:00+00:00</w:t>
      </w:r>
      <w:r>
        <w:t xml:space="preserve">    </w:t>
      </w:r>
      <w:r>
        <w:rPr>
          <w:b/>
        </w:rPr>
        <w:t xml:space="preserve">DOI: </w:t>
      </w:r>
      <w:hyperlink r:id="rId1436">
        <w:r>
          <w:rPr>
            <w:color w:val="1155CC"/>
            <w:u w:val="single"/>
          </w:rPr>
          <w:t>10.1016/j.matt.2026.102956</w:t>
        </w:r>
      </w:hyperlink>
    </w:p>
    <w:p>
      <w:pPr>
        <w:spacing w:before="0" w:after="120"/>
      </w:pPr>
      <w:r>
        <w:rPr>
          <w:b/>
        </w:rPr>
        <w:t xml:space="preserve">Notes: </w:t>
      </w:r>
      <w:r>
        <w:t>abstract_source=rss_cell</w:t>
      </w:r>
    </w:p>
    <w:p>
      <w:pPr>
        <w:spacing w:before="0" w:after="80" w:lineRule="auto" w:line="276"/>
      </w:pPr>
      <w:r>
        <w:rPr>
          <w:b/>
        </w:rPr>
        <w:t xml:space="preserve">摘要（ZH）: </w:t>
      </w:r>
      <w:r>
        <w:t>微妙的二氰基修饰改变了分子堆积，而基本上不改变溶液光物理学，通过聚集体中的空间相互作用产生发射二聚体。这种堆积驱动的“蝴蝶效应”可实现高效的 NIR-II 发射和大斯托克斯位移。由此产生的纳米粒子表现出稳定且生物相容性的发射，在小鼠模型和患者来源的标本中实现了精确的图像引导膀胱癌手术。</w:t>
      </w:r>
    </w:p>
    <w:p>
      <w:pPr>
        <w:spacing w:before="0" w:after="200" w:lineRule="auto" w:line="276"/>
      </w:pPr>
      <w:r>
        <w:rPr>
          <w:b/>
        </w:rPr>
        <w:t xml:space="preserve">Abstract (EN): </w:t>
      </w:r>
      <w:r>
        <w:t>A subtle dicyano modification transforms molecular packing without substantially altering solution photophysics, producing emissive dimers through through-space interactions in aggregates. This packing-driven “butterfly effect” enables efficient NIR-II emission with a large Stokes shift. The resulting nanoparticles show stable and biocompatible emission, achieving precise image-guided bladder cancer surgery in mouse models and patient-derived specimens.</w:t>
      </w:r>
    </w:p>
    <w:p>
      <w:pPr>
        <w:spacing w:before="120" w:after="120"/>
      </w:pPr>
      <w:r>
        <w:rPr>
          <w:sz w:val="18"/>
        </w:rPr>
        <w:t>——————————————————————————————————————————————————————————————————————</w:t>
      </w:r>
    </w:p>
    <w:p>
      <w:pPr>
        <w:spacing w:before="160" w:after="40" w:line="240" w:lineRule="auto"/>
      </w:pPr>
      <w:r>
        <w:rPr>
          <w:b/>
        </w:rPr>
        <w:t xml:space="preserve">[465] </w:t>
      </w:r>
      <w:hyperlink r:id="rId1437">
        <w:r>
          <w:rPr>
            <w:color w:val="1155CC"/>
            <w:u w:val="single"/>
          </w:rPr>
          <w:t>重新构想能源转型：通过社区参与和边缘化印度社区的认知文化来理解能源自主</w:t>
        </w:r>
      </w:hyperlink>
    </w:p>
    <w:p>
      <w:pPr>
        <w:spacing w:before="0" w:after="80"/>
      </w:pPr>
      <w:r>
        <w:rPr>
          <w:i/>
          <w:sz w:val="20"/>
        </w:rPr>
        <w:t>EN: Reimagining energy transitions: understanding energy autonomy through community participation and epistemic cultures in marginalised Indian communities</w:t>
      </w:r>
    </w:p>
    <w:p>
      <w:pPr>
        <w:spacing w:before="0" w:after="120"/>
      </w:pPr>
      <w:r>
        <w:rPr>
          <w:b/>
        </w:rPr>
        <w:t xml:space="preserve">Source: </w:t>
      </w:r>
      <w:r>
        <w:t>ScienceDirect Publication: Applied Energy</w:t>
      </w:r>
      <w:r>
        <w:t xml:space="preserve">    </w:t>
      </w:r>
      <w:r>
        <w:rPr>
          <w:b/>
        </w:rPr>
        <w:t xml:space="preserve">Pub date: </w:t>
      </w:r>
      <w:r>
        <w:t>2026-08-12 00:00:00+00:00</w:t>
      </w:r>
      <w:r>
        <w:t xml:space="preserve">    </w:t>
      </w:r>
      <w:r>
        <w:rPr>
          <w:b/>
        </w:rPr>
        <w:t xml:space="preserve">DOI: </w:t>
      </w:r>
      <w:hyperlink r:id="rId1438">
        <w:r>
          <w:rPr>
            <w:color w:val="1155CC"/>
            <w:u w:val="single"/>
          </w:rPr>
          <w:t>10.1016/j.apenergy.2026.128660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[466] </w:t>
      </w:r>
      <w:hyperlink r:id="rId1439">
        <w:r>
          <w:rPr>
            <w:color w:val="1155CC"/>
            <w:u w:val="single"/>
          </w:rPr>
          <w:t>通过电场后处理实现 MoS2 的多晶型转变和位错调控以增强电磁波吸收</w:t>
        </w:r>
      </w:hyperlink>
    </w:p>
    <w:p>
      <w:pPr>
        <w:spacing w:before="0" w:after="80"/>
      </w:pPr>
      <w:r>
        <w:rPr>
          <w:i/>
          <w:sz w:val="20"/>
        </w:rPr>
        <w:t>EN: Polymorphic Transformation and Dislocation Regulation in MoS2 Enabled by Electric Field Postprocessing for Enhanced Electromagnetic Wave Absorption</w:t>
      </w:r>
    </w:p>
    <w:p>
      <w:pPr>
        <w:spacing w:before="0" w:after="120"/>
      </w:pPr>
      <w:r>
        <w:rPr>
          <w:b/>
        </w:rPr>
        <w:t xml:space="preserve">Source: </w:t>
      </w:r>
      <w:r>
        <w:t>Nano-Micro Letters</w:t>
      </w:r>
      <w:r>
        <w:t xml:space="preserve">    </w:t>
      </w:r>
      <w:r>
        <w:rPr>
          <w:b/>
        </w:rPr>
        <w:t xml:space="preserve">Pub date: </w:t>
      </w:r>
      <w:r>
        <w:t>2026-08-12 00:00:00+00:00</w:t>
      </w:r>
      <w:r>
        <w:t xml:space="preserve">    </w:t>
      </w:r>
      <w:r>
        <w:rPr>
          <w:b/>
        </w:rPr>
        <w:t xml:space="preserve">DOI: </w:t>
      </w:r>
      <w:hyperlink r:id="rId1440">
        <w:r>
          <w:rPr>
            <w:color w:val="1155CC"/>
            <w:u w:val="single"/>
          </w:rPr>
          <w:t>10.1007/s40820-026-02334-1</w:t>
        </w:r>
      </w:hyperlink>
    </w:p>
    <w:p>
      <w:pPr>
        <w:spacing w:before="0" w:after="120"/>
      </w:pPr>
      <w:r>
        <w:rPr>
          <w:b/>
        </w:rPr>
        <w:t xml:space="preserve">Notes: </w:t>
      </w:r>
      <w:r>
        <w:t>abstract_source=rss_description</w:t>
      </w:r>
    </w:p>
    <w:p>
      <w:pPr>
        <w:spacing w:before="0" w:after="80" w:lineRule="auto" w:line="276"/>
      </w:pPr>
      <w:r>
        <w:rPr>
          <w:b/>
        </w:rPr>
        <w:t xml:space="preserve">摘要（ZH）: </w:t>
      </w:r>
      <w:r>
        <w:t>电场调制提供了一种通过控制载流子行为来调节电磁波吸收 (EWA) 的非接触途径。然而，当前的原位电场调制策略在合成过程中常常受到多种物理因素的阻碍，限制了对电场解耦机制的更深入理解。在这里，我们报告了一种后处理策略，采用直流电场诱导 d 轨道电子迁移，触发 MoS2 中的 2H 到 1T 相变，并伴随位错产生。一方面，增加的 1T 相含量优化了传导损耗。同时，2H/1T 界面处的费米能级失配会产生导致极化损耗的电子积累区域。另一方面，正负电荷积聚在位错线的相对侧，形成有序的等效偶极子阵列，显着增强极化。在 6 V 电压下处理 10 分钟后，MoS2 在 2.20 mm 处实现了 6.72 GHz 的有效吸收带宽，相对于未处理的样品增强了 440%。这一改进超过了大多数场调制策略所实现的典型 150% 至 350% 的增强。这项工作表明，电场后处理策略有效地调整了MoS2的相比、缺陷和EWA性能，为先进电磁波吸收器的设计提供了途径。亮点：1 直流电场后处理策略可精确控制MoS2.2位错诱导偶极子阵列的电子结构和相比</w:t>
      </w:r>
    </w:p>
    <w:p>
      <w:pPr>
        <w:spacing w:before="0" w:after="200" w:lineRule="auto" w:line="276"/>
      </w:pPr>
      <w:r>
        <w:rPr>
          <w:b/>
        </w:rPr>
        <w:t xml:space="preserve">Abstract (EN): </w:t>
      </w:r>
      <w:r>
        <w:t>Electric field modulation offers a non-contact route to tune electromagnetic wave absorption (EWA) by controlling carrier behavior. However, current in-situ electric field modulation strategies are often hindered by multi-physics factors during synthesis, limiting a deeper understanding of the decoupled mechanism of the electric field. Here, we report a postprocessing strategy that employs direct current electric field to induce d-orbital electron migration, triggering the 2H to 1T-phase transition in MoS2, accompanied by dislocation generation. On one hand, the increased 1T-phase content optimizes the conductive loss. Meanwhile, the Fermi level mismatch at 2H/1T interfaces creates electron accumulation regions that drive polarization loss. On the other hand, positive and negative charges accumulate on opposite sides of the dislocation lines, forming ordered equivalent dipole arrays, markedly boosting polarization. After treatment at 6 V for 10 min, MoS2 achieves an effective absorption bandwidth of 6.72 GHz at 2.20 mm, a 440% enhancement relative to the untreated sample. This improvement exceeds the typical 150% to 350% enhancement achieved by most field modulation strategies. This work demonstrates that the electric field postprocessing strategy effectively tailors the phase ratio, defects, and EWA performance of MoS2, offering a pathway for the design of advanced electromagnetic wave absorbers. Highlights:1 A direct current electric field postprocessing strategy enables precise control over the electronic structure and phase ratio of MoS2.2 Dislocation induced dipole arrays synergize with sulfur vacancies to enhance dipole polarization.3 Synergizing multiple loss mechanisms at 6 V for 10 min delivers an effective absorption bandwidth of 6.72 GHz, a 440% enhancement over the untreated sample.</w:t>
      </w:r>
    </w:p>
    <w:p>
      <w:pPr>
        <w:spacing w:before="120" w:after="120"/>
      </w:pPr>
      <w:r>
        <w:rPr>
          <w:sz w:val="18"/>
        </w:rPr>
        <w:t>——————————————————————————————————————————————————————————————————————</w:t>
      </w:r>
    </w:p>
    <w:p>
      <w:pPr>
        <w:spacing w:before="160" w:after="40" w:line="240" w:lineRule="auto"/>
      </w:pPr>
      <w:r>
        <w:rPr>
          <w:b/>
        </w:rPr>
        <w:t xml:space="preserve">[467] </w:t>
      </w:r>
      <w:hyperlink r:id="rId1441">
        <w:r>
          <w:rPr>
            <w:color w:val="1155CC"/>
            <w:u w:val="single"/>
          </w:rPr>
          <w:t>成分控制的神经基础</w:t>
        </w:r>
      </w:hyperlink>
    </w:p>
    <w:p>
      <w:pPr>
        <w:spacing w:before="0" w:after="80"/>
      </w:pPr>
      <w:r>
        <w:rPr>
          <w:i/>
          <w:sz w:val="20"/>
        </w:rPr>
        <w:t>EN: Neural basis of compositional control</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442">
        <w:r>
          <w:rPr>
            <w:color w:val="1155CC"/>
            <w:u w:val="single"/>
          </w:rPr>
          <w:t>10.1038/s41586-026-10896-8</w:t>
        </w:r>
      </w:hyperlink>
    </w:p>
    <w:p>
      <w:pPr>
        <w:spacing w:before="0" w:after="120"/>
      </w:pPr>
      <w:r>
        <w:rPr>
          <w:b/>
        </w:rPr>
        <w:t xml:space="preserve">Notes: </w:t>
      </w:r>
      <w:r>
        <w:t>abstract_source=pubmed</w:t>
      </w:r>
    </w:p>
    <w:p>
      <w:pPr>
        <w:spacing w:before="0" w:after="80" w:lineRule="auto" w:line="276"/>
      </w:pPr>
      <w:r>
        <w:rPr>
          <w:b/>
        </w:rPr>
        <w:t xml:space="preserve">摘要（ZH）: </w:t>
      </w:r>
      <w:r>
        <w:t>自然主义的目标导向行为通常涉及针对动态变化的目标的连续行动1-3。正如微观经济学是离散选择的严格基础一样，控制理论也可以作为理解连续选择的基础3,4。在连续环境中，行为由目标混合组成，与选择最接近的类比是对特定目标的控制政策进行战略重新权衡5,6。在这里，为了了解连续选择的算法和神经基础，我们检查了人类执行连续猎物追逐任务的行为和大脑活动7。使用新开发的行为控制理论分解，我们发现追击策略可以通过元控制器很好地描述，该元控制器指示较低级别控制器的混合物，每个控制器都与特定的追击目标相关联。前扣带皮层的神经元预测政策混合的重大变化，而海马神经元编码和更新支持早期规划的潜在政策状态。同时，眶额皮层活动与任务当前价值结构的编码一致，而不是策略切换。这些结果与三重功能划分相一致，其中海马体充当状态估计控制器，前扣带皮层充当元控制器，眶额皮层提供价值上下文信号。</w:t>
      </w:r>
    </w:p>
    <w:p>
      <w:pPr>
        <w:spacing w:before="0" w:after="200" w:lineRule="auto" w:line="276"/>
      </w:pPr>
      <w:r>
        <w:rPr>
          <w:b/>
        </w:rPr>
        <w:t xml:space="preserve">Abstract (EN): </w:t>
      </w:r>
      <w:r>
        <w:t>Naturalistic goal-directed behaviour often involves continuous actions directed at dynamically changing goals1-3. Just as microeconomics serves as a rigorous foundation for discrete choices, control theory can serve as a foundation for understanding choice in continuous ones3,4. In continuous contexts, behaviour is composed of blends of goals, and the closest analogue to choice is a strategic reweighting of goal-specific control policies5,6. Here, to understand the algorithmic and neural bases of continuous choice, we examined behaviour and brain activity in humans performing a continuous prey-pursuit task7. Using a newly developed control-theoretic decomposition of behaviour, we find that pursuit strategies are well described by a meta-controller dictating a mixture of lower-level controllers, each linked to specific pursuit goals. Neurons in the anterior cingulate cortex predict major changes in policy blends, whereas hippocampal neurons encode and update the latent policy state supporting early planning. Meanwhile, orbitofrontal cortex activity is consistent with an encoding of the current value structure of the task, rather than policy switching. Together these results are consistent with a tripartite functional division in which hippocampus serves as a state-estimating controller, anterior cingulate cortex serves as a meta-controller, and orbitofrontal cortex provides a value context signal.</w:t>
      </w:r>
    </w:p>
    <w:p>
      <w:pPr>
        <w:spacing w:before="120" w:after="120"/>
      </w:pPr>
      <w:r>
        <w:rPr>
          <w:sz w:val="18"/>
        </w:rPr>
        <w:t>——————————————————————————————————————————————————————————————————————</w:t>
      </w:r>
    </w:p>
    <w:p>
      <w:pPr>
        <w:spacing w:before="160" w:after="40" w:line="240" w:lineRule="auto"/>
      </w:pPr>
      <w:r>
        <w:rPr>
          <w:b/>
        </w:rPr>
        <w:t xml:space="preserve">[468] </w:t>
      </w:r>
      <w:hyperlink r:id="rId1443">
        <w:r>
          <w:rPr>
            <w:color w:val="1155CC"/>
            <w:u w:val="single"/>
          </w:rPr>
          <w:t>控制桥梁重组方向性的结构机制</w:t>
        </w:r>
      </w:hyperlink>
    </w:p>
    <w:p>
      <w:pPr>
        <w:spacing w:before="0" w:after="80"/>
      </w:pPr>
      <w:r>
        <w:rPr>
          <w:i/>
          <w:sz w:val="20"/>
        </w:rPr>
        <w:t>EN: Structural mechanism governing the directionality of bridge recombination</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444">
        <w:r>
          <w:rPr>
            <w:color w:val="1155CC"/>
            <w:u w:val="single"/>
          </w:rPr>
          <w:t>10.1038/s41586-026-10903-y</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IS110 转座子家族的桥重组酶（例如 IS621）与桥 RNA (bRNA) 结合，介导供体 DNA 和靶 DNA 之间的可编程重组</w:t>
      </w:r>
      <w:r>
        <w:t xml:space="preserve"> </w:t>
      </w:r>
      <w:r>
        <w:t>1,2</w:t>
      </w:r>
      <w:r>
        <w:t xml:space="preserve"> </w:t>
      </w:r>
      <w:r>
        <w:t>。尽管插入是由重组酶-bRNA复合物介导的，但IS621元件如何从宿主基因组中切除以形成转座所需的环状DNA中间体仍然未知。在这里，我们表明 bRNA 在 IS621 基因座中弱表达</w:t>
      </w:r>
      <w:r>
        <w:t xml:space="preserve"> </w:t>
      </w:r>
      <w:r>
        <w:t>大肠杆菌</w:t>
      </w:r>
      <w:r>
        <w:t xml:space="preserve"> </w:t>
      </w:r>
      <w:r>
        <w:t>基因组，并且 IS621 重组酶-bRNA 复合物介导切除的效率低于插入。此外，我们展示了与切除 DNA 底物结合的 IS621 重组酶-bRNA 复合物的冷冻电子显微镜结构，为切除反应的机制提供了见解。类似于之前报道的供体和靶标结合的插入复合物</w:t>
      </w:r>
      <w:r>
        <w:rPr>
          <w:vertAlign w:val="subscript"/>
        </w:rPr>
        <w:t>2</w:t>
      </w:r>
      <w:r>
        <w:t>，切除复合物包含两个重组酶二聚体，每个二聚体容纳bRNA的靶结合环和供体结合环。然而，两种复合物之间的 DNA 识别存在显着差异。尽管供体和靶标 DNA 在插入过程中形成弯曲的 U 形</w:t>
      </w:r>
      <w:r>
        <w:rPr>
          <w:vertAlign w:val="subscript"/>
        </w:rPr>
        <w:t>2</w:t>
      </w:r>
      <w:r>
        <w:t>，切除底物采用线性构象并结合两个 bRNA 环，形成 X 形结构。这种几何形状降低了顶链交换的效率，并导致自然观察到的倾向于插入而不是切除的偏差。尽管存在这些差异</w:t>
      </w:r>
    </w:p>
    <w:p>
      <w:pPr>
        <w:spacing w:before="0" w:after="200" w:lineRule="auto" w:line="276"/>
      </w:pPr>
      <w:r>
        <w:rPr>
          <w:b/>
        </w:rPr>
        <w:t xml:space="preserve">Abstract (EN): </w:t>
      </w:r>
      <w:r>
        <w:t>Bridge recombinases from the IS110 family of transposons, such as IS621, associate with a bridge RNA (bRNA) to mediate programmable recombination between donor DNA and target DNA</w:t>
      </w:r>
      <w:r>
        <w:t xml:space="preserve"> </w:t>
      </w:r>
      <w:r>
        <w:t>1,2</w:t>
      </w:r>
      <w:r>
        <w:t xml:space="preserve"> </w:t>
      </w:r>
      <w:r>
        <w:t>. Although insertion is mediated by the recombinase–bRNA complex, it remains unknown how IS621 elements are excised from host genomes to form the circular DNA intermediates required for transposition. Here we show that bRNA is weakly expressed from IS621 loci in the</w:t>
      </w:r>
      <w:r>
        <w:t xml:space="preserve"> </w:t>
      </w:r>
      <w:r>
        <w:t>Escherichia coli</w:t>
      </w:r>
      <w:r>
        <w:t xml:space="preserve"> </w:t>
      </w:r>
      <w:r>
        <w:t>genome and that the IS621 recombinase–bRNA complex mediates excision less efficiently than insertion. Furthermore, we present the cryo-electron microscopy structures of the IS621 recombinase–bRNA complex bound to excision DNA substrates, providing mechanistic insights into the excision reaction. Similar to the previously reported donor- and target-bound insertion complex</w:t>
      </w:r>
      <w:r>
        <w:rPr>
          <w:vertAlign w:val="subscript"/>
        </w:rPr>
        <w:t>2</w:t>
      </w:r>
      <w:r>
        <w:t>, the excision complex comprises two recombinase dimers, each accommodating the target- and donor-binding loops of the bRNA. However, DNA recognition differs notably between the two complexes. Although the donor and target DNAs form a bent U-shape during insertion</w:t>
      </w:r>
      <w:r>
        <w:rPr>
          <w:vertAlign w:val="subscript"/>
        </w:rPr>
        <w:t>2</w:t>
      </w:r>
      <w:r>
        <w:t>, the excision substrates adopt linear conformations and bind across both bRNA loops, forming an X-shaped structure. This geometry reduces the efficiency of top-strand exchange and contributes to the naturally observed bias favouring insertion over excision. Despite these differences, the efficiencies of both reactions are similarly modulated by base pairing between specific dinucleotides in the bRNA, termed handshake guides, and the top strands of the DNA substrates. Overall, this study provides mechanistic insights into the complete IS110 transposition cycle and facilitates the optimal design of programmable bridge-editing applications.</w:t>
      </w:r>
    </w:p>
    <w:p>
      <w:pPr>
        <w:spacing w:before="120" w:after="120"/>
      </w:pPr>
      <w:r>
        <w:rPr>
          <w:sz w:val="18"/>
        </w:rPr>
        <w:t>——————————————————————————————————————————————————————————————————————</w:t>
      </w:r>
    </w:p>
    <w:p>
      <w:pPr>
        <w:spacing w:before="160" w:after="40" w:line="240" w:lineRule="auto"/>
      </w:pPr>
      <w:r>
        <w:rPr>
          <w:b/>
        </w:rPr>
        <w:t xml:space="preserve">[469] </w:t>
      </w:r>
      <w:hyperlink r:id="rId1445">
        <w:r>
          <w:rPr>
            <w:color w:val="1155CC"/>
            <w:u w:val="single"/>
          </w:rPr>
          <w:t>物种内变异驱动热带森林抗旱性</w:t>
        </w:r>
      </w:hyperlink>
    </w:p>
    <w:p>
      <w:pPr>
        <w:spacing w:before="0" w:after="80"/>
      </w:pPr>
      <w:r>
        <w:rPr>
          <w:i/>
          <w:sz w:val="20"/>
        </w:rPr>
        <w:t>EN: Species intraspecific variation drives tropical forest drought resistance</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446">
        <w:r>
          <w:rPr>
            <w:color w:val="1155CC"/>
            <w:u w:val="single"/>
          </w:rPr>
          <w:t>10.1038/s41586-026-10870-4</w:t>
        </w:r>
      </w:hyperlink>
    </w:p>
    <w:p>
      <w:pPr>
        <w:spacing w:before="0" w:after="120"/>
      </w:pPr>
      <w:r>
        <w:rPr>
          <w:b/>
        </w:rPr>
        <w:t xml:space="preserve">Notes: </w:t>
      </w:r>
      <w:r>
        <w:t>abstract_source=pubmed</w:t>
      </w:r>
    </w:p>
    <w:p>
      <w:pPr>
        <w:spacing w:before="0" w:after="80" w:lineRule="auto" w:line="276"/>
      </w:pPr>
      <w:r>
        <w:rPr>
          <w:b/>
        </w:rPr>
        <w:t xml:space="preserve">摘要（ZH）: </w:t>
      </w:r>
      <w:r>
        <w:t>严重干旱日益导致树木死亡，但由于缺乏对物种内抗旱性差异的了解，预测森林恢复能力仍然受到限制1-4。尽管抗栓塞等水力性状对于干旱生存至关重要，但主要在温带地区进行的研究报告称，种内变异很小5-12，这意味着树种的适应潜力存在进化限制。在这里，我们使用一个数据集来测试这一假设，该数据集包含沿着波多黎各四倍降雨梯度（每年 1,000 至 4,000 毫米）收集的代表 18 个物种的 290 棵树的 11 种水力特征。我们发现，显着的种内变异以及物种更替推动了整个梯度抗旱性的协调变化。大多数物种在干燥的森林中表现出更高的栓塞抵抗力和更宽的气孔安全裕度，这表明热带树木存在相当大的种内变异以及适应日益干燥的条件的机制。缺乏这种性状变异的物种在未来干燥的气候下可能非常脆弱。将种间和种内性状变异纳入预测模型将提高我们预测森林对加剧干旱的恢复能力的能力。</w:t>
      </w:r>
    </w:p>
    <w:p>
      <w:pPr>
        <w:spacing w:before="0" w:after="200" w:lineRule="auto" w:line="276"/>
      </w:pPr>
      <w:r>
        <w:rPr>
          <w:b/>
        </w:rPr>
        <w:t xml:space="preserve">Abstract (EN): </w:t>
      </w:r>
      <w:r>
        <w:t>Severe droughts are increasingly driving tree mortality, yet predicting forest resilience remains limited by a lack of understanding of within-species variation in drought resistance1-4. Although hydraulic traits such as embolism resistance are central to drought survival, studies conducted primarily in temperate regions have reported little intraspecific variation5-12, implying that there are evolutionary constraints in the adaptive potential of tree species. Here we test this assumption using a dataset comprising 11 hydraulic traits for 290 trees representing 18 species collected along Puerto Rico's fourfold rainfall gradient (1,000 to 4,000 mm per year). We find that substantial intraspecific variation, together with species turnover, drives coordinated shifts in drought resistance across the gradient. Most species exhibit substantially more embolism resistance and wider stomatal safety margins in drier forests, demonstrating a considerable level of intraspecific variation in tropical trees and a mechanism for adaptation to increasingly dry conditions. Species lacking such trait variability may be highly vulnerable under a future drier climate. Incorporating both interspecific and intraspecific trait variation into predictive models will advance our ability to forecast forest resilience to intensifying droughts.</w:t>
      </w:r>
    </w:p>
    <w:p>
      <w:pPr>
        <w:spacing w:before="120" w:after="120"/>
      </w:pPr>
      <w:r>
        <w:rPr>
          <w:sz w:val="18"/>
        </w:rPr>
        <w:t>——————————————————————————————————————————————————————————————————————</w:t>
      </w:r>
    </w:p>
    <w:p>
      <w:pPr>
        <w:spacing w:before="160" w:after="40" w:line="240" w:lineRule="auto"/>
      </w:pPr>
      <w:r>
        <w:rPr>
          <w:b/>
        </w:rPr>
        <w:t xml:space="preserve">[470] </w:t>
      </w:r>
      <w:hyperlink r:id="rId1447">
        <w:r>
          <w:rPr>
            <w:color w:val="1155CC"/>
            <w:u w:val="single"/>
          </w:rPr>
          <w:t>温度选择缺陷——莫尔耦合控制扭曲 MoS2 中的非辐射电荷复合</w:t>
        </w:r>
      </w:hyperlink>
    </w:p>
    <w:p>
      <w:pPr>
        <w:spacing w:before="0" w:after="80"/>
      </w:pPr>
      <w:r>
        <w:rPr>
          <w:i/>
          <w:sz w:val="20"/>
        </w:rPr>
        <w:t>EN: Temperature-Selected Defect–Moiré Coupling Controls Nonradiative Charge Recombination in Twisted MoS2</w:t>
      </w:r>
    </w:p>
    <w:p>
      <w:pPr>
        <w:spacing w:before="0" w:after="120"/>
      </w:pPr>
      <w:r>
        <w:rPr>
          <w:b/>
        </w:rPr>
        <w:t xml:space="preserve">Source: </w:t>
      </w:r>
      <w:r>
        <w:t>Journal of the American Chemical Society: Latest Articles (ACS Publications)</w:t>
      </w:r>
      <w:r>
        <w:t xml:space="preserve">    </w:t>
      </w:r>
      <w:r>
        <w:rPr>
          <w:b/>
        </w:rPr>
        <w:t xml:space="preserve">Pub date: </w:t>
      </w:r>
      <w:r>
        <w:t>2026-08-12 00:00:00+00:00</w:t>
      </w:r>
      <w:r>
        <w:t xml:space="preserve">    </w:t>
      </w:r>
      <w:r>
        <w:rPr>
          <w:b/>
        </w:rPr>
        <w:t xml:space="preserve">DOI: </w:t>
      </w:r>
      <w:hyperlink r:id="rId1448">
        <w:r>
          <w:rPr>
            <w:color w:val="1155CC"/>
            <w:u w:val="single"/>
          </w:rPr>
          <w:t>10.1021/jacs.6c12778</w:t>
        </w:r>
      </w:hyperlink>
    </w:p>
    <w:p>
      <w:pPr>
        <w:spacing w:before="0" w:after="120"/>
      </w:pPr>
      <w:r>
        <w:rPr>
          <w:b/>
        </w:rPr>
        <w:t xml:space="preserve">Notes: </w:t>
      </w:r>
      <w:r>
        <w:t>abstract_source=crossref</w:t>
      </w:r>
    </w:p>
    <w:p>
      <w:pPr>
        <w:spacing w:before="0" w:after="80" w:lineRule="auto" w:line="276"/>
      </w:pPr>
      <w:r>
        <w:rPr>
          <w:b/>
        </w:rPr>
        <w:t xml:space="preserve">摘要（ZH）: </w:t>
      </w:r>
      <w:r>
        <w:t>摘要：扭曲过渡金属二硫化物中的莫尔超晶格为工程载流子动力学提供了一个通用平台，但在实验相关条件下，本征缺陷与动态重构莫尔势之间的相互作用仍然知之甚少。在这里，我们开发了一种机器学习加速的非绝热分子动力学 (ML-NAMD) 框架，结合了基于 DeePMD 的 ML 力场、E(3) 等变哈密顿神经网络和 NAMD，在千原子原始和含硫空位的 3.48° 扭曲双层 MoS2 超级电池中实现纳秒级结构采样和电子解析载流子复合动力学。我们证明硫空位不是静态复合中心；相反，其局部莫尔环境是通过与动态晶格重建耦合进行热选择的。在 300 K 时，空位相邻区域演化为类似 RMoMo 的环境，即 R 型 Mo-on-Mo 堆叠，Mo 原子跨层垂直排列，而在 50 K 时，它有利于重建相称的域或附近的域壁配置。这种温度选择的局部堆叠控制着缺陷-莫尔条纹耦合，从而控制着载流子复合。硫空位诱导飞秒电子捕获进入缺陷陷阱状态，但随后的非辐射复合强烈依赖于堆叠。在重建区域中，深陷阱介导的途径加速了重组，而在 RMoMo 区域中，它受到强烈抑制，从而产生了 6.7 倍的载流子寿命。这些鳍</w:t>
      </w:r>
    </w:p>
    <w:p>
      <w:pPr>
        <w:spacing w:before="0" w:after="200" w:lineRule="auto" w:line="276"/>
      </w:pPr>
      <w:r>
        <w:rPr>
          <w:b/>
        </w:rPr>
        <w:t xml:space="preserve">Abstract (EN): </w:t>
      </w:r>
      <w:r>
        <w:t>Moiré superlattices in twisted transition-metal dichalcogenides provide a versatile platform for engineering charge carrier dynamics, yet interactions between intrinsic defects and dynamically reconstructed moiré potentials under experimentally relevant conditions remain poorly understood. Here, we develop a machine-learning-accelerated nonadiabatic molecular dynamics (ML-NAMD) framework combining a DeePMD-based ML force field, an E(3)-equivariant Hamiltonian neural network, and NAMD, enabling nanosecond-scale structural sampling and electronically resolved carrier recombination dynamics in thousand-atom pristine and sulfur-vacancy-containing 3.48° twisted bilayer MoS2 supercells. We show that the sulfur vacancy is not a static recombination center; instead, its local moiré environment is thermally selected through coupling to dynamic lattice reconstruction. At 300 K, the vacancy-adjacent region evolves toward an RMoMo-like environment, an R-type Mo-on-Mo stacking with vertically aligned Mo atoms across the layers, whereas at 50 K it favors reconstructed commensurate domains or nearby domain wall configurations. This temperature-selected local stacking governs defect–moiré coupling and, consequently, carrier recombination. Sulfur vacancies induce femtosecond electron capture into defect trap states, but subsequent nonradiative recombination is strongly stacking dependent. In reconstructed regions, a deep-trap-mediated pathway accelerates recombination, whereas in the RMoMo region it is strongly suppressed, producing a 6.7-fold longer carrier lifetime. These findings establish a microscopic mechanism of temperature-selected defect–moiré coupling, in which local lattice reconstruction determines whether defect and moiré potentials cooperate to activate, or compete to suppress, trap-mediated nonradiative recombination. This mechanism suggests practical strategies for reducing nonradiative losses and improving the performance of moiré optoelectronic devices by controlling local reconstruction, temperature, twist angle, and defect passivation.</w:t>
      </w:r>
    </w:p>
    <w:p>
      <w:pPr>
        <w:spacing w:before="120" w:after="120"/>
      </w:pPr>
      <w:r>
        <w:rPr>
          <w:sz w:val="18"/>
        </w:rPr>
        <w:t>——————————————————————————————————————————————————————————————————————</w:t>
      </w:r>
    </w:p>
    <w:p>
      <w:pPr>
        <w:spacing w:before="160" w:after="40" w:line="240" w:lineRule="auto"/>
      </w:pPr>
      <w:r>
        <w:rPr>
          <w:b/>
        </w:rPr>
        <w:t xml:space="preserve">[471] </w:t>
      </w:r>
      <w:hyperlink r:id="rId1449">
        <w:r>
          <w:rPr>
            <w:color w:val="1155CC"/>
            <w:u w:val="single"/>
          </w:rPr>
          <w:t>能源贫困：季节性变化、社会经济差异和累积不平等</w:t>
        </w:r>
      </w:hyperlink>
    </w:p>
    <w:p>
      <w:pPr>
        <w:spacing w:before="0" w:after="80"/>
      </w:pPr>
      <w:r>
        <w:rPr>
          <w:i/>
          <w:sz w:val="20"/>
        </w:rPr>
        <w:t>EN: Energy poverty: Seasonal variations, socioeconomic disparities and cumulative inequality</w:t>
      </w:r>
    </w:p>
    <w:p>
      <w:pPr>
        <w:spacing w:before="0" w:after="120"/>
      </w:pPr>
      <w:r>
        <w:rPr>
          <w:b/>
        </w:rPr>
        <w:t xml:space="preserve">Source: </w:t>
      </w:r>
      <w:r>
        <w:t>ScienceDirect Publication: Energy Policy</w:t>
      </w:r>
      <w:r>
        <w:t xml:space="preserve">    </w:t>
      </w:r>
      <w:r>
        <w:rPr>
          <w:b/>
        </w:rPr>
        <w:t xml:space="preserve">Pub date: </w:t>
      </w:r>
      <w:r>
        <w:t>2026-08-12 00:00:00+00:00</w:t>
      </w:r>
      <w:r>
        <w:t xml:space="preserve">    </w:t>
      </w:r>
      <w:r>
        <w:rPr>
          <w:b/>
        </w:rPr>
        <w:t xml:space="preserve">DOI: </w:t>
      </w:r>
      <w:hyperlink r:id="rId1450">
        <w:r>
          <w:rPr>
            <w:color w:val="1155CC"/>
            <w:u w:val="single"/>
          </w:rPr>
          <w:t>10.1016/j.enpol.2026.115550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[472] </w:t>
      </w:r>
      <w:hyperlink r:id="rId1451">
        <w:r>
          <w:rPr>
            <w:color w:val="1155CC"/>
            <w:u w:val="single"/>
          </w:rPr>
          <w:t>异步批零互动下跨年度到现货交易周期的虚拟电厂两阶段协调稳健电力交易</w:t>
        </w:r>
      </w:hyperlink>
    </w:p>
    <w:p>
      <w:pPr>
        <w:spacing w:before="0" w:after="80"/>
      </w:pPr>
      <w:r>
        <w:rPr>
          <w:i/>
          <w:sz w:val="20"/>
        </w:rPr>
        <w:t>EN: Two-stage coordinated robust electricity trading for virtual power plants across the annual-to-spot trading cycle under asynchronous wholesale-retail interaction</w:t>
      </w:r>
    </w:p>
    <w:p>
      <w:pPr>
        <w:spacing w:before="0" w:after="120"/>
      </w:pPr>
      <w:r>
        <w:rPr>
          <w:b/>
        </w:rPr>
        <w:t xml:space="preserve">Source: </w:t>
      </w:r>
      <w:r>
        <w:t>ScienceDirect Publication: Applied Energy</w:t>
      </w:r>
      <w:r>
        <w:t xml:space="preserve">    </w:t>
      </w:r>
      <w:r>
        <w:rPr>
          <w:b/>
        </w:rPr>
        <w:t xml:space="preserve">Pub date: </w:t>
      </w:r>
      <w:r>
        <w:t>2026-08-12 00:00:00+00:00</w:t>
      </w:r>
      <w:r>
        <w:t xml:space="preserve">    </w:t>
      </w:r>
      <w:r>
        <w:rPr>
          <w:b/>
        </w:rPr>
        <w:t xml:space="preserve">DOI: </w:t>
      </w:r>
      <w:hyperlink r:id="rId1452">
        <w:r>
          <w:rPr>
            <w:color w:val="1155CC"/>
            <w:u w:val="single"/>
          </w:rPr>
          <w:t>10.1016/j.apenergy.2026.128658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[473] </w:t>
      </w:r>
      <w:hyperlink r:id="rId1453">
        <w:r>
          <w:rPr>
            <w:color w:val="1155CC"/>
            <w:u w:val="single"/>
          </w:rPr>
          <w:t>外螺旋星云中存在大量弓形激波</w:t>
        </w:r>
      </w:hyperlink>
    </w:p>
    <w:p>
      <w:pPr>
        <w:spacing w:before="0" w:after="80"/>
      </w:pPr>
      <w:r>
        <w:rPr>
          <w:i/>
          <w:sz w:val="20"/>
        </w:rPr>
        <w:t>EN: Numerous bow shocks in the outer Helix Nebula</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454">
        <w:r>
          <w:rPr>
            <w:color w:val="1155CC"/>
            <w:u w:val="single"/>
          </w:rPr>
          <w:t>10.1038/s41586-026-10724-z</w:t>
        </w:r>
      </w:hyperlink>
    </w:p>
    <w:p>
      <w:pPr>
        <w:spacing w:before="0" w:after="120"/>
      </w:pPr>
      <w:r>
        <w:rPr>
          <w:b/>
        </w:rPr>
        <w:t xml:space="preserve">Notes: </w:t>
      </w:r>
      <w:r>
        <w:t>abstract_source=semanticscholar</w:t>
      </w:r>
    </w:p>
    <w:p>
      <w:pPr>
        <w:spacing w:before="0" w:after="80" w:lineRule="auto" w:line="276"/>
      </w:pPr>
      <w:r>
        <w:rPr>
          <w:b/>
        </w:rPr>
        <w:t xml:space="preserve">摘要（ZH）: </w:t>
      </w:r>
      <w:r>
        <w:t>在生命临近尾声时，低质量和中等质量恒星会通过风和流出物排出富含金属的物质，最终产生行星状星云1,2。喷射出的物质预计会碎裂并混合到星际介质（ISM）中，但这个最终同化步骤很难直接观察到3,4。在这里，我们以螺旋星云东郊 22 次弓形激波的形式报告了这一过程的证据，这些都是用部分完成的 MOTHRA 望远镜在 Hα 发射中检测到的。与在演化恒星5、6-7周围常见的大规模风-ISM弓形激波不同，这些激波是紧凑的并且与单个气体团块相关。从中心恒星向外，曲率半径 Rc 在径向范围 r = 0.4–1.4 pc 上减小约 102 倍。这伴随着从薄的、明确的弓形到模糊的、斑驳的结构的形态转变。我们将这些变化解释为渐近巨型分支壳残余物与 ISM 相互作用时的渐进剥离和破碎。观测到的 Rc-r 关系的斜率意味着在大约 104 年的时间尺度上碎片相干性的丧失，为碎片恒星喷射物的破坏和夹带进入 ISM8,9 的时间尺度提供了罕见的直接约束。 MOTHRA 望远镜在 Hα 发射中检测到的螺旋星云东郊的激波，为破碎的恒星喷射物再循环到周围气体中提供了证据。</w:t>
      </w:r>
    </w:p>
    <w:p>
      <w:pPr>
        <w:spacing w:before="0" w:after="200" w:lineRule="auto" w:line="276"/>
      </w:pPr>
      <w:r>
        <w:rPr>
          <w:b/>
        </w:rPr>
        <w:t xml:space="preserve">Abstract (EN): </w:t>
      </w:r>
      <w:r>
        <w:t>Near the end of their lives, low-mass and intermediate-mass stars expel metal-enriched material in winds and outflows, ultimately producing planetary nebulae1,2. The ejected material is expected to fragment and mix into the interstellar medium (ISM), but this final assimilation step has been difficult to observe directly3,4. Here we report evidence for this process in the form of 22 bow shocks in the eastern outskirts of the Helix Nebula, detected in Hα emission with the partially completed MOTHRA telescope. Unlike the large-scale wind–ISM bow shocks commonly observed around evolved stars5, 6–7, the shocks are compact and associated with individual clumps of gas. Going outward from the central star, the radius of curvature Rc decreases by a factor of roughly 102 over the radial range r = 0.4–1.4 pc. This is accompanied by a morphological transition from thin, well-defined bows to fuzzy, patchy structures. We interpret these changes as progressive stripping and fragmentation of asymptotic giant branch-shell remnants as they interact with the ISM. The slope of the observed Rc–r relation implies a loss of fragment coherence on a timescale of roughly 104 years, providing a rare direct constraint on the timescale for disruption and entrainment of fragmented stellar ejecta into the ISM8,9. Shocks in the eastern outskirts of the Helix Nebula, detected in Hα emission with the MOTHRA telescope, provide evidence for the recycling of fragmented stellar ejecta into the surrounding gas.</w:t>
      </w:r>
    </w:p>
    <w:p>
      <w:pPr>
        <w:spacing w:before="120" w:after="120"/>
      </w:pPr>
      <w:r>
        <w:rPr>
          <w:sz w:val="18"/>
        </w:rPr>
        <w:t>——————————————————————————————————————————————————————————————————————</w:t>
      </w:r>
    </w:p>
    <w:p>
      <w:pPr>
        <w:spacing w:before="160" w:after="40" w:line="240" w:lineRule="auto"/>
      </w:pPr>
      <w:r>
        <w:rPr>
          <w:b/>
        </w:rPr>
        <w:t xml:space="preserve">[474] </w:t>
      </w:r>
      <w:hyperlink r:id="rId1455">
        <w:r>
          <w:rPr>
            <w:color w:val="1155CC"/>
            <w:u w:val="single"/>
          </w:rPr>
          <w:t>用于可重复柔性执行器的定制活菌丝体浸渍</w:t>
        </w:r>
      </w:hyperlink>
    </w:p>
    <w:p>
      <w:pPr>
        <w:spacing w:before="0" w:after="80"/>
      </w:pPr>
      <w:r>
        <w:rPr>
          <w:i/>
          <w:sz w:val="20"/>
        </w:rPr>
        <w:t>EN: Tailored living mycelium macerate for reproducible flexible actuators</w:t>
      </w:r>
    </w:p>
    <w:p>
      <w:pPr>
        <w:spacing w:before="0" w:after="120"/>
      </w:pPr>
      <w:r>
        <w:rPr>
          <w:b/>
        </w:rPr>
        <w:t xml:space="preserve">Source: </w:t>
      </w:r>
      <w:r>
        <w:t>Physical sciences : Nature Communications subject feeds</w:t>
      </w:r>
      <w:r>
        <w:t xml:space="preserve">    </w:t>
      </w:r>
      <w:r>
        <w:rPr>
          <w:b/>
        </w:rPr>
        <w:t xml:space="preserve">Pub date: </w:t>
      </w:r>
      <w:r>
        <w:t>2026-08-12 00:00:00+00:00</w:t>
      </w:r>
    </w:p>
    <w:p>
      <w:pPr>
        <w:spacing w:before="0" w:after="120"/>
      </w:pPr>
      <w:r>
        <w:rPr>
          <w:b/>
        </w:rPr>
        <w:t xml:space="preserve">Notes: </w:t>
      </w:r>
      <w:r>
        <w:t>abstract_source=nature_html</w:t>
      </w:r>
    </w:p>
    <w:p>
      <w:pPr>
        <w:spacing w:before="0" w:after="80" w:lineRule="auto" w:line="276"/>
      </w:pPr>
      <w:r>
        <w:rPr>
          <w:b/>
        </w:rPr>
        <w:t xml:space="preserve">摘要（ZH）: </w:t>
      </w:r>
      <w:r>
        <w:t>将自我更新和响应能力等生命属性整合到结构材料中仍然是一个基本挑战，因为它们通常会妨碍实际应用所需的机械稳健性。在这里，我们报告了一种基于真菌的浸渍定制策略，以创建具有卓越机械性能和可编程湿度响应性的活菌丝体材料。所开发的材料表现出宽范围可调的拉伸性能，实现了11 ~ 349%的伸长率和0.1 ~ 18.0 MJ·m−3的韧性，这是柔性菌丝体材料中报道的最高值。通过从微观结构到分子水平的多尺度表征，我们揭示了Janus菌丝体浸渍物的吸湿变形机制，该机制源于不对称湿度力学和熵驱动的重组。至关重要的是，这些材料保留了其活性功能，能够在一年内实现可逆的休眠-再生循环，并具有可遗传的 Janus 结构以及性能的自我更新。此外，我们展示了它们将环境湿度波动转换为可量化电信号的能力，突出了它们作为生物混合环境传感器和交互式平台的潜力。这项跨学科研究代表了生物材料设计的综合范例，并在生物菌丝体材料和生态可持续设备的交叉领域展示了未来可持续和智能应用的巨大潜力。</w:t>
      </w:r>
    </w:p>
    <w:p>
      <w:pPr>
        <w:spacing w:before="0" w:after="200" w:lineRule="auto" w:line="276"/>
      </w:pPr>
      <w:r>
        <w:rPr>
          <w:b/>
        </w:rPr>
        <w:t xml:space="preserve">Abstract (EN): </w:t>
      </w:r>
      <w:r>
        <w:t>The integration of living attributes, such as self-renewal and responsiveness, into structural materials remains a fundamental challenge, as they typically preclude the mechanical robustness required for practical applications. Here, we report a fungal-based maceration tailored strategy to create living mycelium materials with exceptional mechanical properties and programmable humidity responsiveness. The developed materials demonstrate wide-range adjustable tensile performance, achieving 11 ~ 349% elongation and 0.1 ~ 18.0 MJ·m−3 toughness, the highest values reported among flexible mycelium materials. Through multiscale characterization from microstructural to molecular levels, we revealed the hygroscopic deformation mechanism of Janus mycelium macerates which arises from asymmetric hygromechanics and entropy-driven reorganization. Crucially, these materials retain their living functionalities, enabling reversible dormancy-regeneration cycles in 1 year and inheritable Janus structure along with self-renewal of performance. Moreover, we demonstrate their ability to convert environmental humidity fluctuations into quantifiable electrical signals, highlighting their potential as biohybrid environmental sensors and interactive platforms. This interdisciplinary study represents an integrative paradigm in living material design, and exhibits substantial potential for future sustainable and intelligent applications at the intersection of living mycelium materials and ecologically sustainable devices.</w:t>
      </w:r>
    </w:p>
    <w:p>
      <w:pPr>
        <w:spacing w:before="120" w:after="120"/>
      </w:pPr>
      <w:r>
        <w:rPr>
          <w:sz w:val="18"/>
        </w:rPr>
        <w:t>——————————————————————————————————————————————————————————————————————</w:t>
      </w:r>
    </w:p>
    <w:p>
      <w:pPr>
        <w:spacing w:before="160" w:after="40" w:line="240" w:lineRule="auto"/>
      </w:pPr>
      <w:r>
        <w:rPr>
          <w:b/>
        </w:rPr>
        <w:t xml:space="preserve">[475] </w:t>
      </w:r>
      <w:hyperlink r:id="rId1456">
        <w:r>
          <w:rPr>
            <w:color w:val="1155CC"/>
            <w:u w:val="single"/>
          </w:rPr>
          <w:t>通过高频纳秒激光照射实现金属玻璃基板的均匀周期性纳米图案</w:t>
        </w:r>
      </w:hyperlink>
    </w:p>
    <w:p>
      <w:pPr>
        <w:spacing w:before="0" w:after="80"/>
      </w:pPr>
      <w:r>
        <w:rPr>
          <w:i/>
          <w:sz w:val="20"/>
        </w:rPr>
        <w:t>EN: Uniform periodic nano-patterning of metallic glass substrates via high-frequency nanosecond laser irradiation</w:t>
      </w:r>
    </w:p>
    <w:p>
      <w:pPr>
        <w:spacing w:before="0" w:after="120"/>
      </w:pPr>
      <w:r>
        <w:rPr>
          <w:b/>
        </w:rPr>
        <w:t xml:space="preserve">Source: </w:t>
      </w:r>
      <w:r>
        <w:t>Physical sciences : Nature Communications subject feeds</w:t>
      </w:r>
      <w:r>
        <w:t xml:space="preserve">    </w:t>
      </w:r>
      <w:r>
        <w:rPr>
          <w:b/>
        </w:rPr>
        <w:t xml:space="preserve">Pub date: </w:t>
      </w:r>
      <w:r>
        <w:t>2026-08-12 00:00:00+00:00</w:t>
      </w:r>
    </w:p>
    <w:p>
      <w:pPr>
        <w:spacing w:before="0" w:after="120"/>
      </w:pPr>
      <w:r>
        <w:rPr>
          <w:b/>
        </w:rPr>
        <w:t xml:space="preserve">Notes: </w:t>
      </w:r>
      <w:r>
        <w:t>abstract_source=nature_html</w:t>
      </w:r>
    </w:p>
    <w:p>
      <w:pPr>
        <w:spacing w:before="0" w:after="80" w:lineRule="auto" w:line="276"/>
      </w:pPr>
      <w:r>
        <w:rPr>
          <w:b/>
        </w:rPr>
        <w:t xml:space="preserve">摘要（ZH）: </w:t>
      </w:r>
      <w:r>
        <w:t>在激光诱导周期性表面结构（LIPSS）中实现高空间均匀性长期以来一直难以实现，因为即使是飞秒激光器，尽管其名义上具有“冷”加工能力，也无法消除损害长程有序的随机缺陷。在这里，我们提出了一种策略，利用高重复频率纳秒脉冲（由于明显的热耗散，这种机制传统上被认为不适合精密纳米图案化）在结构均质的金属玻璃（MG）基板上制造具有均匀形态的一维（1D）LIPSS。这是通过利用强脉冲间相关性来实现的，该相关性同时缓和热波动并维持相干光学近场以从随机种子形成确定性图案。沿着相同的单线路径执行重复扫描可将这些一维图案转换为规则的二维 (2D) 纳米点阵列。有限差分时域模拟表明，统一的光学近场相互作用控制着整个结构演化，从最初的一维排序到随后的二维重构。该工艺保留了 MG 基板的非晶态和化学成分，同时具有固有的可扩展性。</w:t>
      </w:r>
    </w:p>
    <w:p>
      <w:pPr>
        <w:spacing w:before="0" w:after="200" w:lineRule="auto" w:line="276"/>
      </w:pPr>
      <w:r>
        <w:rPr>
          <w:b/>
        </w:rPr>
        <w:t xml:space="preserve">Abstract (EN): </w:t>
      </w:r>
      <w:r>
        <w:t>Achieving high spatial uniformity in laser-induced periodic surface structures (LIPSS) has long remained elusive, as even femtosecond lasers, despite their nominally “cold” processing capability, cannot eliminate the stochastic defects that compromise long-range order. Here, we present a strategy that utilizes high-repetition-frequency nanosecond pulses, a regime traditionally deemed unsuitable for precision nano-patterning due to pronounced thermal dissipation, to fabricate one-dimensional (1D) LIPSS with uniform morphology on structurally homogeneous metallic glass (MG) substrates. This is achieved by exploiting strong inter-pulse correlation, which simultaneously moderates thermal fluctuations and sustains a coherent optical near-field to template deterministic pattern formation from stochastic seeds. Performing repeated scanning along the same single-line path transform these 1D patterns into regular two‑dimensional (2D) nanodot arrays. Finite-difference time-domain simulations reveal that a unified optical near-field interaction governs the entire structural evolution, from initial 1D ordering to subsequent 2D reconfiguration. The process preserves the MG substrate’s amorphous state and chemical composition while being inherently scalable.</w:t>
      </w:r>
    </w:p>
    <w:p>
      <w:pPr>
        <w:spacing w:before="120" w:after="120"/>
      </w:pPr>
      <w:r>
        <w:rPr>
          <w:sz w:val="18"/>
        </w:rPr>
        <w:t>——————————————————————————————————————————————————————————————————————</w:t>
      </w:r>
    </w:p>
    <w:p>
      <w:pPr>
        <w:spacing w:before="160" w:after="40" w:line="240" w:lineRule="auto"/>
      </w:pPr>
      <w:r>
        <w:rPr>
          <w:b/>
        </w:rPr>
        <w:t xml:space="preserve">[476] </w:t>
      </w:r>
      <w:hyperlink r:id="rId1457">
        <w:r>
          <w:rPr>
            <w:color w:val="1155CC"/>
            <w:u w:val="single"/>
          </w:rPr>
          <w:t>水在氢键有机框架中引发可见光光致变色</w:t>
        </w:r>
      </w:hyperlink>
    </w:p>
    <w:p>
      <w:pPr>
        <w:spacing w:before="0" w:after="80"/>
      </w:pPr>
      <w:r>
        <w:rPr>
          <w:i/>
          <w:sz w:val="20"/>
        </w:rPr>
        <w:t>EN: Water triggers visible-light photochromism in a hydrogen-bonded organic framework</w:t>
      </w:r>
    </w:p>
    <w:p>
      <w:pPr>
        <w:spacing w:before="0" w:after="120"/>
      </w:pPr>
      <w:r>
        <w:rPr>
          <w:b/>
        </w:rPr>
        <w:t xml:space="preserve">Source: </w:t>
      </w:r>
      <w:r>
        <w:t>Physical sciences : Nature Communications subject feeds</w:t>
      </w:r>
      <w:r>
        <w:t xml:space="preserve">    </w:t>
      </w:r>
      <w:r>
        <w:rPr>
          <w:b/>
        </w:rPr>
        <w:t xml:space="preserve">Pub date: </w:t>
      </w:r>
      <w:r>
        <w:t>2026-08-12 00:00:00+00:00</w:t>
      </w:r>
    </w:p>
    <w:p>
      <w:pPr>
        <w:spacing w:before="0" w:after="120"/>
      </w:pPr>
      <w:r>
        <w:rPr>
          <w:b/>
        </w:rPr>
        <w:t xml:space="preserve">Notes: </w:t>
      </w:r>
      <w:r>
        <w:t>abstract_source=nature_html</w:t>
      </w:r>
    </w:p>
    <w:p>
      <w:pPr>
        <w:spacing w:before="0" w:after="80" w:lineRule="auto" w:line="276"/>
      </w:pPr>
      <w:r>
        <w:rPr>
          <w:b/>
        </w:rPr>
        <w:t xml:space="preserve">摘要（ZH）: </w:t>
      </w:r>
      <w:r>
        <w:t>通过用户友好的条件切换的光致变色材料受到安全信息技术和自适应伪装的高度追捧，但仍然是一个艰巨的挑战。在这里，通过利用氢键有机框架（HOF）中的动态氢键网络和周期性π堆积柱，我们报告了一种使用水作为“触发器”而不是“破坏者”的可逆可见光光致变色系统。这种行为出现在基于芘的框架 HOF-14 中，其中水吸附通过动态氢键网络诱导特定的晶格收缩。这种结构变化引发了框架电子结构的根本性重新分布，从而显着降低了激子结合能，使其低于环境热能。这使得可见光驱动的电子空穴自发分离形成芘自由基阳离子，并通过 HOF 中堆叠的芘柱进行稳定。光致变色转变（10 秒内从黄色到绿色的快速颜色变化）在 50 个周期内可逆。我们使用这种 HOF 墨水及其水凝胶配方演示了高级信息加密，并制造了动态匹配叶状环境的自适应迷彩纺织品。这些 HOF 智能纺织品可以在闭环过程中轻松回收，受益于 HOF 固有的自我修复能力，这是其他类别的多孔晶体材料所没有的独特功能。</w:t>
      </w:r>
    </w:p>
    <w:p>
      <w:pPr>
        <w:spacing w:before="0" w:after="200" w:lineRule="auto" w:line="276"/>
      </w:pPr>
      <w:r>
        <w:rPr>
          <w:b/>
        </w:rPr>
        <w:t xml:space="preserve">Abstract (EN): </w:t>
      </w:r>
      <w:r>
        <w:t>Photochromic materials switched by user-friendly conditions are highly sought after for secure information technologies and adaptive camouflage but remain a formidable challenge. Here, by leveraging dynamic H-bond networks and periodic π-stacked columns in a hydrogen-bonded organic framework (HOF), we report a reversible visible light photochromic system using water as a “trigger” rather than “destroyer”. This behavior arises in a pyrene-based framework, HOF-14, where water adsorption induces a specific lattice contraction via dynamic H-bond network. Such structural change triggers a fundamental redistribution of the framework’s electronic structure, dramatically lowering the exciton binding energy fallen below the ambient thermal energy. This enables spontaneous visible-light-driven electron-hole separation to form pyrene radical cations, which are stabilized by the stacked pyrene columns in HOF. The photochromic transition—a rapid color change from yellow to green within 10 s—is reversible over 50 cycles. We demonstrate high-level information encryption using this HOF ink and its hydrogel formulations, and fabricate adaptive camouflage textiles that dynamically match a foliated environment. These HOF smart textiles are readily recyclable in a closed-loop process, benefiting from the inherent self-repair capability of HOFs—a distinctive feature not found in other classes of porous crystalline materials.</w:t>
      </w:r>
    </w:p>
    <w:p>
      <w:pPr>
        <w:spacing w:before="120" w:after="120"/>
      </w:pPr>
      <w:r>
        <w:rPr>
          <w:sz w:val="18"/>
        </w:rPr>
        <w:t>——————————————————————————————————————————————————————————————————————</w:t>
      </w:r>
    </w:p>
    <w:p>
      <w:pPr>
        <w:spacing w:before="160" w:after="40" w:line="240" w:lineRule="auto"/>
      </w:pPr>
      <w:r>
        <w:rPr>
          <w:b/>
        </w:rPr>
        <w:t xml:space="preserve">[477] </w:t>
      </w:r>
      <w:hyperlink r:id="rId1458">
        <w:r>
          <w:rPr>
            <w:color w:val="1155CC"/>
            <w:u w:val="single"/>
          </w:rPr>
          <w:t>面向物理信息学习的高斯分布流形非线性表示</w:t>
        </w:r>
      </w:hyperlink>
    </w:p>
    <w:p>
      <w:pPr>
        <w:spacing w:before="0" w:after="80"/>
      </w:pPr>
      <w:r>
        <w:rPr>
          <w:i/>
          <w:sz w:val="20"/>
        </w:rPr>
        <w:t>EN: Toward nonlinear representations with Gaussian-splat manifolds for physics-informed learning</w:t>
      </w:r>
    </w:p>
    <w:p>
      <w:pPr>
        <w:spacing w:before="0" w:after="120"/>
      </w:pPr>
      <w:r>
        <w:rPr>
          <w:b/>
        </w:rPr>
        <w:t xml:space="preserve">Source: </w:t>
      </w:r>
      <w:r>
        <w:t>Physical sciences : Nature Communications subject feeds</w:t>
      </w:r>
      <w:r>
        <w:t xml:space="preserve">    </w:t>
      </w:r>
      <w:r>
        <w:rPr>
          <w:b/>
        </w:rPr>
        <w:t xml:space="preserve">Pub date: </w:t>
      </w:r>
      <w:r>
        <w:t>2026-08-12 00:00:00+00:00</w:t>
      </w:r>
    </w:p>
    <w:p>
      <w:pPr>
        <w:spacing w:before="0" w:after="120"/>
      </w:pPr>
      <w:r>
        <w:rPr>
          <w:b/>
        </w:rPr>
        <w:t xml:space="preserve">Notes: </w:t>
      </w:r>
      <w:r>
        <w:t>abstract_source=nature_html</w:t>
      </w:r>
    </w:p>
    <w:p>
      <w:pPr>
        <w:spacing w:before="0" w:after="80" w:lineRule="auto" w:line="276"/>
      </w:pPr>
      <w:r>
        <w:rPr>
          <w:b/>
        </w:rPr>
        <w:t xml:space="preserve">摘要（ZH）: </w:t>
      </w:r>
      <w:r>
        <w:t>传统的线性离散化，包括高阶方案，通常需要过多的自由度来解析尖锐的局部特征，并且非线性、基于物理的表示相对于固定线性空间的实际优势仍不清楚。在这里，我们引入一种基于高斯分布的紧凑非线性流形表示，用于求解具有不连续性和薄剪切层的偏微分方程。移动的各向异性高斯核被演化或优化以满足控制方程：通过流形上基于投影的方案的时间相关问题，以及通过直接残差最小化的稳定正向和逆向问题。该表示提供了封闭形式的空间导数和对尖锐特征的高度紧凑的描述。在平滑、冲击主导和剪切层基准中，它获得了与平滑流的经典求解器相当的精度，同时在强非线性状态下保持明显更紧凑，并且随着雷诺数的增加，它显示出近似误差不变性，这与线性表示固有的误差累积不同。</w:t>
      </w:r>
    </w:p>
    <w:p>
      <w:pPr>
        <w:spacing w:before="0" w:after="200" w:lineRule="auto" w:line="276"/>
      </w:pPr>
      <w:r>
        <w:rPr>
          <w:b/>
        </w:rPr>
        <w:t xml:space="preserve">Abstract (EN): </w:t>
      </w:r>
      <w:r>
        <w:t>Conventional linear discretizations, including high-order schemes, often require prohibitively many degrees of freedom to resolve sharp, localized features, and the practical advantages of nonlinear, physics-informed representations over fixed linear spaces remain unclear. Here we introduce a compact nonlinear-manifold representation, based on Gaussian splatting, for solving partial differential equations with discontinuities and thin shear layers. Mobile, anisotropic Gaussian kernels are evolved or optimized to satisfy the governing equations: time-dependent problems through a projection-based scheme on the manifold, and steady forward and inverse problems through direct residual minimization. The representation offers closed-form spatial derivatives and a highly compact description of sharp features. Across smooth, shock-dominated and shear-layer benchmarks, it attains accuracy comparable to classical solvers for smooth flows while remaining markedly more compact in strongly nonlinear regimes, and it displays an approximate error invariance as the Reynolds number increases—departing from the error accumulation inherent to linear representations.</w:t>
      </w:r>
    </w:p>
    <w:p>
      <w:pPr>
        <w:spacing w:before="120" w:after="120"/>
      </w:pPr>
      <w:r>
        <w:rPr>
          <w:sz w:val="18"/>
        </w:rPr>
        <w:t>——————————————————————————————————————————————————————————————————————</w:t>
      </w:r>
    </w:p>
    <w:p>
      <w:pPr>
        <w:spacing w:before="160" w:after="40" w:line="240" w:lineRule="auto"/>
      </w:pPr>
      <w:r>
        <w:rPr>
          <w:b/>
        </w:rPr>
        <w:t xml:space="preserve">[478] </w:t>
      </w:r>
      <w:hyperlink r:id="rId1459">
        <w:r>
          <w:rPr>
            <w:color w:val="1155CC"/>
            <w:u w:val="single"/>
          </w:rPr>
          <w:t>软机器人心脏袖治疗心力衰竭的临床转化和工程挑战</w:t>
        </w:r>
      </w:hyperlink>
    </w:p>
    <w:p>
      <w:pPr>
        <w:spacing w:before="0" w:after="80"/>
      </w:pPr>
      <w:r>
        <w:rPr>
          <w:i/>
          <w:sz w:val="20"/>
        </w:rPr>
        <w:t>EN: Clinical translation and engineering challenges of soft robotic cardiac sleeves for heart failure</w:t>
      </w:r>
    </w:p>
    <w:p>
      <w:pPr>
        <w:spacing w:before="0" w:after="120"/>
      </w:pPr>
      <w:r>
        <w:rPr>
          <w:b/>
        </w:rPr>
        <w:t xml:space="preserve">Source: </w:t>
      </w:r>
      <w:r>
        <w:t>Scientific community and society : Nature Communications subject feeds</w:t>
      </w:r>
      <w:r>
        <w:t xml:space="preserve">    </w:t>
      </w:r>
      <w:r>
        <w:rPr>
          <w:b/>
        </w:rPr>
        <w:t xml:space="preserve">Pub date: </w:t>
      </w:r>
      <w:r>
        <w:t>2026-08-12 00:00:00+00:00</w:t>
      </w:r>
    </w:p>
    <w:p>
      <w:pPr>
        <w:spacing w:before="0" w:after="120"/>
      </w:pPr>
      <w:r>
        <w:rPr>
          <w:b/>
        </w:rPr>
        <w:t xml:space="preserve">Notes: </w:t>
      </w:r>
      <w:r>
        <w:t>abstract_source=nature_html</w:t>
      </w:r>
    </w:p>
    <w:p>
      <w:pPr>
        <w:spacing w:before="0" w:after="80" w:lineRule="auto" w:line="276"/>
      </w:pPr>
      <w:r>
        <w:rPr>
          <w:b/>
        </w:rPr>
        <w:t xml:space="preserve">摘要（ZH）: </w:t>
      </w:r>
      <w:r>
        <w:t>软机器人心脏套是一种新兴的非血液接触机械循环支持装置，旨在增强心肌功能，同时避免与血液直接相互作用。它们的开发解决了传统心力衰竭治疗的重要局限性，并为生理性心脏辅助提供了一种有前途的策略。本综述探讨了袖套辅助心脏支持的病理生理学基础、软机器人技术的最新进展，以及临床实施中必须克服的关键工程和转化挑战。最后，我们提出了一个转化框架来指导临床上可行的软机器人心脏套的未来开发。</w:t>
      </w:r>
    </w:p>
    <w:p>
      <w:pPr>
        <w:spacing w:before="0" w:after="200" w:lineRule="auto" w:line="276"/>
      </w:pPr>
      <w:r>
        <w:rPr>
          <w:b/>
        </w:rPr>
        <w:t xml:space="preserve">Abstract (EN): </w:t>
      </w:r>
      <w:r>
        <w:t>Soft robotic cardiac sleeves are an emerging class of non-blood-contact mechanical circulatory support devices designed to augment myocardial function while avoiding direct interaction with blood. Their development addresses important limitations of conventional heart failure therapies and offers a promising strategy for physiological cardiac assistance. This Review examines the pathophysiological basis for sleeve-assisted cardiac support, recent advances in soft robotic technologies, and the key engineering and translational challenges that must be overcome for clinical implementation. Finally, we propose a translational framework to guide the future development of clinically viable soft robotic cardiac sleeves.</w:t>
      </w:r>
    </w:p>
    <w:p>
      <w:pPr>
        <w:spacing w:before="120" w:after="120"/>
      </w:pPr>
      <w:r>
        <w:rPr>
          <w:sz w:val="18"/>
        </w:rPr>
        <w:t>——————————————————————————————————————————————————————————————————————</w:t>
      </w:r>
    </w:p>
    <w:p>
      <w:pPr>
        <w:spacing w:before="160" w:after="40" w:line="240" w:lineRule="auto"/>
      </w:pPr>
      <w:r>
        <w:rPr>
          <w:b/>
        </w:rPr>
        <w:t xml:space="preserve">[479] </w:t>
      </w:r>
      <w:hyperlink r:id="rId1460">
        <w:r>
          <w:rPr>
            <w:color w:val="1155CC"/>
            <w:u w:val="single"/>
          </w:rPr>
          <w:t>La3−xNdxNi2O7 中 100K 的高温超导性</w:t>
        </w:r>
      </w:hyperlink>
    </w:p>
    <w:p>
      <w:pPr>
        <w:spacing w:before="0" w:after="80"/>
      </w:pPr>
      <w:r>
        <w:rPr>
          <w:i/>
          <w:sz w:val="20"/>
        </w:rPr>
        <w:t>EN: High-temperature superconductivity at 100K in La3−xNdxNi2O7</w:t>
      </w:r>
    </w:p>
    <w:p>
      <w:pPr>
        <w:spacing w:before="0" w:after="120"/>
      </w:pPr>
      <w:r>
        <w:rPr>
          <w:b/>
        </w:rPr>
        <w:t xml:space="preserve">Source: </w:t>
      </w:r>
      <w:r>
        <w:t>Physical sciences : Nature Communications subject feeds</w:t>
      </w:r>
      <w:r>
        <w:t xml:space="preserve">    </w:t>
      </w:r>
      <w:r>
        <w:rPr>
          <w:b/>
        </w:rPr>
        <w:t xml:space="preserve">Pub date: </w:t>
      </w:r>
      <w:r>
        <w:t>2026-08-12 00:00:00+00:00</w:t>
      </w:r>
    </w:p>
    <w:p>
      <w:pPr>
        <w:spacing w:before="0" w:after="120"/>
      </w:pPr>
      <w:r>
        <w:rPr>
          <w:b/>
        </w:rPr>
        <w:t xml:space="preserve">Notes: </w:t>
      </w:r>
      <w:r>
        <w:t>abstract_source=nature_html</w:t>
      </w:r>
    </w:p>
    <w:p>
      <w:pPr>
        <w:spacing w:before="0" w:after="80" w:lineRule="auto" w:line="276"/>
      </w:pPr>
      <w:r>
        <w:rPr>
          <w:b/>
        </w:rPr>
        <w:t xml:space="preserve">摘要（ZH）: </w:t>
      </w:r>
      <w:r>
        <w:t>系统地控制双层 Ruddlesden-Popper 镍酸盐 La3Ni2O7 中的超导转变温度 (Tc) 仍然是一个重大挑战。在这里，我们通过合成具有创纪录水平的稀土替代的高质量多晶 La3−xNdxNi2O7 (0 ≤ x ≤ 2.4) 来解决这个问题。 Nd 掺杂压缩晶格并提高自旋密度波 (SDW) 转变温度，并提高斜方晶系到四方晶系结构转变所需的压力。在高压电子输运测量中，所有掺杂水平均观察到超导性，起始 Tc 升至约 93 K，电阻导数表明超导性的特征在 x = 2.1 和 2.4 时达到 96–97 K。使用最近应用于镍酸盐超导体的射频传输技术，我们在 x = 2.1 化合物中检测到 100.5 K 的超导特征，进一步推动了 Tc 前沿。我们的工作揭示了磁性的关键作用，并为提高 Ruddlesden-Popper 镍酸盐中的 Tc 提供了结构描述符。</w:t>
      </w:r>
    </w:p>
    <w:p>
      <w:pPr>
        <w:spacing w:before="0" w:after="200" w:lineRule="auto" w:line="276"/>
      </w:pPr>
      <w:r>
        <w:rPr>
          <w:b/>
        </w:rPr>
        <w:t xml:space="preserve">Abstract (EN): </w:t>
      </w:r>
      <w:r>
        <w:t>Systematically controlling the superconducting transition temperature (Tc) in the bilayer Ruddlesden-Popper nickelate La3Ni2O7 remains a significant challenge. Here, we address this by synthesizing high-quality polycrystalline La3−xNdxNi2O7 (0 ≤ x ≤ 2.4) with record-level rare-earth substitution. Nd doping compresses the lattice and enhances the spin density wave (SDW) transition temperature, and elevates the pressure required for the orthorhombic-to-tetragonal structural transition. Superconductivity is observed across all doping levels in high-pressure electronic transport measurements, with the onset Tc rising to ~ 93 K and the resistance derivative indicating the signature of superconductivity reaching 96–97 K for x = 2.1 and 2.4. Using the radio-frequency transmission technique, recently applied to nickelate superconductors, we detect signatures of superconductivity at 100.5 K in the x = 2.1 compound, pushing the Tc frontier further. Our work reveals the critical role of magnetism and provides a structural descriptor for elevating Tc in Ruddlesden-Popper nickelates.</w:t>
      </w:r>
    </w:p>
    <w:p>
      <w:pPr>
        <w:spacing w:before="120" w:after="120"/>
      </w:pPr>
      <w:r>
        <w:rPr>
          <w:sz w:val="18"/>
        </w:rPr>
        <w:t>——————————————————————————————————————————————————————————————————————</w:t>
      </w:r>
    </w:p>
    <w:p>
      <w:pPr>
        <w:spacing w:before="160" w:after="40" w:line="240" w:lineRule="auto"/>
      </w:pPr>
      <w:r>
        <w:rPr>
          <w:b/>
        </w:rPr>
        <w:t xml:space="preserve">[480] </w:t>
      </w:r>
      <w:hyperlink r:id="rId1461">
        <w:r>
          <w:rPr>
            <w:color w:val="1155CC"/>
            <w:u w:val="single"/>
          </w:rPr>
          <w:t>作者更正：低强度管理促进欧洲农业生态系统的土壤启动效应</w:t>
        </w:r>
      </w:hyperlink>
    </w:p>
    <w:p>
      <w:pPr>
        <w:spacing w:before="0" w:after="80"/>
      </w:pPr>
      <w:r>
        <w:rPr>
          <w:i/>
          <w:sz w:val="20"/>
        </w:rPr>
        <w:t>EN: Author Correction: Low-intensity management promotes the soil priming effect in European agroecosystems</w:t>
      </w:r>
    </w:p>
    <w:p>
      <w:pPr>
        <w:spacing w:before="0" w:after="120"/>
      </w:pPr>
      <w:r>
        <w:rPr>
          <w:b/>
        </w:rPr>
        <w:t xml:space="preserve">Source: </w:t>
      </w:r>
      <w:r>
        <w:t>Earth and environmental sciences : Nature Communications subject feeds</w:t>
      </w:r>
      <w:r>
        <w:t xml:space="preserve">    </w:t>
      </w:r>
      <w:r>
        <w:rPr>
          <w:b/>
        </w:rPr>
        <w:t xml:space="preserve">Pub date: </w:t>
      </w:r>
      <w:r>
        <w:t>2026-08-12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[481] </w:t>
      </w:r>
      <w:hyperlink r:id="rId1462">
        <w:r>
          <w:rPr>
            <w:color w:val="1155CC"/>
            <w:u w:val="single"/>
          </w:rPr>
          <w:t>地球下地幔中近乎干燥的桥石的地球物理证据</w:t>
        </w:r>
      </w:hyperlink>
    </w:p>
    <w:p>
      <w:pPr>
        <w:spacing w:before="0" w:after="80"/>
      </w:pPr>
      <w:r>
        <w:rPr>
          <w:i/>
          <w:sz w:val="20"/>
        </w:rPr>
        <w:t>EN: Geophysical evidence of a nearly dry bridgmanite in the Earth’s lower mantle</w:t>
      </w:r>
    </w:p>
    <w:p>
      <w:pPr>
        <w:spacing w:before="0" w:after="120"/>
      </w:pPr>
      <w:r>
        <w:rPr>
          <w:b/>
        </w:rPr>
        <w:t xml:space="preserve">Source: </w:t>
      </w:r>
      <w:r>
        <w:t>Earth and environmental sciences : Nature Communications subject feeds</w:t>
      </w:r>
      <w:r>
        <w:t xml:space="preserve">    </w:t>
      </w:r>
      <w:r>
        <w:rPr>
          <w:b/>
        </w:rPr>
        <w:t xml:space="preserve">Pub date: </w:t>
      </w:r>
      <w:r>
        <w:t>2026-08-12 00:00:00+00:00</w:t>
      </w:r>
    </w:p>
    <w:p>
      <w:pPr>
        <w:spacing w:before="0" w:after="120"/>
      </w:pPr>
      <w:r>
        <w:rPr>
          <w:b/>
        </w:rPr>
        <w:t xml:space="preserve">Notes: </w:t>
      </w:r>
      <w:r>
        <w:t>abstract_source=nature_html</w:t>
      </w:r>
    </w:p>
    <w:p>
      <w:pPr>
        <w:spacing w:before="0" w:after="80" w:lineRule="auto" w:line="276"/>
      </w:pPr>
      <w:r>
        <w:rPr>
          <w:b/>
        </w:rPr>
        <w:t xml:space="preserve">摘要（ZH）: </w:t>
      </w:r>
      <w:r>
        <w:t>地幔中的水在塑造地质和地球化学过程中发挥着至关重要的作用。虽然之前对主要地幔矿物的电导率测量将地幔中的水含量限制在地幔过渡区，但下地幔的水含量在实验上仍然不受限制。本研究测量了在高达 47 GPa 的压力和高达 2210 K 的温度下，用代表橄榄岩岩性的 Fe 和 Al 成分合成的含水 (Fe,Al) 桥锰矿的电导率。结果表明，在所研究的压力-温度条件下，质子传导是含水 (Fe,Al) 桥锰矿的主要电荷传输机制。水的掺入显着增强了桥石的电导率，相对于干燥样品的电导率增加了大约一个数量级。实验数据外推表明，下地幔中的桥锰矿含有少于 40-70 wt.%。靠近顶部和中地幔深处的 ppm H2O。这些发现让我们深入了解地球下地幔中潜在的隐藏水库。</w:t>
      </w:r>
    </w:p>
    <w:p>
      <w:pPr>
        <w:spacing w:before="0" w:after="200" w:lineRule="auto" w:line="276"/>
      </w:pPr>
      <w:r>
        <w:rPr>
          <w:b/>
        </w:rPr>
        <w:t xml:space="preserve">Abstract (EN): </w:t>
      </w:r>
      <w:r>
        <w:t>Water in Earth’s mantle plays a crucial role in shaping geological and geochemical processes. While previous electrical conductivity measurements on major mantle minerals have constrained water content in the Earth’s mantle down to the mantle transition zone, the water content of the lower mantle remains experimentally unconstrained. This study measures the electrical conductivity of hydrous (Fe,Al)-bearing bridgmanite, synthesized with Fe and Al compositions representative of peridotitic lithology, at pressures up to 47 GPa and temperatures up to 2210 K. The results demonstrate that proton conduction is the predominant charge transport mechanism in hydrous (Fe,Al)-bearing bridgmanite under the investigated pressure-temperature conditions. Water incorporation markedly enhances the electrical conductivity of bridgmanite, increasing it by approximately an order of magnitude relative to that of dry samples. Extrapolation of the experimental data suggests that bridgmanite in the lower mantle contains less than 40–70 wt. ppm H2O near the top and at mid-mantle depths. These findings offer insight into potential hidden water reservoirs in Earth’s lower mantle.</w:t>
      </w:r>
    </w:p>
    <w:p>
      <w:pPr>
        <w:spacing w:before="120" w:after="120"/>
      </w:pPr>
      <w:r>
        <w:rPr>
          <w:sz w:val="18"/>
        </w:rPr>
        <w:t>——————————————————————————————————————————————————————————————————————</w:t>
      </w:r>
    </w:p>
    <w:p>
      <w:pPr>
        <w:spacing w:before="160" w:after="40" w:line="240" w:lineRule="auto"/>
      </w:pPr>
      <w:r>
        <w:rPr>
          <w:b/>
        </w:rPr>
        <w:t xml:space="preserve">[482] </w:t>
      </w:r>
      <w:hyperlink r:id="rId1463">
        <w:r>
          <w:rPr>
            <w:color w:val="1155CC"/>
            <w:u w:val="single"/>
          </w:rPr>
          <w:t>硅酸盐结合铁驱动陆地环境中的非生物太阳能转换</w:t>
        </w:r>
      </w:hyperlink>
    </w:p>
    <w:p>
      <w:pPr>
        <w:spacing w:before="0" w:after="80"/>
      </w:pPr>
      <w:r>
        <w:rPr>
          <w:i/>
          <w:sz w:val="20"/>
        </w:rPr>
        <w:t>EN: Silicate-bound iron drives abiotic solar energy conversion in terrestrial environments</w:t>
      </w:r>
    </w:p>
    <w:p>
      <w:pPr>
        <w:spacing w:before="0" w:after="120"/>
      </w:pPr>
      <w:r>
        <w:rPr>
          <w:b/>
        </w:rPr>
        <w:t xml:space="preserve">Source: </w:t>
      </w:r>
      <w:r>
        <w:t>Earth and environmental sciences : Nature Communications subject feeds</w:t>
      </w:r>
      <w:r>
        <w:t xml:space="preserve">    </w:t>
      </w:r>
      <w:r>
        <w:rPr>
          <w:b/>
        </w:rPr>
        <w:t xml:space="preserve">Pub date: </w:t>
      </w:r>
      <w:r>
        <w:t>2026-08-12 00:00:00+00:00</w:t>
      </w:r>
    </w:p>
    <w:p>
      <w:pPr>
        <w:spacing w:before="0" w:after="120"/>
      </w:pPr>
      <w:r>
        <w:rPr>
          <w:b/>
        </w:rPr>
        <w:t xml:space="preserve">Notes: </w:t>
      </w:r>
      <w:r>
        <w:t>abstract_source=nature_html</w:t>
      </w:r>
    </w:p>
    <w:p>
      <w:pPr>
        <w:spacing w:before="0" w:after="80" w:lineRule="auto" w:line="276"/>
      </w:pPr>
      <w:r>
        <w:rPr>
          <w:b/>
        </w:rPr>
        <w:t xml:space="preserve">摘要（ZH）: </w:t>
      </w:r>
      <w:r>
        <w:t>由天然半导体矿物介导的太阳能转换构成了陆地环境中的非生物途径，但这一过程的驱动因素和生物地球化学后果仍然知之甚少。在这里，根据国家规模的现场和实验室测量，我们确定硅酸盐结合铁，特别是针铁矿-高岭石组合，作为主要的光电化学响应驱动因素。针铁矿-高岭石界面处的 S 型异质结增强了光生载流子分离，产生的光电流密度是纯针铁矿的四倍。模型预测温暖湿润地区的土壤光生电子通量较高，在这些地区，强烈的风化作用促进了次生硅酸盐结合铁的形成。特定过程的理论上限估计表明，这些光生电子可以支持微生物中的替代代谢途径（提供~0.01-3.49％的代谢电子需求），驱动元素循环（例如，贡献~0.16-9.49％的铁氧化物还原溶解所需的电子），并促进污染物降解（例如，贡献~8.20-49.4％的Fe氧化物还原溶解所需的电子）。 Cr(VI) 还原），突出了地球表面系统中的潜在能量流。这些发现揭示了一种矿物介导的非生物太阳能转化途径，可促进生物地球化学过程并维持生态系统功能。</w:t>
      </w:r>
    </w:p>
    <w:p>
      <w:pPr>
        <w:spacing w:before="0" w:after="200" w:lineRule="auto" w:line="276"/>
      </w:pPr>
      <w:r>
        <w:rPr>
          <w:b/>
        </w:rPr>
        <w:t xml:space="preserve">Abstract (EN): </w:t>
      </w:r>
      <w:r>
        <w:t>Solar energy conversion mediated by natural semiconducting minerals constitutes an abiotic pathway in terrestrial environments, but the drivers and biogeochemical consequences of this process remain poorly understood. Here, based on national-scale field and laboratory measurements, we identify silicate-bound iron, particularly a goethite–kaolinite association, as the primary photoelectrochemical response driver. An S-scheme heterojunction at the goethite–kaolinite interface enhances photogenerated carrier separation, yielding a photocurrent density four times that of pure goethite. A model predicts higher soil photogenerated electron fluxes in warm-humid regions, where intense weathering promotes secondary silicate-bound iron formation. Process-specific theoretical upper-bound estimates suggest that these photogenerated electrons could support alternative metabolic pathways in microorganisms (supplying ~0.01–3.49% of the metabolic electron demand), drive elemental cycling (e.g., donating ~0.16–9.49% of the electrons required for the reductive dissolution of Fe oxides), and promote pollutant degradation (e.g., contributing ~8.20–49.4% of the electrons required for Cr(VI) reduction), highlighting a potential energy flow in surficial Earth systems. These findings reveal a mineral-mediated abiotic pathway for solar energy conversion that fuels biogeochemical processes and sustains ecosystem functions.</w:t>
      </w:r>
    </w:p>
    <w:p>
      <w:pPr>
        <w:spacing w:before="120" w:after="120"/>
      </w:pPr>
      <w:r>
        <w:rPr>
          <w:sz w:val="18"/>
        </w:rPr>
        <w:t>——————————————————————————————————————————————————————————————————————</w:t>
      </w:r>
    </w:p>
    <w:p>
      <w:pPr>
        <w:spacing w:before="160" w:after="40" w:line="240" w:lineRule="auto"/>
      </w:pPr>
      <w:r>
        <w:rPr>
          <w:b/>
        </w:rPr>
        <w:t xml:space="preserve">[483] </w:t>
      </w:r>
      <w:hyperlink r:id="rId1464">
        <w:r>
          <w:rPr>
            <w:color w:val="1155CC"/>
            <w:u w:val="single"/>
          </w:rPr>
          <w:t>观测到的南大洋深处中尺度涡流向极地的热传输</w:t>
        </w:r>
      </w:hyperlink>
    </w:p>
    <w:p>
      <w:pPr>
        <w:spacing w:before="0" w:after="80"/>
      </w:pPr>
      <w:r>
        <w:rPr>
          <w:i/>
          <w:sz w:val="20"/>
        </w:rPr>
        <w:t>EN: Observed poleward heat transport by mesoscale eddies in the deep Southern Ocean</w:t>
      </w:r>
    </w:p>
    <w:p>
      <w:pPr>
        <w:spacing w:before="0" w:after="120"/>
      </w:pPr>
      <w:r>
        <w:rPr>
          <w:b/>
        </w:rPr>
        <w:t xml:space="preserve">Source: </w:t>
      </w:r>
      <w:r>
        <w:t>Earth and environmental sciences : Nature Communications subject feeds</w:t>
      </w:r>
      <w:r>
        <w:t xml:space="preserve">    </w:t>
      </w:r>
      <w:r>
        <w:rPr>
          <w:b/>
        </w:rPr>
        <w:t xml:space="preserve">Pub date: </w:t>
      </w:r>
      <w:r>
        <w:t>2026-08-12 00:00:00+00:00</w:t>
      </w:r>
    </w:p>
    <w:p>
      <w:pPr>
        <w:spacing w:before="0" w:after="120"/>
      </w:pPr>
      <w:r>
        <w:rPr>
          <w:b/>
        </w:rPr>
        <w:t xml:space="preserve">Notes: </w:t>
      </w:r>
      <w:r>
        <w:t>abstract_source=nature_html</w:t>
      </w:r>
    </w:p>
    <w:p>
      <w:pPr>
        <w:spacing w:before="0" w:after="80" w:lineRule="auto" w:line="276"/>
      </w:pPr>
      <w:r>
        <w:rPr>
          <w:b/>
        </w:rPr>
        <w:t xml:space="preserve">摘要（ZH）: </w:t>
      </w:r>
      <w:r>
        <w:t>南大洋的中尺度涡流从海面延伸到深海，对区域和全球海洋热量预算做出贡献。然而，稀疏的现场观测限制了对近地表涡经向热传输（EMHT）的估计，导致人们对深海过程知之甚少。在这里，我们使用 Argo 观测来量化深涡动能 (EKE) 和 EMHT。我们发现，尽管深层 EKE 只有表面水平的五分之一，但深层 EMHT 至少达到了与表面传输相同的数量级。浮标观测和敏感性实验表明，相对于单独的平均流量输送，深层EMHT将副热带暖水向南极洲的经向运动延伸了十多个纬度。大约 60% 的深层运输源自印度洋区域。这些发现提供了观测证据，表明中尺度涡流可以调节南大洋深处的热量重新分布，对南极气候具有潜在影响。</w:t>
      </w:r>
    </w:p>
    <w:p>
      <w:pPr>
        <w:spacing w:before="0" w:after="200" w:lineRule="auto" w:line="276"/>
      </w:pPr>
      <w:r>
        <w:rPr>
          <w:b/>
        </w:rPr>
        <w:t xml:space="preserve">Abstract (EN): </w:t>
      </w:r>
      <w:r>
        <w:t>Mesoscale eddies in the Southern Ocean extend from the surface to the deep ocean and contribute to regional and global ocean heat budgets. However, sparse in situ observations have limited estimates of eddy meridional heat transport (EMHT) to the near surface, leaving deep-ocean processes poorly understood. Here we quantify deep eddy kinetic energy (EKE) and EMHT using Argo observations. We find that deep EMHT reaches at least the same order of magnitude as surface transport, despite deep EKE being only one-fifth of surface levels. Float observations and sensitivity experiments reveal that, relative to mean-flow transport alone, deep EMHT extends the meridional movement of subtropical warm waters towards Antarctica by over ten degrees of latitude. About 60% of this deep transport originates from the Indian Ocean sector. These findings provide observational evidence that mesoscale eddies can modulate deep Southern Ocean heat redistribution, with potential implications for Antarctic climate.</w:t>
      </w:r>
    </w:p>
    <w:p>
      <w:pPr>
        <w:spacing w:before="120" w:after="120"/>
      </w:pPr>
      <w:r>
        <w:rPr>
          <w:sz w:val="18"/>
        </w:rPr>
        <w:t>——————————————————————————————————————————————————————————————————————</w:t>
      </w:r>
    </w:p>
    <w:p>
      <w:pPr>
        <w:spacing w:before="160" w:after="40" w:line="240" w:lineRule="auto"/>
      </w:pPr>
      <w:r>
        <w:rPr>
          <w:b/>
        </w:rPr>
        <w:t xml:space="preserve">[484] </w:t>
      </w:r>
      <w:hyperlink r:id="rId1465">
        <w:r>
          <w:rPr>
            <w:color w:val="1155CC"/>
            <w:u w:val="single"/>
          </w:rPr>
          <w:t>季风高空污染增强了对流层上层气溶胶的形成</w:t>
        </w:r>
      </w:hyperlink>
    </w:p>
    <w:p>
      <w:pPr>
        <w:spacing w:before="0" w:after="80"/>
      </w:pPr>
      <w:r>
        <w:rPr>
          <w:i/>
          <w:sz w:val="20"/>
        </w:rPr>
        <w:t>EN: Upper troposphere aerosol formation enhanced by monsoon lofted pollution</w:t>
      </w:r>
    </w:p>
    <w:p>
      <w:pPr>
        <w:spacing w:before="0" w:after="120"/>
      </w:pPr>
      <w:r>
        <w:rPr>
          <w:b/>
        </w:rPr>
        <w:t xml:space="preserve">Source: </w:t>
      </w:r>
      <w:r>
        <w:t>Earth and environmental sciences : Nature Communications subject feeds</w:t>
      </w:r>
      <w:r>
        <w:t xml:space="preserve">    </w:t>
      </w:r>
      <w:r>
        <w:rPr>
          <w:b/>
        </w:rPr>
        <w:t xml:space="preserve">Pub date: </w:t>
      </w:r>
      <w:r>
        <w:t>2026-08-12 00:00:00+00:00</w:t>
      </w:r>
    </w:p>
    <w:p>
      <w:pPr>
        <w:spacing w:before="0" w:after="120"/>
      </w:pPr>
      <w:r>
        <w:rPr>
          <w:b/>
        </w:rPr>
        <w:t xml:space="preserve">Notes: </w:t>
      </w:r>
      <w:r>
        <w:t>abstract_source=nature_html</w:t>
      </w:r>
    </w:p>
    <w:p>
      <w:pPr>
        <w:spacing w:before="0" w:after="80" w:lineRule="auto" w:line="276"/>
      </w:pPr>
      <w:r>
        <w:rPr>
          <w:b/>
        </w:rPr>
        <w:t xml:space="preserve">摘要（ZH）: </w:t>
      </w:r>
      <w:r>
        <w:t>亚洲夏季季风（ASM）将空气从受污染的边界层区域吹向对流层上层和平流层下层。在 ASM 流出中观察到高浓度的气溶胶，它们通过与辐射和云相互作用并影响大气成分来影响气候。先前的观察表明，ASM 对流流出中形成了小颗粒。实验室和模型研究假设了氨在这一过程中的重要性以及颗粒生长到可以与辐射和云相互作用的尺寸。在这里，我们将 ASM 对流流出的现场观测与轨迹和地球系统建模相结合，以显示污染在增强 ASM 对流流出新粒子形成中的可能作用。我们表明，粒子长大到可以与云和辐射相互作用的尺寸，并在对流层和平流层内的大范围内传输。</w:t>
      </w:r>
    </w:p>
    <w:p>
      <w:pPr>
        <w:spacing w:before="0" w:after="200" w:lineRule="auto" w:line="276"/>
      </w:pPr>
      <w:r>
        <w:rPr>
          <w:b/>
        </w:rPr>
        <w:t xml:space="preserve">Abstract (EN): </w:t>
      </w:r>
      <w:r>
        <w:t>The Asian Summer Monsoon (ASM) lofts air from polluted boundary layer regions to the upper-troposphere and lower-stratosphere. High concentrations of aerosols have been observed in ASM outflow, which influence climate by interacting with radiation and clouds and affecting atmospheric composition. Prior observations indicate that small particles form in ASM convective outflow. Laboratory and modelling studies hypothesise the importance of lofted ammonia in this process and growth of the particles to sizes where they can interact with radiation and clouds. Here we combine in-situ observation in ASM convective outflow with trajectory and Earth-system modelling to show the likely role of pollution in enhancing ASM outflow new particle formation. We show that the particles grow to sizes where they can interact with clouds and radiation, and are transported over large areas within the troposphere and stratosphere.</w:t>
      </w:r>
    </w:p>
    <w:p>
      <w:pPr>
        <w:spacing w:before="120" w:after="120"/>
      </w:pPr>
      <w:r>
        <w:rPr>
          <w:sz w:val="18"/>
        </w:rPr>
        <w:t>——————————————————————————————————————————————————————————————————————</w:t>
      </w:r>
    </w:p>
    <w:p>
      <w:pPr>
        <w:spacing w:before="160" w:after="40" w:line="240" w:lineRule="auto"/>
      </w:pPr>
      <w:r>
        <w:rPr>
          <w:b/>
        </w:rPr>
        <w:t xml:space="preserve">[485] </w:t>
      </w:r>
      <w:hyperlink r:id="rId1466">
        <w:r>
          <w:rPr>
            <w:color w:val="1155CC"/>
            <w:u w:val="single"/>
          </w:rPr>
          <w:t>富勒烯衍生的分级 sp2 碳表现出统一的硬度、弹性和热稳定性</w:t>
        </w:r>
      </w:hyperlink>
    </w:p>
    <w:p>
      <w:pPr>
        <w:spacing w:before="0" w:after="80"/>
      </w:pPr>
      <w:r>
        <w:rPr>
          <w:i/>
          <w:sz w:val="20"/>
        </w:rPr>
        <w:t>EN: Fullerene-derived hierarchical sp2 carbon exhibiting united hardness, elasticity, and thermal stability</w:t>
      </w:r>
    </w:p>
    <w:p>
      <w:pPr>
        <w:spacing w:before="0" w:after="120"/>
      </w:pPr>
      <w:r>
        <w:rPr>
          <w:b/>
        </w:rPr>
        <w:t xml:space="preserve">Source: </w:t>
      </w:r>
      <w:r>
        <w:t>Physical sciences : Nature Communications subject feeds</w:t>
      </w:r>
      <w:r>
        <w:t xml:space="preserve">    </w:t>
      </w:r>
      <w:r>
        <w:rPr>
          <w:b/>
        </w:rPr>
        <w:t xml:space="preserve">Pub date: </w:t>
      </w:r>
      <w:r>
        <w:t>2026-08-12 00:00:00+00:00</w:t>
      </w:r>
    </w:p>
    <w:p>
      <w:pPr>
        <w:spacing w:before="0" w:after="120"/>
      </w:pPr>
      <w:r>
        <w:rPr>
          <w:b/>
        </w:rPr>
        <w:t xml:space="preserve">Notes: </w:t>
      </w:r>
      <w:r>
        <w:t>abstract_source=nature_html</w:t>
      </w:r>
    </w:p>
    <w:p>
      <w:pPr>
        <w:spacing w:before="0" w:after="80" w:lineRule="auto" w:line="276"/>
      </w:pPr>
      <w:r>
        <w:rPr>
          <w:b/>
        </w:rPr>
        <w:t xml:space="preserve">摘要（ZH）: </w:t>
      </w:r>
      <w:r>
        <w:t>碳材料具有有吸引力的机械和热性能，但创造兼具高硬度、弹性恢复性和热稳定性的块状sp2键合碳仍然难以实现。机械各向异性、低损伤容限以及应力或高温下的结构不稳定性阻碍了用于苛刻环境的致密 sp² 碳结构的开发。在这里，我们报道了一种由 C60 在高压下通过渐进结构重构产生的双相 sp2 碳，产生了一种分层结构，其中堆叠的石墨烯纳米团簇集成在无序的富含 sp2 的非晶基质中。这种结构通过结构介导的层间滑动和弹性压实来调节应力，同时保持结构的连贯性。所得材料在空气中达到约 20 GPa 的硬度、&gt; 88% 的弹性恢复率和接近 960 °C 的抗氧化性，代表了代表性碳材料中机械恢复性和热稳定性的不寻常组合。模拟表明，刚度和弹性的组合源于有序域和无序域之间的界面增强。这项工作确定了设计 sp²-碳系统的结构途径，克服了机械和热性能方面长期存在的限制。</w:t>
      </w:r>
    </w:p>
    <w:p>
      <w:pPr>
        <w:spacing w:before="0" w:after="200" w:lineRule="auto" w:line="276"/>
      </w:pPr>
      <w:r>
        <w:rPr>
          <w:b/>
        </w:rPr>
        <w:t xml:space="preserve">Abstract (EN): </w:t>
      </w:r>
      <w:r>
        <w:t>Carbon materials possess attractive mechanical and thermal properties, yet creating bulk sp²-bonded carbon that unites high hardness, elastic recoverability, and thermal stability has remained elusive. Mechanical anisotropy, low damage tolerance, and structural instability under stress or at high temperatures hinder the development of dense sp²-carbon architectures for demanding environments. Here we report a dual-phase sp2 carbon produced from C60 at high pressure through progressive structural reconstruction, yielding a hierarchical structure in which stacked graphene nanoclusters are integrated within a disordered sp2-rich amorphous matrix. This architecture accommodates stress by structurally mediated interlayer sliding and elastic compaction, while retaining structural coherence. The resulting material achieves ~ 20 GPa hardness, &gt; 88% elastic recovery, and oxidation resistance near 960 °C in air, representing an unusual combination of mechanical recoverability and thermal stability among representative carbon materials. Simulations show that the combination of stiffness and resilience arises from interfacial reinforcement between the ordered and disordered domains. This work identifies a structural pathway for engineering sp²-carbon systems that overcome long-standing limits in mechanical and thermal performance.</w:t>
      </w:r>
    </w:p>
    <w:p>
      <w:pPr>
        <w:spacing w:before="120" w:after="120"/>
      </w:pPr>
      <w:r>
        <w:rPr>
          <w:sz w:val="18"/>
        </w:rPr>
        <w:t>——————————————————————————————————————————————————————————————————————</w:t>
      </w:r>
    </w:p>
    <w:p>
      <w:pPr>
        <w:spacing w:before="160" w:after="40" w:line="240" w:lineRule="auto"/>
      </w:pPr>
      <w:r>
        <w:rPr>
          <w:b/>
        </w:rPr>
        <w:t xml:space="preserve">[486] </w:t>
      </w:r>
      <w:hyperlink r:id="rId1467">
        <w:r>
          <w:rPr>
            <w:color w:val="1155CC"/>
            <w:u w:val="single"/>
          </w:rPr>
          <w:t>地缘政治碎片化在能源转型中的调节作用——能源贫困：来自欧洲的交叉分布证据</w:t>
        </w:r>
      </w:hyperlink>
    </w:p>
    <w:p>
      <w:pPr>
        <w:spacing w:before="0" w:after="80"/>
      </w:pPr>
      <w:r>
        <w:rPr>
          <w:i/>
          <w:sz w:val="20"/>
        </w:rPr>
        <w:t>EN: The moderating role of geopolitical fragmentation in energy transition-energy poverty: A cross distribution evidence from Europe</w:t>
      </w:r>
    </w:p>
    <w:p>
      <w:pPr>
        <w:spacing w:before="0" w:after="120"/>
      </w:pPr>
      <w:r>
        <w:rPr>
          <w:b/>
        </w:rPr>
        <w:t xml:space="preserve">Source: </w:t>
      </w:r>
      <w:r>
        <w:t>ScienceDirect Publication: Energy Policy</w:t>
      </w:r>
      <w:r>
        <w:t xml:space="preserve">    </w:t>
      </w:r>
      <w:r>
        <w:rPr>
          <w:b/>
        </w:rPr>
        <w:t xml:space="preserve">Pub date: </w:t>
      </w:r>
      <w:r>
        <w:t>2026-08-12 00:00:00+00:00</w:t>
      </w:r>
      <w:r>
        <w:t xml:space="preserve">    </w:t>
      </w:r>
      <w:r>
        <w:rPr>
          <w:b/>
        </w:rPr>
        <w:t xml:space="preserve">DOI: </w:t>
      </w:r>
      <w:hyperlink r:id="rId1468">
        <w:r>
          <w:rPr>
            <w:color w:val="1155CC"/>
            <w:u w:val="single"/>
          </w:rPr>
          <w:t>10.1016/j.enpol.2026.115544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[487] </w:t>
      </w:r>
      <w:hyperlink r:id="rId1469">
        <w:r>
          <w:rPr>
            <w:color w:val="1155CC"/>
            <w:u w:val="single"/>
          </w:rPr>
          <w:t>基于负载的分层差异化客户准线大规模异构客户需求响应机制</w:t>
        </w:r>
      </w:hyperlink>
    </w:p>
    <w:p>
      <w:pPr>
        <w:spacing w:before="0" w:after="80"/>
      </w:pPr>
      <w:r>
        <w:rPr>
          <w:i/>
          <w:sz w:val="20"/>
        </w:rPr>
        <w:t>EN: Hierarchical differentiated customer directrix load-based demand response mechanism for large-scale heterogeneous customers</w:t>
      </w:r>
    </w:p>
    <w:p>
      <w:pPr>
        <w:spacing w:before="0" w:after="120"/>
      </w:pPr>
      <w:r>
        <w:rPr>
          <w:b/>
        </w:rPr>
        <w:t xml:space="preserve">Source: </w:t>
      </w:r>
      <w:r>
        <w:t>ScienceDirect Publication: Applied Energy</w:t>
      </w:r>
      <w:r>
        <w:t xml:space="preserve">    </w:t>
      </w:r>
      <w:r>
        <w:rPr>
          <w:b/>
        </w:rPr>
        <w:t xml:space="preserve">Pub date: </w:t>
      </w:r>
      <w:r>
        <w:t>2026-08-12 00:00:00+00:00</w:t>
      </w:r>
      <w:r>
        <w:t xml:space="preserve">    </w:t>
      </w:r>
      <w:r>
        <w:rPr>
          <w:b/>
        </w:rPr>
        <w:t xml:space="preserve">DOI: </w:t>
      </w:r>
      <w:hyperlink r:id="rId1470">
        <w:r>
          <w:rPr>
            <w:color w:val="1155CC"/>
            <w:u w:val="single"/>
          </w:rPr>
          <w:t>10.1016/j.apenergy.2026.128675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[488] </w:t>
      </w:r>
      <w:hyperlink r:id="rId1471">
        <w:r>
          <w:rPr>
            <w:color w:val="1155CC"/>
            <w:u w:val="single"/>
          </w:rPr>
          <w:t>高对称性一维极性钙钛矿记录二次谐波产生和卓越的光学各向异性</w:t>
        </w:r>
      </w:hyperlink>
    </w:p>
    <w:p>
      <w:pPr>
        <w:spacing w:before="0" w:after="80"/>
      </w:pPr>
      <w:r>
        <w:rPr>
          <w:i/>
          <w:sz w:val="20"/>
        </w:rPr>
        <w:t>EN: Record Second-Harmonic Generation and Exceptional Optical Anisotropy in High-Symmetry 1D Polar Perovskites</w:t>
      </w:r>
    </w:p>
    <w:p>
      <w:pPr>
        <w:spacing w:before="0" w:after="120"/>
      </w:pPr>
      <w:r>
        <w:rPr>
          <w:b/>
        </w:rPr>
        <w:t xml:space="preserve">Source: </w:t>
      </w:r>
      <w:r>
        <w:t>Journal of the American Chemical Society: Latest Articles (ACS Publications)</w:t>
      </w:r>
      <w:r>
        <w:t xml:space="preserve">    </w:t>
      </w:r>
      <w:r>
        <w:rPr>
          <w:b/>
        </w:rPr>
        <w:t xml:space="preserve">Pub date: </w:t>
      </w:r>
      <w:r>
        <w:t>2026-08-12 00:00:00+00:00</w:t>
      </w:r>
      <w:r>
        <w:t xml:space="preserve">    </w:t>
      </w:r>
      <w:r>
        <w:rPr>
          <w:b/>
        </w:rPr>
        <w:t xml:space="preserve">DOI: </w:t>
      </w:r>
      <w:hyperlink r:id="rId1472">
        <w:r>
          <w:rPr>
            <w:color w:val="1155CC"/>
            <w:u w:val="single"/>
          </w:rPr>
          <w:t>10.1021/jacs.6c06238</w:t>
        </w:r>
      </w:hyperlink>
    </w:p>
    <w:p>
      <w:pPr>
        <w:spacing w:before="0" w:after="120"/>
      </w:pPr>
      <w:r>
        <w:rPr>
          <w:b/>
        </w:rPr>
        <w:t xml:space="preserve">Notes: </w:t>
      </w:r>
      <w:r>
        <w:t>abstract_source=crossref</w:t>
      </w:r>
    </w:p>
    <w:p>
      <w:pPr>
        <w:spacing w:before="0" w:after="80" w:lineRule="auto" w:line="276"/>
      </w:pPr>
      <w:r>
        <w:rPr>
          <w:b/>
        </w:rPr>
        <w:t xml:space="preserve">摘要（ZH）: </w:t>
      </w:r>
      <w:r>
        <w:t>摘要 有机-无机杂化钙钛矿（HOIP）的成分可调性使得能够获得具有不同结构特征的多种半导体材料。然而，以合理的方式调整钙钛矿结构以实现特定应用的物理特性仍然是一个严峻的挑战，特别是在具有高晶体对称性的系统中。我们在此报告了一类新的极性HOIPs，(R-/S-HEP)BI3 (R-/S-HEP = R-/S-2-(1-羟乙基)吡啶鎓，B = Ge，Sn，Pb)，其特征是一维(1D)八面体金属卤化物链，并在具有高度单轴对称性的六方晶格中结晶。 IV 族阳离子孤对的立体化学活性显着影响结构极性，导致戏剧性的大约。与 Sn 和 Pb 类似物 (0.45–0.7 × KH2PO4) 相比，(R-/S-HEP)GeI3 (15 × KH2PO4) 的粉末二次谐波产生 (SHG) 响应增加了 30 倍，这是 HOIP 系列中的新记录。该家族还表现出优异的光学各向异性，546 nm 处的双折射率为 0.518-0.595，这是具有高单轴对称性的钙钛矿中的最大值。第一性原理计算和晶体结构分析将 (R-/S-HEP)GeI3 中的倍频增强归因于高度可极化的 [GeI6] 八面体及其与 π 共轭 HEP 阳离子的有利排列，而大双折射主要是阳离子驱动的。本文对π共轭阳离子和孤对阳离子影响的深刻理解将为合理设计具有优化物理性能的一维钙钛矿指明道路。</w:t>
      </w:r>
    </w:p>
    <w:p>
      <w:pPr>
        <w:spacing w:before="0" w:after="200" w:lineRule="auto" w:line="276"/>
      </w:pPr>
      <w:r>
        <w:rPr>
          <w:b/>
        </w:rPr>
        <w:t xml:space="preserve">Abstract (EN): </w:t>
      </w:r>
      <w:r>
        <w:t>The compositional tunability of hybrid organic–inorganic perovskites (HOIPs) enables access to diverse semiconducting materials with distinct structural features. However, tuning the perovskite structures in a rational way to target physical properties for specific applications remains a critical challenge, especially in systems with high crystallographic symmetry. We report herein a new class of polar HOIPs, (R-/S-HEP)BI3 (R-/S-HEP = R-/S-2-(1-hydroxyethyl)pyridinium, B = Ge, Sn, Pb), which feature one-dimensional (1D) octahedral metal-halide chains and crystallize in a hexagonal lattice with high uniaxial symmetry. The stereochemical activity of the group IV cation lone pairs significantly influences the structural polarity, resulting in a dramatic ca. 30-fold increase in powder second-harmonic generation (SHG) response for (R-/S-HEP)GeI3 (15 × KH2PO4) compared to their Sn and Pb analogs (0.45–0.7 × KH2PO4), and a new record in the HOIP family. This family also exhibits exceptional optical anisotropy with birefringence of 0.518–0.595 at 546 nm, the largest values among perovskites with high uniaxial symmetry. First-principles calculations and crystal structure analyses attribute the SHG enhancement in (R-/S-HEP)GeI3 to the highly polarizable [GeI6] octahedra and their favorable alignment with π-conjugated HEP cations, while the large birefringence is primarily cation-driven. The profound understanding developed herein of the influence of π-conjugated cations and lone-pair cations will point the way to the rational design of 1D perovskites with optimized physical properties for optoelectronic applications.</w:t>
      </w:r>
    </w:p>
    <w:p>
      <w:pPr>
        <w:spacing w:before="120" w:after="120"/>
      </w:pPr>
      <w:r>
        <w:rPr>
          <w:sz w:val="18"/>
        </w:rPr>
        <w:t>——————————————————————————————————————————————————————————————————————</w:t>
      </w:r>
    </w:p>
    <w:p>
      <w:pPr>
        <w:spacing w:before="160" w:after="40" w:line="240" w:lineRule="auto"/>
      </w:pPr>
      <w:r>
        <w:rPr>
          <w:b/>
        </w:rPr>
        <w:t xml:space="preserve">[489] </w:t>
      </w:r>
      <w:hyperlink r:id="rId1473">
        <w:r>
          <w:rPr>
            <w:color w:val="1155CC"/>
            <w:u w:val="single"/>
          </w:rPr>
          <w:t>具有动力学控制的应变加速 β-硫代内酯天然化学连接可实现生物制造的快速选择性水凝胶化</w:t>
        </w:r>
      </w:hyperlink>
    </w:p>
    <w:p>
      <w:pPr>
        <w:spacing w:before="0" w:after="80"/>
      </w:pPr>
      <w:r>
        <w:rPr>
          <w:i/>
          <w:sz w:val="20"/>
        </w:rPr>
        <w:t>EN: Strain-Accelerated β-Thiolactone Native Chemical Ligation with Kinetic Control Enables Rapid and Selective Hydrogelation for Biofabrication</w:t>
      </w:r>
    </w:p>
    <w:p>
      <w:pPr>
        <w:spacing w:before="0" w:after="120"/>
      </w:pPr>
      <w:r>
        <w:rPr>
          <w:b/>
        </w:rPr>
        <w:t xml:space="preserve">Source: </w:t>
      </w:r>
      <w:r>
        <w:t>Journal of the American Chemical Society: Latest Articles (ACS Publications)</w:t>
      </w:r>
      <w:r>
        <w:t xml:space="preserve">    </w:t>
      </w:r>
      <w:r>
        <w:rPr>
          <w:b/>
        </w:rPr>
        <w:t xml:space="preserve">Pub date: </w:t>
      </w:r>
      <w:r>
        <w:t>2026-08-12 00:00:00+00:00</w:t>
      </w:r>
      <w:r>
        <w:t xml:space="preserve">    </w:t>
      </w:r>
      <w:r>
        <w:rPr>
          <w:b/>
        </w:rPr>
        <w:t xml:space="preserve">DOI: </w:t>
      </w:r>
      <w:hyperlink r:id="rId1474">
        <w:r>
          <w:rPr>
            <w:color w:val="1155CC"/>
            <w:u w:val="single"/>
          </w:rPr>
          <w:t>10.1021/jacs.6c05244</w:t>
        </w:r>
      </w:hyperlink>
    </w:p>
    <w:p>
      <w:pPr>
        <w:spacing w:before="0" w:after="120"/>
      </w:pPr>
      <w:r>
        <w:rPr>
          <w:b/>
        </w:rPr>
        <w:t xml:space="preserve">Notes: </w:t>
      </w:r>
      <w:r>
        <w:t>abstract_source=crossref</w:t>
      </w:r>
    </w:p>
    <w:p>
      <w:pPr>
        <w:spacing w:before="0" w:after="80" w:lineRule="auto" w:line="276"/>
      </w:pPr>
      <w:r>
        <w:rPr>
          <w:b/>
        </w:rPr>
        <w:t xml:space="preserve">摘要（ZH）: </w:t>
      </w:r>
      <w:r>
        <w:t>摘要 生物材料设计的一个核心挑战是开发快速、选择性、可合成且与细胞封装所需的富含亲核试剂的环境相兼容的交联反应。天然化学连接（NCL）为在温和的水性条件下制备酰胺连接水凝胶提供了一条有吸引力的途径，但其在生物材料中的实施受到缓慢的动力学、游离硫醇副产物和复杂介质中的抑制的限制。在这里，我们证明，通过掺入菌株编码的 β-硫内酯进行有意的亲电子试剂设计，可以通过脱靶中间体的快速再循环，实现快速、选择性的 NCL 介导的水凝胶形成。直接在四臂聚乙二醇（PEG，10 kDa）上合成的青霉胺衍生的 β-硫内酯交联剂在完全细胞培养基中表现出快速凝胶化，同时保持与嵌入的人真皮成纤维细胞的正交性。相对于传统的烷基硫酯和γ-硫内酯类似物，应变的β-硫内酯表现出加速的凝胶化和增强的对竞争性内源硫醇的耐受性。从机制上讲，偕二甲基取代促进快速 β-硫内酯再循环，抑制非生产性硫醇交换，同时生产性 NCL 通过不可逆的 S 到 N 酰基转移进行。由于未反应的 β-硫内酯在生理条件下持续存在，因此该网络在凝胶化后仍保持化学可寻址性，从而能够暂时延迟含 N-Cys 分子的功能化。这种快速网络形成和 PO 的结合</w:t>
      </w:r>
    </w:p>
    <w:p>
      <w:pPr>
        <w:spacing w:before="0" w:after="200" w:lineRule="auto" w:line="276"/>
      </w:pPr>
      <w:r>
        <w:rPr>
          <w:b/>
        </w:rPr>
        <w:t xml:space="preserve">Abstract (EN): </w:t>
      </w:r>
      <w:r>
        <w:t>A central challenge in biomaterials design is developing cross-linking reactions that are fast, selective, synthetically accessible, and compatible with the nucleophile-rich environments required for cell encapsulation. Native chemical ligation (NCL) offers an attractive route to amide-linked hydrogels under mild aqueous conditions, yet its implementation in biomaterials has been constrained by slow kinetics, free-thiol byproducts, and inhibition in complex media. Here, we demonstrate that deliberate electrophile design through incorporation of a strain-encoded β-thiolactone enables rapid and selective NCL-mediated hydrogel formation through rapid recyclization of off-target intermediates. A penicillamine-derived β-thiolactone cross-linker synthesized directly on four-arm polyethylene glycol (PEG, 10 kDa) exhibits fast gelation in complete cell culture media while maintaining orthogonality to embedded human dermal fibroblasts. Relative to a conventional alkyl thioester and a γ-thiolactone analogue, the strained β-thiolactone displays accelerated gelation and enhanced tolerance to competing endogenous thiols. Mechanistically, geminal dimethyl substitution promotes rapid β-thiolactone recyclization, suppressing unproductive thiol exchange while productive NCL proceeds through an irreversible S-to-N acyl shift. Because unreacted β-thiolactones persist under physiological conditions, the network remains chemically addressable after gelation, enabling temporally delayed functionalization with N-Cys-containing molecules. This combination of rapid network formation and postgelation addressability enables direct peptide incorporation, hydrogel microfiber fabrication, and long-term three-dimensional cell encapsulation.</w:t>
      </w:r>
    </w:p>
    <w:p>
      <w:pPr>
        <w:spacing w:before="120" w:after="120"/>
      </w:pPr>
      <w:r>
        <w:rPr>
          <w:sz w:val="18"/>
        </w:rPr>
        <w:t>——————————————————————————————————————————————————————————————————————</w:t>
      </w:r>
    </w:p>
    <w:p>
      <w:pPr>
        <w:spacing w:before="160" w:after="40" w:line="240" w:lineRule="auto"/>
      </w:pPr>
      <w:r>
        <w:rPr>
          <w:b/>
        </w:rPr>
        <w:t xml:space="preserve">[490] </w:t>
      </w:r>
      <w:hyperlink r:id="rId1475">
        <w:r>
          <w:rPr>
            <w:color w:val="1155CC"/>
            <w:u w:val="single"/>
          </w:rPr>
          <w:t>母亲对婴儿肠道微生物组和健康的影响</w:t>
        </w:r>
      </w:hyperlink>
    </w:p>
    <w:p>
      <w:pPr>
        <w:spacing w:before="0" w:after="80"/>
      </w:pPr>
      <w:r>
        <w:rPr>
          <w:i/>
          <w:sz w:val="20"/>
        </w:rPr>
        <w:t>EN: Maternal influences on infant gut microbiome and health</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476">
        <w:r>
          <w:rPr>
            <w:color w:val="1155CC"/>
            <w:u w:val="single"/>
          </w:rPr>
          <w:t>10.1038/s41586-026-10922-9</w:t>
        </w:r>
      </w:hyperlink>
    </w:p>
    <w:p>
      <w:pPr>
        <w:spacing w:before="0" w:after="120"/>
      </w:pPr>
      <w:r>
        <w:rPr>
          <w:b/>
        </w:rPr>
        <w:t xml:space="preserve">Notes: </w:t>
      </w:r>
      <w:r>
        <w:t>abstract_source=nature_html</w:t>
      </w:r>
    </w:p>
    <w:p>
      <w:pPr>
        <w:spacing w:before="0" w:after="80" w:lineRule="auto" w:line="276"/>
      </w:pPr>
      <w:r>
        <w:rPr>
          <w:b/>
        </w:rPr>
        <w:t xml:space="preserve">摘要（ZH）: </w:t>
      </w:r>
      <w:r>
        <w:t>婴儿肠道微生物组的建立对于以后的健康至关重要1,2，但母体和早期生命因素如何影响婴儿肠道微生物组的形成仍不清楚。在这里，我们对荷兰出生队列 Lifelines NEXT 中 714 对母婴的 4,526 个纵向粪便样本进行了宏基因组测序，涵盖怀孕 12 周到产后 1 年。我们将这些数据与 474 个临床和暴露变量以及母乳和阴道微生物组的超深度测序相整合。我们观察到，受饮食、感染和孕前吸烟的影响，母体​​肠道微生物组在怀孕和产后仅经历微妙的变化。母体肠道微生物组是婴儿肠道菌株的主要储存库，仅偶尔从阴道和母乳微生物组传播。母婴肠道菌株共享具有时间依赖性，较高的母体肠道物种丰富度会增加菌株传播的可能性。我们发现母体肠道微生物群是婴儿湿疹的预测因子。分娩方式和喂养方式主要塑造了婴儿肠道微生物组及其功能特征，母亲的接触也发挥了作用。在 585 名阴道分娩的婴儿中，有 155 名是在家中出生的，但家庭分娩与婴儿肠道微生物组组成仅中度相关，与其他出生参数（如用力持续时间和胎膜破裂）类似。总体而言，我们强调母亲及其微生物组在塑造婴儿肠道生态系统和早期健康结果方面的核心作用。</w:t>
      </w:r>
    </w:p>
    <w:p>
      <w:pPr>
        <w:spacing w:before="0" w:after="200" w:lineRule="auto" w:line="276"/>
      </w:pPr>
      <w:r>
        <w:rPr>
          <w:b/>
        </w:rPr>
        <w:t xml:space="preserve">Abstract (EN): </w:t>
      </w:r>
      <w:r>
        <w:t>The establishment of the infant gut microbiome is critical for later health1,2, yet how it is shaped by maternal and early-life factors remains unclear. Here we metagenomically sequenced 4,526 longitudinal faecal samples from 714 mother–infant pairs in the Dutch birth cohort Lifelines NEXT, spanning 12 weeks of pregnancy to 1 year postpartum. We integrated these data with 474 clinical and exposure variables, and with ultra-deep sequencing of breast milk and vaginal microbiomes. We observe that the maternal gut microbiome undergoes only subtle changes during pregnancy and postpartum, influenced by diet, infections and pre-pregnancy smoking. The maternal gut microbiome is a major reservoir for infant gut strains, with only occasional transmission from vaginal and breast milk microbiomes. Mother–infant gut strain sharing is time dependent, and higher maternal gut species abundance increases the likelihood of strain transmission. We find that the maternal gut microbiome is a predictor of infant eczema. Mode of delivery and feeding mode primarily shaped the infant gut microbiome and its functional profiles, with maternal exposures also having a role. Of 585 vaginally delivered infants, 155 were born at home, but home delivery was only moderately associated with infant gut microbiome composition, similar to other birth parameters such as duration of pushing and ruptured membranes. Overall, we highlight the central role of the mother and her microbiome in shaping the infant gut ecosystem and early health outcomes.</w:t>
      </w:r>
    </w:p>
    <w:p>
      <w:pPr>
        <w:spacing w:before="120" w:after="120"/>
      </w:pPr>
      <w:r>
        <w:rPr>
          <w:sz w:val="18"/>
        </w:rPr>
        <w:t>——————————————————————————————————————————————————————————————————————</w:t>
      </w:r>
    </w:p>
    <w:p>
      <w:pPr>
        <w:spacing w:before="160" w:after="40" w:line="240" w:lineRule="auto"/>
      </w:pPr>
      <w:r>
        <w:rPr>
          <w:b/>
        </w:rPr>
        <w:t xml:space="preserve">[491] </w:t>
      </w:r>
      <w:hyperlink r:id="rId1477">
        <w:r>
          <w:rPr>
            <w:color w:val="1155CC"/>
            <w:u w:val="single"/>
          </w:rPr>
          <w:t>作者更正：通过非接触式无线电监测和知识转移检测心房颤动</w:t>
        </w:r>
      </w:hyperlink>
    </w:p>
    <w:p>
      <w:pPr>
        <w:spacing w:before="0" w:after="80"/>
      </w:pPr>
      <w:r>
        <w:rPr>
          <w:i/>
          <w:sz w:val="20"/>
        </w:rPr>
        <w:t>EN: Author Correction: Atrial fibrillation detection via contactless radio monitoring and knowledge transfer</w:t>
      </w:r>
    </w:p>
    <w:p>
      <w:pPr>
        <w:spacing w:before="0" w:after="120"/>
      </w:pPr>
      <w:r>
        <w:rPr>
          <w:b/>
        </w:rPr>
        <w:t xml:space="preserve">Source: </w:t>
      </w:r>
      <w:r>
        <w:t>Physical sciences : Nature Communications subject feeds</w:t>
      </w:r>
      <w:r>
        <w:t xml:space="preserve">    </w:t>
      </w:r>
      <w:r>
        <w:rPr>
          <w:b/>
        </w:rPr>
        <w:t xml:space="preserve">Pub date: </w:t>
      </w:r>
      <w:r>
        <w:t>2026-08-12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[492] </w:t>
      </w:r>
      <w:hyperlink r:id="rId1478">
        <w:r>
          <w:rPr>
            <w:color w:val="1155CC"/>
            <w:u w:val="single"/>
          </w:rPr>
          <w:t>对热带森林生物量的异质气候控制</w:t>
        </w:r>
      </w:hyperlink>
    </w:p>
    <w:p>
      <w:pPr>
        <w:spacing w:before="0" w:after="80"/>
      </w:pPr>
      <w:r>
        <w:rPr>
          <w:i/>
          <w:sz w:val="20"/>
        </w:rPr>
        <w:t>EN: Heterogeneous climatic controls on tropical-forest biomass</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479">
        <w:r>
          <w:rPr>
            <w:color w:val="1155CC"/>
            <w:u w:val="single"/>
          </w:rPr>
          <w:t>10.1038/s41586-026-10880-2</w:t>
        </w:r>
      </w:hyperlink>
    </w:p>
    <w:p>
      <w:pPr>
        <w:spacing w:before="0" w:after="120"/>
      </w:pPr>
      <w:r>
        <w:rPr>
          <w:b/>
        </w:rPr>
        <w:t xml:space="preserve">Notes: </w:t>
      </w:r>
      <w:r>
        <w:t>abstract_source=pubmed</w:t>
      </w:r>
    </w:p>
    <w:p>
      <w:pPr>
        <w:spacing w:before="0" w:after="80" w:lineRule="auto" w:line="276"/>
      </w:pPr>
      <w:r>
        <w:rPr>
          <w:b/>
        </w:rPr>
        <w:t xml:space="preserve">摘要（ZH）: </w:t>
      </w:r>
      <w:r>
        <w:t>热带森林地上生物量（AGB）是全球碳循环的主要组成部分，了解其对气候变化的响应对于预测未来气候碳反馈至关重要。然而，关于观察到的与气候关联的研究之间的差异是否反映了真正的区域差异或方法差异1-5，争论仍在继续。在这里，我们分析了亚马逊、刚果盆地和东南亚完整低地森林中约 1600 万个由星载激光雷达得出的 2020 年 AGB 估计值，以研究气候变量与泛热带尺度上的 AGB 之间的差异关系。我们表明，气候与 AGB 的关联是异质的，并且取决于环境背景。温度在较干燥的森林中占主导地位，刚果盆地的 AGB 对变暖最敏感，而东南亚森林在水分限制增加的情况下 AGB 下降幅度最大。在各个地区，温度和干旱异常的影响随着干旱而加剧，并进一步受到土壤和地形的影响。在最高（70米以上）、碳密集的森林6,7中，风暴（闪电和风）成为强大的负面驱动因素。这些结果调和了之前相互矛盾的发现，并表明预测热带森林碳储存需要考虑各种生物地理背景下的气候、干扰、土壤和地形之间的相互作用。</w:t>
      </w:r>
    </w:p>
    <w:p>
      <w:pPr>
        <w:spacing w:before="0" w:after="200" w:lineRule="auto" w:line="276"/>
      </w:pPr>
      <w:r>
        <w:rPr>
          <w:b/>
        </w:rPr>
        <w:t xml:space="preserve">Abstract (EN): </w:t>
      </w:r>
      <w:r>
        <w:t>Tropical-forest aboveground biomass (AGB) is a major component of the global carbon cycle and understanding its response to climate change is crucial for predicting future climate-carbon feedbacks. Yet debate continues as to whether differences between studies in observed associations with climate reflect true regional variation or methodological differences1-5. Here we analyse around 16 million spaceborne-LiDAR-derived estimates of AGB for the year 2020 across intact lowland forests in the Amazon, the Congo Basin and Southeast Asia to investigate how climatic variables differentially relate to AGB on pantropical scales. We show that climatic associations with AGB are heterogeneous and depend on environmental context. Temperature dominates in drier forests, with AGB in the Congo Basin the most sensitive to warming, whereas Southeast Asian forests have the strongest declines in AGB under increasing water limitation. Across regions, the effects of temperature and drought anomalies intensify with aridity and are further modified by soils and topography. In the tallest (above 70 m), carbon-dense forests6,7, storms (lightning and windthrow) emerge as a strong negative driver. These results reconcile previously conflicting findings and show that predicting tropical-forest carbon storage requires accounting for interactions among climate, disturbance, soil and topography in a variety of biogeographical contexts.</w:t>
      </w:r>
    </w:p>
    <w:p>
      <w:pPr>
        <w:spacing w:before="120" w:after="120"/>
      </w:pPr>
      <w:r>
        <w:rPr>
          <w:sz w:val="18"/>
        </w:rPr>
        <w:t>——————————————————————————————————————————————————————————————————————</w:t>
      </w:r>
    </w:p>
    <w:p>
      <w:pPr>
        <w:spacing w:before="160" w:after="40" w:line="240" w:lineRule="auto"/>
      </w:pPr>
      <w:r>
        <w:rPr>
          <w:b/>
        </w:rPr>
        <w:t xml:space="preserve">[493] </w:t>
      </w:r>
      <w:hyperlink r:id="rId1480">
        <w:r>
          <w:rPr>
            <w:color w:val="1155CC"/>
            <w:u w:val="single"/>
          </w:rPr>
          <w:t>用于有效人工智能治理的代理配置文件</w:t>
        </w:r>
      </w:hyperlink>
    </w:p>
    <w:p>
      <w:pPr>
        <w:spacing w:before="0" w:after="80"/>
      </w:pPr>
      <w:r>
        <w:rPr>
          <w:i/>
          <w:sz w:val="20"/>
        </w:rPr>
        <w:t>EN: Agentic profiles for effective AI governance</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481">
        <w:r>
          <w:rPr>
            <w:color w:val="1155CC"/>
            <w:u w:val="single"/>
          </w:rPr>
          <w:t>10.1038/s41586-026-10805-z</w:t>
        </w:r>
      </w:hyperlink>
    </w:p>
    <w:p>
      <w:pPr>
        <w:spacing w:before="0" w:after="120"/>
      </w:pPr>
      <w:r>
        <w:rPr>
          <w:b/>
        </w:rPr>
        <w:t xml:space="preserve">Notes: </w:t>
      </w:r>
      <w:r>
        <w:t>abstract_source=pubmed</w:t>
      </w:r>
    </w:p>
    <w:p>
      <w:pPr>
        <w:spacing w:before="0" w:after="80" w:lineRule="auto" w:line="276"/>
      </w:pPr>
      <w:r>
        <w:rPr>
          <w:b/>
        </w:rPr>
        <w:t xml:space="preserve">摘要（ZH）: </w:t>
      </w:r>
      <w:r>
        <w:t>为人工智能 (AI) 代理创建有效的治理机制需要更深入地了解其核心属性及其对部署的影响。本文提供了人工智能代理的特征，重点关注四个维度：自主性、有效性、目标复杂性和通用性。我们为每个维度提出了不同的等级，并认为每个维度都提出了有关这些系统的设计、操作和治理的独特问题。此外，我们利用这个框架为不同类型的人工智能代理构建“代理配置文件”。这些概况有助于阐明不同类别的人工智能代理（从狭隘的特定任务助手到高度自治的通用系统）所带来的跨领域技术和非技术治理挑战。通过在四个维度上绘制变化和连续性的关键轴，代理配置文件为开发人员、政策制定者和公众提供有效的人工智能治理的指导。</w:t>
      </w:r>
    </w:p>
    <w:p>
      <w:pPr>
        <w:spacing w:before="0" w:after="200" w:lineRule="auto" w:line="276"/>
      </w:pPr>
      <w:r>
        <w:rPr>
          <w:b/>
        </w:rPr>
        <w:t xml:space="preserve">Abstract (EN): </w:t>
      </w:r>
      <w:r>
        <w:t>The creation of effective governance mechanisms for artificial intelligence (AI) agents requires a deeper understanding of their core properties and the implications they have for deployment. This paper provides a characterization of AI agents that focuses on four dimensions: autonomy, efficacy, goal complexity and generality. We propose different gradations for each dimension and argue that each dimension raises unique questions about the design, operation and governance of these systems. Moreover, we draw on this framework to construct 'agentic profiles' for different kinds of AI agent. These profiles help to illuminate cross-cutting technical and non-technical governance challenges posed by different classes of AI agents, ranging from narrow task-specific assistants to highly autonomous general-purpose systems. By mapping out key axes of variation and continuity across four dimensions, agentic profiles provide developers, policymakers and members of the public with guidance for effective AI governance.</w:t>
      </w:r>
    </w:p>
    <w:p>
      <w:pPr>
        <w:spacing w:before="120" w:after="120"/>
      </w:pPr>
      <w:r>
        <w:rPr>
          <w:sz w:val="18"/>
        </w:rPr>
        <w:t>——————————————————————————————————————————————————————————————————————</w:t>
      </w:r>
    </w:p>
    <w:p>
      <w:pPr>
        <w:spacing w:before="160" w:after="40" w:line="240" w:lineRule="auto"/>
      </w:pPr>
      <w:r>
        <w:rPr>
          <w:b/>
        </w:rPr>
        <w:t xml:space="preserve">[494] </w:t>
      </w:r>
      <w:hyperlink r:id="rId1482">
        <w:r>
          <w:rPr>
            <w:color w:val="1155CC"/>
            <w:u w:val="single"/>
          </w:rPr>
          <w:t>用于小鼠和猴子血糖调节的葡萄糖反应性益生菌</w:t>
        </w:r>
      </w:hyperlink>
    </w:p>
    <w:p>
      <w:pPr>
        <w:spacing w:before="0" w:after="80"/>
      </w:pPr>
      <w:r>
        <w:rPr>
          <w:i/>
          <w:sz w:val="20"/>
        </w:rPr>
        <w:t>EN: Glucose-responsive probiotics for glycaemic modulation in mice and monkeys</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483">
        <w:r>
          <w:rPr>
            <w:color w:val="1155CC"/>
            <w:u w:val="single"/>
          </w:rPr>
          <w:t>10.1038/s41586-026-10909-6</w:t>
        </w:r>
      </w:hyperlink>
    </w:p>
    <w:p>
      <w:pPr>
        <w:spacing w:before="0" w:after="120"/>
      </w:pPr>
      <w:r>
        <w:rPr>
          <w:b/>
        </w:rPr>
        <w:t xml:space="preserve">Notes: </w:t>
      </w:r>
      <w:r>
        <w:t>abstract_source=pubmed</w:t>
      </w:r>
    </w:p>
    <w:p>
      <w:pPr>
        <w:spacing w:before="0" w:after="80" w:lineRule="auto" w:line="276"/>
      </w:pPr>
      <w:r>
        <w:rPr>
          <w:b/>
        </w:rPr>
        <w:t xml:space="preserve">摘要（ZH）: </w:t>
      </w:r>
      <w:r>
        <w:t>使用工程设计细胞持续和受控地输送降糖药物被认为是糖尿病治疗的有效策略1。然而，当前的技术依赖于外部信号控制或已使用合成基因网络编程到哺乳动物细胞中，这引起了移植引起的安全问题2,3。在这里，我们开发了一种工程化的口服葡萄糖感应和功能反应益生菌活性药物，用于基于“感应和反应”的糖尿病血糖控制。我们创建了一种基于合成基因电路的葡萄糖传感器，该电路包含葡萄糖响应转录调节因子 HexR 以及合成启动子。口服携带传感器的工程益生菌后，细胞会暂时驻留在肠道中，并根据超过正常阈值的葡萄糖水平调节治疗性转基因的表达。我们在多种糖尿病小鼠和非人类灵长类动物模型中展示了工程益生菌对血糖控制的功效，证明长期口服给药可明显改善血脂状况，同时还可减轻多种糖尿病并发症的发展。我们基于益生菌的活体药物能够根据实时血糖水平进行治疗剂量，为无需移植的代谢治疗提供可编程的、口服的感知和响应平台。</w:t>
      </w:r>
    </w:p>
    <w:p>
      <w:pPr>
        <w:spacing w:before="0" w:after="200" w:lineRule="auto" w:line="276"/>
      </w:pPr>
      <w:r>
        <w:rPr>
          <w:b/>
        </w:rPr>
        <w:t xml:space="preserve">Abstract (EN): </w:t>
      </w:r>
      <w:r>
        <w:t>Sustained and controlled delivery of glucose-lowering agents using engineered designer cells is recognized as an effective strategy for diabetes therapy1. However, current technologies rely on external signal control or have been programmed into mammalian cells using synthetic gene networks, which pose safety concerns arising from transplantation2,3. Here we developed an engineered oral-deliverable glucose-sensing and functional response probiotic living drug for 'sense-and-respond'-based control of diabetic blood glucose. We created a glucose sensor based on a synthetic gene circuit that incorporates the glucose-responsive transcriptional regulator HexR, coupled with a synthetic promoter. Upon oral administration of the engineered probiotics carrying the sensor, the cells reside temporarily in the intestine and regulate the expression of therapeutic transgenes in response to glucose levels that exceed the normal threshold. We show efficacy from the engineered probiotics for glycaemic control in multiple diabetic mouse and non-human primate models, demonstrating that long-term oral administration drives clear improvements in lipid profiles, while also attenuating development of multiple diabetic complications. Our probiotics-based living drug enables therapeutic dosing in response to real-time blood glucose levels, providing a programmable, orally deliverable sense-and-respond platform for metabolic therapy without transplantation.</w:t>
      </w:r>
    </w:p>
    <w:p>
      <w:pPr>
        <w:spacing w:before="120" w:after="120"/>
      </w:pPr>
      <w:r>
        <w:rPr>
          <w:sz w:val="18"/>
        </w:rPr>
        <w:t>——————————————————————————————————————————————————————————————————————</w:t>
      </w:r>
    </w:p>
    <w:p>
      <w:pPr>
        <w:spacing w:before="160" w:after="40" w:line="240" w:lineRule="auto"/>
      </w:pPr>
      <w:r>
        <w:rPr>
          <w:b/>
        </w:rPr>
        <w:t xml:space="preserve">[495] </w:t>
      </w:r>
      <w:hyperlink r:id="rId1484">
        <w:r>
          <w:rPr>
            <w:color w:val="1155CC"/>
            <w:u w:val="single"/>
          </w:rPr>
          <w:t>皮质类器官中放射状胶质细胞谱系进展的时间解偶联</w:t>
        </w:r>
      </w:hyperlink>
    </w:p>
    <w:p>
      <w:pPr>
        <w:spacing w:before="0" w:after="80"/>
      </w:pPr>
      <w:r>
        <w:rPr>
          <w:i/>
          <w:sz w:val="20"/>
        </w:rPr>
        <w:t>EN: Temporal uncoupling of radial glia lineage progression in cortical organoids</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485">
        <w:r>
          <w:rPr>
            <w:color w:val="1155CC"/>
            <w:u w:val="single"/>
          </w:rPr>
          <w:t>10.1038/s41586-026-10916-7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放射状胶质祖细胞（RGP）在发育中的大脑皮层中产生所有兴奋性神经元。基于双标记 (MADM) 的体内谱系追踪镶嵌分析揭示了 RGP 谱系进展的定量框架</w:t>
      </w:r>
      <w:r>
        <w:rPr>
          <w:vertAlign w:val="subscript"/>
        </w:rPr>
        <w:t>1</w:t>
      </w:r>
      <w:r>
        <w:t>。在这里我们建立了MADM技术</w:t>
      </w:r>
      <w:r>
        <w:t xml:space="preserve"> </w:t>
      </w:r>
      <w:r>
        <w:t>2,3</w:t>
      </w:r>
      <w:r>
        <w:t xml:space="preserve"> </w:t>
      </w:r>
      <w:r>
        <w:t>在小鼠胚胎干细胞中探索自组织皮质类器官系统中的 RGP 谱系进展。我们发现 RGP 在类器官的增殖潜力方面表现出高水平的可塑性，而不是体内观察到的严格的时间定型谱系进展。尽管RGP具有统一的单细胞转录特征和单一的谱系轨迹，但类器官中的RGP显示出谱系限制增加，皮质投射神经元克隆的细胞类型多样性减少。因此，自组织系统和/或真正的干细胞生态位中不存在的关键非细胞自主线索对于 RGP 谱系进展的忠实时间控制和克隆皮质细胞类型多样性的产生至关重要。</w:t>
      </w:r>
    </w:p>
    <w:p>
      <w:pPr>
        <w:spacing w:before="0" w:after="200" w:lineRule="auto" w:line="276"/>
      </w:pPr>
      <w:r>
        <w:rPr>
          <w:b/>
        </w:rPr>
        <w:t xml:space="preserve">Abstract (EN): </w:t>
      </w:r>
      <w:r>
        <w:t>Radial glial progenitors (RGPs) produce all excitatory neurons in the developing cerebral cortex. Mosaic analysis with double markers (MADM)-based lineage tracing in vivo has revealed a quantitative framework of RGP lineage progression</w:t>
      </w:r>
      <w:r>
        <w:rPr>
          <w:vertAlign w:val="subscript"/>
        </w:rPr>
        <w:t>1</w:t>
      </w:r>
      <w:r>
        <w:t>. Here we established MADM technology</w:t>
      </w:r>
      <w:r>
        <w:t xml:space="preserve"> </w:t>
      </w:r>
      <w:r>
        <w:t>2,3</w:t>
      </w:r>
      <w:r>
        <w:t xml:space="preserve"> </w:t>
      </w:r>
      <w:r>
        <w:t>in mouse embryonic stem cells to probe RGP lineage progression in a self-organizing cortical organoid system. We found that RGPs exhibit a high level of plasticity in proliferative potential in organoids rather than strict temporally stereotyped lineage progression as observed in vivo. RGPs in organoids showed increased lineage restriction, diminishing cell-type diversity in clones of cortical projection neurons, despite uniform single-cell transcriptional signatures of RGPs and a unitary lineage trajectory. Thus, critical non-cell-autonomous cues that are absent in self-organizing systems and/or the genuine stem cell niche are essential for faithful temporal control of RGP lineage progression and the generation of clonal cortical cell-type diversity.</w:t>
      </w:r>
    </w:p>
    <w:p>
      <w:pPr>
        <w:spacing w:before="120" w:after="120"/>
      </w:pPr>
      <w:r>
        <w:rPr>
          <w:sz w:val="18"/>
        </w:rPr>
        <w:t>——————————————————————————————————————————————————————————————————————</w:t>
      </w:r>
    </w:p>
    <w:p>
      <w:pPr>
        <w:spacing w:before="160" w:after="40" w:line="240" w:lineRule="auto"/>
      </w:pPr>
      <w:r>
        <w:rPr>
          <w:b/>
        </w:rPr>
        <w:t xml:space="preserve">[496] </w:t>
      </w:r>
      <w:hyperlink r:id="rId1486">
        <w:r>
          <w:rPr>
            <w:color w:val="1155CC"/>
            <w:u w:val="single"/>
          </w:rPr>
          <w:t>人类和细菌抗病毒免疫的共同原则</w:t>
        </w:r>
      </w:hyperlink>
    </w:p>
    <w:p>
      <w:pPr>
        <w:spacing w:before="0" w:after="80"/>
      </w:pPr>
      <w:r>
        <w:rPr>
          <w:i/>
          <w:sz w:val="20"/>
        </w:rPr>
        <w:t>EN: Shared principles of human and bacterial antiviral immunity</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487">
        <w:r>
          <w:rPr>
            <w:color w:val="1155CC"/>
            <w:u w:val="single"/>
          </w:rPr>
          <w:t>10.1038/s41586-026-10756-5</w:t>
        </w:r>
      </w:hyperlink>
    </w:p>
    <w:p>
      <w:pPr>
        <w:spacing w:before="0" w:after="120"/>
      </w:pPr>
      <w:r>
        <w:rPr>
          <w:b/>
        </w:rPr>
        <w:t xml:space="preserve">Notes: </w:t>
      </w:r>
      <w:r>
        <w:t>abstract_source=pubmed</w:t>
      </w:r>
    </w:p>
    <w:p>
      <w:pPr>
        <w:spacing w:before="0" w:after="80" w:lineRule="auto" w:line="276"/>
      </w:pPr>
      <w:r>
        <w:rPr>
          <w:b/>
        </w:rPr>
        <w:t xml:space="preserve">摘要（ZH）: </w:t>
      </w:r>
      <w:r>
        <w:t>防御病毒感染是所有细胞生命的保守特征。从单细胞细菌到人类和复杂的多细胞动物，需要组成型和诱导型免疫来抑制病毒和维护细胞健康。最近的研究表明，人类抗病毒免疫的组成部分出人意料地古老，起源于数十亿年前的细菌，作为防御噬菌体复制的途径。人类和细菌免疫先前不同领域的统一为解释宿主-病毒相互作用的关键特征奠定了基础。这篇综述定义了病原体识别、信号放大和免疫效应器功能的原理，这些原理塑造了生命王国共享的抗病毒免疫机制。共享的免疫形式，包括 cGAS-STING、炎性小体、阿尔古特和蝰蛇蛋白，揭示了抗病毒防御的古老特征。同样，将人类细胞中的模式识别受体和干扰素刺激基因与细菌中的 CRISPR 免疫和抗噬菌体防御系统进行直接比较，解释了有效感知和抑制病毒复制的流行策略。跨界分析揭示了控制宿主病毒相互作用的普遍规则，并强调了理解抗病毒免疫方面的悬而未决的问题。</w:t>
      </w:r>
    </w:p>
    <w:p>
      <w:pPr>
        <w:spacing w:before="0" w:after="200" w:lineRule="auto" w:line="276"/>
      </w:pPr>
      <w:r>
        <w:rPr>
          <w:b/>
        </w:rPr>
        <w:t xml:space="preserve">Abstract (EN): </w:t>
      </w:r>
      <w:r>
        <w:t>Defence against viral infection is a conserved feature of all cellular life. From single-cell bacteria to humans and complex multicellular animals, constitutive and inducible forms of immunity are required to inhibit viruses and safeguard cellular fitness. Recent studies reveal that the components of human antiviral immunity are surprisingly ancient, originating billions of years ago in bacteria as pathways that defend against phage replication. The unification of previously disparate fields of human and bacterial immunity creates a foundation to explain key features of host-virus interactions. This Review defines principles of pathogen recognition, signal amplification and immune effector function that shape mechanisms of antiviral immunity that are shared across kingdoms of life. Shared forms of immunity, including cGAS-STING, inflammasomes, argonautes and viperin, reveal ancient features of antiviral defence. Similarly, direct comparisons of pattern recognition receptors and interferon-stimulated genes in human cells with CRISPR immunity and anti-phage defence systems in bacteria explain prevalent strategies to effectively sense and inhibit viral replication. Cross-kingdom analysis reveals universal rules that control host-virus interactions and highlights open questions in understanding of antiviral immunity.</w:t>
      </w:r>
    </w:p>
    <w:p>
      <w:pPr>
        <w:spacing w:before="120" w:after="120"/>
      </w:pPr>
      <w:r>
        <w:rPr>
          <w:sz w:val="18"/>
        </w:rPr>
        <w:t>——————————————————————————————————————————————————————————————————————</w:t>
      </w:r>
    </w:p>
    <w:p>
      <w:pPr>
        <w:spacing w:before="160" w:after="40" w:line="240" w:lineRule="auto"/>
      </w:pPr>
      <w:r>
        <w:rPr>
          <w:b/>
        </w:rPr>
        <w:t xml:space="preserve">[497] </w:t>
      </w:r>
      <w:hyperlink r:id="rId1488">
        <w:r>
          <w:rPr>
            <w:color w:val="1155CC"/>
            <w:u w:val="single"/>
          </w:rPr>
          <w:t>1342 年至 1343 年欧洲大陆级联洪水</w:t>
        </w:r>
      </w:hyperlink>
    </w:p>
    <w:p>
      <w:pPr>
        <w:spacing w:before="0" w:after="80"/>
      </w:pPr>
      <w:r>
        <w:rPr>
          <w:i/>
          <w:sz w:val="20"/>
        </w:rPr>
        <w:t>EN: Cascading continental-scale floods across Europe in 1342–1343</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489">
        <w:r>
          <w:rPr>
            <w:color w:val="1155CC"/>
            <w:u w:val="single"/>
          </w:rPr>
          <w:t>10.1038/s41586-026-10888-8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近几十年来，欧洲经历了极端洪水。然而，更大规模的洪水也是可能的，在洪水风险管理中必须予以考虑</w:t>
      </w:r>
      <w:r>
        <w:t xml:space="preserve"> </w:t>
      </w:r>
      <w:r>
        <w:t>1,2</w:t>
      </w:r>
      <w:r>
        <w:t xml:space="preserve"> </w:t>
      </w:r>
      <w:r>
        <w:t>。通过分析有记录的历史上最大的洪水可以阐明它们的特征。在中欧，1342 年 7 月发生的马格达莱纳洪水通常被认为是上个千年以来最大的洪水；然而，对其特性的了解并不完整</w:t>
      </w:r>
      <w:r>
        <w:t xml:space="preserve"> </w:t>
      </w:r>
      <w:r>
        <w:t>3-7</w:t>
      </w:r>
      <w:r>
        <w:t xml:space="preserve"> </w:t>
      </w:r>
      <w:r>
        <w:t>。在这里，我们展示了 1341 年末至 1343 年间欧洲大部分地区发生的 16 次重大洪水事件。其中四次洪水的重现期为 500 至 1,000 年（马格达莱纳洪水、巴塞洛缪洪水、圣烛马斯洪水和雅各布洪水）。尽管马格达莱纳洪水此前被认为是 1342 年欧洲唯一的极端洪水</w:t>
      </w:r>
      <w:r>
        <w:t xml:space="preserve"> </w:t>
      </w:r>
      <w:r>
        <w:t>3,7</w:t>
      </w:r>
      <w:r>
        <w:t xml:space="preserve"> </w:t>
      </w:r>
      <w:r>
        <w:t>，我们的新文献数据集表明它构成了更广泛序列的一部分。近700年来特大洪水次数最多的年份是1342年，1343年位列前十。这一系列极不寻常的洪水产生了巨大的社会经济影响，包括欧洲防洪措施的范式转变。一系列火山喷发以及每年一度的北极海冰消退可能是造成这一系列洪水的原因。风险管理中很少考虑几个月内发生的集群性极端洪水</w:t>
      </w:r>
      <w:r>
        <w:rPr>
          <w:vertAlign w:val="subscript"/>
        </w:rPr>
        <w:t>8</w:t>
      </w:r>
      <w:r>
        <w:t>。需要快速、主动的风险策略来应对这种可能性。</w:t>
      </w:r>
    </w:p>
    <w:p>
      <w:pPr>
        <w:spacing w:before="0" w:after="200" w:lineRule="auto" w:line="276"/>
      </w:pPr>
      <w:r>
        <w:rPr>
          <w:b/>
        </w:rPr>
        <w:t xml:space="preserve">Abstract (EN): </w:t>
      </w:r>
      <w:r>
        <w:t>Europe has experienced extreme floods in recent decades. However, even larger floods are possible and must be considered in flood risk management</w:t>
      </w:r>
      <w:r>
        <w:t xml:space="preserve"> </w:t>
      </w:r>
      <w:r>
        <w:t>1,2</w:t>
      </w:r>
      <w:r>
        <w:t xml:space="preserve"> </w:t>
      </w:r>
      <w:r>
        <w:t>. Their characteristics can be clarified by analysing the largest documented historical floods. In Central Europe, the Magdalena Flood of July 1342 is usually considered the largest of the last millennium; however, knowledge of its characteristics is incomplete</w:t>
      </w:r>
      <w:r>
        <w:t xml:space="preserve"> </w:t>
      </w:r>
      <w:r>
        <w:t>3–7</w:t>
      </w:r>
      <w:r>
        <w:t xml:space="preserve"> </w:t>
      </w:r>
      <w:r>
        <w:t>. Here we show that 16 major flood events occurred across much of Europe between late 1341 and 1343. Four of these events had return periods of 500–1,000 years (the Magdalena, Bartholomew, Candlemas and Jacob Floods). Although Magdalena was thought previously to be the only extreme European flood in 1342</w:t>
      </w:r>
      <w:r>
        <w:t xml:space="preserve"> </w:t>
      </w:r>
      <w:r>
        <w:t>3,7</w:t>
      </w:r>
      <w:r>
        <w:t xml:space="preserve"> </w:t>
      </w:r>
      <w:r>
        <w:t>, our new documentary dataset suggests that it formed part of a broader sequence. The year with the greatest number of extreme floods during the past 700 years was 1342, and 1343 ranks among the top ten. This highly unusual sequence of floods had substantial socio-economic impacts, including a paradigm shift in flood mitigation measures in Europe. A series of volcanic eruptions along with multi-annual Arctic sea ice retreat is a plausible cause of this flood sequence. Clusters of extreme floods occurring within a few months are rarely considered in risk management</w:t>
      </w:r>
      <w:r>
        <w:rPr>
          <w:vertAlign w:val="subscript"/>
        </w:rPr>
        <w:t>8</w:t>
      </w:r>
      <w:r>
        <w:t>. Quick and proactive risk strategies are needed that account for this eventuality.</w:t>
      </w:r>
    </w:p>
    <w:p>
      <w:pPr>
        <w:spacing w:before="120" w:after="120"/>
      </w:pPr>
      <w:r>
        <w:rPr>
          <w:sz w:val="18"/>
        </w:rPr>
        <w:t>——————————————————————————————————————————————————————————————————————</w:t>
      </w:r>
    </w:p>
    <w:p>
      <w:pPr>
        <w:spacing w:before="160" w:after="40" w:line="240" w:lineRule="auto"/>
      </w:pPr>
      <w:r>
        <w:rPr>
          <w:b/>
        </w:rPr>
        <w:t xml:space="preserve">[498] </w:t>
      </w:r>
      <w:hyperlink r:id="rId1490">
        <w:r>
          <w:rPr>
            <w:color w:val="1155CC"/>
            <w:u w:val="single"/>
          </w:rPr>
          <w:t>Rb 驱动的转录限制了其在乳腺癌中的肿瘤抑制作用</w:t>
        </w:r>
      </w:hyperlink>
    </w:p>
    <w:p>
      <w:pPr>
        <w:spacing w:before="0" w:after="80"/>
      </w:pPr>
      <w:r>
        <w:rPr>
          <w:i/>
          <w:sz w:val="20"/>
        </w:rPr>
        <w:t>EN: Rb-driven transcription limits its tumour-suppressive effects in breast cancer</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491">
        <w:r>
          <w:rPr>
            <w:color w:val="1155CC"/>
            <w:u w:val="single"/>
          </w:rPr>
          <w:t>10.1038/s41586-026-10886-w</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视网膜母细胞瘤蛋白 (Rb) 是一种肿瘤抑制因子，以抑制 E2F 转录因子和阻止细胞周期进展而闻名</w:t>
      </w:r>
      <w:r>
        <w:rPr>
          <w:vertAlign w:val="subscript"/>
        </w:rPr>
        <w:t>1</w:t>
      </w:r>
      <w:r>
        <w:t>。激素受体阳性（HR</w:t>
      </w:r>
      <w:r>
        <w:t xml:space="preserve"> </w:t>
      </w:r>
      <w:r>
        <w:t>+</w:t>
      </w:r>
      <w:r>
        <w:t xml:space="preserve"> </w:t>
      </w:r>
      <w:r>
        <w:t>）乳腺癌，CDK4/6 抑制剂通过阻止 Rb 磷酸化来激活 Rb，形成当前内分泌治疗方案的关键组成部分</w:t>
      </w:r>
      <w:r>
        <w:rPr>
          <w:vertAlign w:val="subscript"/>
        </w:rPr>
        <w:t>2</w:t>
      </w:r>
      <w:r>
        <w:t>。药物激活的 Rb 如何重塑染色质并影响细胞周期停滞之外的转录仍知之甚少。在这里，我们表明 CDK4/6 抑制会诱导低磷酸化 Rb 重新分配到启动子和增强子。尽管 Rb 可以预见地与细胞周期基因启动子结合以抑制转录，但在其他位点，它却意外地通过整合到富含雌激素受体 (ER) 的转录中枢来促进雌激素反应基因的表达。 CDK4/6 抑制增强乳腺癌细胞、患者来源的异种移植物和临床 HR 中的 ER 靶基因表达</w:t>
      </w:r>
      <w:r>
        <w:t xml:space="preserve"> </w:t>
      </w:r>
      <w:r>
        <w:t>+</w:t>
      </w:r>
      <w:r>
        <w:t xml:space="preserve"> </w:t>
      </w:r>
      <w:r>
        <w:t>乳腺癌样本以 Rb 依赖性方式进行。这种重编程部分是由 KDM5A 介导的，KDM5A 与 Rb 的相互作用有助于这些位点的基因调控。至关重要的是，这种 Rb 驱动的 ER 转录程序的组成部分是促增殖的。在内分泌敏感的肿瘤中，这种效应可以通过抗雌激素治疗来中和，这解释了治疗的协同作用。在内分泌抵抗环境中，例如</w:t>
      </w:r>
      <w:r>
        <w:t xml:space="preserve"> </w:t>
      </w:r>
      <w:r>
        <w:t>血沉1</w:t>
      </w:r>
    </w:p>
    <w:p>
      <w:pPr>
        <w:spacing w:before="0" w:after="200" w:lineRule="auto" w:line="276"/>
      </w:pPr>
      <w:r>
        <w:rPr>
          <w:b/>
        </w:rPr>
        <w:t xml:space="preserve">Abstract (EN): </w:t>
      </w:r>
      <w:r>
        <w:t>The retinoblastoma protein (Rb) is a tumour suppressor best known for repressing E2F transcription factors and halting cell cycle progression</w:t>
      </w:r>
      <w:r>
        <w:rPr>
          <w:vertAlign w:val="subscript"/>
        </w:rPr>
        <w:t>1</w:t>
      </w:r>
      <w:r>
        <w:t>. In hormone receptor-positive (HR</w:t>
      </w:r>
      <w:r>
        <w:t xml:space="preserve"> </w:t>
      </w:r>
      <w:r>
        <w:t>+</w:t>
      </w:r>
      <w:r>
        <w:t xml:space="preserve"> </w:t>
      </w:r>
      <w:r>
        <w:t>) breast cancer, CDK4/6 inhibitors activate Rb by preventing its phosphorylation, forming a key component of current endocrine therapy regimens</w:t>
      </w:r>
      <w:r>
        <w:rPr>
          <w:vertAlign w:val="subscript"/>
        </w:rPr>
        <w:t>2</w:t>
      </w:r>
      <w:r>
        <w:t>. How pharmacologically activated Rb remodels chromatin and influences transcription beyond cell cycle arrest remains poorly understood. Here we show that CDK4/6 inhibition induces redistribution of hypophosphorylated Rb to promoters and enhancers. Although Rb predictably binds to cell cycle gene promoters to repress transcription, at other sites, it unexpectedly promotes expression of oestrogen-responsive genes by integrating into oestrogen receptor (ER)-rich transcriptional hubs. CDK4/6 inhibition enhances ER target gene expression in breast cancer cells, patient-derived xenografts and clinical HR</w:t>
      </w:r>
      <w:r>
        <w:t xml:space="preserve"> </w:t>
      </w:r>
      <w:r>
        <w:t>+</w:t>
      </w:r>
      <w:r>
        <w:t xml:space="preserve"> </w:t>
      </w:r>
      <w:r>
        <w:t>breast cancer samples in an Rb-dependent manner. This reprogramming is mediated in part by KDM5A, whose interaction with Rb contributes to gene regulation at these loci. Critically, components of this Rb-driven ER transcriptional program are pro-proliferative. In endocrine-sensitive tumours, this effect can be neutralized with anti-oestrogen therapy, explaining therapeutic synergy. In endocrine-resistant settings such as</w:t>
      </w:r>
      <w:r>
        <w:t xml:space="preserve"> </w:t>
      </w:r>
      <w:r>
        <w:t>ESR1</w:t>
      </w:r>
      <w:r>
        <w:t xml:space="preserve"> </w:t>
      </w:r>
      <w:r>
        <w:t>-mutant breast cancer, the program persists, limiting the therapeutic efficacy of CDK4/6 inhibition. These findings reframe Rb as a dual-function transcriptional regulator that, although enforcing cell cycle arrest, can also activate programs that counteract its tumour suppressor function.</w:t>
      </w:r>
    </w:p>
    <w:p>
      <w:pPr>
        <w:spacing w:before="120" w:after="120"/>
      </w:pPr>
      <w:r>
        <w:rPr>
          <w:sz w:val="18"/>
        </w:rPr>
        <w:t>——————————————————————————————————————————————————————————————————————</w:t>
      </w:r>
    </w:p>
    <w:p>
      <w:pPr>
        <w:spacing w:before="160" w:after="40" w:line="240" w:lineRule="auto"/>
      </w:pPr>
      <w:r>
        <w:rPr>
          <w:b/>
        </w:rPr>
        <w:t xml:space="preserve">[499] </w:t>
      </w:r>
      <w:hyperlink r:id="rId1492">
        <w:r>
          <w:rPr>
            <w:color w:val="1155CC"/>
            <w:u w:val="single"/>
          </w:rPr>
          <w:t>神经发育障碍中 PV 神经元可塑性的认知恢复</w:t>
        </w:r>
      </w:hyperlink>
    </w:p>
    <w:p>
      <w:pPr>
        <w:spacing w:before="0" w:after="80"/>
      </w:pPr>
      <w:r>
        <w:rPr>
          <w:i/>
          <w:sz w:val="20"/>
        </w:rPr>
        <w:t>EN: Procognitive restoration of PV neuron plasticity in neurodevelopmental disorders</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493">
        <w:r>
          <w:rPr>
            <w:color w:val="1155CC"/>
            <w:u w:val="single"/>
          </w:rPr>
          <w:t>10.1038/s41586-026-10907-8</w:t>
        </w:r>
      </w:hyperlink>
    </w:p>
    <w:p>
      <w:pPr>
        <w:spacing w:before="0" w:after="120"/>
      </w:pPr>
      <w:r>
        <w:rPr>
          <w:b/>
        </w:rPr>
        <w:t xml:space="preserve">Notes: </w:t>
      </w:r>
      <w:r>
        <w:t>abstract_source=openalex</w:t>
      </w:r>
    </w:p>
    <w:p>
      <w:pPr>
        <w:spacing w:before="0" w:after="80" w:lineRule="auto" w:line="276"/>
      </w:pPr>
      <w:r>
        <w:rPr>
          <w:b/>
        </w:rPr>
        <w:t xml:space="preserve">摘要（ZH）: </w:t>
      </w:r>
      <w:r>
        <w:t>海马体在共同活动的锥体神经元 (PN)1-3 群体中形成我们经历的记忆。海马齿状回-CA3/CA2 回路中快速尖峰表达小白蛋白的抑制性神经元 (PV IN) 通过苔藓纤维依赖性前馈抑制精确控制 PN 活性4-11。 PV IN 协调其内在兴奋性、突触连接性、生理学和可塑性等方面的经验依赖性变化9,12-15（此处称为经验依赖性 PV IN 可塑性），以调节 PN 活动。早年神经回路对经验高度敏感时，PV IN 损伤被认为会导致网络过度兴奋、癫痫发作和认知受损，这是神经发育障碍 (NDD) 的标志16-18。在这里，我们设计了一个输入特异性翻译组筛选，以识别成人海马 CA3/CA2 亚区中经验依赖性 PV IN 可塑性基因 (XPG) 的调节因子。我们证明，在自闭症谱系障碍、癫痫、双相情感障碍和精神分裂症中，很大一部分上调的候选 XPG 表现出单倍体不足，这表明 NDD 中经验依赖性 PV IN 可塑性受损。在概念验证实验中，在成年 NDD 风险小鼠模型的 CA3/CA2 PV IN 中，对候选 XPG（同源盒基因 Meis2（参考文献 19））进行定向上调足以恢复依赖于经验的 PV IN 可塑性。此外，整体和锐波波纹特性和认知得到改善，癫痫发作得到抑制。因此，依赖于经验的PV IN</w:t>
      </w:r>
    </w:p>
    <w:p>
      <w:pPr>
        <w:spacing w:before="0" w:after="200" w:lineRule="auto" w:line="276"/>
      </w:pPr>
      <w:r>
        <w:rPr>
          <w:b/>
        </w:rPr>
        <w:t xml:space="preserve">Abstract (EN): </w:t>
      </w:r>
      <w:r>
        <w:t>The hippocampus forms memories of our experiences in populations of coactive pyramidal neurons (PNs)1–3. Fast-spiking parvalbumin-expressing inhibitory neurons (PV INs) in the dentate gyrus–CA3/CA2 circuit of the hippocampus precisely control PN activity through mossy fibre-dependent feedforward inhibition4–11. PV INs coordinate experience-dependent changes in their intrinsic excitability, synaptic connectivity, physiology and plasticity properties9,12–15—referred to here as experience-dependent PV IN plasticity—to regulate PN activity. PV IN impairments in early life, when neural circuitry is highly sensitive to experience, are thought to result in network hyperexcitability, seizures and impaired cognition, which are hallmarks of neurodevelopmental disorders (NDDs)16–18. Here we designed an input-specific translatome screen to identify regulators of experience-dependent PV IN plasticity genes (XPGs) in the CA3/CA2 subregion of adult hippocampus. We demonstrate that a substantial proportion of upregulated candidate XPGs exhibit haploinsufficiency in autism spectrum disorder, epilepsies, bipolar disorder and schizophrenia, which suggests that there is impaired experience-dependent PV IN plasticity in NDDs. In proof-of-concept experiments, targeted upregulation of a candidate XPG, the homeobox gene Meis2 (ref. 19), in CA3/CA2 PV INs in an NDD risk mouse model in adulthood is sufficient to restore experience-dependent PV IN plasticity. Moreover, ensemble and sharp-wave ripple properties and cognition were improved, and seizures were suppressed. Thus, experience-dependent PV IN plasticity is a convergent mechanism for NDD risk genes that can be re-instated in adulthood to reverse developmental deficits in circuitry, network excitability and cognition. Expression of Meis2 in hippocampal parvalbumin-expressing interneurons in an adult mouse model of neurodevelopmental disorders rescues experience-dependent plasticity, improves memory and network function and suppresses seizures.</w:t>
      </w:r>
    </w:p>
    <w:p>
      <w:pPr>
        <w:spacing w:before="120" w:after="120"/>
      </w:pPr>
      <w:r>
        <w:rPr>
          <w:sz w:val="18"/>
        </w:rPr>
        <w:t>——————————————————————————————————————————————————————————————————————</w:t>
      </w:r>
    </w:p>
    <w:p>
      <w:pPr>
        <w:spacing w:before="160" w:after="40" w:line="240" w:lineRule="auto"/>
      </w:pPr>
      <w:r>
        <w:rPr>
          <w:b/>
        </w:rPr>
        <w:t xml:space="preserve">[500] </w:t>
      </w:r>
      <w:hyperlink r:id="rId1494">
        <w:r>
          <w:rPr>
            <w:color w:val="1155CC"/>
            <w:u w:val="single"/>
          </w:rPr>
          <w:t>特朗普希望拆分 MMR 疫苗：为什么这是一个坏主意背后的科学依据</w:t>
        </w:r>
      </w:hyperlink>
    </w:p>
    <w:p>
      <w:pPr>
        <w:spacing w:before="0" w:after="80"/>
      </w:pPr>
      <w:r>
        <w:rPr>
          <w:i/>
          <w:sz w:val="20"/>
        </w:rPr>
        <w:t>EN: Trump wants MMR vaccine split up: the science behind why it’s a bad idea</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495">
        <w:r>
          <w:rPr>
            <w:color w:val="1155CC"/>
            <w:u w:val="single"/>
          </w:rPr>
          <w:t>10.1038/d41586-026-02515-3</w:t>
        </w:r>
      </w:hyperlink>
    </w:p>
    <w:p>
      <w:pPr>
        <w:spacing w:before="0" w:after="120"/>
      </w:pPr>
      <w:r>
        <w:rPr>
          <w:b/>
        </w:rPr>
        <w:t xml:space="preserve">Notes: </w:t>
      </w:r>
      <w:r>
        <w:t>abstract_source=rss_nature</w:t>
      </w:r>
    </w:p>
    <w:p>
      <w:pPr>
        <w:spacing w:before="0" w:after="80" w:lineRule="auto" w:line="276"/>
      </w:pPr>
      <w:r>
        <w:rPr>
          <w:b/>
        </w:rPr>
        <w:t xml:space="preserve">摘要（ZH）: </w:t>
      </w:r>
      <w:r>
        <w:t>大量研究表明，分开接种儿童疫苗会延迟保护并增加家庭成本。</w:t>
      </w:r>
    </w:p>
    <w:p>
      <w:pPr>
        <w:spacing w:before="0" w:after="200" w:lineRule="auto" w:line="276"/>
      </w:pPr>
      <w:r>
        <w:rPr>
          <w:b/>
        </w:rPr>
        <w:t xml:space="preserve">Abstract (EN): </w:t>
      </w:r>
      <w:r>
        <w:t>Numerous studies have shown that separating childhood jabs will delay protection and increase costs for families.</w:t>
      </w:r>
    </w:p>
    <w:p>
      <w:pPr>
        <w:spacing w:before="120" w:after="120"/>
      </w:pPr>
      <w:r>
        <w:rPr>
          <w:sz w:val="18"/>
        </w:rPr>
        <w:t>——————————————————————————————————————————————————————————————————————</w:t>
      </w:r>
    </w:p>
    <w:p>
      <w:pPr>
        <w:spacing w:before="160" w:after="40" w:line="240" w:lineRule="auto"/>
      </w:pPr>
      <w:r>
        <w:rPr>
          <w:b/>
        </w:rPr>
        <w:t xml:space="preserve">[501] </w:t>
      </w:r>
      <w:hyperlink r:id="rId1496">
        <w:r>
          <w:rPr>
            <w:color w:val="1155CC"/>
            <w:u w:val="single"/>
          </w:rPr>
          <w:t>银河系以外第一个球状星团恒星流的证据</w:t>
        </w:r>
      </w:hyperlink>
    </w:p>
    <w:p>
      <w:pPr>
        <w:spacing w:before="0" w:after="80"/>
      </w:pPr>
      <w:r>
        <w:rPr>
          <w:i/>
          <w:sz w:val="20"/>
        </w:rPr>
        <w:t>EN: Evidence for the first globular cluster stellar stream beyond the Milky Way</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497">
        <w:r>
          <w:rPr>
            <w:color w:val="1155CC"/>
            <w:u w:val="single"/>
          </w:rPr>
          <w:t>10.1038/s41586-026-10878-w</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超漫射星系（UDG）的暗物质含量是备受争议的话题</w:t>
      </w:r>
      <w:r>
        <w:t xml:space="preserve"> </w:t>
      </w:r>
      <w:r>
        <w:t>1–5</w:t>
      </w:r>
      <w:r>
        <w:t xml:space="preserve"> </w:t>
      </w:r>
      <w:r>
        <w:t>。恒星流是当主星系潮汐地将恒星从轨道恒星系统中剥离出来时形成的，它提供了一种强大的技术来限制外部星系的暗物质含量</w:t>
      </w:r>
      <w:r>
        <w:rPr>
          <w:vertAlign w:val="subscript"/>
        </w:rPr>
        <w:t>6</w:t>
      </w:r>
      <w:r>
        <w:t>。剥离的恒星形成又长又细的前潮臂和后潮臂，持续数十亿年。来自球状星团 (GC) 的恒星流是暗物质晕和亚结构特别敏感的探测器</w:t>
      </w:r>
      <w:r>
        <w:t xml:space="preserve"> </w:t>
      </w:r>
      <w:r>
        <w:t>7–10</w:t>
      </w:r>
      <w:r>
        <w:t xml:space="preserve"> </w:t>
      </w:r>
      <w:r>
        <w:t>。 GC流预计存在于各种宿主星系类型中</w:t>
      </w:r>
      <w:r>
        <w:t xml:space="preserve"> </w:t>
      </w:r>
      <w:r>
        <w:t>11,12</w:t>
      </w:r>
      <w:r>
        <w:t xml:space="preserve"> </w:t>
      </w:r>
      <w:r>
        <w:t>但到目前为止，它们仅在银河系（MW）中被观测到。在这里，我们提出了据我们所知的第一个证据，即在 UDG UGC 9050-Dw1 的深哈勃太空望远镜 (HST) 成像中发现的河外 GC 恒星流。流的形态、颜色和与致密源的明显关联在观测上支持GC祖细胞的解释，我们用模拟的GC恒星群再现了观察到的表面亮度。我们使用生成流建模，将动态模型直接拟合到流形态，以约束祖细胞的质量，并为 UDG 提出第一个基于流的光环约束。流模型指向GC起源并表明存在巨大的暗物质宿主晕。通过将 GC 流分析的范围扩展到外部</w:t>
      </w:r>
    </w:p>
    <w:p>
      <w:pPr>
        <w:spacing w:before="0" w:after="200" w:lineRule="auto" w:line="276"/>
      </w:pPr>
      <w:r>
        <w:rPr>
          <w:b/>
        </w:rPr>
        <w:t xml:space="preserve">Abstract (EN): </w:t>
      </w:r>
      <w:r>
        <w:t>The dark matter content of ultra-diffuse galaxies (UDGs) is the subject of considerable debate</w:t>
      </w:r>
      <w:r>
        <w:t xml:space="preserve"> </w:t>
      </w:r>
      <w:r>
        <w:t>1–5</w:t>
      </w:r>
      <w:r>
        <w:t xml:space="preserve"> </w:t>
      </w:r>
      <w:r>
        <w:t>. Stellar streams, which form when a host galaxy tidally strips stars from an orbiting stellar system, provide a powerful technique to constrain the dark matter content of external galaxies</w:t>
      </w:r>
      <w:r>
        <w:rPr>
          <w:vertAlign w:val="subscript"/>
        </w:rPr>
        <w:t>6</w:t>
      </w:r>
      <w:r>
        <w:t>. The stripped stars form long, thin leading and trailing tidal arms that persist for billions of years. Stellar streams from globular clusters (GCs) are particularly sensitive probes of dark matter halos and substructure</w:t>
      </w:r>
      <w:r>
        <w:t xml:space="preserve"> </w:t>
      </w:r>
      <w:r>
        <w:t>7–10</w:t>
      </w:r>
      <w:r>
        <w:t xml:space="preserve"> </w:t>
      </w:r>
      <w:r>
        <w:t>. GC streams are expected to exist in a variety of host galaxy types</w:t>
      </w:r>
      <w:r>
        <w:t xml:space="preserve"> </w:t>
      </w:r>
      <w:r>
        <w:t>11,12</w:t>
      </w:r>
      <w:r>
        <w:t xml:space="preserve"> </w:t>
      </w:r>
      <w:r>
        <w:t>but, so far, they have only been observed in the Milky Way (MW). Here we present evidence for the first, to our knowledge, extragalactic GC stellar stream, identified in deep Hubble Space Telescope (HST) imaging of the UDG UGC 9050-Dw1. The stream’s morphology, colour and apparent association with a compact source support the GC progenitor interpretation observationally and we reproduce the observed surface brightness with simulated GC stellar populations. We use generative stream modelling, which fits dynamical models directly to the stream morphology, to constrain the mass of the progenitor and present the first stream-based halo constraint for an UDG. The stream models point to a GC origin and suggest a massive dark matter host halo. By extending the reach of GC stream analysis to external galaxies, this work opens a new chapter in dark matter science.</w:t>
      </w:r>
    </w:p>
    <w:p>
      <w:pPr>
        <w:spacing w:before="120" w:after="120"/>
      </w:pPr>
      <w:r>
        <w:rPr>
          <w:sz w:val="18"/>
        </w:rPr>
        <w:t>——————————————————————————————————————————————————————————————————————</w:t>
      </w:r>
    </w:p>
    <w:p>
      <w:pPr>
        <w:spacing w:before="160" w:after="40" w:line="240" w:lineRule="auto"/>
      </w:pPr>
      <w:r>
        <w:rPr>
          <w:b/>
        </w:rPr>
        <w:t xml:space="preserve">[502] </w:t>
      </w:r>
      <w:hyperlink r:id="rId1498">
        <w:r>
          <w:rPr>
            <w:color w:val="1155CC"/>
            <w:u w:val="single"/>
          </w:rPr>
          <w:t>用于催化 CO 氧化的二维 Cu(I) 基金属有机骨架的骨架灵活性和化学稳定性</w:t>
        </w:r>
      </w:hyperlink>
    </w:p>
    <w:p>
      <w:pPr>
        <w:spacing w:before="0" w:after="80"/>
      </w:pPr>
      <w:r>
        <w:rPr>
          <w:i/>
          <w:sz w:val="20"/>
        </w:rPr>
        <w:t>EN: Framework Flexibility and Chemical Stability of a 2D Cu(I)-Based Metal–Organic Framework for Catalytic CO Oxidation</w:t>
      </w:r>
    </w:p>
    <w:p>
      <w:pPr>
        <w:spacing w:before="0" w:after="120"/>
      </w:pPr>
      <w:r>
        <w:rPr>
          <w:b/>
        </w:rPr>
        <w:t xml:space="preserve">Source: </w:t>
      </w:r>
      <w:r>
        <w:t>ACS Applied Materials &amp; Interfaces: Latest Articles (ACS Publications)</w:t>
      </w:r>
      <w:r>
        <w:t xml:space="preserve">    </w:t>
      </w:r>
      <w:r>
        <w:rPr>
          <w:b/>
        </w:rPr>
        <w:t xml:space="preserve">Pub date: </w:t>
      </w:r>
      <w:r>
        <w:t>2026-08-12 00:00:00+00:00</w:t>
      </w:r>
      <w:r>
        <w:t xml:space="preserve">    </w:t>
      </w:r>
      <w:r>
        <w:rPr>
          <w:b/>
        </w:rPr>
        <w:t xml:space="preserve">DOI: </w:t>
      </w:r>
      <w:hyperlink r:id="rId1499">
        <w:r>
          <w:rPr>
            <w:color w:val="1155CC"/>
            <w:u w:val="single"/>
          </w:rPr>
          <w:t>10.1021/acsami.6c11613</w:t>
        </w:r>
      </w:hyperlink>
    </w:p>
    <w:p>
      <w:pPr>
        <w:spacing w:before="0" w:after="120"/>
      </w:pPr>
      <w:r>
        <w:rPr>
          <w:b/>
        </w:rPr>
        <w:t xml:space="preserve">Notes: </w:t>
      </w:r>
      <w:r>
        <w:t>abstract_source=crossref</w:t>
      </w:r>
    </w:p>
    <w:p>
      <w:pPr>
        <w:spacing w:before="0" w:after="80" w:lineRule="auto" w:line="276"/>
      </w:pPr>
      <w:r>
        <w:rPr>
          <w:b/>
        </w:rPr>
        <w:t xml:space="preserve">摘要（ZH）: </w:t>
      </w:r>
      <w:r>
        <w:t>摘要 Cu(I)基金属有机骨架（MOF）在小分子结合和催化方面具有吸引力，但其实际应用往往受到氧化态不稳定性和骨架降解的限制。在这里，我们报告了一种全N配位的Cu（I）-MOF，[Cu（imtpy）]·MeOH（2,4,5-三（4-吡啶基）-1H-咪唑；Himtpy），在二维sql框架内包含近线性和四面体Cu（I）环境。热活化通过单晶到单晶的转变将 [Cu(imtpy)]·MeOH 转化为无客体相 [Cu(imtpy)]，从而可以直接观察伴随的骨架收缩和近线性 Cu(I) 位点的弯曲。无客体框架表现出可逆的客体响应灵活性、在氮气和空气下的高热稳定性以及在多种条件下的化学稳定性，包括液态水、水蒸气和 pH 3-13 水介质。 X 射线光电子能谱 (XPS) 和 Cu LMM 俄歇光谱表明在整个处理过程中 Cu(I) 氧化态的保留。最后，[Cu(imtpy)] 在 120 至 200 °C 之间表现出可测量的催化 CO 氧化活性，同时保留反应后的结晶度、微孔性和 Cu(I) 氧化态。这些结果强调 [Cu(imtpy)] 作为一种稳定的 Cu(I)-MOF，集框架灵活性、化学稳定性和氧化气相催化功能于一体。</w:t>
      </w:r>
    </w:p>
    <w:p>
      <w:pPr>
        <w:spacing w:before="0" w:after="200" w:lineRule="auto" w:line="276"/>
      </w:pPr>
      <w:r>
        <w:rPr>
          <w:b/>
        </w:rPr>
        <w:t xml:space="preserve">Abstract (EN): </w:t>
      </w:r>
      <w:r>
        <w:t>Cu(I)-based metal–organic frameworks (MOFs) are attractive for small-molecule binding and catalysis, but their practical use is often limited by oxidation state instability and framework degradation. Here, we report an all-N-coordinated Cu(I)-MOF, [Cu(imtpy)]·MeOH (2,4,5-tris(4-pyridyl)-1H-imidazole; Himtpy), containing both near-linear and tetrahedral Cu(I) environments within a two-dimensional sql framework. Thermal activation converts [Cu(imtpy)]·MeOH to the guest-free phase, [Cu(imtpy)], through a single-crystal-to-single-crystal transformation, allowing direct observation of the accompanying framework contraction and bending of the near-linear Cu(I) site. The guest-free framework exhibits reversible guest-responsive flexibility, high thermal stability under N2 and air, and chemical stability across a wide range of conditions, including liquid water, water vapor, and pH 3–13 aqueous media. X-ray photoelectron spectroscopy (XPS) and Cu LMM Auger spectra indicate retention of the Cu(I) oxidation state throughout these treatments. Finally, [Cu(imtpy)] shows measurable activity toward catalytic CO oxidation between 120 and 200 °C while preserving crystallinity, microporosity, and the Cu(I) oxidation state post reaction. These results highlight [Cu(imtpy)] as a stable Cu(I)-MOF that integrates framework flexibility, chemical robustness, and oxidative gas-phase catalytic function.</w:t>
      </w:r>
    </w:p>
    <w:p>
      <w:pPr>
        <w:spacing w:before="120" w:after="120"/>
      </w:pPr>
      <w:r>
        <w:rPr>
          <w:sz w:val="18"/>
        </w:rPr>
        <w:t>——————————————————————————————————————————————————————————————————————</w:t>
      </w:r>
    </w:p>
    <w:p>
      <w:pPr>
        <w:spacing w:before="160" w:after="40" w:line="240" w:lineRule="auto"/>
      </w:pPr>
      <w:r>
        <w:rPr>
          <w:b/>
        </w:rPr>
        <w:t xml:space="preserve">[503] </w:t>
      </w:r>
      <w:hyperlink r:id="rId1500">
        <w:r>
          <w:rPr>
            <w:color w:val="1155CC"/>
            <w:u w:val="single"/>
          </w:rPr>
          <w:t>CaCl2增强互穿聚合物网络水凝胶具有稳定的抗冻性和传感耐久性能</w:t>
        </w:r>
      </w:hyperlink>
    </w:p>
    <w:p>
      <w:pPr>
        <w:spacing w:before="0" w:after="80"/>
      </w:pPr>
      <w:r>
        <w:rPr>
          <w:i/>
          <w:sz w:val="20"/>
        </w:rPr>
        <w:t>EN: CaCl2-Enhanced Interpenetrating Polymer Network Hydrogels with Stable Freeze Resistance and Sensing Durability Performance</w:t>
      </w:r>
    </w:p>
    <w:p>
      <w:pPr>
        <w:spacing w:before="0" w:after="120"/>
      </w:pPr>
      <w:r>
        <w:rPr>
          <w:b/>
        </w:rPr>
        <w:t xml:space="preserve">Source: </w:t>
      </w:r>
      <w:r>
        <w:t>ACS Applied Materials &amp; Interfaces: Latest Articles (ACS Publications)</w:t>
      </w:r>
      <w:r>
        <w:t xml:space="preserve">    </w:t>
      </w:r>
      <w:r>
        <w:rPr>
          <w:b/>
        </w:rPr>
        <w:t xml:space="preserve">Pub date: </w:t>
      </w:r>
      <w:r>
        <w:t>2026-08-12 00:00:00+00:00</w:t>
      </w:r>
      <w:r>
        <w:t xml:space="preserve">    </w:t>
      </w:r>
      <w:r>
        <w:rPr>
          <w:b/>
        </w:rPr>
        <w:t xml:space="preserve">DOI: </w:t>
      </w:r>
      <w:hyperlink r:id="rId1501">
        <w:r>
          <w:rPr>
            <w:color w:val="1155CC"/>
            <w:u w:val="single"/>
          </w:rPr>
          <w:t>10.1021/acsami.6c07362</w:t>
        </w:r>
      </w:hyperlink>
    </w:p>
    <w:p>
      <w:pPr>
        <w:spacing w:before="0" w:after="120"/>
      </w:pPr>
      <w:r>
        <w:rPr>
          <w:b/>
        </w:rPr>
        <w:t xml:space="preserve">Notes: </w:t>
      </w:r>
      <w:r>
        <w:t>abstract_source=crossref</w:t>
      </w:r>
    </w:p>
    <w:p>
      <w:pPr>
        <w:spacing w:before="0" w:after="80" w:lineRule="auto" w:line="276"/>
      </w:pPr>
      <w:r>
        <w:rPr>
          <w:b/>
        </w:rPr>
        <w:t xml:space="preserve">摘要（ZH）: </w:t>
      </w:r>
      <w:r>
        <w:t>摘要 水凝胶对于柔性电子产品和可穿戴传感器很有吸引力，但由于冰结晶、脱水和机械脆化，它们的性能在零下温度下受到严重限制。在这里，我们报告了一种 CaCl2 增强的双网络 (DN) 水凝胶 (BNP-x)，它集成了优异的抗冻、机械和粘合性能以及可靠的应变传感功能。该水凝胶结合了共价交联的 P(NIPAm-co-HEA) 网络和离子配位的聚(丙烯酸)网络，其中 Ca2+ 离子调节水状态并抑制冰的形成。优化后的 BNP-6 水凝胶表现出优异的低温性能，在 –30 °C 下保持 0.16 MPa 的拉伸强度和～849% 的断裂伸长率，质量损失最小，并且在反复冻融循环中性能稳定。由于协同 DN 结构和可移动的 Ca2+ 离子，BNP-6 保留了高离子电导率（–10 °C 时为 44.1 mS cm-1），与室温值相比仅降低了 17.9%。此外，该水凝胶在零度以下的条件下（甚至在循环变形和自修复过程中）表现出稳定的粘附性、快速的应变响应和可靠的传感性能，凸显了其在恶劣环境下运行的坚固的低温可穿戴电子设备和生物电子接口的潜力。</w:t>
      </w:r>
    </w:p>
    <w:p>
      <w:pPr>
        <w:spacing w:before="0" w:after="200" w:lineRule="auto" w:line="276"/>
      </w:pPr>
      <w:r>
        <w:rPr>
          <w:b/>
        </w:rPr>
        <w:t xml:space="preserve">Abstract (EN): </w:t>
      </w:r>
      <w:r>
        <w:t>Hydrogels are attractive for flexible electronics and wearable sensors, yet their performance is severely limited at subzero temperatures due to ice crystallization, dehydration, and mechanical embrittlement. Here, we report a CaCl2-enhanced double-network (DN) hydrogel (BNP-x) that integrates excellent anti-freezing, mechanical, and adhesive properties with reliable strain-sensing capabilities. The hydrogel combines a covalently crosslinked P(NIPAm-co-HEA) network and an ionically coordinated poly(acrylic acid) network, in which Ca2+ ions regulate water states and suppress ice formation. The optimized BNP-6 hydrogel exhibits excellent low-temperature performance, maintaining a tensile strength of 0.16 MPa and an elongation at break of ∼849% at –30 °C with minimal mass loss and stable properties over repeated freeze–thaw cycles. Owing to the synergistic DN structure and mobile Ca2+ ions, BNP-6 retains high ionic conductivity (44.1 mS cm–1 at –10 °C), representing only a 17.9% decrease compared to its room-temperature value. Moreover, the hydrogel demonstrates stable adhesion, rapid strain response, and reliable sensing performance under subzero conditions—even during cyclic deformation and self-healing processes—highlighting its potential for robust low-temperature wearable electronics and bioelectronic interfaces operating in harsh environments.</w:t>
      </w:r>
    </w:p>
    <w:p>
      <w:pPr>
        <w:spacing w:before="120" w:after="120"/>
      </w:pPr>
      <w:r>
        <w:rPr>
          <w:sz w:val="18"/>
        </w:rPr>
        <w:t>——————————————————————————————————————————————————————————————————————</w:t>
      </w:r>
    </w:p>
    <w:p>
      <w:pPr>
        <w:spacing w:before="160" w:after="40" w:line="240" w:lineRule="auto"/>
      </w:pPr>
      <w:r>
        <w:rPr>
          <w:b/>
        </w:rPr>
        <w:t xml:space="preserve">[504] </w:t>
      </w:r>
      <w:hyperlink r:id="rId1502">
        <w:r>
          <w:rPr>
            <w:color w:val="1155CC"/>
            <w:u w:val="single"/>
          </w:rPr>
          <w:t>用于组织工程应用的高度机械鲁棒性人源水凝胶</w:t>
        </w:r>
      </w:hyperlink>
    </w:p>
    <w:p>
      <w:pPr>
        <w:spacing w:before="0" w:after="80"/>
      </w:pPr>
      <w:r>
        <w:rPr>
          <w:i/>
          <w:sz w:val="20"/>
        </w:rPr>
        <w:t>EN: Highly Mechanically Robust Human-Derived Hydrogels for Tissue Engineering Applications</w:t>
      </w:r>
    </w:p>
    <w:p>
      <w:pPr>
        <w:spacing w:before="0" w:after="120"/>
      </w:pPr>
      <w:r>
        <w:rPr>
          <w:b/>
        </w:rPr>
        <w:t xml:space="preserve">Source: </w:t>
      </w:r>
      <w:r>
        <w:t>ACS Applied Materials &amp; Interfaces: Latest Articles (ACS Publications)</w:t>
      </w:r>
      <w:r>
        <w:t xml:space="preserve">    </w:t>
      </w:r>
      <w:r>
        <w:rPr>
          <w:b/>
        </w:rPr>
        <w:t xml:space="preserve">Pub date: </w:t>
      </w:r>
      <w:r>
        <w:t>2026-08-12 00:00:00+00:00</w:t>
      </w:r>
      <w:r>
        <w:t xml:space="preserve">    </w:t>
      </w:r>
      <w:r>
        <w:rPr>
          <w:b/>
        </w:rPr>
        <w:t xml:space="preserve">DOI: </w:t>
      </w:r>
      <w:hyperlink r:id="rId1503">
        <w:r>
          <w:rPr>
            <w:color w:val="1155CC"/>
            <w:u w:val="single"/>
          </w:rPr>
          <w:t>10.1021/acsami.6c09000</w:t>
        </w:r>
      </w:hyperlink>
    </w:p>
    <w:p>
      <w:pPr>
        <w:spacing w:before="0" w:after="120"/>
      </w:pPr>
      <w:r>
        <w:rPr>
          <w:b/>
        </w:rPr>
        <w:t xml:space="preserve">Notes: </w:t>
      </w:r>
      <w:r>
        <w:t>abstract_source=crossref</w:t>
      </w:r>
    </w:p>
    <w:p>
      <w:pPr>
        <w:spacing w:before="0" w:after="80" w:lineRule="auto" w:line="276"/>
      </w:pPr>
      <w:r>
        <w:rPr>
          <w:b/>
        </w:rPr>
        <w:t xml:space="preserve">摘要（ZH）: </w:t>
      </w:r>
      <w:r>
        <w:t>摘要 水凝胶因其复制细胞外基质的能力而广泛应用于组织工程（TE），为细胞增殖和组织再生提供支持环境。然而，它们固有的低机械强度通常限制了它们在承载生物医学应用中的使用。为了解决这些局限性，本研究旨在通过顺序共价和离子交联将人甲基丙烯酰血小板裂解物（hPLMA）和天然多糖壳聚糖（CHT）结合起来，开发第一个人源双网络（DN）水凝胶。对所得 DN 水凝胶进行机械和生物学表征，以评估其对 TE 应用的适用性。值得注意的是，hPLMA/CHT DN 水凝胶表现出 1.3 ± 0.13 MPa 的出色抗压强度，在 70% 应变下经过 10 次加载循环后具有 86% 的滞后恢复，突显了其机械弹性。此外，DN水凝胶在人体脂肪干细胞的三维封装后能够保持增强的细胞活力、粘附和增殖。这种独特的配方在机械坚固性和生物相容性之间实现了出色的平衡。通过将机械弹性与人源生物活性相结合，基于 hPLMA 的 DN 水凝胶为软骨或肌肉骨骼再生合成系统提供了优越的替代方案。总体而言，高机械强度、抗疲劳性和细胞相容性的结合凸显了 hPLMA/CHT DN 水凝胶作为承载和机械的有前途的平台的潜力。</w:t>
      </w:r>
    </w:p>
    <w:p>
      <w:pPr>
        <w:spacing w:before="0" w:after="200" w:lineRule="auto" w:line="276"/>
      </w:pPr>
      <w:r>
        <w:rPr>
          <w:b/>
        </w:rPr>
        <w:t xml:space="preserve">Abstract (EN): </w:t>
      </w:r>
      <w:r>
        <w:t>Hydrogels are widely used in tissue engineering (TE) for their ability to replicate the extracellular matrix, providing a supportive environment for cell proliferation and tissue regeneration. However, their inherently low mechanical strength often restricts their use in load-bearing biomedical applications. To address these limitations, this study aimed to develop the first human-derived double-network (DN) hydrogel by combining human methacryloyl platelet lysates (hPLMA) and the natural polysaccharide chitosan (CHT) through sequential covalent and ionic crosslinking. The resulting DN hydrogel was mechanically and biologically characterized to evaluate its suitability for TE applications. Remarkably, the hPLMA/CHT DN hydrogels exhibit outstanding compressive strength of 1.3 ± 0.13 MPa and 86% hysteresis recovery after 10 loading cycles at 70% strain, underscoring their mechanical resilience. Moreover, the DN hydrogels were able to maintain enhanced cell viability, adhesion, and proliferation following the three-dimensional encapsulation of human adipose-derived stem cells. This unique formulation achieves an excellent balance between mechanical robustness and biocompatibility. By integrating mechanical resilience with human-derived bioactivity, hPLMA-based DN hydrogels offer a superior alternative to synthetic systems for cartilage or musculoskeletal regeneration. Overall, the combination of high mechanical strength, fatigue resistance, and cytocompatibility highlights the potential of hPLMA/CHT DN hydrogels as a promising platform for load-bearing and mechanically demanding TE applications.</w:t>
      </w:r>
    </w:p>
    <w:p>
      <w:pPr>
        <w:spacing w:before="120" w:after="120"/>
      </w:pPr>
      <w:r>
        <w:rPr>
          <w:sz w:val="18"/>
        </w:rPr>
        <w:t>——————————————————————————————————————————————————————————————————————</w:t>
      </w:r>
    </w:p>
    <w:p>
      <w:pPr>
        <w:spacing w:before="160" w:after="40" w:line="240" w:lineRule="auto"/>
      </w:pPr>
      <w:r>
        <w:rPr>
          <w:b/>
        </w:rPr>
        <w:t xml:space="preserve">[505] </w:t>
      </w:r>
      <w:hyperlink r:id="rId1504">
        <w:r>
          <w:rPr>
            <w:color w:val="1155CC"/>
            <w:u w:val="single"/>
          </w:rPr>
          <w:t>增强 OFET 的拉伸性和功能：通过侧链工程的分子设计范式</w:t>
        </w:r>
      </w:hyperlink>
    </w:p>
    <w:p>
      <w:pPr>
        <w:spacing w:before="0" w:after="80"/>
      </w:pPr>
      <w:r>
        <w:rPr>
          <w:i/>
          <w:sz w:val="20"/>
        </w:rPr>
        <w:t>EN: Enhancing Stretchability and Function in OFETs: A Molecular Design Paradigm via Side-Chain Engineering</w:t>
      </w:r>
    </w:p>
    <w:p>
      <w:pPr>
        <w:spacing w:before="0" w:after="120"/>
      </w:pPr>
      <w:r>
        <w:rPr>
          <w:b/>
        </w:rPr>
        <w:t xml:space="preserve">Source: </w:t>
      </w:r>
      <w:r>
        <w:t>ACS Applied Materials &amp; Interfaces: Latest Articles (ACS Publications)</w:t>
      </w:r>
      <w:r>
        <w:t xml:space="preserve">    </w:t>
      </w:r>
      <w:r>
        <w:rPr>
          <w:b/>
        </w:rPr>
        <w:t xml:space="preserve">Pub date: </w:t>
      </w:r>
      <w:r>
        <w:t>2026-08-12 00:00:00+00:00</w:t>
      </w:r>
      <w:r>
        <w:t xml:space="preserve">    </w:t>
      </w:r>
      <w:r>
        <w:rPr>
          <w:b/>
        </w:rPr>
        <w:t xml:space="preserve">DOI: </w:t>
      </w:r>
      <w:hyperlink r:id="rId1505">
        <w:r>
          <w:rPr>
            <w:color w:val="1155CC"/>
            <w:u w:val="single"/>
          </w:rPr>
          <w:t>10.1021/acsami.6c05140</w:t>
        </w:r>
      </w:hyperlink>
    </w:p>
    <w:p>
      <w:pPr>
        <w:spacing w:before="0" w:after="120"/>
      </w:pPr>
      <w:r>
        <w:rPr>
          <w:b/>
        </w:rPr>
        <w:t xml:space="preserve">Notes: </w:t>
      </w:r>
      <w:r>
        <w:t>abstract_source=crossref</w:t>
      </w:r>
    </w:p>
    <w:p>
      <w:pPr>
        <w:spacing w:before="0" w:after="80" w:lineRule="auto" w:line="276"/>
      </w:pPr>
      <w:r>
        <w:rPr>
          <w:b/>
        </w:rPr>
        <w:t xml:space="preserve">摘要（ZH）: </w:t>
      </w:r>
      <w:r>
        <w:t>摘要 柔性和可拉伸电子产品的发展需要有机场效应晶体管（OFET）能够协调高电气性能和强大的机械顺应性。虽然材料创新和结构设计具有先进的拉伸性，但电荷传输和弹性变形之间通常存在基本的权衡。侧链工程作为一种精确的分子设计策略出现，以超越这种妥协。通过用定制的官能团装饰共轭聚合物主链，可以从本质上设计分子间相互作用、堆积形态和能量耗散机制，从而协同增强导电性、拉伸性，甚至引入自修复等其他功能。本综述从以功能组为中心的角度系统地审视了这一范式。我们首先对关键侧链基团（烷基、杂化、低聚醚、氟烷基、复合和特殊官能团）在调节机械-电子性能关系方面的机制进行了分类和阐明。随后，我们批判性地分析了这些工程材料在先进功能设备中的应用，包括皮肤适形传感器、可拉伸显示器和光电探测器以及神经形态计算电路。最后，我们对设计下一代多功能、可靠且商业上可行的可拉伸电子产品侧链的挑战和机遇提供了前瞻性的观点。</w:t>
      </w:r>
    </w:p>
    <w:p>
      <w:pPr>
        <w:spacing w:before="0" w:after="200" w:lineRule="auto" w:line="276"/>
      </w:pPr>
      <w:r>
        <w:rPr>
          <w:b/>
        </w:rPr>
        <w:t xml:space="preserve">Abstract (EN): </w:t>
      </w:r>
      <w:r>
        <w:t>The evolution of flexible and stretchable electronics demands organic field-effect transistors (OFETs) that harmonize high electrical performance with robust mechanical compliance. While material innovation and structural designs have advanced stretchability, a fundamental trade-off often persists between charge transport and elastic deformation. Side-chain engineering emerges as a precise molecular design strategy to transcend this compromise. By decorating conjugated polymer backbones with tailored functional groups, it is possible to intrinsically engineer intermolecular interactions, packing morphology, and energy dissipation mechanisms, thereby synergistically enhancing conductivity, stretchability, and even introducing other functions like self-healing. This review systematically examines this paradigm from a functional-group-centric perspective. We first categorize and elucidate the mechanisms of key side-chain groups—alkyl, hybrid, oligoether, fluoroalkyl, composite, and special functional groups—in regulating the mechanical-electronic property nexus. Subsequently, we critically analyze the application of these engineered materials in advanced functional devices, including skin-conformal sensors, stretchable displays and photodetectors, and neuromorphic computing circuits. Finally, we provide forward-looking perspectives on the challenges and opportunities in designing next-generation side-chains for multifunctional, reliable, and commercially viable stretchable electronics.</w:t>
      </w:r>
    </w:p>
    <w:p>
      <w:pPr>
        <w:spacing w:before="120" w:after="120"/>
      </w:pPr>
      <w:r>
        <w:rPr>
          <w:sz w:val="18"/>
        </w:rPr>
        <w:t>——————————————————————————————————————————————————————————————————————</w:t>
      </w:r>
    </w:p>
    <w:p>
      <w:pPr>
        <w:spacing w:before="160" w:after="40" w:line="240" w:lineRule="auto"/>
      </w:pPr>
      <w:r>
        <w:rPr>
          <w:b/>
        </w:rPr>
        <w:t xml:space="preserve">[506] </w:t>
      </w:r>
      <w:hyperlink r:id="rId1506">
        <w:r>
          <w:rPr>
            <w:color w:val="1155CC"/>
            <w:u w:val="single"/>
          </w:rPr>
          <w:t>相变诱导的图灵起皱结构实现了聚酰胺纳滤膜的分层调节</w:t>
        </w:r>
      </w:hyperlink>
    </w:p>
    <w:p>
      <w:pPr>
        <w:spacing w:before="0" w:after="80"/>
      </w:pPr>
      <w:r>
        <w:rPr>
          <w:i/>
          <w:sz w:val="20"/>
        </w:rPr>
        <w:t>EN: Phase-Transition-Induced Turing Wrinkling Structures Enable Hierarchical Regulation of Polyamide Nanofiltration Membranes</w:t>
      </w:r>
    </w:p>
    <w:p>
      <w:pPr>
        <w:spacing w:before="0" w:after="120"/>
      </w:pPr>
      <w:r>
        <w:rPr>
          <w:b/>
        </w:rPr>
        <w:t xml:space="preserve">Source: </w:t>
      </w:r>
      <w:r>
        <w:t>ACS Applied Materials &amp; Interfaces: Latest Articles (ACS Publications)</w:t>
      </w:r>
      <w:r>
        <w:t xml:space="preserve">    </w:t>
      </w:r>
      <w:r>
        <w:rPr>
          <w:b/>
        </w:rPr>
        <w:t xml:space="preserve">Pub date: </w:t>
      </w:r>
      <w:r>
        <w:t>2026-08-12 00:00:00+00:00</w:t>
      </w:r>
      <w:r>
        <w:t xml:space="preserve">    </w:t>
      </w:r>
      <w:r>
        <w:rPr>
          <w:b/>
        </w:rPr>
        <w:t xml:space="preserve">DOI: </w:t>
      </w:r>
      <w:hyperlink r:id="rId1507">
        <w:r>
          <w:rPr>
            <w:color w:val="1155CC"/>
            <w:u w:val="single"/>
          </w:rPr>
          <w:t>10.1021/acsami.6c13326</w:t>
        </w:r>
      </w:hyperlink>
    </w:p>
    <w:p>
      <w:pPr>
        <w:spacing w:before="0" w:after="120"/>
      </w:pPr>
      <w:r>
        <w:rPr>
          <w:b/>
        </w:rPr>
        <w:t xml:space="preserve">Notes: </w:t>
      </w:r>
      <w:r>
        <w:t>abstract_source=crossref</w:t>
      </w:r>
    </w:p>
    <w:p>
      <w:pPr>
        <w:spacing w:before="0" w:after="80" w:lineRule="auto" w:line="276"/>
      </w:pPr>
      <w:r>
        <w:rPr>
          <w:b/>
        </w:rPr>
        <w:t xml:space="preserve">摘要（ZH）: </w:t>
      </w:r>
      <w:r>
        <w:t>摘要 由反应扩散不稳定性产生的图灵模式为理解非平衡系统中的形态发生提供了一个基本框架。尽管聚酰胺（PA）纳滤（NF）膜具有类图灵形貌，但目前的研究主要依赖于反应扩散过程的化学调节，而外部物理刺激的使用在很大程度上尚未探索。在这里，我们报告了一种热响应策略，该策略在界面聚合（IP）过程中通过聚合物相变触发图灵模式。将聚（N-异丙基丙烯酰胺）（PNIPAM）引入哌嗪（PIP）-均苯三甲酰氯（TMC）IP系统中。通过调节 PNIPAM 较低临界溶解温度 (LCST) 的反应温度，聚酰胺层从致密形态转变为周期性皱纹结构。这种热响应过程重建了局部质量传递和反应动力学，将系统从扩散控制状态转变为反应扩散耦合状态，从而引发图灵不稳定性。实验和模拟结果揭示了热致图灵结构形成的机制。这项工作展示了一种触发 PA 膜图灵不稳定性的热响应途径，将热响应性确立为调节反应扩散动力学和直接非平衡形态演化的有效手段。</w:t>
      </w:r>
    </w:p>
    <w:p>
      <w:pPr>
        <w:spacing w:before="0" w:after="200" w:lineRule="auto" w:line="276"/>
      </w:pPr>
      <w:r>
        <w:rPr>
          <w:b/>
        </w:rPr>
        <w:t xml:space="preserve">Abstract (EN): </w:t>
      </w:r>
      <w:r>
        <w:t>Turing patterns, arising from reaction-diffusion instabilities, provide a fundamental framework for understanding morphogenesis in nonequilibrium systems. Although Turing-like morphologies have been reported in polyamide (PA) nanofiltration (NF) membranes, current studies mainly rely on chemical regulation of reaction−diffusion processes, while the use of external physical stimuli remains largely unexplored. Here, we report a thermoresponsive strategy that triggers Turing patterns through polymer phase transition during interfacial polymerization (IP). Poly(N-isopropylacrylamide) (PNIPAM) is introduced into a piperazine (PIP)-trimesoyl chloride (TMC) IP system. By tuning the reaction temperature across the lower critical solution temperature (LCST) of PNIPAM, the polyamide layer transforms from a dense morphology into a periodic wrinkled structure. This thermoresponsive process reconstructs local mass transport and reaction kinetics, shifting the system from a diffusion-controlled regime to a reaction−diffusion-coupled regime and thereby triggering Turing instability. Experimental and simulation results reveal the mechanism of thermally induced Turing structure formation. This work demonstrates a thermoresponsive route to trigger Turing instability in PA membranes, establishing thermal responsiveness as an effective means to regulate reaction−diffusion dynamics and direct nonequilibrium morphological evolution.</w:t>
      </w:r>
    </w:p>
    <w:p>
      <w:pPr>
        <w:spacing w:before="120" w:after="120"/>
      </w:pPr>
      <w:r>
        <w:rPr>
          <w:sz w:val="18"/>
        </w:rPr>
        <w:t>——————————————————————————————————————————————————————————————————————</w:t>
      </w:r>
    </w:p>
    <w:p>
      <w:pPr>
        <w:spacing w:before="160" w:after="40" w:line="240" w:lineRule="auto"/>
      </w:pPr>
      <w:r>
        <w:rPr>
          <w:b/>
        </w:rPr>
        <w:t xml:space="preserve">[507] </w:t>
      </w:r>
      <w:hyperlink r:id="rId1508">
        <w:r>
          <w:rPr>
            <w:color w:val="1155CC"/>
            <w:u w:val="single"/>
          </w:rPr>
          <w:t>工程氧化还原活性纳米酶作为可持续农业的新兴工具</w:t>
        </w:r>
      </w:hyperlink>
    </w:p>
    <w:p>
      <w:pPr>
        <w:spacing w:before="0" w:after="80"/>
      </w:pPr>
      <w:r>
        <w:rPr>
          <w:i/>
          <w:sz w:val="20"/>
        </w:rPr>
        <w:t>EN: Engineering Redox-Active Nanozymes as Emerging Tools for Sustainable Agriculture</w:t>
      </w:r>
    </w:p>
    <w:p>
      <w:pPr>
        <w:spacing w:before="0" w:after="120"/>
      </w:pPr>
      <w:r>
        <w:rPr>
          <w:b/>
        </w:rPr>
        <w:t xml:space="preserve">Source: </w:t>
      </w:r>
      <w:r>
        <w:t>ACS Applied Materials &amp; Interfaces: Latest Articles (ACS Publications)</w:t>
      </w:r>
      <w:r>
        <w:t xml:space="preserve">    </w:t>
      </w:r>
      <w:r>
        <w:rPr>
          <w:b/>
        </w:rPr>
        <w:t xml:space="preserve">Pub date: </w:t>
      </w:r>
      <w:r>
        <w:t>2026-08-12 00:00:00+00:00</w:t>
      </w:r>
      <w:r>
        <w:t xml:space="preserve">    </w:t>
      </w:r>
      <w:r>
        <w:rPr>
          <w:b/>
        </w:rPr>
        <w:t xml:space="preserve">DOI: </w:t>
      </w:r>
      <w:hyperlink r:id="rId1509">
        <w:r>
          <w:rPr>
            <w:color w:val="1155CC"/>
            <w:u w:val="single"/>
          </w:rPr>
          <w:t>10.1021/acsami.6c11513</w:t>
        </w:r>
      </w:hyperlink>
    </w:p>
    <w:p>
      <w:pPr>
        <w:spacing w:before="0" w:after="120"/>
      </w:pPr>
      <w:r>
        <w:rPr>
          <w:b/>
        </w:rPr>
        <w:t xml:space="preserve">Notes: </w:t>
      </w:r>
      <w:r>
        <w:t>abstract_source=crossref</w:t>
      </w:r>
    </w:p>
    <w:p>
      <w:pPr>
        <w:spacing w:before="0" w:after="80" w:lineRule="auto" w:line="276"/>
      </w:pPr>
      <w:r>
        <w:rPr>
          <w:b/>
        </w:rPr>
        <w:t xml:space="preserve">摘要（ZH）: </w:t>
      </w:r>
      <w:r>
        <w:t>摘要 在过去的一个世纪里，农用化学品提高了作物生产力和粮食供应，但对环境污染和农业可持续性的担忧增加了人们对替代技术的兴趣。氧化还原活性纳米酶是调节 ROS 依赖性应激反应和污染物转化的有前途的工具，但其农业用途仍然因机制理解不足而受到限制。本综述研究了它们在农业生态系统中参与 ROS 生成、清除和信号传导的主要催化途径。讨论了作物保护中的代表性应用，包括通过活性氧稳态、抗氧化防御、激素反应、光合作用维持、离子平衡和代谢调节来缓解非生物胁迫、病原体控制和杀虫剂协同作用；农业环境管理，包括农药、霉菌毒素、抗生素、重金属和酚类污染物的检测和去除。还总结了绿色合成和后处理策略。最后，我们讨论了农业场景中纳米酶设计的挑战、田间稳定性和功效、经济可行性、内在毒性、长期环境命运和生态风险。</w:t>
      </w:r>
    </w:p>
    <w:p>
      <w:pPr>
        <w:spacing w:before="0" w:after="200" w:lineRule="auto" w:line="276"/>
      </w:pPr>
      <w:r>
        <w:rPr>
          <w:b/>
        </w:rPr>
        <w:t xml:space="preserve">Abstract (EN): </w:t>
      </w:r>
      <w:r>
        <w:t>Over the past century, agrochemicals have boosted crop productivity and food supply, but concerns over environmental pollution and agricultural sustainability have increased interest in alternative technologies. Redox-active nanozymes are promising tools for regulating ROS-dependent stress responses and pollutant transformation, yet their agricultural use remains limited by insufficient mechanistic understanding. This review examines their major catalytic pathways involved in ROS generation, scavenging, and signaling in agroecosystems. Representative applications are discussed in crop protection, including abiotic-stress mitigation, pathogen control, and insecticide synergism through ROS homeostasis, antioxidant defense, hormone responses, photosynthetic maintenance, ion balance, and metabolic adjustment; and in agroenvironmental management, including detection and removal of pesticides, mycotoxins, antibiotics, heavy metals, and phenolic pollutants. Green synthesis and post-treatment strategies are also summarized. Finally, we discuss challenges in nanozyme design for agricultural scenarios, field stability and efficacy, economic feasibility, intrinsic toxicity, long-term environmental fate, and ecological risk.</w:t>
      </w:r>
    </w:p>
    <w:p>
      <w:pPr>
        <w:spacing w:before="120" w:after="120"/>
      </w:pPr>
      <w:r>
        <w:rPr>
          <w:sz w:val="18"/>
        </w:rPr>
        <w:t>——————————————————————————————————————————————————————————————————————</w:t>
      </w:r>
    </w:p>
    <w:p>
      <w:pPr>
        <w:spacing w:before="160" w:after="40" w:line="240" w:lineRule="auto"/>
      </w:pPr>
      <w:r>
        <w:rPr>
          <w:b/>
        </w:rPr>
        <w:t xml:space="preserve">[508] </w:t>
      </w:r>
      <w:hyperlink r:id="rId1510">
        <w:r>
          <w:rPr>
            <w:color w:val="1155CC"/>
            <w:u w:val="single"/>
          </w:rPr>
          <w:t>1975年至2013年亚洲高山冰川质量平衡变化对比</w:t>
        </w:r>
      </w:hyperlink>
    </w:p>
    <w:p>
      <w:pPr>
        <w:spacing w:before="0" w:after="80"/>
      </w:pPr>
      <w:r>
        <w:rPr>
          <w:i/>
          <w:sz w:val="20"/>
        </w:rPr>
        <w:t>EN: Contrasting glacier mass balance changes in High Mountain Asia from 1975 to 2013</w:t>
      </w:r>
    </w:p>
    <w:p>
      <w:pPr>
        <w:spacing w:before="0" w:after="120"/>
      </w:pPr>
      <w:r>
        <w:rPr>
          <w:b/>
        </w:rPr>
        <w:t xml:space="preserve">Source: </w:t>
      </w:r>
      <w:r>
        <w:t>National Science Review Advance Access</w:t>
      </w:r>
      <w:r>
        <w:t xml:space="preserve">    </w:t>
      </w:r>
      <w:r>
        <w:rPr>
          <w:b/>
        </w:rPr>
        <w:t xml:space="preserve">Pub date: </w:t>
      </w:r>
      <w:r>
        <w:t>2026-08-12 00:00:00+00:00</w:t>
      </w:r>
      <w:r>
        <w:t xml:space="preserve">    </w:t>
      </w:r>
      <w:r>
        <w:rPr>
          <w:b/>
        </w:rPr>
        <w:t xml:space="preserve">DOI: </w:t>
      </w:r>
      <w:hyperlink r:id="rId1511">
        <w:r>
          <w:rPr>
            <w:color w:val="1155CC"/>
            <w:u w:val="single"/>
          </w:rPr>
          <w:t>10.1093/nsr/nwag486</w:t>
        </w:r>
      </w:hyperlink>
    </w:p>
    <w:p>
      <w:pPr>
        <w:spacing w:before="0" w:after="120"/>
      </w:pPr>
      <w:r>
        <w:rPr>
          <w:b/>
        </w:rPr>
        <w:t xml:space="preserve">Notes: </w:t>
      </w:r>
      <w:r>
        <w:t>abstract_source=crossref</w:t>
      </w:r>
    </w:p>
    <w:p>
      <w:pPr>
        <w:spacing w:before="0" w:after="80" w:lineRule="auto" w:line="276"/>
      </w:pPr>
      <w:r>
        <w:rPr>
          <w:b/>
        </w:rPr>
        <w:t xml:space="preserve">摘要（ZH）: </w:t>
      </w:r>
      <w:r>
        <w:t>自2000年以来，亚洲高山冰川的冰流失速度明显加快，总体速度比1975年至2000年增加了54%。这种加速速度极不均匀，其中喜马拉雅山西部和西藏东南部的冰流失速度最快，而塔里木盆地南缘的一些冰川则变得稳定甚至质量增加。</w:t>
      </w:r>
    </w:p>
    <w:p>
      <w:pPr>
        <w:spacing w:before="0" w:after="200" w:lineRule="auto" w:line="276"/>
      </w:pPr>
      <w:r>
        <w:rPr>
          <w:b/>
        </w:rPr>
        <w:t xml:space="preserve">Abstract (EN): </w:t>
      </w:r>
      <w:r>
        <w:t>Glaciers across High Mountain Asia have been losing ice much faster since 2000, with the overall rate increasing by 54% compared with 1975â€“2000. This acceleration was highly uneven, with the fastest ice loss occurring in the western Himalaya and southeastern Tibet, while some glaciers along the southern margin of the Tarim Basin became stable or even gained mass.</w:t>
      </w:r>
    </w:p>
    <w:p>
      <w:pPr>
        <w:spacing w:before="120" w:after="120"/>
      </w:pPr>
      <w:r>
        <w:rPr>
          <w:sz w:val="18"/>
        </w:rPr>
        <w:t>——————————————————————————————————————————————————————————————————————</w:t>
      </w:r>
    </w:p>
    <w:p>
      <w:pPr>
        <w:spacing w:before="160" w:after="40" w:line="240" w:lineRule="auto"/>
      </w:pPr>
      <w:r>
        <w:rPr>
          <w:b/>
        </w:rPr>
        <w:t xml:space="preserve">[509] </w:t>
      </w:r>
      <w:hyperlink r:id="rId1512">
        <w:r>
          <w:rPr>
            <w:color w:val="1155CC"/>
            <w:u w:val="single"/>
          </w:rPr>
          <w:t>回复：数据集人工制品可以部分推动破坏性的下降</w:t>
        </w:r>
      </w:hyperlink>
    </w:p>
    <w:p>
      <w:pPr>
        <w:spacing w:before="0" w:after="80"/>
      </w:pPr>
      <w:r>
        <w:rPr>
          <w:i/>
          <w:sz w:val="20"/>
        </w:rPr>
        <w:t>EN: Reply to: Dataset artefacts can partially drive the measured decline in disruption</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13">
        <w:r>
          <w:rPr>
            <w:color w:val="1155CC"/>
            <w:u w:val="single"/>
          </w:rPr>
          <w:t>10.1038/s41586-026-10788-x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[510] </w:t>
      </w:r>
      <w:hyperlink r:id="rId1514">
        <w:r>
          <w:rPr>
            <w:color w:val="1155CC"/>
            <w:u w:val="single"/>
          </w:rPr>
          <w:t>数据集伪影可以部分推动破坏性的下降</w:t>
        </w:r>
      </w:hyperlink>
    </w:p>
    <w:p>
      <w:pPr>
        <w:spacing w:before="0" w:after="80"/>
      </w:pPr>
      <w:r>
        <w:rPr>
          <w:i/>
          <w:sz w:val="20"/>
        </w:rPr>
        <w:t>EN: Dataset artefacts can partially drive the measured decline in disruption</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15">
        <w:r>
          <w:rPr>
            <w:color w:val="1155CC"/>
            <w:u w:val="single"/>
          </w:rPr>
          <w:t>10.1038/s41586-026-10787-y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[511] </w:t>
      </w:r>
      <w:hyperlink r:id="rId1516">
        <w:r>
          <w:rPr>
            <w:color w:val="1155CC"/>
            <w:u w:val="single"/>
          </w:rPr>
          <w:t>没有任何单一规则可以解释气候如何影响热带森林的碳储存</w:t>
        </w:r>
      </w:hyperlink>
    </w:p>
    <w:p>
      <w:pPr>
        <w:spacing w:before="0" w:after="80"/>
      </w:pPr>
      <w:r>
        <w:rPr>
          <w:i/>
          <w:sz w:val="20"/>
        </w:rPr>
        <w:t>EN: No single rule explains how climate affects carbon storage in tropical forests</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17">
        <w:r>
          <w:rPr>
            <w:color w:val="1155CC"/>
            <w:u w:val="single"/>
          </w:rPr>
          <w:t>10.1038/d41586-026-02291-0</w:t>
        </w:r>
      </w:hyperlink>
    </w:p>
    <w:p>
      <w:pPr>
        <w:spacing w:before="0" w:after="120"/>
      </w:pPr>
      <w:r>
        <w:rPr>
          <w:b/>
        </w:rPr>
        <w:t xml:space="preserve">Notes: </w:t>
      </w:r>
      <w:r>
        <w:t>abstract_source=rss_nature</w:t>
      </w:r>
    </w:p>
    <w:p>
      <w:pPr>
        <w:spacing w:before="0" w:after="80" w:lineRule="auto" w:line="276"/>
      </w:pPr>
      <w:r>
        <w:rPr>
          <w:b/>
        </w:rPr>
        <w:t xml:space="preserve">摘要（ZH）: </w:t>
      </w:r>
      <w:r>
        <w:t>生态学家长期以来一直想知道为什么一些热带森林比其他森林储存更多的碳。全球卫星调查提供了一个解释。</w:t>
      </w:r>
    </w:p>
    <w:p>
      <w:pPr>
        <w:spacing w:before="0" w:after="200" w:lineRule="auto" w:line="276"/>
      </w:pPr>
      <w:r>
        <w:rPr>
          <w:b/>
        </w:rPr>
        <w:t xml:space="preserve">Abstract (EN): </w:t>
      </w:r>
      <w:r>
        <w:t>Ecologists have long wondered why some tropical forests store more carbon than others. A global satellite survey offers an explanation.</w:t>
      </w:r>
    </w:p>
    <w:p>
      <w:pPr>
        <w:spacing w:before="120" w:after="120"/>
      </w:pPr>
      <w:r>
        <w:rPr>
          <w:sz w:val="18"/>
        </w:rPr>
        <w:t>——————————————————————————————————————————————————————————————————————</w:t>
      </w:r>
    </w:p>
    <w:p>
      <w:pPr>
        <w:spacing w:before="160" w:after="40" w:line="240" w:lineRule="auto"/>
      </w:pPr>
      <w:r>
        <w:rPr>
          <w:b/>
        </w:rPr>
        <w:t xml:space="preserve">[512] </w:t>
      </w:r>
      <w:hyperlink r:id="rId1518">
        <w:r>
          <w:rPr>
            <w:color w:val="1155CC"/>
            <w:u w:val="single"/>
          </w:rPr>
          <w:t>用于治疗糖尿病的益生菌</w:t>
        </w:r>
      </w:hyperlink>
    </w:p>
    <w:p>
      <w:pPr>
        <w:spacing w:before="0" w:after="80"/>
      </w:pPr>
      <w:r>
        <w:rPr>
          <w:i/>
          <w:sz w:val="20"/>
        </w:rPr>
        <w:t>EN: The probiotic bacteria engineered to treat diabetes</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19">
        <w:r>
          <w:rPr>
            <w:color w:val="1155CC"/>
            <w:u w:val="single"/>
          </w:rPr>
          <w:t>10.1038/d41586-026-02521-5</w:t>
        </w:r>
      </w:hyperlink>
    </w:p>
    <w:p>
      <w:pPr>
        <w:spacing w:before="0" w:after="120"/>
      </w:pPr>
      <w:r>
        <w:rPr>
          <w:b/>
        </w:rPr>
        <w:t xml:space="preserve">Notes: </w:t>
      </w:r>
      <w:r>
        <w:t>abstract_source=rss_nature</w:t>
      </w:r>
    </w:p>
    <w:p>
      <w:pPr>
        <w:spacing w:before="0" w:after="80" w:lineRule="auto" w:line="276"/>
      </w:pPr>
      <w:r>
        <w:rPr>
          <w:b/>
        </w:rPr>
        <w:t xml:space="preserve">摘要（ZH）: </w:t>
      </w:r>
      <w:r>
        <w:t>在动物试验中，转基因细菌可以降低高血糖——此外，还介绍了如何安全观看日食。</w:t>
      </w:r>
    </w:p>
    <w:p>
      <w:pPr>
        <w:spacing w:before="0" w:after="200" w:lineRule="auto" w:line="276"/>
      </w:pPr>
      <w:r>
        <w:rPr>
          <w:b/>
        </w:rPr>
        <w:t xml:space="preserve">Abstract (EN): </w:t>
      </w:r>
      <w:r>
        <w:t>Genetically modified bacteria lower high blood-sugar in animal trials — plus, how to watch a solar eclipse safely.</w:t>
      </w:r>
    </w:p>
    <w:p>
      <w:pPr>
        <w:spacing w:before="120" w:after="120"/>
      </w:pPr>
      <w:r>
        <w:rPr>
          <w:sz w:val="18"/>
        </w:rPr>
        <w:t>——————————————————————————————————————————————————————————————————————</w:t>
      </w:r>
    </w:p>
    <w:p>
      <w:pPr>
        <w:spacing w:before="160" w:after="40" w:line="240" w:lineRule="auto"/>
      </w:pPr>
      <w:r>
        <w:rPr>
          <w:b/>
        </w:rPr>
        <w:t xml:space="preserve">[513] </w:t>
      </w:r>
      <w:hyperlink r:id="rId1520">
        <w:r>
          <w:rPr>
            <w:color w:val="1155CC"/>
            <w:u w:val="single"/>
          </w:rPr>
          <w:t>具有单个 CuO2 平面的超导二维铜酸盐</w:t>
        </w:r>
      </w:hyperlink>
    </w:p>
    <w:p>
      <w:pPr>
        <w:spacing w:before="0" w:after="80"/>
      </w:pPr>
      <w:r>
        <w:rPr>
          <w:i/>
          <w:sz w:val="20"/>
        </w:rPr>
        <w:t>EN: Superconducting 2D cuprate with a single CuO2 plane</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21">
        <w:r>
          <w:rPr>
            <w:color w:val="1155CC"/>
            <w:u w:val="single"/>
          </w:rPr>
          <w:t>10.1038/s41586-026-10857-1</w:t>
        </w:r>
      </w:hyperlink>
    </w:p>
    <w:p>
      <w:pPr>
        <w:spacing w:before="0" w:after="120"/>
      </w:pPr>
      <w:r>
        <w:rPr>
          <w:b/>
        </w:rPr>
        <w:t xml:space="preserve">Notes: </w:t>
      </w:r>
      <w:r>
        <w:t>abstract_source=pubmed</w:t>
      </w:r>
    </w:p>
    <w:p>
      <w:pPr>
        <w:spacing w:before="0" w:after="80" w:lineRule="auto" w:line="276"/>
      </w:pPr>
      <w:r>
        <w:rPr>
          <w:b/>
        </w:rPr>
        <w:t xml:space="preserve">摘要（ZH）: </w:t>
      </w:r>
      <w:r>
        <w:t>原子薄范德华晶体是二维 (2D) 极限下理想材料系统的缩影。这种维度的降低通常会导致重要的后果，最好的例子是石墨烯和其他二维材料中新物理学的出现，这些材料可以通过门控轻松调节1,2。将这种自上而下的方法扩展到其他材料系统会产生巨大的机会。最近的实验表明，铜酸盐高温超导的基本物理原理仅包含在两个 CuO2 平面内3。在这里，我们通过检查单层 Bi2Sr2CuO6+δ (Bi-2201)（仅包含一个 CuO2 平面）将降维推向极致。在这个最终的二维极限中，我们观察到了强大的维度效应，表现为最佳超导转变温度降低了约 10%。此外，这种维度的降低提供了前所未有的可调性——我们通过精细控制单层样品的氧化，成功地将 Bi-2201 的相图扩展到未知领域。利用这种可调性，我们发现当温度接近零时，在绝缘态和超导态之间会出现异常金属态。同时，我们观察到以不同临界指数为特征的异常缩放行为。这些发现阐明了铜酸盐中超导体到绝缘体量子相变的本质。</w:t>
      </w:r>
    </w:p>
    <w:p>
      <w:pPr>
        <w:spacing w:before="0" w:after="200" w:lineRule="auto" w:line="276"/>
      </w:pPr>
      <w:r>
        <w:rPr>
          <w:b/>
        </w:rPr>
        <w:t xml:space="preserve">Abstract (EN): </w:t>
      </w:r>
      <w:r>
        <w:t>Atomically thin van der Waals crystals epitomize ideal material systems in the two-dimensional (2D) limit. This reduction in dimensionality often leads to important consequences, best exemplified by the emergence of new physics in graphene and other 2D materials that can be readily tuned by gating1,2. Vast opportunities arise in extending this top-down approach to other material systems. Recent experiments have demonstrated that the essential physics of high-temperature superconductivity in cuprates is contained within just two CuO2 planes3. Here we push dimensionality reduction to the extreme by examining a single layer of Bi2Sr2CuO6+δ (Bi-2201), which comprises only one CuO2 plane. In this ultimate 2D limit, we observe a robust dimensionality effect that manifests as an approximately 10% reduction in the optimal superconducting transition temperature. Moreover, this reduction in dimensionality offers unprecedented tunability-we successfully extended the phase diagram of Bi-2201 into uncharted territories via finely controlled oxygenation of single-monolayer specimens. Leveraging this tunability, we discovered that an anomalous metal state emerges between the insulating and superconducting states as the temperature approaches zero. Concurrently, we observe an anomalous scaling behaviour characterized by a divergent critical exponent. These findings illuminate the nature of the superconductor-to-insulator quantum phase transition in cuprates.</w:t>
      </w:r>
    </w:p>
    <w:p>
      <w:pPr>
        <w:spacing w:before="120" w:after="120"/>
      </w:pPr>
      <w:r>
        <w:rPr>
          <w:sz w:val="18"/>
        </w:rPr>
        <w:t>——————————————————————————————————————————————————————————————————————</w:t>
      </w:r>
    </w:p>
    <w:p>
      <w:pPr>
        <w:spacing w:before="160" w:after="40" w:line="240" w:lineRule="auto"/>
      </w:pPr>
      <w:r>
        <w:rPr>
          <w:b/>
        </w:rPr>
        <w:t xml:space="preserve">[514] </w:t>
      </w:r>
      <w:hyperlink r:id="rId1522">
        <w:r>
          <w:rPr>
            <w:color w:val="1155CC"/>
            <w:u w:val="single"/>
          </w:rPr>
          <w:t>实体瘤中人类 T 细胞的体内全基因组 CRISPR 筛选</w:t>
        </w:r>
      </w:hyperlink>
    </w:p>
    <w:p>
      <w:pPr>
        <w:spacing w:before="0" w:after="80"/>
      </w:pPr>
      <w:r>
        <w:rPr>
          <w:i/>
          <w:sz w:val="20"/>
        </w:rPr>
        <w:t>EN: In vivo genome-wide CRISPR screens of human T cells in solid tumours</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23">
        <w:r>
          <w:rPr>
            <w:color w:val="1155CC"/>
            <w:u w:val="single"/>
          </w:rPr>
          <w:t>10.1038/s41586-026-10906-9</w:t>
        </w:r>
      </w:hyperlink>
    </w:p>
    <w:p>
      <w:pPr>
        <w:spacing w:before="0" w:after="120"/>
      </w:pPr>
      <w:r>
        <w:rPr>
          <w:b/>
        </w:rPr>
        <w:t xml:space="preserve">Notes: </w:t>
      </w:r>
      <w:r>
        <w:t>abstract_source=pubmed</w:t>
      </w:r>
    </w:p>
    <w:p>
      <w:pPr>
        <w:spacing w:before="0" w:after="80" w:lineRule="auto" w:line="276"/>
      </w:pPr>
      <w:r>
        <w:rPr>
          <w:b/>
        </w:rPr>
        <w:t xml:space="preserve">摘要（ZH）: </w:t>
      </w:r>
      <w:r>
        <w:t>人类 T 细胞中的大规模 CRISPR 筛选对于识别增强细胞免疫治疗的基因修饰具有重大前景。然而，实体瘤中 T 细胞性能的许多调节因子并未在体外被揭示1,2。荷瘤小鼠的体内筛选更具生理性，但受到瘤内 T 细胞回收率低的限制。在这里，我们开发了一种体内模型，可以有效地从实体瘤中恢复人类 T 细胞，从而可以用很少的小鼠进行全基因组 CRISPR 筛选。与脾 T 细胞相比，该模型中的肿瘤浸润 T 细胞表现出功能障碍的特征，从而创造了理想的筛选环境。我们进行了两次全基因组 CRISPR 敲除筛选，以确定肿瘤内 T 细胞丰度和效应子功能的调节因子。丰度筛选显示 P2RY8-Gα13 GPCR 信号轴是 T 细胞肿瘤浸润的负调节因子。效应子功能筛选将 GNAS 确定为肿瘤 T 细胞功能障碍的关键驱动因素，其产物 Gαs 作为多个 GPCR 下游的汇聚节点，感知不同的抑制性配体。 GNAS 的敲除使 T 细胞对多种抑制信号产生抵抗，并显着提高嵌合抗原受体 (CAR) 和 T 细胞受体 (TCR) 系统中不同实体瘤模型的疗效。 P2RY8-GNAS 的组合敲除进一步增强了肿瘤控制，证明互补的体内筛选可以识别正交靶标，其组合编辑可提高治疗效力。这个灵活、可扩展的平台可适用于系统迪斯科</w:t>
      </w:r>
    </w:p>
    <w:p>
      <w:pPr>
        <w:spacing w:before="0" w:after="200" w:lineRule="auto" w:line="276"/>
      </w:pPr>
      <w:r>
        <w:rPr>
          <w:b/>
        </w:rPr>
        <w:t xml:space="preserve">Abstract (EN): </w:t>
      </w:r>
      <w:r>
        <w:t>Large-scale CRISPR screening in human T cells holds significant promise for identifying genetic modifications that enhance cellular immunotherapy. Yet, many regulators of T cell performance in solid tumours are not revealed in vitro1,2. In vivo screening in tumour-bearing mice is more physiological but has been limited by low intratumoural T cell recovery. Here we developed an in vivo model that efficiently recovers human T cells from solid tumours, permitting genome-wide CRISPR screens with few mice. Tumour-infiltrating T cells from this model exhibit hallmarks of dysfunction compared with splenic T cells, creating an ideal screening context. We performed two genome-wide CRISPR knockout screens to identify regulators of intratumoural T cell abundance and effector function. The abundance screen revealed the P2RY8-Gα13 GPCR signalling axis as a negative regulator of T cell tumour infiltration. The effector function screen identified GNAS as a key driver of T cell dysfunction in tumours, whose product, Gαs, acts as a convergent node downstream of multiple GPCRs sensing distinct suppressive ligands. Knockout of GNAS rendered T cells resistant to multiple suppressive cues and significantly improved efficacy across diverse solid tumour models in chimeric antigen receptor (CAR) and T cell receptor (TCR) systems. Combinatorial knockout of P2RY8-GNAS further enhanced tumour control, demonstrating that complementary in vivo screens can identify orthogonal targets whose combined editing improves therapeutic potency. This flexible, scalable platform can be adapted for systematic discovery of genetic strategies to improve solid tumour T cell therapies.</w:t>
      </w:r>
    </w:p>
    <w:p>
      <w:pPr>
        <w:spacing w:before="120" w:after="120"/>
      </w:pPr>
      <w:r>
        <w:rPr>
          <w:sz w:val="18"/>
        </w:rPr>
        <w:t>——————————————————————————————————————————————————————————————————————</w:t>
      </w:r>
    </w:p>
    <w:p>
      <w:pPr>
        <w:spacing w:before="160" w:after="40" w:line="240" w:lineRule="auto"/>
      </w:pPr>
      <w:r>
        <w:rPr>
          <w:b/>
        </w:rPr>
        <w:t xml:space="preserve">[515] </w:t>
      </w:r>
      <w:hyperlink r:id="rId1524">
        <w:r>
          <w:rPr>
            <w:color w:val="1155CC"/>
            <w:u w:val="single"/>
          </w:rPr>
          <w:t>纳武单抗的生物标志物对可切除的非小细胞肺癌有益</w:t>
        </w:r>
      </w:hyperlink>
    </w:p>
    <w:p>
      <w:pPr>
        <w:spacing w:before="0" w:after="80"/>
      </w:pPr>
      <w:r>
        <w:rPr>
          <w:i/>
          <w:sz w:val="20"/>
        </w:rPr>
        <w:t>EN: Biomarkers of nivolumab benefit in resectable non-small cell lung cancer</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25">
        <w:r>
          <w:rPr>
            <w:color w:val="1155CC"/>
            <w:u w:val="single"/>
          </w:rPr>
          <w:t>10.1038/s41586-026-10925-6</w:t>
        </w:r>
      </w:hyperlink>
    </w:p>
    <w:p>
      <w:pPr>
        <w:spacing w:before="0" w:after="120"/>
      </w:pPr>
      <w:r>
        <w:rPr>
          <w:b/>
        </w:rPr>
        <w:t xml:space="preserve">Notes: </w:t>
      </w:r>
      <w:r>
        <w:t>abstract_source=openalex</w:t>
      </w:r>
    </w:p>
    <w:p>
      <w:pPr>
        <w:spacing w:before="0" w:after="80" w:lineRule="auto" w:line="276"/>
      </w:pPr>
      <w:r>
        <w:rPr>
          <w:b/>
        </w:rPr>
        <w:t xml:space="preserve">摘要（ZH）: </w:t>
      </w:r>
      <w:r>
        <w:t>在 CheckMate 77T 研究 (ClinicalTrials.gov NCT04025879)1 中，与安慰剂相比，纳武单抗可显着改善可切除非小细胞肺癌 (NSCLC) 患者的围手术期无事件生存期 (EFS)。在这里，随机化后，接受纳武单抗治疗的 229 名患者中的 98 名和接受安慰剂的 232 名患者中的 92 名具有可评估的生物标志物（随机化患者的 41%）。在接受纳武单抗治疗的 98 名患者中，83 名 (85%) 名患者在开始新辅助治疗前检测到循环肿瘤 DNA (ctDNA)，90 名 (92%) 在新辅助治疗完成后检测到。在 92 名接受安慰剂治疗的患者中，75 名 (82%) 名患者在治疗开始时可检测到 ctDNA，78 名 (85%) 名患者在治疗结束时可检测到 ctDNA。在 98 名接受纳武单抗治疗的患者中，76 名（78%）在新辅助治疗前后具有可检测和可评估的 ctDNA，其中 50 名（66%）具有术前 ctDNA 清除率，50 名患者中的 25 名（50%）具有病理完全缓解（pCR）。对于安慰剂治疗组，新辅助治疗前后可检测和可评估的 ctDNA 值分别为 92 例中的 64 例 (70%)，64 例中的 24 例 (38%) 具有术前 ctDNA 清除率，24 例中的 3 例 (12%) 具有 pCR。此外，纳武单抗组 48 名患者中的 4 名（8%）和安慰剂组 44 名患者中的 9 名（20%）在手术后和辅助治疗开始前分子残留病（MRD）呈阴性，在辅助治疗期间变为阳性；均出现疾病复发。对于任何 KE 发生单一或共同改变的患者，纳武单抗 (n = 60) 与安慰剂 (n = 45) 相比，EFS 似乎延长</w:t>
      </w:r>
    </w:p>
    <w:p>
      <w:pPr>
        <w:spacing w:before="0" w:after="200" w:lineRule="auto" w:line="276"/>
      </w:pPr>
      <w:r>
        <w:rPr>
          <w:b/>
        </w:rPr>
        <w:t xml:space="preserve">Abstract (EN): </w:t>
      </w:r>
      <w:r>
        <w:t>Perioperative nivolumab significantly improved event-free survival (EFS) compared with placebo in patients with resectable non-small cell lung cancer (NSCLC) in the CheckMate 77T study (ClinicalTrials.gov NCT04025879 )1. Here, after randomization, 98 out of 229 patients who received nivolumab and 92 out of 232 patients who received placebo had evaluable biomarkers (41% of randomized patients). Of the 98 patients receiving nivolumab, 83 (85%) had detectable circulating tumour DNA (ctDNA) before initiating neoadjuvant treatment and 90 (92%) at neoadjuvant treatment completion. Of the 92 placebo-treated patients, 75 (82%) had detectable ctDNA at the treatment start and 78 (85%) at completion. Among the 98 nivolumab-treated patients, 76 (78%) had detectable and evaluable ctDNA before and after neoadjuvant treatment, and 50 of them (66%) had pre-surgical ctDNA clearance, and 25 out of 50 (50%) had pathologic complete response (pCR). For the placebo-treated group, these values were 64 out 92 (70%) for detectable and evaluable ctDNA before and after neoadjuvant treatment, and 24 out of 64 (38%) had pre-surgical ctDNA clearance, and 3 out of 24 (12%) had pCR. Furthermore, 4 out of 48 (8%) patients in the nivolumab group and 9 out of 44 (20%) in the placebo group who were negative for molecular residual disease (MRD) after surgery and before adjuvant treatment initiation became positive during the adjuvant treatment period; all had disease recurrence. EFS seemed to be prolonged with nivolumab (n = 60) versus placebo (n = 45) in patients with single or co-alterations in any of the KEAP1, STK11, CDKN2A and/or SMARCA4 driver genes (hazard ratio, 0.48; 95% confidence interval, 0.28–0.83). In a machine-learning model trained using biomarker-evaluable patients, top predictors of prolonged EFS included pre-surgical ctDNA clearance, non-N2 NSCLC, pCR, squamous tumour histology and nivolumab treatment. These findings provide insights into predictive markers for outcomes with perioperative nivolumab in resectable NSCLC. Potential predictive biomarkers of perioperative nivolumab therapy benefit in non-small cell lung cancer are identified from evaluable participants in the CheckMate 77T trial.</w:t>
      </w:r>
    </w:p>
    <w:p>
      <w:pPr>
        <w:spacing w:before="120" w:after="120"/>
      </w:pPr>
      <w:r>
        <w:rPr>
          <w:sz w:val="18"/>
        </w:rPr>
        <w:t>——————————————————————————————————————————————————————————————————————</w:t>
      </w:r>
    </w:p>
    <w:p>
      <w:pPr>
        <w:spacing w:before="160" w:after="40" w:line="240" w:lineRule="auto"/>
      </w:pPr>
      <w:r>
        <w:rPr>
          <w:b/>
        </w:rPr>
        <w:t xml:space="preserve">[516] </w:t>
      </w:r>
      <w:hyperlink r:id="rId1526">
        <w:r>
          <w:rPr>
            <w:color w:val="1155CC"/>
            <w:u w:val="single"/>
          </w:rPr>
          <w:t>宇宙黎明时被气体包裹、气体变红的黑洞</w:t>
        </w:r>
      </w:hyperlink>
    </w:p>
    <w:p>
      <w:pPr>
        <w:spacing w:before="0" w:after="80"/>
      </w:pPr>
      <w:r>
        <w:rPr>
          <w:i/>
          <w:sz w:val="20"/>
        </w:rPr>
        <w:t>EN: A gas-enshrouded and gas-reddened black hole at cosmic dawn</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27">
        <w:r>
          <w:rPr>
            <w:color w:val="1155CC"/>
            <w:u w:val="single"/>
          </w:rPr>
          <w:t>10.1038/s41586-026-10846-4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在宇宙时间的前 7 亿年（称为宇宙黎明的时期）内导致数十亿太阳质量黑洞形成的物理过程仍然是一个谜</w:t>
      </w:r>
      <w:r>
        <w:rPr>
          <w:vertAlign w:val="subscript"/>
        </w:rPr>
        <w:t>1</w:t>
      </w:r>
      <w:r>
        <w:t>。已经提出了几种用于播种和快速生长黑洞的理论方案</w:t>
      </w:r>
      <w:r>
        <w:t xml:space="preserve"> </w:t>
      </w:r>
      <w:r>
        <w:t>2–4</w:t>
      </w:r>
      <w:r>
        <w:t xml:space="preserve"> </w:t>
      </w:r>
      <w:r>
        <w:t>，但对这些机制的直接观察仍然难以捉摸。在这里，我们展示了大爆炸 6.6 亿年后的一个源，它表现出奇异的特性：在任何红移中报告的最大的氢巴尔默断裂、广泛的多峰 Hβ 发射以及几个跃迁中的巴尔默线吸收。我们将此源建模为一个被笼罩的黑洞，其中巴尔默破裂和吸收特征是由于极其密集的湍流气体在超大质量黑洞周围形成无尘包络的结果</w:t>
      </w:r>
      <w:r>
        <w:t xml:space="preserve"> </w:t>
      </w:r>
      <w:r>
        <w:t>5,6</w:t>
      </w:r>
      <w:r>
        <w:t xml:space="preserve"> </w:t>
      </w:r>
      <w:r>
        <w:t>。这个来源可能提供了嵌入在致密气体中的早期黑洞的证据——一种通过超爱丁顿吸积来快速生长黑洞的理论配置</w:t>
      </w:r>
      <w:r>
        <w:t xml:space="preserve"> </w:t>
      </w:r>
      <w:r>
        <w:t>7,8</w:t>
      </w:r>
      <w:r>
        <w:t xml:space="preserve"> </w:t>
      </w:r>
      <w:r>
        <w:t>。来自黑洞的辐射似乎主导了几乎所有观测到的光，为其宿主星系的贡献留下了有限的空间。如果光源与其更亮的邻居合并，它将类似于最近发现的具有令人困惑的光谱能量分布的“小红点”</w:t>
      </w:r>
      <w:r>
        <w:t xml:space="preserve"> </w:t>
      </w:r>
      <w:r>
        <w:t>9-11</w:t>
      </w:r>
      <w:r>
        <w:t xml:space="preserve"> </w:t>
      </w:r>
      <w:r>
        <w:t>。黑洞的红色是由气体造成的，而不是尘埃</w:t>
      </w:r>
      <w:r>
        <w:t xml:space="preserve"> </w:t>
      </w:r>
      <w:r>
        <w:t>12,1</w:t>
      </w:r>
    </w:p>
    <w:p>
      <w:pPr>
        <w:spacing w:before="0" w:after="200" w:lineRule="auto" w:line="276"/>
      </w:pPr>
      <w:r>
        <w:rPr>
          <w:b/>
        </w:rPr>
        <w:t xml:space="preserve">Abstract (EN): </w:t>
      </w:r>
      <w:r>
        <w:t>The physical processes that led to the formation of billion-solar-mass black holes within the first 700 million years of cosmic time, a period known as cosmic dawn, remain a puzzle</w:t>
      </w:r>
      <w:r>
        <w:rPr>
          <w:vertAlign w:val="subscript"/>
        </w:rPr>
        <w:t>1</w:t>
      </w:r>
      <w:r>
        <w:t>. Several theoretical scenarios have been proposed to seed and rapidly grow black holes</w:t>
      </w:r>
      <w:r>
        <w:t xml:space="preserve"> </w:t>
      </w:r>
      <w:r>
        <w:t>2–4</w:t>
      </w:r>
      <w:r>
        <w:t xml:space="preserve"> </w:t>
      </w:r>
      <w:r>
        <w:t>, but direct observations of these mechanisms remain elusive. Here we present a source 660 million years after the Big Bang that exhibits singular properties: among the largest hydrogen Balmer breaks reported at any redshift, broad multi-peaked Hβ emission, and Balmer line absorption in several transitions. We model this source as an enshrouded black hole in which the Balmer break and absorption features are a result of extremely dense, turbulent gas forming a dust-free envelope around a supermassive black hole</w:t>
      </w:r>
      <w:r>
        <w:t xml:space="preserve"> </w:t>
      </w:r>
      <w:r>
        <w:t>5,6</w:t>
      </w:r>
      <w:r>
        <w:t xml:space="preserve"> </w:t>
      </w:r>
      <w:r>
        <w:t>. This source may provide evidence of an early black hole embedded in dense gas—a theoretical configuration proposed to rapidly grow black holes by super-Eddington accretion</w:t>
      </w:r>
      <w:r>
        <w:t xml:space="preserve"> </w:t>
      </w:r>
      <w:r>
        <w:t>7,8</w:t>
      </w:r>
      <w:r>
        <w:t xml:space="preserve"> </w:t>
      </w:r>
      <w:r>
        <w:t>. Radiation from the black hole seems to dominate almost all observed light, leaving limited room for contribution from its host galaxy. If the source merged with its brighter neighbour, it would resemble the recently discovered ‘little red dots’ with perplexing spectral energy distributions</w:t>
      </w:r>
      <w:r>
        <w:t xml:space="preserve"> </w:t>
      </w:r>
      <w:r>
        <w:t>9–11</w:t>
      </w:r>
      <w:r>
        <w:t xml:space="preserve"> </w:t>
      </w:r>
      <w:r>
        <w:t>. The redness of the black hole is due to gas, not dust</w:t>
      </w:r>
      <w:r>
        <w:t xml:space="preserve"> </w:t>
      </w:r>
      <w:r>
        <w:t>12,13</w:t>
      </w:r>
      <w:r>
        <w:t xml:space="preserve"> </w:t>
      </w:r>
      <w:r>
        <w:t>, and scattering, not kinematics, gives rise to the complex line shapes and luminosities—black hole masses of these sources may therefore be overestimated by orders of magnitude.</w:t>
      </w:r>
    </w:p>
    <w:p>
      <w:pPr>
        <w:spacing w:before="120" w:after="120"/>
      </w:pPr>
      <w:r>
        <w:rPr>
          <w:sz w:val="18"/>
        </w:rPr>
        <w:t>——————————————————————————————————————————————————————————————————————</w:t>
      </w:r>
    </w:p>
    <w:p>
      <w:pPr>
        <w:spacing w:before="160" w:after="40" w:line="240" w:lineRule="auto"/>
      </w:pPr>
      <w:r>
        <w:rPr>
          <w:b/>
        </w:rPr>
        <w:t xml:space="preserve">[517] </w:t>
      </w:r>
      <w:hyperlink r:id="rId1528">
        <w:r>
          <w:rPr>
            <w:color w:val="1155CC"/>
            <w:u w:val="single"/>
          </w:rPr>
          <w:t>人脑刺激涉及不同细胞类型中的不同基因程序</w:t>
        </w:r>
      </w:hyperlink>
    </w:p>
    <w:p>
      <w:pPr>
        <w:spacing w:before="0" w:after="80"/>
      </w:pPr>
      <w:r>
        <w:rPr>
          <w:i/>
          <w:sz w:val="20"/>
        </w:rPr>
        <w:t>EN: Human brain stimulation engages different gene programs in different cell types</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29">
        <w:r>
          <w:rPr>
            <w:color w:val="1155CC"/>
            <w:u w:val="single"/>
          </w:rPr>
          <w:t>10.1038/d41586-026-02473-w</w:t>
        </w:r>
      </w:hyperlink>
    </w:p>
    <w:p>
      <w:pPr>
        <w:spacing w:before="0" w:after="120"/>
      </w:pPr>
      <w:r>
        <w:rPr>
          <w:b/>
        </w:rPr>
        <w:t xml:space="preserve">Notes: </w:t>
      </w:r>
      <w:r>
        <w:t>abstract_source=openalex</w:t>
      </w:r>
    </w:p>
    <w:p>
      <w:pPr>
        <w:spacing w:before="0" w:after="80" w:lineRule="auto" w:line="276"/>
      </w:pPr>
      <w:r>
        <w:rPr>
          <w:b/>
        </w:rPr>
        <w:t xml:space="preserve">摘要（ZH）: </w:t>
      </w:r>
      <w:r>
        <w:t>人脑电刺激是减缓认知能力下降的一种有前景的策略。细胞类型特异性基因程序的发现，当颞叶皮层神经元网络受到刺激时，这些基因程序会与神经元网络的活动同步诱导，这可能为使用刺激的治疗方法的发展提供信息。刺激的遗传特征与人脑组织样本中细胞组装的强化相一致。</w:t>
      </w:r>
    </w:p>
    <w:p>
      <w:pPr>
        <w:spacing w:before="0" w:after="200" w:lineRule="auto" w:line="276"/>
      </w:pPr>
      <w:r>
        <w:rPr>
          <w:b/>
        </w:rPr>
        <w:t xml:space="preserve">Abstract (EN): </w:t>
      </w:r>
      <w:r>
        <w:t>Electrical stimulation of the human brain is a promising strategy for slowing cognitive decline. The discovery of cell-type-specific gene programs that are induced in tandem with the activity of networks of neurons in the temporal cortex when it is stimulated could inform the development of therapeutic approaches using stimulation. Genetic signatures of stimulation coincide with the strengthening of cell assemblies in samples of human brain tissue.</w:t>
      </w:r>
    </w:p>
    <w:p>
      <w:pPr>
        <w:spacing w:before="120" w:after="120"/>
      </w:pPr>
      <w:r>
        <w:rPr>
          <w:sz w:val="18"/>
        </w:rPr>
        <w:t>——————————————————————————————————————————————————————————————————————</w:t>
      </w:r>
    </w:p>
    <w:p>
      <w:pPr>
        <w:spacing w:before="160" w:after="40" w:line="240" w:lineRule="auto"/>
      </w:pPr>
      <w:r>
        <w:rPr>
          <w:b/>
        </w:rPr>
        <w:t xml:space="preserve">[518] </w:t>
      </w:r>
      <w:hyperlink r:id="rId1530">
        <w:r>
          <w:rPr>
            <w:color w:val="1155CC"/>
            <w:u w:val="single"/>
          </w:rPr>
          <w:t>使用太赫兹光的光学特性的超快时间工程</w:t>
        </w:r>
      </w:hyperlink>
    </w:p>
    <w:p>
      <w:pPr>
        <w:spacing w:before="0" w:after="80"/>
      </w:pPr>
      <w:r>
        <w:rPr>
          <w:i/>
          <w:sz w:val="20"/>
        </w:rPr>
        <w:t>EN: Ultrafast temporal engineering of optical properties using terahertz light</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31">
        <w:r>
          <w:rPr>
            <w:color w:val="1155CC"/>
            <w:u w:val="single"/>
          </w:rPr>
          <w:t>10.1038/d41586-026-02478-5</w:t>
        </w:r>
      </w:hyperlink>
    </w:p>
    <w:p>
      <w:pPr>
        <w:spacing w:before="0" w:after="120"/>
      </w:pPr>
      <w:r>
        <w:rPr>
          <w:b/>
        </w:rPr>
        <w:t xml:space="preserve">Notes: </w:t>
      </w:r>
      <w:r>
        <w:t>abstract_source=openalex</w:t>
      </w:r>
    </w:p>
    <w:p>
      <w:pPr>
        <w:spacing w:before="0" w:after="80" w:lineRule="auto" w:line="276"/>
      </w:pPr>
      <w:r>
        <w:rPr>
          <w:b/>
        </w:rPr>
        <w:t xml:space="preserve">摘要（ZH）: </w:t>
      </w:r>
      <w:r>
        <w:t>光子时间晶体是一种光学系统，其折射率等特性随时间强烈而快速地调制。现在，通过将强烈的太赫兹光波传递到具有特殊微观结构的材料上，可以通过全光学获得一种材料，该材料具有被称为等离子体激元的电子集体波。一种在高频下工作的全光学“光子时间晶体”已经被制造出来。</w:t>
      </w:r>
    </w:p>
    <w:p>
      <w:pPr>
        <w:spacing w:before="0" w:after="200" w:lineRule="auto" w:line="276"/>
      </w:pPr>
      <w:r>
        <w:rPr>
          <w:b/>
        </w:rPr>
        <w:t xml:space="preserve">Abstract (EN): </w:t>
      </w:r>
      <w:r>
        <w:t>A photonic time crystal is an optical system of which properties such as its refractive index are modulated strongly and rapidly over time. One has now been obtained all-optically by delivering an intense terahertz light wave onto a material with a specialized microstructure that hosts collective waves of electrons known as plasmons. An all-optical ‘photonic time crystal’ has been made that operates at high frequencies.</w:t>
      </w:r>
    </w:p>
    <w:p>
      <w:pPr>
        <w:spacing w:before="120" w:after="120"/>
      </w:pPr>
      <w:r>
        <w:rPr>
          <w:sz w:val="18"/>
        </w:rPr>
        <w:t>——————————————————————————————————————————————————————————————————————</w:t>
      </w:r>
    </w:p>
    <w:p>
      <w:pPr>
        <w:spacing w:before="160" w:after="40" w:line="240" w:lineRule="auto"/>
      </w:pPr>
      <w:r>
        <w:rPr>
          <w:b/>
        </w:rPr>
        <w:t xml:space="preserve">[519] </w:t>
      </w:r>
      <w:hyperlink r:id="rId1532">
        <w:r>
          <w:rPr>
            <w:color w:val="1155CC"/>
            <w:u w:val="single"/>
          </w:rPr>
          <w:t>热带树木的种内变异可以增强对干旱的抵抗力</w:t>
        </w:r>
      </w:hyperlink>
    </w:p>
    <w:p>
      <w:pPr>
        <w:spacing w:before="0" w:after="80"/>
      </w:pPr>
      <w:r>
        <w:rPr>
          <w:i/>
          <w:sz w:val="20"/>
        </w:rPr>
        <w:t>EN: Intraspecific variation in tropical trees can drive resistance to drought</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33">
        <w:r>
          <w:rPr>
            <w:color w:val="1155CC"/>
            <w:u w:val="single"/>
          </w:rPr>
          <w:t>10.1038/d41586-026-02292-z</w:t>
        </w:r>
      </w:hyperlink>
    </w:p>
    <w:p>
      <w:pPr>
        <w:spacing w:before="0" w:after="120"/>
      </w:pPr>
      <w:r>
        <w:rPr>
          <w:b/>
        </w:rPr>
        <w:t xml:space="preserve">Notes: </w:t>
      </w:r>
      <w:r>
        <w:t>abstract_source=rss_nature</w:t>
      </w:r>
    </w:p>
    <w:p>
      <w:pPr>
        <w:spacing w:before="0" w:after="80" w:lineRule="auto" w:line="276"/>
      </w:pPr>
      <w:r>
        <w:rPr>
          <w:b/>
        </w:rPr>
        <w:t xml:space="preserve">摘要（ZH）: </w:t>
      </w:r>
      <w:r>
        <w:t>不同的热带树种抵御干旱的能力各不相同，同一树种的不同种群似乎也存在差异。</w:t>
      </w:r>
    </w:p>
    <w:p>
      <w:pPr>
        <w:spacing w:before="0" w:after="200" w:lineRule="auto" w:line="276"/>
      </w:pPr>
      <w:r>
        <w:rPr>
          <w:b/>
        </w:rPr>
        <w:t xml:space="preserve">Abstract (EN): </w:t>
      </w:r>
      <w:r>
        <w:t>Different tropical tree species can vary in their ability to withstand drought — and so too, it seems, can distinct populations of the same tree species.</w:t>
      </w:r>
    </w:p>
    <w:p>
      <w:pPr>
        <w:spacing w:before="120" w:after="120"/>
      </w:pPr>
      <w:r>
        <w:rPr>
          <w:sz w:val="18"/>
        </w:rPr>
        <w:t>——————————————————————————————————————————————————————————————————————</w:t>
      </w:r>
    </w:p>
    <w:p>
      <w:pPr>
        <w:spacing w:before="160" w:after="40" w:line="240" w:lineRule="auto"/>
      </w:pPr>
      <w:r>
        <w:rPr>
          <w:b/>
        </w:rPr>
        <w:t xml:space="preserve">[520] </w:t>
      </w:r>
      <w:hyperlink r:id="rId1534">
        <w:r>
          <w:rPr>
            <w:color w:val="1155CC"/>
            <w:u w:val="single"/>
          </w:rPr>
          <w:t>据说一项有争议的阿尔茨海默氏症手术可以逆转症状——科学家们知道的是</w:t>
        </w:r>
      </w:hyperlink>
    </w:p>
    <w:p>
      <w:pPr>
        <w:spacing w:before="0" w:after="80"/>
      </w:pPr>
      <w:r>
        <w:rPr>
          <w:i/>
          <w:sz w:val="20"/>
        </w:rPr>
        <w:t>EN: A controversial Alzheimer’s surgery is said to reverse symptoms — here’s what scientists know</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35">
        <w:r>
          <w:rPr>
            <w:color w:val="1155CC"/>
            <w:u w:val="single"/>
          </w:rPr>
          <w:t>10.1038/d41586-026-02448-x</w:t>
        </w:r>
      </w:hyperlink>
    </w:p>
    <w:p>
      <w:pPr>
        <w:spacing w:before="0" w:after="120"/>
      </w:pPr>
      <w:r>
        <w:rPr>
          <w:b/>
        </w:rPr>
        <w:t xml:space="preserve">Notes: </w:t>
      </w:r>
      <w:r>
        <w:t>abstract_source=rss_nature</w:t>
      </w:r>
    </w:p>
    <w:p>
      <w:pPr>
        <w:spacing w:before="0" w:after="80" w:lineRule="auto" w:line="276"/>
      </w:pPr>
      <w:r>
        <w:rPr>
          <w:b/>
        </w:rPr>
        <w:t xml:space="preserve">摘要（ZH）: </w:t>
      </w:r>
      <w:r>
        <w:t>令人瞠目结舌的患者视频和神奇的见证在中国引发了人们对一项旨在改善大脑引流的技术的狂热。现在它正在全球范围内进行试验。</w:t>
      </w:r>
    </w:p>
    <w:p>
      <w:pPr>
        <w:spacing w:before="0" w:after="200" w:lineRule="auto" w:line="276"/>
      </w:pPr>
      <w:r>
        <w:rPr>
          <w:b/>
        </w:rPr>
        <w:t xml:space="preserve">Abstract (EN): </w:t>
      </w:r>
      <w:r>
        <w:t>Jaw-dropping patient videos and miraculous testimonials ignited a frenzy in China over a technique that aims to improve drainage from the brain. Now it is entering trials worldwide.</w:t>
      </w:r>
    </w:p>
    <w:p>
      <w:pPr>
        <w:spacing w:before="120" w:after="120"/>
      </w:pPr>
      <w:r>
        <w:rPr>
          <w:sz w:val="18"/>
        </w:rPr>
        <w:t>——————————————————————————————————————————————————————————————————————</w:t>
      </w:r>
    </w:p>
    <w:p>
      <w:pPr>
        <w:spacing w:before="160" w:after="40" w:line="240" w:lineRule="auto"/>
      </w:pPr>
      <w:r>
        <w:rPr>
          <w:b/>
        </w:rPr>
        <w:t xml:space="preserve">[521] </w:t>
      </w:r>
      <w:hyperlink r:id="rId1536">
        <w:r>
          <w:rPr>
            <w:color w:val="1155CC"/>
            <w:u w:val="single"/>
          </w:rPr>
          <w:t>系统滞后</w:t>
        </w:r>
      </w:hyperlink>
    </w:p>
    <w:p>
      <w:pPr>
        <w:spacing w:before="0" w:after="80"/>
      </w:pPr>
      <w:r>
        <w:rPr>
          <w:i/>
          <w:sz w:val="20"/>
        </w:rPr>
        <w:t>EN: System lag</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37">
        <w:r>
          <w:rPr>
            <w:color w:val="1155CC"/>
            <w:u w:val="single"/>
          </w:rPr>
          <w:t>10.1038/d41586-026-02408-5</w:t>
        </w:r>
      </w:hyperlink>
    </w:p>
    <w:p>
      <w:pPr>
        <w:spacing w:before="0" w:after="120"/>
      </w:pPr>
      <w:r>
        <w:rPr>
          <w:b/>
        </w:rPr>
        <w:t xml:space="preserve">Notes: </w:t>
      </w:r>
      <w:r>
        <w:t>abstract_source=nature_html</w:t>
      </w:r>
    </w:p>
    <w:p>
      <w:pPr>
        <w:spacing w:before="0" w:after="80" w:lineRule="auto" w:line="276"/>
      </w:pPr>
      <w:r>
        <w:rPr>
          <w:b/>
        </w:rPr>
        <w:t xml:space="preserve">摘要（ZH）: </w:t>
      </w:r>
      <w:r>
        <w:t>不合适。</w:t>
      </w:r>
    </w:p>
    <w:p>
      <w:pPr>
        <w:spacing w:before="0" w:after="200" w:lineRule="auto" w:line="276"/>
      </w:pPr>
      <w:r>
        <w:rPr>
          <w:b/>
        </w:rPr>
        <w:t xml:space="preserve">Abstract (EN): </w:t>
      </w:r>
      <w:r>
        <w:t>Out of place.</w:t>
      </w:r>
    </w:p>
    <w:p>
      <w:pPr>
        <w:spacing w:before="120" w:after="120"/>
      </w:pPr>
      <w:r>
        <w:rPr>
          <w:sz w:val="18"/>
        </w:rPr>
        <w:t>——————————————————————————————————————————————————————————————————————</w:t>
      </w:r>
    </w:p>
    <w:p>
      <w:pPr>
        <w:spacing w:before="160" w:after="40" w:line="240" w:lineRule="auto"/>
      </w:pPr>
      <w:r>
        <w:rPr>
          <w:b/>
        </w:rPr>
        <w:t xml:space="preserve">[522] </w:t>
      </w:r>
      <w:hyperlink r:id="rId1538">
        <w:r>
          <w:rPr>
            <w:color w:val="1155CC"/>
            <w:u w:val="single"/>
          </w:rPr>
          <w:t>“小红点”的颜色来自气体，而不是灰尘</w:t>
        </w:r>
      </w:hyperlink>
    </w:p>
    <w:p>
      <w:pPr>
        <w:spacing w:before="0" w:after="80"/>
      </w:pPr>
      <w:r>
        <w:rPr>
          <w:i/>
          <w:sz w:val="20"/>
        </w:rPr>
        <w:t>EN: ‘Little red dot’ gets its colour from gas — not dust</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39">
        <w:r>
          <w:rPr>
            <w:color w:val="1155CC"/>
            <w:u w:val="single"/>
          </w:rPr>
          <w:t>10.1038/d41586-026-02290-1</w:t>
        </w:r>
      </w:hyperlink>
    </w:p>
    <w:p>
      <w:pPr>
        <w:spacing w:before="0" w:after="120"/>
      </w:pPr>
      <w:r>
        <w:rPr>
          <w:b/>
        </w:rPr>
        <w:t xml:space="preserve">Notes: </w:t>
      </w:r>
      <w:r>
        <w:t>abstract_source=rss_nature</w:t>
      </w:r>
    </w:p>
    <w:p>
      <w:pPr>
        <w:spacing w:before="0" w:after="80" w:lineRule="auto" w:line="276"/>
      </w:pPr>
      <w:r>
        <w:rPr>
          <w:b/>
        </w:rPr>
        <w:t xml:space="preserve">摘要（ZH）: </w:t>
      </w:r>
      <w:r>
        <w:t>尘埃可以将宇宙染成红色，但致密的天体却被黑洞周围的湍流气体染成红色。</w:t>
      </w:r>
    </w:p>
    <w:p>
      <w:pPr>
        <w:spacing w:before="0" w:after="200" w:lineRule="auto" w:line="276"/>
      </w:pPr>
      <w:r>
        <w:rPr>
          <w:b/>
        </w:rPr>
        <w:t xml:space="preserve">Abstract (EN): </w:t>
      </w:r>
      <w:r>
        <w:t>Dust can tint the cosmos red, but a compact astronomical object is coloured by turbulent gas around a black hole.</w:t>
      </w:r>
    </w:p>
    <w:p>
      <w:pPr>
        <w:spacing w:before="120" w:after="120"/>
      </w:pPr>
      <w:r>
        <w:rPr>
          <w:sz w:val="18"/>
        </w:rPr>
        <w:t>——————————————————————————————————————————————————————————————————————</w:t>
      </w:r>
    </w:p>
    <w:p>
      <w:pPr>
        <w:spacing w:before="160" w:after="40" w:line="240" w:lineRule="auto"/>
      </w:pPr>
      <w:r>
        <w:rPr>
          <w:b/>
        </w:rPr>
        <w:t xml:space="preserve">[523] </w:t>
      </w:r>
      <w:hyperlink r:id="rId1540">
        <w:r>
          <w:rPr>
            <w:color w:val="1155CC"/>
            <w:u w:val="single"/>
          </w:rPr>
          <w:t>由力构成的粒子：物理学家称他们发现了神秘的“胶球”</w:t>
        </w:r>
      </w:hyperlink>
    </w:p>
    <w:p>
      <w:pPr>
        <w:spacing w:before="0" w:after="80"/>
      </w:pPr>
      <w:r>
        <w:rPr>
          <w:i/>
          <w:sz w:val="20"/>
        </w:rPr>
        <w:t>EN: A particle made of force: physicists say they’ve found mysterious ‘glueball’</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41">
        <w:r>
          <w:rPr>
            <w:color w:val="1155CC"/>
            <w:u w:val="single"/>
          </w:rPr>
          <w:t>10.1038/d41586-026-02498-1</w:t>
        </w:r>
      </w:hyperlink>
    </w:p>
    <w:p>
      <w:pPr>
        <w:spacing w:before="0" w:after="120"/>
      </w:pPr>
      <w:r>
        <w:rPr>
          <w:b/>
        </w:rPr>
        <w:t xml:space="preserve">Notes: </w:t>
      </w:r>
      <w:r>
        <w:t>abstract_source=rss_nature</w:t>
      </w:r>
    </w:p>
    <w:p>
      <w:pPr>
        <w:spacing w:before="0" w:after="80" w:lineRule="auto" w:line="276"/>
      </w:pPr>
      <w:r>
        <w:rPr>
          <w:b/>
        </w:rPr>
        <w:t xml:space="preserve">摘要（ZH）: </w:t>
      </w:r>
      <w:r>
        <w:t>科学家们很早就预测了由胶子构成的粒子的存在，但检测它却花了几十年的时间。</w:t>
      </w:r>
    </w:p>
    <w:p>
      <w:pPr>
        <w:spacing w:before="0" w:after="200" w:lineRule="auto" w:line="276"/>
      </w:pPr>
      <w:r>
        <w:rPr>
          <w:b/>
        </w:rPr>
        <w:t xml:space="preserve">Abstract (EN): </w:t>
      </w:r>
      <w:r>
        <w:t>Scientists have predicted the existence of a particle made of gluons for a long time, but detecting it has taken decades.</w:t>
      </w:r>
    </w:p>
    <w:p>
      <w:pPr>
        <w:spacing w:before="120" w:after="120"/>
      </w:pPr>
      <w:r>
        <w:rPr>
          <w:sz w:val="18"/>
        </w:rPr>
        <w:t>——————————————————————————————————————————————————————————————————————</w:t>
      </w:r>
    </w:p>
    <w:p>
      <w:pPr>
        <w:spacing w:before="160" w:after="40" w:line="240" w:lineRule="auto"/>
      </w:pPr>
      <w:r>
        <w:rPr>
          <w:b/>
        </w:rPr>
        <w:t xml:space="preserve">[524] </w:t>
      </w:r>
      <w:hyperlink r:id="rId1542">
        <w:r>
          <w:rPr>
            <w:color w:val="1155CC"/>
            <w:u w:val="single"/>
          </w:rPr>
          <w:t>弓形激波揭示了垂死恒星如何将物质返回星际空间</w:t>
        </w:r>
      </w:hyperlink>
    </w:p>
    <w:p>
      <w:pPr>
        <w:spacing w:before="0" w:after="80"/>
      </w:pPr>
      <w:r>
        <w:rPr>
          <w:i/>
          <w:sz w:val="20"/>
        </w:rPr>
        <w:t>EN: Bow shocks reveal how a dying star returns matter to interstellar space</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43">
        <w:r>
          <w:rPr>
            <w:color w:val="1155CC"/>
            <w:u w:val="single"/>
          </w:rPr>
          <w:t>10.1038/d41586-026-02159-3</w:t>
        </w:r>
      </w:hyperlink>
    </w:p>
    <w:p>
      <w:pPr>
        <w:spacing w:before="0" w:after="120"/>
      </w:pPr>
      <w:r>
        <w:rPr>
          <w:b/>
        </w:rPr>
        <w:t xml:space="preserve">Notes: </w:t>
      </w:r>
      <w:r>
        <w:t>abstract_source=openalex</w:t>
      </w:r>
    </w:p>
    <w:p>
      <w:pPr>
        <w:spacing w:before="0" w:after="80" w:lineRule="auto" w:line="276"/>
      </w:pPr>
      <w:r>
        <w:rPr>
          <w:b/>
        </w:rPr>
        <w:t xml:space="preserve">摘要（ZH）: </w:t>
      </w:r>
      <w:r>
        <w:t>对螺旋星云中电离气体的深度成像发现了一颗垂死的类太阳恒星周围有许多弯曲的冲击波。这些“弓形激波”是当恒星物质的弹射壳破裂并向外冲出时产生的。它们不断变化的形状意味着这些贝壳碎片在大约一万年的时间里被剥离、撕碎并混合成星际气体。高分辨率成像揭示了螺旋星云中的弯曲冲击波。</w:t>
      </w:r>
    </w:p>
    <w:p>
      <w:pPr>
        <w:spacing w:before="0" w:after="200" w:lineRule="auto" w:line="276"/>
      </w:pPr>
      <w:r>
        <w:rPr>
          <w:b/>
        </w:rPr>
        <w:t xml:space="preserve">Abstract (EN): </w:t>
      </w:r>
      <w:r>
        <w:t>Deep imaging of ionized gas in the Helix Nebula uncovers many curved shock waves around a dying Sun-like star. These ‘bow shocks’ are produced when ejected shells of stellar material break up and race outwards. Their changing shapes imply that the shell fragments are being stripped, shredded and mixed into interstellar gas over roughly 10,000 years. High-resolution imaging reveals curved shock waves in the Helix Nebula.</w:t>
      </w:r>
    </w:p>
    <w:p>
      <w:pPr>
        <w:spacing w:before="120" w:after="120"/>
      </w:pPr>
      <w:r>
        <w:rPr>
          <w:sz w:val="18"/>
        </w:rPr>
        <w:t>——————————————————————————————————————————————————————————————————————</w:t>
      </w:r>
    </w:p>
    <w:p>
      <w:pPr>
        <w:spacing w:before="160" w:after="40" w:line="240" w:lineRule="auto"/>
      </w:pPr>
      <w:r>
        <w:rPr>
          <w:b/>
        </w:rPr>
        <w:t xml:space="preserve">[525] </w:t>
      </w:r>
      <w:hyperlink r:id="rId1544">
        <w:r>
          <w:rPr>
            <w:color w:val="1155CC"/>
            <w:u w:val="single"/>
          </w:rPr>
          <w:t>海洋温度将打破历史记录：接下来会发生什么？</w:t>
        </w:r>
      </w:hyperlink>
    </w:p>
    <w:p>
      <w:pPr>
        <w:spacing w:before="0" w:after="80"/>
      </w:pPr>
      <w:r>
        <w:rPr>
          <w:i/>
          <w:sz w:val="20"/>
        </w:rPr>
        <w:t>EN: Ocean temperatures set to break all-time record: what’s next?</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45">
        <w:r>
          <w:rPr>
            <w:color w:val="1155CC"/>
            <w:u w:val="single"/>
          </w:rPr>
          <w:t>10.1038/d41586-026-02496-3</w:t>
        </w:r>
      </w:hyperlink>
    </w:p>
    <w:p>
      <w:pPr>
        <w:spacing w:before="0" w:after="120"/>
      </w:pPr>
      <w:r>
        <w:rPr>
          <w:b/>
        </w:rPr>
        <w:t xml:space="preserve">Notes: </w:t>
      </w:r>
      <w:r>
        <w:t>abstract_source=rss_nature</w:t>
      </w:r>
    </w:p>
    <w:p>
      <w:pPr>
        <w:spacing w:before="0" w:after="80" w:lineRule="auto" w:line="276"/>
      </w:pPr>
      <w:r>
        <w:rPr>
          <w:b/>
        </w:rPr>
        <w:t xml:space="preserve">摘要（ZH）: </w:t>
      </w:r>
      <w:r>
        <w:t>高海面温度预计会削弱海洋碳汇并损害珊瑚礁。</w:t>
      </w:r>
    </w:p>
    <w:p>
      <w:pPr>
        <w:spacing w:before="0" w:after="200" w:lineRule="auto" w:line="276"/>
      </w:pPr>
      <w:r>
        <w:rPr>
          <w:b/>
        </w:rPr>
        <w:t xml:space="preserve">Abstract (EN): </w:t>
      </w:r>
      <w:r>
        <w:t>High sea surface temperatures are expected to weaken ocean carbon sinks and damage coral reefs.</w:t>
      </w:r>
    </w:p>
    <w:p>
      <w:pPr>
        <w:spacing w:before="120" w:after="120"/>
      </w:pPr>
      <w:r>
        <w:rPr>
          <w:sz w:val="18"/>
        </w:rPr>
        <w:t>——————————————————————————————————————————————————————————————————————</w:t>
      </w:r>
    </w:p>
    <w:p>
      <w:pPr>
        <w:spacing w:before="160" w:after="40" w:line="240" w:lineRule="auto"/>
      </w:pPr>
      <w:r>
        <w:rPr>
          <w:b/>
        </w:rPr>
        <w:t xml:space="preserve">[526] </w:t>
      </w:r>
      <w:hyperlink r:id="rId1546">
        <w:r>
          <w:rPr>
            <w:color w:val="1155CC"/>
            <w:u w:val="single"/>
          </w:rPr>
          <w:t>人脑如何同时追求两个目标</w:t>
        </w:r>
      </w:hyperlink>
    </w:p>
    <w:p>
      <w:pPr>
        <w:spacing w:before="0" w:after="80"/>
      </w:pPr>
      <w:r>
        <w:rPr>
          <w:i/>
          <w:sz w:val="20"/>
        </w:rPr>
        <w:t>EN: How the human brain can pursue two goals at the same time</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47">
        <w:r>
          <w:rPr>
            <w:color w:val="1155CC"/>
            <w:u w:val="single"/>
          </w:rPr>
          <w:t>10.1038/d41586-026-02395-7</w:t>
        </w:r>
      </w:hyperlink>
    </w:p>
    <w:p>
      <w:pPr>
        <w:spacing w:before="0" w:after="120"/>
      </w:pPr>
      <w:r>
        <w:rPr>
          <w:b/>
        </w:rPr>
        <w:t xml:space="preserve">Notes: </w:t>
      </w:r>
      <w:r>
        <w:t>abstract_source=openalex</w:t>
      </w:r>
    </w:p>
    <w:p>
      <w:pPr>
        <w:spacing w:before="0" w:after="80" w:lineRule="auto" w:line="276"/>
      </w:pPr>
      <w:r>
        <w:rPr>
          <w:b/>
        </w:rPr>
        <w:t xml:space="preserve">摘要（ZH）: </w:t>
      </w:r>
      <w:r>
        <w:t>在自然界中，动物可以混合策略，以便同时实现多个目标。一种称为控制理论的工程方法被用来推断人们在玩简单视频游戏时的目标，并展示了三个大脑区域如何协同工作来实现目标混合。神经元记录显示，当存在多个目标时，三个大脑区域如何编码“目标混合”变量。</w:t>
      </w:r>
    </w:p>
    <w:p>
      <w:pPr>
        <w:spacing w:before="0" w:after="200" w:lineRule="auto" w:line="276"/>
      </w:pPr>
      <w:r>
        <w:rPr>
          <w:b/>
        </w:rPr>
        <w:t xml:space="preserve">Abstract (EN): </w:t>
      </w:r>
      <w:r>
        <w:t>In the natural world, an animal can blend strategies so it can advance towards several goals at the same time. An engineering approach called control theory was used to infer people’s goals while they played a simple video game, and showed how three brain regions work together to implement goal blending. Neuronal recordings show how three brain areas encode a ‘goal-blending’ variable when there is more than one target.</w:t>
      </w:r>
    </w:p>
    <w:p>
      <w:pPr>
        <w:spacing w:before="120" w:after="120"/>
      </w:pPr>
      <w:r>
        <w:rPr>
          <w:sz w:val="18"/>
        </w:rPr>
        <w:t>——————————————————————————————————————————————————————————————————————</w:t>
      </w:r>
    </w:p>
    <w:p>
      <w:pPr>
        <w:spacing w:before="160" w:after="40" w:line="240" w:lineRule="auto"/>
      </w:pPr>
      <w:r>
        <w:rPr>
          <w:b/>
        </w:rPr>
        <w:t xml:space="preserve">[527] </w:t>
      </w:r>
      <w:hyperlink r:id="rId1548">
        <w:r>
          <w:rPr>
            <w:color w:val="1155CC"/>
            <w:u w:val="single"/>
          </w:rPr>
          <w:t>支持发光反应的超分辨率成像</w:t>
        </w:r>
      </w:hyperlink>
    </w:p>
    <w:p>
      <w:pPr>
        <w:spacing w:before="0" w:after="80"/>
      </w:pPr>
      <w:r>
        <w:rPr>
          <w:i/>
          <w:sz w:val="20"/>
        </w:rPr>
        <w:t>EN: Luminescent-reaction-enabled super-resolution imaging</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49">
        <w:r>
          <w:rPr>
            <w:color w:val="1155CC"/>
            <w:u w:val="single"/>
          </w:rPr>
          <w:t>10.1038/s41586-026-10889-7</w:t>
        </w:r>
      </w:hyperlink>
    </w:p>
    <w:p>
      <w:pPr>
        <w:spacing w:before="0" w:after="120"/>
      </w:pPr>
      <w:r>
        <w:rPr>
          <w:b/>
        </w:rPr>
        <w:t xml:space="preserve">Notes: </w:t>
      </w:r>
      <w:r>
        <w:t>abstract_source=openalex</w:t>
      </w:r>
    </w:p>
    <w:p>
      <w:pPr>
        <w:spacing w:before="0" w:after="80" w:lineRule="auto" w:line="276"/>
      </w:pPr>
      <w:r>
        <w:rPr>
          <w:b/>
        </w:rPr>
        <w:t xml:space="preserve">摘要（ZH）: </w:t>
      </w:r>
      <w:r>
        <w:t>通过突破光学衍射极限，超分辨率荧光显微镜增进了我们对光激发发光框架下生物复杂性的理解。外部光激发的使用仍然是决定基于荧光的方法的成像能力和活细胞兼容性的关键因素2。另一种选择是反应激发发光，例如电化学发光 (ECL)3、化学发光 (CL)4 和生物发光 (BL)5，提供化学定义的工具箱，用于实现从超灵敏分析6,7 到生物相容性成像8,9 的不同成像优点。尽管具有无光激发和高灵敏度，但由于光子预算低，传统的发光反应成像从根本上限制了时空分辨率10,11。在这里，我们开发了一种基于化学的超分辨率成像框架，通过熵权相关与反卷积（RIED）相结合的发光反应实现超分辨率成像。作为一种实验-计算概念，RIED 引入了一种时空记录策略来揭示特定的发光反应成像信息内容，使用适合反应驱动光子统计的重建策略来有效地收集和计算这些信息内容，以实现超分辨率。我们实现了细胞内细胞器的超分辨率 ECL、CL 和 BL 成像，分辨率达到约 100 nm。该方法用于表面蛋白的高灵敏度成像和41小时超长期连续超分辨率活细胞成像</w:t>
      </w:r>
    </w:p>
    <w:p>
      <w:pPr>
        <w:spacing w:before="0" w:after="200" w:lineRule="auto" w:line="276"/>
      </w:pPr>
      <w:r>
        <w:rPr>
          <w:b/>
        </w:rPr>
        <w:t xml:space="preserve">Abstract (EN): </w:t>
      </w:r>
      <w:r>
        <w:t>By breaking the optical diffraction limit, super-resolution fluorescence microscopy has advanced our understanding of biological complexity under the framework of light-excited luminescence1. The use of external light excitation remains a key factor that shapes the imaging capabilities and live-cell compatibility of fluorescence-based approaches2. An alternative is the reaction-excited luminescence, such as electrochemiluminescence (ECL)3, chemiluminescence (CL)4 and bioluminescence (BL)5, providing a chemically defined toolbox for enabling different imaging merits, from ultrasensitive analysis6,7 to biocompatible imaging8,9. Despite its light-free excitation and high sensitivity, conventional luminescent-reaction-enabled imaging is fundamentally limited in spatiotemporal resolution owing to low photon budget10,11. Here we develop a chemistry-based super-resolution imaging framework, luminescent-reaction-enabled super-resolution imaging via entropy-weighted correlation combined with deconvolution (RIED). As an experimental–computational concept, RIED introduces a spatiotemporal recording strategy to uncover specific luminescent-reaction-enabled imaging information content, which is efficiently collected and computed to achieve super resolution using a reconstruction strategy adapted to reaction-driven photon statistics. We achieve super-resolution ECL, CL and BL imaging of intracellular organelles, attaining approximately 100 nm resolution. This approach is used for highly sensitive imaging of surface proteins and 41-h ultralong-term continuous super-resolution live-cell imaging of mitochondrial transfer dynamics. Our work establishes an emerging class of chemistry-enabled, laser-free super-resolution microscopy with expanded biological imaging versatilities. A new chemistry-based super-resolution imaging framework is described, enabling 3D, laser-free, highly sensitive and ultralong-term imaging of live cells which overcomes the limitations in spatiotemporal resolution associated with reaction-based imaging methods.</w:t>
      </w:r>
    </w:p>
    <w:p>
      <w:pPr>
        <w:spacing w:before="120" w:after="120"/>
      </w:pPr>
      <w:r>
        <w:rPr>
          <w:sz w:val="18"/>
        </w:rPr>
        <w:t>——————————————————————————————————————————————————————————————————————</w:t>
      </w:r>
    </w:p>
    <w:p>
      <w:pPr>
        <w:spacing w:before="160" w:after="40" w:line="240" w:lineRule="auto"/>
      </w:pPr>
      <w:r>
        <w:rPr>
          <w:b/>
        </w:rPr>
        <w:t xml:space="preserve">[528] </w:t>
      </w:r>
      <w:hyperlink r:id="rId1550">
        <w:r>
          <w:rPr>
            <w:color w:val="1155CC"/>
            <w:u w:val="single"/>
          </w:rPr>
          <w:t>高维光学计算的偏振度调制</w:t>
        </w:r>
      </w:hyperlink>
    </w:p>
    <w:p>
      <w:pPr>
        <w:spacing w:before="0" w:after="80"/>
      </w:pPr>
      <w:r>
        <w:rPr>
          <w:i/>
          <w:sz w:val="20"/>
        </w:rPr>
        <w:t>EN: Degree-of-polarization modulation for high-dimensional optical computing</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51">
        <w:r>
          <w:rPr>
            <w:color w:val="1155CC"/>
            <w:u w:val="single"/>
          </w:rPr>
          <w:t>10.1038/s41586-026-10891-z</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空间光调制是现代光子学的基石。光子信息处理的关键进展</w:t>
      </w:r>
      <w:r>
        <w:t xml:space="preserve"> </w:t>
      </w:r>
      <w:r>
        <w:t>1–3</w:t>
      </w:r>
      <w:r>
        <w:t xml:space="preserve"> </w:t>
      </w:r>
      <w:r>
        <w:t>依赖于光学相位的空间操纵</w:t>
      </w:r>
      <w:r>
        <w:t xml:space="preserve"> </w:t>
      </w:r>
      <w:r>
        <w:t>4–12</w:t>
      </w:r>
      <w:r>
        <w:t xml:space="preserve"> </w:t>
      </w:r>
      <w:r>
        <w:t>和偏振态 (SOP)</w:t>
      </w:r>
      <w:r>
        <w:t xml:space="preserve"> </w:t>
      </w:r>
      <w:r>
        <w:t>13–27</w:t>
      </w:r>
      <w:r>
        <w:t xml:space="preserve"> </w:t>
      </w:r>
      <w:r>
        <w:t>。偏振度（DOP）</w:t>
      </w:r>
      <w:r>
        <w:t xml:space="preserve"> </w:t>
      </w:r>
      <w:r>
        <w:t>28–30</w:t>
      </w:r>
      <w:r>
        <w:t xml:space="preserve"> </w:t>
      </w:r>
      <w:r>
        <w:t>是可以作为额外资源的基本属性。然而，目前尚不存在能够以可编程方式对DOP进行空间调制的技术</w:t>
      </w:r>
      <w:r>
        <w:t xml:space="preserve"> </w:t>
      </w:r>
      <w:r>
        <w:t>31–34</w:t>
      </w:r>
      <w:r>
        <w:t xml:space="preserve"> </w:t>
      </w:r>
      <w:r>
        <w:t>。在这里，我们演示了空间 DOP 调制，从而实现了对光的新自由度的控制。通过使用纯相位空间光调制器设计微米级的偏振统计数据，我们通过完全可编程的 SOP 和 DOP 实现了超过 1,024 种空间模式。这种结构光的偏振内容被雕刻成任意形状，可以在高维空间中直接编码信息。我们通过使用红-绿-蓝空间和庞加莱球体体积之间的一对一映射，将彩色图像编码到单波长激光中。偏振颜色扩展了光学计算和加密方案的维度，如 (1) 通过高维光子神经网络对彩色图像进行完全并行光子分类和 (2) 高安全性多维光学加密所证明的那样。这些光学处理方法</w:t>
      </w:r>
    </w:p>
    <w:p>
      <w:pPr>
        <w:spacing w:before="0" w:after="200" w:lineRule="auto" w:line="276"/>
      </w:pPr>
      <w:r>
        <w:rPr>
          <w:b/>
        </w:rPr>
        <w:t xml:space="preserve">Abstract (EN): </w:t>
      </w:r>
      <w:r>
        <w:t>Spatial light modulation is a cornerstone of modern photonics. Crucial advances in photonic information processing</w:t>
      </w:r>
      <w:r>
        <w:t xml:space="preserve"> </w:t>
      </w:r>
      <w:r>
        <w:t>1–3</w:t>
      </w:r>
      <w:r>
        <w:t xml:space="preserve"> </w:t>
      </w:r>
      <w:r>
        <w:t>rely on the spatial manipulation of the optical phase</w:t>
      </w:r>
      <w:r>
        <w:t xml:space="preserve"> </w:t>
      </w:r>
      <w:r>
        <w:t>4–12</w:t>
      </w:r>
      <w:r>
        <w:t xml:space="preserve"> </w:t>
      </w:r>
      <w:r>
        <w:t>and state of polarization (SOP)</w:t>
      </w:r>
      <w:r>
        <w:t xml:space="preserve"> </w:t>
      </w:r>
      <w:r>
        <w:t>13–27</w:t>
      </w:r>
      <w:r>
        <w:t xml:space="preserve"> </w:t>
      </w:r>
      <w:r>
        <w:t>. The degree of polarization (DOP)</w:t>
      </w:r>
      <w:r>
        <w:t xml:space="preserve"> </w:t>
      </w:r>
      <w:r>
        <w:t>28–30</w:t>
      </w:r>
      <w:r>
        <w:t xml:space="preserve"> </w:t>
      </w:r>
      <w:r>
        <w:t>is a fundamental property that can serve as an extra resource. However, no technology exists at present that can spatially modulate the DOP in a programmable manner</w:t>
      </w:r>
      <w:r>
        <w:t xml:space="preserve"> </w:t>
      </w:r>
      <w:r>
        <w:t>31–34</w:t>
      </w:r>
      <w:r>
        <w:t xml:space="preserve"> </w:t>
      </w:r>
      <w:r>
        <w:t>. Here we demonstrate spatial DOP modulation, thereby achieving control over a new degree of freedom of light. By engineering the polarization statistics at the micrometre scale with a phase-only spatial light modulator, we realize more than 1,024 spatial modes with fully programmable SOP and DOP. This structured light, sculpted in its polarization content to arbitrary shapes, enables direct encoding of information in a high-dimensional space. We encode colour images into a single-wavelength laser by using a one-to-one mapping between the red–green–blue space and the volume of the Poincaré sphere. Polarization colours expand the dimensionality of optical computing and encryption schemes, as demonstrated by (1) fully parallel photonic classification of colour images by a high-dimensional photonic neural network and (2) high-security multidimensional optical encryption. These approaches to optical processing of high-dimensional data highlight the opportunities enabled by DOP modulation in photonics, cryptography and computing.</w:t>
      </w:r>
    </w:p>
    <w:p>
      <w:pPr>
        <w:spacing w:before="120" w:after="120"/>
      </w:pPr>
      <w:r>
        <w:rPr>
          <w:sz w:val="18"/>
        </w:rPr>
        <w:t>——————————————————————————————————————————————————————————————————————</w:t>
      </w:r>
    </w:p>
    <w:p>
      <w:pPr>
        <w:spacing w:before="160" w:after="40" w:line="240" w:lineRule="auto"/>
      </w:pPr>
      <w:r>
        <w:rPr>
          <w:b/>
        </w:rPr>
        <w:t xml:space="preserve">[529] </w:t>
      </w:r>
      <w:hyperlink r:id="rId1552">
        <w:r>
          <w:rPr>
            <w:color w:val="1155CC"/>
            <w:u w:val="single"/>
          </w:rPr>
          <w:t>巨型气球带来了银河系中心的新视角</w:t>
        </w:r>
      </w:hyperlink>
    </w:p>
    <w:p>
      <w:pPr>
        <w:spacing w:before="0" w:after="80"/>
      </w:pPr>
      <w:r>
        <w:rPr>
          <w:i/>
          <w:sz w:val="20"/>
        </w:rPr>
        <w:t>EN: Giant balloon gives rise to new view of the Milky Way’s centre</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53">
        <w:r>
          <w:rPr>
            <w:color w:val="1155CC"/>
            <w:u w:val="single"/>
          </w:rPr>
          <w:t>10.1038/d41586-026-02463-y</w:t>
        </w:r>
      </w:hyperlink>
    </w:p>
    <w:p>
      <w:pPr>
        <w:spacing w:before="0" w:after="120"/>
      </w:pPr>
      <w:r>
        <w:rPr>
          <w:b/>
        </w:rPr>
        <w:t xml:space="preserve">Notes: </w:t>
      </w:r>
      <w:r>
        <w:t>abstract_source=rss_nature</w:t>
      </w:r>
    </w:p>
    <w:p>
      <w:pPr>
        <w:spacing w:before="0" w:after="80" w:lineRule="auto" w:line="276"/>
      </w:pPr>
      <w:r>
        <w:rPr>
          <w:b/>
        </w:rPr>
        <w:t xml:space="preserve">摘要（ZH）: </w:t>
      </w:r>
      <w:r>
        <w:t>机载相机收集有关从银河系核心发出的高能粒子的数据。</w:t>
      </w:r>
    </w:p>
    <w:p>
      <w:pPr>
        <w:spacing w:before="0" w:after="200" w:lineRule="auto" w:line="276"/>
      </w:pPr>
      <w:r>
        <w:rPr>
          <w:b/>
        </w:rPr>
        <w:t xml:space="preserve">Abstract (EN): </w:t>
      </w:r>
      <w:r>
        <w:t>Airborne camera gathers data about the high-energy particles emanating from the core of our Galaxy.</w:t>
      </w:r>
    </w:p>
    <w:p>
      <w:pPr>
        <w:spacing w:before="120" w:after="120"/>
      </w:pPr>
      <w:r>
        <w:rPr>
          <w:sz w:val="18"/>
        </w:rPr>
        <w:t>——————————————————————————————————————————————————————————————————————</w:t>
      </w:r>
    </w:p>
    <w:p>
      <w:pPr>
        <w:spacing w:before="160" w:after="40" w:line="240" w:lineRule="auto"/>
      </w:pPr>
      <w:r>
        <w:rPr>
          <w:b/>
        </w:rPr>
        <w:t xml:space="preserve">[530] </w:t>
      </w:r>
      <w:hyperlink r:id="rId1554">
        <w:r>
          <w:rPr>
            <w:color w:val="1155CC"/>
            <w:u w:val="single"/>
          </w:rPr>
          <w:t>回复：临床前数据解读需要临床背景</w:t>
        </w:r>
      </w:hyperlink>
    </w:p>
    <w:p>
      <w:pPr>
        <w:spacing w:before="0" w:after="80"/>
      </w:pPr>
      <w:r>
        <w:rPr>
          <w:i/>
          <w:sz w:val="20"/>
        </w:rPr>
        <w:t>EN: Reply to: Pre-clinical data interpretation requires clinical context</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55">
        <w:r>
          <w:rPr>
            <w:color w:val="1155CC"/>
            <w:u w:val="single"/>
          </w:rPr>
          <w:t>10.1038/s41586-026-10773-4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[531] </w:t>
      </w:r>
      <w:hyperlink r:id="rId1556">
        <w:r>
          <w:rPr>
            <w:color w:val="1155CC"/>
            <w:u w:val="single"/>
          </w:rPr>
          <w:t>用于增强氦分子筛分的配位调节 6FDA-聚酰亚胺膜</w:t>
        </w:r>
      </w:hyperlink>
    </w:p>
    <w:p>
      <w:pPr>
        <w:spacing w:before="0" w:after="80"/>
      </w:pPr>
      <w:r>
        <w:rPr>
          <w:i/>
          <w:sz w:val="20"/>
        </w:rPr>
        <w:t>EN: Coordination-modulated 6FDA-polyimide membranes for enhanced helium molecular sieving</w:t>
      </w:r>
    </w:p>
    <w:p>
      <w:pPr>
        <w:spacing w:before="0" w:after="120"/>
      </w:pPr>
      <w:r>
        <w:rPr>
          <w:b/>
        </w:rPr>
        <w:t xml:space="preserve">Source: </w:t>
      </w:r>
      <w:r>
        <w:t>Chem</w:t>
      </w:r>
      <w:r>
        <w:t xml:space="preserve">    </w:t>
      </w:r>
      <w:r>
        <w:rPr>
          <w:b/>
        </w:rPr>
        <w:t xml:space="preserve">Pub date: </w:t>
      </w:r>
      <w:r>
        <w:t>2026-08-12 00:00:00+00:00</w:t>
      </w:r>
      <w:r>
        <w:t xml:space="preserve">    </w:t>
      </w:r>
      <w:r>
        <w:rPr>
          <w:b/>
        </w:rPr>
        <w:t xml:space="preserve">DOI: </w:t>
      </w:r>
      <w:hyperlink r:id="rId1557">
        <w:r>
          <w:rPr>
            <w:color w:val="1155CC"/>
            <w:u w:val="single"/>
          </w:rPr>
          <w:t>10.1016/j.chempr.2026.103200</w:t>
        </w:r>
      </w:hyperlink>
    </w:p>
    <w:p>
      <w:pPr>
        <w:spacing w:before="0" w:after="120"/>
      </w:pPr>
      <w:r>
        <w:rPr>
          <w:b/>
        </w:rPr>
        <w:t xml:space="preserve">Notes: </w:t>
      </w:r>
      <w:r>
        <w:t>abstract_source=rss_cell</w:t>
      </w:r>
    </w:p>
    <w:p>
      <w:pPr>
        <w:spacing w:before="0" w:after="80" w:lineRule="auto" w:line="276"/>
      </w:pPr>
      <w:r>
        <w:rPr>
          <w:b/>
        </w:rPr>
        <w:t xml:space="preserve">摘要（ZH）: </w:t>
      </w:r>
      <w:r>
        <w:t>氦气的价值越来越高，但有效分离氦气仍然很困难。这项工作表明，金属配位可以重组聚合物链以创建高度选择性的分子途径，从而提供一种简单的策略来提高膜性能，超越传统的权衡。</w:t>
      </w:r>
    </w:p>
    <w:p>
      <w:pPr>
        <w:spacing w:before="0" w:after="200" w:lineRule="auto" w:line="276"/>
      </w:pPr>
      <w:r>
        <w:rPr>
          <w:b/>
        </w:rPr>
        <w:t xml:space="preserve">Abstract (EN): </w:t>
      </w:r>
      <w:r>
        <w:t>Helium is increasingly valuable, but separating it efficiently remains difficult. This work shows that metal coordination can reorganize polymer chains to create highly selective molecular pathways, thereby providing a simple strategy to improve membrane performance beyond conventional trade-offs.</w:t>
      </w:r>
    </w:p>
    <w:p>
      <w:pPr>
        <w:spacing w:before="120" w:after="120"/>
      </w:pPr>
      <w:r>
        <w:rPr>
          <w:sz w:val="18"/>
        </w:rPr>
        <w:t>——————————————————————————————————————————————————————————————————————</w:t>
      </w:r>
    </w:p>
    <w:p>
      <w:pPr>
        <w:spacing w:before="160" w:after="40" w:line="240" w:lineRule="auto"/>
      </w:pPr>
      <w:r>
        <w:rPr>
          <w:b/>
        </w:rPr>
        <w:t xml:space="preserve">[532] </w:t>
      </w:r>
      <w:hyperlink r:id="rId1558">
        <w:r>
          <w:rPr>
            <w:color w:val="1155CC"/>
            <w:u w:val="single"/>
          </w:rPr>
          <w:t>临床前数据解释需要临床背景</w:t>
        </w:r>
      </w:hyperlink>
    </w:p>
    <w:p>
      <w:pPr>
        <w:spacing w:before="0" w:after="80"/>
      </w:pPr>
      <w:r>
        <w:rPr>
          <w:i/>
          <w:sz w:val="20"/>
        </w:rPr>
        <w:t>EN: Pre-clinical data interpretation requires clinical context</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59">
        <w:r>
          <w:rPr>
            <w:color w:val="1155CC"/>
            <w:u w:val="single"/>
          </w:rPr>
          <w:t>10.1038/s41586-026-10774-3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[533] </w:t>
      </w:r>
      <w:hyperlink r:id="rId1560">
        <w:r>
          <w:rPr>
            <w:color w:val="1155CC"/>
            <w:u w:val="single"/>
          </w:rPr>
          <w:t>响尾蛇自身的抗毒液也可以保护人类</w:t>
        </w:r>
      </w:hyperlink>
    </w:p>
    <w:p>
      <w:pPr>
        <w:spacing w:before="0" w:after="80"/>
      </w:pPr>
      <w:r>
        <w:rPr>
          <w:i/>
          <w:sz w:val="20"/>
        </w:rPr>
        <w:t>EN: Rattlesnakes’ own anti-venom could protect humans too</w:t>
      </w:r>
    </w:p>
    <w:p>
      <w:pPr>
        <w:spacing w:before="0" w:after="120"/>
      </w:pPr>
      <w:r>
        <w:rPr>
          <w:b/>
        </w:rPr>
        <w:t xml:space="preserve">Source: </w:t>
      </w:r>
      <w:r>
        <w:t>Nature</w:t>
      </w:r>
      <w:r>
        <w:t xml:space="preserve">    </w:t>
      </w:r>
      <w:r>
        <w:rPr>
          <w:b/>
        </w:rPr>
        <w:t xml:space="preserve">Pub date: </w:t>
      </w:r>
      <w:r>
        <w:t>2026-08-12 00:00:00+00:00</w:t>
      </w:r>
      <w:r>
        <w:t xml:space="preserve">    </w:t>
      </w:r>
      <w:r>
        <w:rPr>
          <w:b/>
        </w:rPr>
        <w:t xml:space="preserve">DOI: </w:t>
      </w:r>
      <w:hyperlink r:id="rId1561">
        <w:r>
          <w:rPr>
            <w:color w:val="1155CC"/>
            <w:u w:val="single"/>
          </w:rPr>
          <w:t>10.1038/d41586-026-02461-0</w:t>
        </w:r>
      </w:hyperlink>
    </w:p>
    <w:p>
      <w:pPr>
        <w:spacing w:before="0" w:after="120"/>
      </w:pPr>
      <w:r>
        <w:rPr>
          <w:b/>
        </w:rPr>
        <w:t xml:space="preserve">Notes: </w:t>
      </w:r>
      <w:r>
        <w:t>abstract_source=rss_nature</w:t>
      </w:r>
    </w:p>
    <w:p>
      <w:pPr>
        <w:spacing w:before="0" w:after="80" w:lineRule="auto" w:line="276"/>
      </w:pPr>
      <w:r>
        <w:rPr>
          <w:b/>
        </w:rPr>
        <w:t xml:space="preserve">摘要（ZH）: </w:t>
      </w:r>
      <w:r>
        <w:t>蛇血中的蛋白质混合物可以防止注射致命剂量毒液的小鼠死亡。</w:t>
      </w:r>
    </w:p>
    <w:p>
      <w:pPr>
        <w:spacing w:before="0" w:after="200" w:lineRule="auto" w:line="276"/>
      </w:pPr>
      <w:r>
        <w:rPr>
          <w:b/>
        </w:rPr>
        <w:t xml:space="preserve">Abstract (EN): </w:t>
      </w:r>
      <w:r>
        <w:t>A mixture of proteins in snake blood can prevent the death of mice injected with an otherwise lethal dose of venom.</w:t>
      </w:r>
    </w:p>
    <w:p>
      <w:pPr>
        <w:spacing w:before="120" w:after="120"/>
      </w:pPr>
      <w:r>
        <w:rPr>
          <w:sz w:val="18"/>
        </w:rPr>
        <w:t>——————————————————————————————————————————————————————————————————————</w:t>
      </w:r>
    </w:p>
    <w:p>
      <w:pPr>
        <w:spacing w:before="160" w:after="40" w:line="240" w:lineRule="auto"/>
      </w:pPr>
      <w:r>
        <w:rPr>
          <w:b/>
        </w:rPr>
        <w:t xml:space="preserve">[534] </w:t>
      </w:r>
      <w:hyperlink r:id="rId1562">
        <w:r>
          <w:rPr>
            <w:color w:val="1155CC"/>
            <w:u w:val="single"/>
          </w:rPr>
          <w:t>用于体内 CAR T 生成的固有 T 细胞激活 mRNA 递送载体</w:t>
        </w:r>
      </w:hyperlink>
    </w:p>
    <w:p>
      <w:pPr>
        <w:spacing w:before="0" w:after="80"/>
      </w:pPr>
      <w:r>
        <w:rPr>
          <w:i/>
          <w:sz w:val="20"/>
        </w:rPr>
        <w:t>EN: An inherent T cell-activating mRNA delivery carrier for in vivo CAR T generation</w:t>
      </w:r>
    </w:p>
    <w:p>
      <w:pPr>
        <w:spacing w:before="0" w:after="120"/>
      </w:pPr>
      <w:r>
        <w:rPr>
          <w:b/>
        </w:rPr>
        <w:t xml:space="preserve">Source: </w:t>
      </w:r>
      <w:r>
        <w:t>Nature Materials</w:t>
      </w:r>
      <w:r>
        <w:t xml:space="preserve">    </w:t>
      </w:r>
      <w:r>
        <w:rPr>
          <w:b/>
        </w:rPr>
        <w:t xml:space="preserve">Pub date: </w:t>
      </w:r>
      <w:r>
        <w:t>2026-08-12 00:00:00+00:00</w:t>
      </w:r>
      <w:r>
        <w:t xml:space="preserve">    </w:t>
      </w:r>
      <w:r>
        <w:rPr>
          <w:b/>
        </w:rPr>
        <w:t xml:space="preserve">DOI: </w:t>
      </w:r>
      <w:hyperlink r:id="rId1563">
        <w:r>
          <w:rPr>
            <w:color w:val="1155CC"/>
            <w:u w:val="single"/>
          </w:rPr>
          <w:t>10.1038/s41563-026-02675-7</w:t>
        </w:r>
      </w:hyperlink>
    </w:p>
    <w:p>
      <w:pPr>
        <w:spacing w:before="0" w:after="120"/>
      </w:pPr>
      <w:r>
        <w:rPr>
          <w:b/>
        </w:rPr>
        <w:t xml:space="preserve">Notes: </w:t>
      </w:r>
      <w:r>
        <w:t>abstract_source=pubmed</w:t>
      </w:r>
    </w:p>
    <w:p>
      <w:pPr>
        <w:spacing w:before="0" w:after="80" w:lineRule="auto" w:line="276"/>
      </w:pPr>
      <w:r>
        <w:rPr>
          <w:b/>
        </w:rPr>
        <w:t xml:space="preserve">摘要（ZH）: </w:t>
      </w:r>
      <w:r>
        <w:t>嵌合抗原受体 (CAR) T 细胞疗法的临床成功需要可扩展的、非侵入性的体内 T 细胞工程策略。尽管 mRNA 递送提供了一种有前途的替代方案，但基于脂质纳米颗粒的载体在体内 T 细胞转染方面显示出有限的效率，并且通常需要抗体缀合。在这里，我们报道了一种固有的 T 细胞激活聚合物-脂质纳米颗粒，它能够实现无配体、有效的 mRNA 转染和体内 T 细胞的激活。这种 mRNA 递送载体由对甲苯磺酰精氨酸 (RT) 修饰的寡乙烯亚胺脂质纳米颗粒 (ERTLNP) 组成，在全身给药后优先介导脾脏中的 mRNA 转染。在没有外源刺激的情况下，ERTLNPs 本质上激活 T 细胞，引发强劲的 mRNA 表达和增殖。从机制上讲，ERTLNPs 参与 PI3K/AKT/mTOR 信号轴来重新编程 T 细胞代谢，促进扩张并抑制耗竭。通过 ERTLNP 全身递送编码成纤维细胞激活蛋白 CAR 的 mRNA，有助于原位生成功能性 CAR T 细胞，从而有效消除癌症和纤维化模型中的病理性成纤维细胞，且脱靶效应最小。这种无配体、代谢重编程 mRNA 递送系统为体内 CAR T 细胞生成提供了一种可临床转化的方法。</w:t>
      </w:r>
    </w:p>
    <w:p>
      <w:pPr>
        <w:spacing w:before="0" w:after="200" w:lineRule="auto" w:line="276"/>
      </w:pPr>
      <w:r>
        <w:rPr>
          <w:b/>
        </w:rPr>
        <w:t xml:space="preserve">Abstract (EN): </w:t>
      </w:r>
      <w:r>
        <w:t>The clinical success of chimeric antigen receptor (CAR) T cell therapy requires scalable, non-invasive strategies for in vivo T cell engineering. Although mRNA delivery offers a promising alternative, lipid-nanoparticle-based carriers show limited efficiency for in vivo T cell transfection and typically require antibody conjugation. Here we report an inherent T cell-activating polymer-lipid nanoparticle that enables ligand-free, efficient mRNA transfection and activation of T cells in vivo. This mRNA delivery vehicle, composed of p-toluenesulfonyl arginine (RT)-modified oligoethylenimine-based lipid nanoparticles (ERTLNPs), preferentially mediated mRNA transfection in the spleen following systemic administration. Without exogenous stimulation, ERTLNPs intrinsically activated T cells, triggering robust mRNA expression and proliferation. Mechanistically, ERTLNPs engaged the PI3K/AKT/mTOR signalling axis to reprogram T cell metabolism, promoting expansion and restraining exhaustion. The systemic delivery of mRNA encoding fibroblast activation protein CAR via ERTLNPs contributed to the in situ generation of functional CAR T cells, which efficiently eliminated pathological fibroblasts in models of cancer and fibrosis, with minimal off-target effects. This ligand-free, metabolically reprogramming mRNA delivery system provides a clinically translatable approach for in vivo CAR T cell generation.</w:t>
      </w:r>
    </w:p>
    <w:p>
      <w:pPr>
        <w:spacing w:before="120" w:after="120"/>
      </w:pPr>
      <w:r>
        <w:rPr>
          <w:sz w:val="18"/>
        </w:rPr>
        <w:t>——————————————————————————————————————————————————————————————————————</w:t>
      </w:r>
    </w:p>
    <w:p>
      <w:pPr>
        <w:spacing w:before="160" w:after="40" w:line="240" w:lineRule="auto"/>
      </w:pPr>
      <w:r>
        <w:rPr>
          <w:b/>
        </w:rPr>
        <w:t xml:space="preserve">[535] </w:t>
      </w:r>
      <w:hyperlink r:id="rId1564">
        <w:r>
          <w:rPr>
            <w:color w:val="1155CC"/>
            <w:u w:val="single"/>
          </w:rPr>
          <w:t>TBC1D23-AAVR 相互作用驱动 rAAV 转导所需的内体到 TGN 的运输</w:t>
        </w:r>
      </w:hyperlink>
    </w:p>
    <w:p>
      <w:pPr>
        <w:spacing w:before="0" w:after="80"/>
      </w:pPr>
      <w:r>
        <w:rPr>
          <w:i/>
          <w:sz w:val="20"/>
        </w:rPr>
        <w:t>EN: TBC1D23–AAVR interaction drives endosome-to-TGN trafficking required for rAAV transduction</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565">
        <w:r>
          <w:rPr>
            <w:color w:val="1155CC"/>
            <w:u w:val="single"/>
          </w:rPr>
          <w:t>10.1073/pnas.2605086123</w:t>
        </w:r>
      </w:hyperlink>
    </w:p>
    <w:p>
      <w:pPr>
        <w:spacing w:before="0" w:after="120"/>
      </w:pPr>
      <w:r>
        <w:rPr>
          <w:b/>
        </w:rPr>
        <w:t xml:space="preserve">Notes: </w:t>
      </w:r>
      <w:r>
        <w:t>abstract_source=crossref</w:t>
      </w:r>
    </w:p>
    <w:p>
      <w:pPr>
        <w:spacing w:before="0" w:after="80" w:lineRule="auto" w:line="276"/>
      </w:pPr>
      <w:r>
        <w:rPr>
          <w:b/>
        </w:rPr>
        <w:t xml:space="preserve">摘要（ZH）: </w:t>
      </w:r>
      <w:r>
        <w:t>腺相关病毒受体（AAVR；也称为 KIAA0319L）是转导多血清型腺相关病毒（AAV）所需的蛋白质受体。虽然 AAVR 的胞外多囊肾病 (PKD) 结构域直接结合 AAV 衣壳，但其 C 端胞质结构域 (AAVR-C) 在控制 AAV 内化和细胞内运输方面的功能仍不清楚。使用谷胱甘肽 S 转移酶 (GST) 融合的 AAVR-C 重组蛋白 (GST-AAVR-C) 作为诱饵，对 AAVR 相互作用的宿主蛋白进行靶向下拉，我们发现 TBC1 结构域家族成员 23 (TBC1D23)，一种特殊的细胞内运输接头和桥接因子，通过 AAVR-C 结合 AAVR，并介导 AAV 的内体到-</w:t>
      </w:r>
      <w:r>
        <w:t>反式</w:t>
      </w:r>
      <w:r>
        <w:t xml:space="preserve"> </w:t>
      </w:r>
      <w:r>
        <w:t>-高尔基体网络（TGN）运输。生物层干涉测量 (BLI) 证明 AAVR-C 和 TBC1D23 (TBC1D23-C) 的 C 端支架结构域之间存在纳摩尔亲和力结合。 CRISPR介导的基因敲除</w:t>
      </w:r>
      <w:r>
        <w:t xml:space="preserve"> </w:t>
      </w:r>
      <w:r>
        <w:t>TBC1D23</w:t>
      </w:r>
      <w:r>
        <w:t xml:space="preserve"> </w:t>
      </w:r>
      <w:r>
        <w:t>严重损害 rAAV 在多种人类细胞类型中的转导，包括极化人气道上皮 (HAE)。 TBC1D23 的缺失会破坏 TGN 处内化 AAV 衣壳的聚合，导致 AAV 载体的核输入减少。 AAVR-C 的突变分析表明，其酸性残基簇是 TBC1D23 结合和 AAV 从内体逆行转运至 TGN 所必需的。总之，这些发现将 TBC1D23 定义为一种受体近端运输模块，它将 AAV-AAVR 结合与囊泡运输结合起来，</w:t>
      </w:r>
    </w:p>
    <w:p>
      <w:pPr>
        <w:spacing w:before="0" w:after="200" w:lineRule="auto" w:line="276"/>
      </w:pPr>
      <w:r>
        <w:rPr>
          <w:b/>
        </w:rPr>
        <w:t xml:space="preserve">Abstract (EN): </w:t>
      </w:r>
      <w:r>
        <w:t>The adeno-associated virus receptor (AAVR; also known as KIAA0319L) is the proteinaceous receptor required for the transduction of multiserotype adeno-associated viruses (AAVs). While the extracellular polycystic kidney disease (PKD) domains of AAVR directly bind AAV capsids, the function of its C-terminal cytosolic domain (AAVR-C) in governing AAV internalization and intracellular trafficking remains undefined. Using targeted pulldown of AAVR-interacting host proteins with a glutathione S-Transferase (GST)-fused AAVR-C recombinant protein (GST-AAVR-C) as a bait, we identified that TBC1 domain family member 23 (TBC1D23), a specialized intracellular trafficking adaptor and bridging factor, binds AAVR via the AAVR-C and mediates AAV’s endosome-to-</w:t>
      </w:r>
      <w:r>
        <w:t>trans</w:t>
      </w:r>
      <w:r>
        <w:t xml:space="preserve"> </w:t>
      </w:r>
      <w:r>
        <w:t>-Golgi network (TGN) transport. Biolayer interferometry (BLI) demonstrates nanomolar-affinity binding between AAVR-C and the C-terminal scaffold domain of TBC1D23 (TBC1D23-C). CRISPR-mediated knockout of</w:t>
      </w:r>
      <w:r>
        <w:t xml:space="preserve"> </w:t>
      </w:r>
      <w:r>
        <w:t>TBC1D23</w:t>
      </w:r>
      <w:r>
        <w:t xml:space="preserve"> </w:t>
      </w:r>
      <w:r>
        <w:t>severely impairs rAAV transduction across multiple human cell types, including polarized human airway epithelium (HAE). Loss of TBC1D23 disrupts convergence of internalized AAV capsids at the TGN, leading to diminished nuclear import of AAV vectors. Mutational analyses of AAVR-C reveal that its acidic residue cluster is required for TBC1D23 binding and AAV retrograde transport from the endosome to the TGN. Together, these findings define TBC1D23 as a receptor-proximal trafficking module that couples AAV–AAVR engagement to vesicle transport, revealing a missing core regulatory step in AAV retrograde transport that is essential for productive rAAV transduction.</w:t>
      </w:r>
    </w:p>
    <w:p>
      <w:pPr>
        <w:spacing w:before="120" w:after="120"/>
      </w:pPr>
      <w:r>
        <w:rPr>
          <w:sz w:val="18"/>
        </w:rPr>
        <w:t>——————————————————————————————————————————————————————————————————————</w:t>
      </w:r>
    </w:p>
    <w:p>
      <w:pPr>
        <w:spacing w:before="160" w:after="40" w:line="240" w:lineRule="auto"/>
      </w:pPr>
      <w:r>
        <w:rPr>
          <w:b/>
        </w:rPr>
        <w:t xml:space="preserve">[536] </w:t>
      </w:r>
      <w:hyperlink r:id="rId1566">
        <w:r>
          <w:rPr>
            <w:color w:val="1155CC"/>
            <w:u w:val="single"/>
          </w:rPr>
          <w:t>钯催化无环烯醇的对映选择性烯基化：烯基溴的广泛应用</w:t>
        </w:r>
      </w:hyperlink>
    </w:p>
    <w:p>
      <w:pPr>
        <w:spacing w:before="0" w:after="80"/>
      </w:pPr>
      <w:r>
        <w:rPr>
          <w:i/>
          <w:sz w:val="20"/>
        </w:rPr>
        <w:t>EN: Palladium-catalyzed enantioselective alkenylation of acyclic alkenols: Broad scope with alkenyl bromides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567">
        <w:r>
          <w:rPr>
            <w:color w:val="1155CC"/>
            <w:u w:val="single"/>
          </w:rPr>
          <w:t>10.1126/sciadv.aeh8194</w:t>
        </w:r>
      </w:hyperlink>
    </w:p>
    <w:p>
      <w:pPr>
        <w:spacing w:before="0" w:after="120"/>
      </w:pPr>
      <w:r>
        <w:rPr>
          <w:b/>
        </w:rPr>
        <w:t xml:space="preserve">Notes: </w:t>
      </w:r>
      <w:r>
        <w:t>abstract_source=crossref</w:t>
      </w:r>
    </w:p>
    <w:p>
      <w:pPr>
        <w:spacing w:before="0" w:after="80" w:lineRule="auto" w:line="276"/>
      </w:pPr>
      <w:r>
        <w:rPr>
          <w:b/>
        </w:rPr>
        <w:t xml:space="preserve">摘要（ZH）: </w:t>
      </w:r>
      <w:r>
        <w:t>钯催化的无环烯醇的对映选择性 Heck 烯基化为从简单前体构建高价值的立体定义烯基化羰基化合物提供了一种有前途的策略。然而，在这种转化中精确控制位点选择性β-氢化物消除仍然是一个尚未解决的挑战。我们开发了一种高度对映选择性的分子间 Heck 反应，涵盖各种烯基溴和无环伯或外消旋仲烯醇。该反应的成功归因于使用了在 3,3'-位被卤素取代的手性 BINOL 配体，它提供了选择性的 β-氢化物消除，然后催化剂沿着烷基链迁移以提供烯基化的羰基产物。连续的应用能够实现三取代烯醇的烯基化，并立体发散地获得四种具有优异对映和非对映选择性的立体异构体。机理研究表明 3,3′-</w:t>
      </w:r>
      <w:r>
        <w:t>迪</w:t>
      </w:r>
      <w:r>
        <w:t xml:space="preserve"> </w:t>
      </w:r>
      <w:r>
        <w:t>-Cl-BINOL 控制途径和立体化学，从而实现选择性 β-氢化物消除、配体加速和非线性放大。</w:t>
      </w:r>
    </w:p>
    <w:p>
      <w:pPr>
        <w:spacing w:before="0" w:after="200" w:lineRule="auto" w:line="276"/>
      </w:pPr>
      <w:r>
        <w:rPr>
          <w:b/>
        </w:rPr>
        <w:t xml:space="preserve">Abstract (EN): </w:t>
      </w:r>
      <w:r>
        <w:t>Palladium-catalyzed enantioselective Heck alkenylation of acyclic alkenols offers a promising strategy for constructing highly valuable stereodefined alkenylated carbonyl compounds from simple precursors. However, precise control of site-selective β-hydride elimination in this transformation remains an unresolved challenge. We have developed a highly enantioselective intermolecular Heck reaction to encompass various alkenyl bromides and acyclic primary or racemic secondary alkenols. The success of this reaction is attributed to the use of chiral BINOL ligands substituted with halogens at the 3,3′-positions, which offer selective β-hydride elimination followed by migration of the catalyst along the alkyl chain to provide the alkenylated carbonyl products. Successive applications enable alkenylation of trisubstituted alkenols and stereodivergent access to four stereoisomers with excellent enantio- and diastereoselectivity. Mechanistic studies indicated that 3,3′-</w:t>
      </w:r>
      <w:r>
        <w:t>di</w:t>
      </w:r>
      <w:r>
        <w:t xml:space="preserve"> </w:t>
      </w:r>
      <w:r>
        <w:t>-Cl-BINOL controlled both pathway and stereochemistry, enabling selective β-hydride elimination, ligand acceleration, and nonlinear amplification.</w:t>
      </w:r>
    </w:p>
    <w:p>
      <w:pPr>
        <w:spacing w:before="120" w:after="120"/>
      </w:pPr>
      <w:r>
        <w:rPr>
          <w:sz w:val="18"/>
        </w:rPr>
        <w:t>——————————————————————————————————————————————————————————————————————</w:t>
      </w:r>
    </w:p>
    <w:p>
      <w:pPr>
        <w:spacing w:before="160" w:after="40" w:line="240" w:lineRule="auto"/>
      </w:pPr>
      <w:r>
        <w:rPr>
          <w:b/>
        </w:rPr>
        <w:t xml:space="preserve">[537] </w:t>
      </w:r>
      <w:hyperlink r:id="rId1568">
        <w:r>
          <w:rPr>
            <w:color w:val="1155CC"/>
            <w:u w:val="single"/>
          </w:rPr>
          <w:t>疏水性非天然碱基对促进细胞 RNA 聚合酶的触发环闭合和催化，与氢键无关</w:t>
        </w:r>
      </w:hyperlink>
    </w:p>
    <w:p>
      <w:pPr>
        <w:spacing w:before="0" w:after="80"/>
      </w:pPr>
      <w:r>
        <w:rPr>
          <w:i/>
          <w:sz w:val="20"/>
        </w:rPr>
        <w:t>EN: Hydrophobic unnatural base pair promotes trigger loop closure and catalysis in cellular RNA polymerase independent of hydrogen bonding</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569">
        <w:r>
          <w:rPr>
            <w:color w:val="1155CC"/>
            <w:u w:val="single"/>
          </w:rPr>
          <w:t>10.1073/pnas.2607774123</w:t>
        </w:r>
      </w:hyperlink>
    </w:p>
    <w:p>
      <w:pPr>
        <w:spacing w:before="0" w:after="120"/>
      </w:pPr>
      <w:r>
        <w:rPr>
          <w:b/>
        </w:rPr>
        <w:t xml:space="preserve">Notes: </w:t>
      </w:r>
      <w:r>
        <w:t>abstract_source=crossref</w:t>
      </w:r>
    </w:p>
    <w:p>
      <w:pPr>
        <w:spacing w:before="0" w:after="80" w:lineRule="auto" w:line="276"/>
      </w:pPr>
      <w:r>
        <w:rPr>
          <w:b/>
        </w:rPr>
        <w:t xml:space="preserve">摘要（ZH）: </w:t>
      </w:r>
      <w:r>
        <w:t>基于合成核苷酸的扩展遗传字母表提供了增强核酸化学多样性和功能潜力的强大策略。疏水性非天然碱基对 (UBP) 代表一类独特的 UBP，其在没有典型氢键和形状的情况下运行，这与天然碱基对不同。然而，RNA聚合酶控制疏水性UBP识别和掺入的分子机制仍然知之甚少，因为尚未捕获催化活性状态的结构。在这里，我们通过以下方法研究了疏水性 7-(2-噻吩基)-咪唑并[4,5-b]吡啶 (Ds):吡咯 2-甲醛 (Pa) 碱基对转录识别的酶动力学和结构基础</w:t>
      </w:r>
      <w:r>
        <w:t xml:space="preserve"> </w:t>
      </w:r>
      <w:r>
        <w:t>大肠杆菌</w:t>
      </w:r>
      <w:r>
        <w:t xml:space="preserve"> </w:t>
      </w:r>
      <w:r>
        <w:t>RNA聚合酶（</w:t>
      </w:r>
      <w:r>
        <w:t xml:space="preserve"> </w:t>
      </w:r>
      <w:r>
        <w:t>埃克</w:t>
      </w:r>
      <w:r>
        <w:t xml:space="preserve"> </w:t>
      </w:r>
      <w:r>
        <w:t>RNAP）。酶动力学揭示了明显的链依赖性不对称性，DsTP 的掺入效率明显高于 PaTP。为了阐明这种不对称性的结构起源，我们确定了两种冷冻电子显微镜结构</w:t>
      </w:r>
      <w:r>
        <w:t xml:space="preserve"> </w:t>
      </w:r>
      <w:r>
        <w:t>大肠杆菌</w:t>
      </w:r>
      <w:r>
        <w:t xml:space="preserve"> </w:t>
      </w:r>
      <w:r>
        <w:t>含有 dPa:DsTP 和 dDs:PaTP 的 RNAP 延伸复合物，分辨率分别为 3.20 Å 和 3.24 Å。 dPa:DsTP 结构捕获疏水性 UBP 转录的预催化状态，其中 DsTP 与模板 dPa 形成边对边碱基对，并且活性位点采用具有完全折叠触发环的类似天然的催化活性配置。相比之下，dDs:PaTP 结构揭示了预插入中间体</w:t>
      </w:r>
    </w:p>
    <w:p>
      <w:pPr>
        <w:spacing w:before="0" w:after="200" w:lineRule="auto" w:line="276"/>
      </w:pPr>
      <w:r>
        <w:rPr>
          <w:b/>
        </w:rPr>
        <w:t xml:space="preserve">Abstract (EN): </w:t>
      </w:r>
      <w:r>
        <w:t>Expanded genetic alphabets based on synthetic nucleotides offer a powerful strategy to increase the chemical diversity and functional potential of nucleic acids. Hydrophobic unnatural base pairs (UBPs) represent a unique class of UBPs that operate without canonical hydrogen bonding and shapes, which are distinct from natural base pairs. However, the molecular mechanisms governing hydrophobic UBP recognition and incorporation by RNA polymerases remain poorly understood, because no structures of catalytically competent state have been captured. Here, we investigate the enzyme kinetics and structural basis of transcription recognition of hydrophobic 7-(2-thienyl)-imidazo[4,5-b]pyridine (Ds):pyrrole 2-carbaldehyde (Pa) base pair by the</w:t>
      </w:r>
      <w:r>
        <w:t xml:space="preserve"> </w:t>
      </w:r>
      <w:r>
        <w:t>Escherichia coli</w:t>
      </w:r>
      <w:r>
        <w:t xml:space="preserve"> </w:t>
      </w:r>
      <w:r>
        <w:t>RNA polymerase (</w:t>
      </w:r>
      <w:r>
        <w:t xml:space="preserve"> </w:t>
      </w:r>
      <w:r>
        <w:t>Ec</w:t>
      </w:r>
      <w:r>
        <w:t xml:space="preserve"> </w:t>
      </w:r>
      <w:r>
        <w:t>RNAP). Enzyme kinetics reveal a pronounced strand-dependent asymmetry, with DsTP incorporated substantially more efficiently than PaTP. To elucidate the structural origin of this asymmetry, we determined two cryo-electron microscopy structures of</w:t>
      </w:r>
      <w:r>
        <w:t xml:space="preserve"> </w:t>
      </w:r>
      <w:r>
        <w:t>E. coli</w:t>
      </w:r>
      <w:r>
        <w:t xml:space="preserve"> </w:t>
      </w:r>
      <w:r>
        <w:t>RNAP elongation complexes containing dPa:DsTP and dDs:PaTP at resolutions of 3.20 Å and 3.24 Å, respectively. The dPa:DsTP structure captures a pre-catalytic state of hydrophobic UBP transcription in which DsTP forms an edge-to-edge base pair with templating dPa, and the active site adopts a native-like, catalytically competent configuration with fully folded trigger loop. In contrast, the dDs:PaTP structure reveals a pre-insertion intermediate with incomplete substrate loading. Structural modeling indicates that PaTP must undergo an additional insertion step to achieve productive catalysis. Together, these findings define the molecular basis of asymmetric Ds:Pa UBP transcription recognition by a multisubunit RNAP and provide structural principles for designing next-generation UBPs compatible with cellular transcription.</w:t>
      </w:r>
    </w:p>
    <w:p>
      <w:pPr>
        <w:spacing w:before="120" w:after="120"/>
      </w:pPr>
      <w:r>
        <w:rPr>
          <w:sz w:val="18"/>
        </w:rPr>
        <w:t>——————————————————————————————————————————————————————————————————————</w:t>
      </w:r>
    </w:p>
    <w:p>
      <w:pPr>
        <w:spacing w:before="160" w:after="40" w:line="240" w:lineRule="auto"/>
      </w:pPr>
      <w:r>
        <w:rPr>
          <w:b/>
        </w:rPr>
        <w:t xml:space="preserve">[538] </w:t>
      </w:r>
      <w:hyperlink r:id="rId1570">
        <w:r>
          <w:rPr>
            <w:color w:val="1155CC"/>
            <w:u w:val="single"/>
          </w:rPr>
          <w:t>人类 IL4I1 对芳香族氨基酸的偏好从广泛特异性 L-氨基酸氧化酶祖先的进化</w:t>
        </w:r>
      </w:hyperlink>
    </w:p>
    <w:p>
      <w:pPr>
        <w:spacing w:before="0" w:after="80"/>
      </w:pPr>
      <w:r>
        <w:rPr>
          <w:i/>
          <w:sz w:val="20"/>
        </w:rPr>
        <w:t>EN: Evolution of human IL4I1 preference for aromatic amino acids from a broad-specificity L-amino acid oxidase ancestor</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571">
        <w:r>
          <w:rPr>
            <w:color w:val="1155CC"/>
            <w:u w:val="single"/>
          </w:rPr>
          <w:t>10.1073/pnas.2608436123</w:t>
        </w:r>
      </w:hyperlink>
    </w:p>
    <w:p>
      <w:pPr>
        <w:spacing w:before="0" w:after="120"/>
      </w:pPr>
      <w:r>
        <w:rPr>
          <w:b/>
        </w:rPr>
        <w:t xml:space="preserve">Notes: </w:t>
      </w:r>
      <w:r>
        <w:t>abstract_source=crossref</w:t>
      </w:r>
    </w:p>
    <w:p>
      <w:pPr>
        <w:spacing w:before="0" w:after="80" w:lineRule="auto" w:line="276"/>
      </w:pPr>
      <w:r>
        <w:rPr>
          <w:b/>
        </w:rPr>
        <w:t xml:space="preserve">摘要（ZH）: </w:t>
      </w:r>
      <w:r>
        <w:t>IL4I1 是一种人类 L-氨基酸氧化酶 (LAAO)，因其在分解代谢中的作用（对癌症生物学和免疫调节具有影响）而引起了人们极大的兴趣。这种酶在人体中的功能和活性与蛇毒中 LAAO 所产生的细胞毒性作用形成鲜明对比。 IL4I1 固有的不稳定性阻碍了详细的生化表征及其作为药物靶点的探索。在这项研究中，我们对四足动物 LAAO 进行了全面的生化和结构研究，重点关注人类 IL4I1 及其与毒蛇蛋白的进化关系。通过利用祖先序列重建，我们推断、表达和表征了四足祖先 LAAO 和哺乳动物祖先 IL4I1，并将它们的特性与从人类细胞纯化的重组人 IL4I1 进行了比较。四足动物祖先表现出广泛的底物特征，作用于疏水性、极性和带正电的氨基酸，而人 IL4I1 更喜欢芳香族氨基酸。在晶体结构的指导下，我们设计了八种祖先蛋白质变体来模仿哺乳动物和蛇样的活性位点配置。这些变体的动力学分析揭示了不同的进化轨迹：一个导致爬行动物的高活性有毒 LAAO，另一个导致哺乳动物的芳香选择性 IL4I1。总的来说，我们的研究结果表明，人类 IL4I1 和毒蛇 LAAO 之间的功能差异是由底物特异性和催化效率的进化变化所支撑的。</w:t>
      </w:r>
    </w:p>
    <w:p>
      <w:pPr>
        <w:spacing w:before="0" w:after="200" w:lineRule="auto" w:line="276"/>
      </w:pPr>
      <w:r>
        <w:rPr>
          <w:b/>
        </w:rPr>
        <w:t xml:space="preserve">Abstract (EN): </w:t>
      </w:r>
      <w:r>
        <w:t>IL4I1, a human L-amino acid oxidase (LAAO), has drawn considerable interest for its role in catabolism with implications for cancer biology and immune modulation. The function and activity of this enzyme in humans contrast with the cytotoxic effects exerted by LAAOs from snake venoms. The inherent instability of IL4I1 has hindered detailed biochemical characterization and its exploration as a drug target. In this study, we present a comprehensive biochemical and structural investigation of tetrapod LAAOs, with a focus on human IL4I1 and its evolutionary relationship to venomous snake proteins. By exploiting ancestral sequence reconstruction, we inferred, expressed, and characterized the tetrapodal ancestral LAAO and mammalian ancestral IL4I1 and compared their properties to recombinant human IL4I1 purified from human cells. The tetrapodal ancestor displays a broad substrate profile, acting on hydrophobic, polar, and positively charged amino acids, whereas human IL4I1 prefers aromatic amino acids. Guided by crystal structures, we engineered eight ancestral protein variants to mimic mammalian- and snake-like active site configurations. Kinetic analyses of these variants reveal distinct evolutionary trajectories: one leading to the high-activity venomous LAAOs of reptiles, and another to the aromatic-selective IL4I1 of mammals. Overall, our findings demonstrate that the functional divergence between human IL4I1 and venomous snake LAAOs is underpinned by evolutionary shifts in substrate specificity and catalytic efficiency.</w:t>
      </w:r>
    </w:p>
    <w:p>
      <w:pPr>
        <w:spacing w:before="120" w:after="120"/>
      </w:pPr>
      <w:r>
        <w:rPr>
          <w:sz w:val="18"/>
        </w:rPr>
        <w:t>——————————————————————————————————————————————————————————————————————</w:t>
      </w:r>
    </w:p>
    <w:p>
      <w:pPr>
        <w:spacing w:before="160" w:after="40" w:line="240" w:lineRule="auto"/>
      </w:pPr>
      <w:r>
        <w:rPr>
          <w:b/>
        </w:rPr>
        <w:t xml:space="preserve">[539] </w:t>
      </w:r>
      <w:hyperlink r:id="rId1572">
        <w:r>
          <w:rPr>
            <w:color w:val="1155CC"/>
            <w:u w:val="single"/>
          </w:rPr>
          <w:t>濒临边缘的彼得曼冰川：进展、挑战和见解</w:t>
        </w:r>
      </w:hyperlink>
    </w:p>
    <w:p>
      <w:pPr>
        <w:spacing w:before="0" w:after="80"/>
      </w:pPr>
      <w:r>
        <w:rPr>
          <w:i/>
          <w:sz w:val="20"/>
        </w:rPr>
        <w:t>EN: Petermann Glacier on the brink: Progress, challenges and insights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573">
        <w:r>
          <w:rPr>
            <w:color w:val="1155CC"/>
            <w:u w:val="single"/>
          </w:rPr>
          <w:t>10.1126/sciadv.aee4522</w:t>
        </w:r>
      </w:hyperlink>
    </w:p>
    <w:p>
      <w:pPr>
        <w:spacing w:before="0" w:after="120"/>
      </w:pPr>
      <w:r>
        <w:rPr>
          <w:b/>
        </w:rPr>
        <w:t xml:space="preserve">Notes: </w:t>
      </w:r>
      <w:r>
        <w:t>abstract_source=crossref</w:t>
      </w:r>
    </w:p>
    <w:p>
      <w:pPr>
        <w:spacing w:before="0" w:after="80" w:lineRule="auto" w:line="276"/>
      </w:pPr>
      <w:r>
        <w:rPr>
          <w:b/>
        </w:rPr>
        <w:t xml:space="preserve">摘要（ZH）: </w:t>
      </w:r>
      <w:r>
        <w:t>彼得曼冰川（PG）是格陵兰岛北部最大的海洋终止冰川（根据集水面积和冰排放量），在调节格陵兰冰盖（GrIS）的冰输出方面发挥着关键作用。由于上游流域通过冰下峡谷与 GrIS 内部相连，其未来的稳定性对海平面上升具有重大影响。这篇综述综合了理解 PG 跨三个关键界面动态的最新进展。在地表，再分析数据和区域气候模型与气温和地表质量平衡估计的观测结果存在差异，这凸显了改进现场数据和模型的必要性。在海洋边界，由冰下径流和大西洋水入侵驱动的基底融化增强被认为是近期PG质量损失的主要驱动因素，而持续变暖对浮舌的稳定性构成严重威胁。在河床上，地球物理综合揭示了复杂的地质情况、地热热通量的可能空间变化以及大峡谷对季节性水文和速度波动的影响。 2025 年 9 月发起的一场持续的裂痕事件凸显了 PG 的脆弱性。预期的撤退减少了支撑，并使终点更接近接地区，在那里额外的崩解可能会引发撤退并加速冰的排放。作为格陵兰岛最大的浮冰舌之一，PG 可能为了解格陵兰岛其他海洋终止冰川的稳定性提供重要见解。改进观测，持续监测海洋和大气</w:t>
      </w:r>
    </w:p>
    <w:p>
      <w:pPr>
        <w:spacing w:before="0" w:after="200" w:lineRule="auto" w:line="276"/>
      </w:pPr>
      <w:r>
        <w:rPr>
          <w:b/>
        </w:rPr>
        <w:t xml:space="preserve">Abstract (EN): </w:t>
      </w:r>
      <w:r>
        <w:t>Petermann Glacier (PG), the largest marine-terminating glacier in northern Greenland based on catchment area and ice discharge, plays a key role in modulating ice export from the Greenland Ice Sheet (GrIS). With an upstream catchment connected to the GrIS interior via a deep subglacial canyon, its future stability has major implications for sea level rise. This review synthesizes recent advances in understanding PG’s dynamics across three critical interfaces. At the surface, reanalysis data and regional climate models diverge from observations in estimates of air temperature and surface mass balance, underscoring the need for improved in situ data and models. At the ocean boundary, enhanced basal melting driven by subglacial runoff and Atlantic water intrusions is identified as dominant driver of recent mass loss of PG, with continued warming posing a serious threat to the stability of the floating tongue. At the bed, geophysical synthesis reveals complex geology, likely spatial variability in geothermal heat flux, and the megacanyon’s influence on seasonal hydrology and velocity fluctuations. An ongoing rifting event, initiated in September 2025, highlights PG’s vulnerability. The anticipated retreat reduces buttressing and brings the terminus closer to the grounding zone, where additional calving could trigger retreat and accelerate ice discharge. As one of Greenland’s largest floating ice tongues, PG may provide important insights into the stability of other marine-terminating glaciers across the GrIS. Improved observations, sustained monitoring of oceanographic and atmospheric parameters, and high-resolution modeling are critical for constraining projections of PG’s future and its role in GrIS stability.</w:t>
      </w:r>
    </w:p>
    <w:p>
      <w:pPr>
        <w:spacing w:before="120" w:after="120"/>
      </w:pPr>
      <w:r>
        <w:rPr>
          <w:sz w:val="18"/>
        </w:rPr>
        <w:t>——————————————————————————————————————————————————————————————————————</w:t>
      </w:r>
    </w:p>
    <w:p>
      <w:pPr>
        <w:spacing w:before="160" w:after="40" w:line="240" w:lineRule="auto"/>
      </w:pPr>
      <w:r>
        <w:rPr>
          <w:b/>
        </w:rPr>
        <w:t xml:space="preserve">[540] </w:t>
      </w:r>
      <w:hyperlink r:id="rId1574">
        <w:r>
          <w:rPr>
            <w:color w:val="1155CC"/>
            <w:u w:val="single"/>
          </w:rPr>
          <w:t>鱼腥藻铁胁迫诱导复合物中天线光系统 I 的重塑。 PCC 7120</w:t>
        </w:r>
      </w:hyperlink>
    </w:p>
    <w:p>
      <w:pPr>
        <w:spacing w:before="0" w:after="80"/>
      </w:pPr>
      <w:r>
        <w:rPr>
          <w:i/>
          <w:sz w:val="20"/>
        </w:rPr>
        <w:t>EN: Antenna photosystem I remodeling in the iron stress–induced complex from Anabaena sp. PCC 7120</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575">
        <w:r>
          <w:rPr>
            <w:color w:val="1155CC"/>
            <w:u w:val="single"/>
          </w:rPr>
          <w:t>10.1126/sciadv.aeg3567</w:t>
        </w:r>
      </w:hyperlink>
    </w:p>
    <w:p>
      <w:pPr>
        <w:spacing w:before="0" w:after="120"/>
      </w:pPr>
      <w:r>
        <w:rPr>
          <w:b/>
        </w:rPr>
        <w:t xml:space="preserve">Notes: </w:t>
      </w:r>
      <w:r>
        <w:t>abstract_source=crossref</w:t>
      </w:r>
    </w:p>
    <w:p>
      <w:pPr>
        <w:spacing w:before="0" w:after="80" w:lineRule="auto" w:line="276"/>
      </w:pPr>
      <w:r>
        <w:rPr>
          <w:b/>
        </w:rPr>
        <w:t xml:space="preserve">摘要（ZH）: </w:t>
      </w:r>
      <w:r>
        <w:t>使用冷冻电子显微镜 (cryo-EM) 和原子力显微镜研究了多个物种的光系统 I-铁应激诱导蛋白 A (PSI-IsiA) 超复合物的结构和寡聚状态。蓝藻 PSI-IsiA 复合物的冷冻电镜结构</w:t>
      </w:r>
      <w:r>
        <w:t xml:space="preserve"> </w:t>
      </w:r>
      <w:r>
        <w:t>鱼腥藻属PCC 7120</w:t>
      </w:r>
      <w:r>
        <w:t xml:space="preserve"> </w:t>
      </w:r>
      <w:r>
        <w:t>(7120) 之前已发布。然而，并未识别出所有 IsiA 和 PSI 亚基。在这项工作中，我们使用单粒子冷冻电镜以 2.2 埃的分辨率对 7120 的 PSI-IsiA 超复合物进行了结构和光谱表征。该数据解析了所有单独的 IsiA 和 PSI 亚基，突出显示了 7120 PSI-IsiA 与其他复合物的区别特征，包括额外的 IsiA 和 PSI-IsiA 特有的独特 PsaK 亚基。时间分辨荧光光谱显示IsiA与PSI存在紧密的能量耦合，这可能在降低天线荧光产率和提高能量转移效率方面发挥作用。这项工作扩展了 PSI 细胞重塑的范围，以响应不同的应激条件。</w:t>
      </w:r>
    </w:p>
    <w:p>
      <w:pPr>
        <w:spacing w:before="0" w:after="200" w:lineRule="auto" w:line="276"/>
      </w:pPr>
      <w:r>
        <w:rPr>
          <w:b/>
        </w:rPr>
        <w:t xml:space="preserve">Abstract (EN): </w:t>
      </w:r>
      <w:r>
        <w:t>The structure and oligomeric states of the photosystem I–iron stress–induced protein A (PSI-IsiA) supercomplex from several species have been investigated using cryo–electron microscopy (cryo-EM) and atomic force microscopy. The cryo-EM structure of the PSI-IsiA complex from cyanobacterium</w:t>
      </w:r>
      <w:r>
        <w:t xml:space="preserve"> </w:t>
      </w:r>
      <w:r>
        <w:t>Anabaena sp. PCC 7120</w:t>
      </w:r>
      <w:r>
        <w:t xml:space="preserve"> </w:t>
      </w:r>
      <w:r>
        <w:t>(7120) has been published previously. However, not all IsiA and PSI subunits were identified. In this work, we have structurally and spectroscopically characterized the PSI-IsiA supercomplex from 7120 using single-particle cryo-EM at a resolution of 2.2 angstroms. The data resolved all individual IsiA and PSI subunits, highlighting features that distinguish the 7120 PSI-IsiA from other complexes, including additional IsiA and a unique PsaK subunit specific for PSI-IsiA. Time-resolved fluorescence spectroscopy showed tight energetic coupling of IsiA to PSI, which may play a role in lowering antenna fluorescence yield and increasing the efficiency of energy transfer. This work extends the scope of PSI cellular remodeling in response to different stress conditions.</w:t>
      </w:r>
    </w:p>
    <w:p>
      <w:pPr>
        <w:spacing w:before="120" w:after="120"/>
      </w:pPr>
      <w:r>
        <w:rPr>
          <w:sz w:val="18"/>
        </w:rPr>
        <w:t>——————————————————————————————————————————————————————————————————————</w:t>
      </w:r>
    </w:p>
    <w:p>
      <w:pPr>
        <w:spacing w:before="160" w:after="40" w:line="240" w:lineRule="auto"/>
      </w:pPr>
      <w:r>
        <w:rPr>
          <w:b/>
        </w:rPr>
        <w:t xml:space="preserve">[541] </w:t>
      </w:r>
      <w:hyperlink r:id="rId1576">
        <w:r>
          <w:rPr>
            <w:color w:val="1155CC"/>
            <w:u w:val="single"/>
          </w:rPr>
          <w:t>直接细菌转录本可视化阐明了肺结核分枝杆菌的时空环境适应</w:t>
        </w:r>
      </w:hyperlink>
    </w:p>
    <w:p>
      <w:pPr>
        <w:spacing w:before="0" w:after="80"/>
      </w:pPr>
      <w:r>
        <w:rPr>
          <w:i/>
          <w:sz w:val="20"/>
        </w:rPr>
        <w:t>EN: Direct bacterial transcript visualization illuminates spatiotemporal environmental adaptation of Mycobacterium tuberculosis in the lung</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577">
        <w:r>
          <w:rPr>
            <w:color w:val="1155CC"/>
            <w:u w:val="single"/>
          </w:rPr>
          <w:t>10.1126/sciadv.aeb8377</w:t>
        </w:r>
      </w:hyperlink>
    </w:p>
    <w:p>
      <w:pPr>
        <w:spacing w:before="0" w:after="120"/>
      </w:pPr>
      <w:r>
        <w:rPr>
          <w:b/>
        </w:rPr>
        <w:t xml:space="preserve">Notes: </w:t>
      </w:r>
      <w:r>
        <w:t>abstract_source=crossref</w:t>
      </w:r>
    </w:p>
    <w:p>
      <w:pPr>
        <w:spacing w:before="0" w:after="80" w:lineRule="auto" w:line="276"/>
      </w:pPr>
      <w:r>
        <w:rPr>
          <w:b/>
        </w:rPr>
        <w:t xml:space="preserve">摘要（ZH）: </w:t>
      </w:r>
      <w:r>
        <w:t>时空环境变化导致细菌感染进展和疾病结果的显着异质性，对治疗成功产生重大影响。对于全球重要的病原体</w:t>
      </w:r>
      <w:r>
        <w:t xml:space="preserve"> </w:t>
      </w:r>
      <w:r>
        <w:t>结核分枝杆菌</w:t>
      </w:r>
      <w:r>
        <w:t xml:space="preserve"> </w:t>
      </w:r>
      <w:r>
        <w:t>(Mtb)，虽然病变免疫细胞组成和表型中明显的宿主内空间异质性已经得到很好的描述，但高度复杂的 Mtb 细胞包膜对对细菌异质性所需的同等洞察力提出了特殊的挑战。在这里，我们开发了基于杂交链式反应-荧光原位杂交 (HCR-FISH) 的方法，用于在完整的肺和病变结构的背景下实现 Mtb mRNA 可视化。与 Mtb 转录/翻译活性报告基因相结合，我们揭示了与 Mtb 脂质代谢、对关键环境信号的响应以及 ESX-1 VII 型分泌系统相关的基因表达的时空差异。我们的结果建立了 Mtb mRNA 原位分析框架，为阐明 Mtb-宿主相互作用中显着异质性的关键细菌驱动因素开辟了道路。</w:t>
      </w:r>
    </w:p>
    <w:p>
      <w:pPr>
        <w:spacing w:before="0" w:after="200" w:lineRule="auto" w:line="276"/>
      </w:pPr>
      <w:r>
        <w:rPr>
          <w:b/>
        </w:rPr>
        <w:t xml:space="preserve">Abstract (EN): </w:t>
      </w:r>
      <w:r>
        <w:t>Spatiotemporal environmental variation results in marked heterogeneity in bacterial infection progression and disease outcome, with vital consequences for treatment success. For the globally important pathogen</w:t>
      </w:r>
      <w:r>
        <w:t xml:space="preserve"> </w:t>
      </w:r>
      <w:r>
        <w:t>Mycobacterium tuberculosis</w:t>
      </w:r>
      <w:r>
        <w:t xml:space="preserve"> </w:t>
      </w:r>
      <w:r>
        <w:t>(Mtb), while the pronounced intra-host spatial heterogeneity in lesion immune cell composition and phenotype has been well-described, the highly complex Mtb cell envelope has presented a particular challenge for the required equivalent insight into bacterial heterogeneity. Here, we develop hybridization chain reaction-fluorescence in situ hybridization (HCR-FISH)-based methodology for Mtb mRNA visualization in the context of intact lung and lesion architecture. In combination with an Mtb transcriptional/translational activity reporter, we reveal spatiotemporal differences in gene expression relating to Mtb lipid metabolism, response to key environmental signals, and the ESX-1 type VII secretion system. Our results establish a framework for in situ analysis of Mtb mRNA, opening the path to elucidating critical bacterial drivers that underlie the marked heterogeneity in Mtb-host interactions.</w:t>
      </w:r>
    </w:p>
    <w:p>
      <w:pPr>
        <w:spacing w:before="120" w:after="120"/>
      </w:pPr>
      <w:r>
        <w:rPr>
          <w:sz w:val="18"/>
        </w:rPr>
        <w:t>——————————————————————————————————————————————————————————————————————</w:t>
      </w:r>
    </w:p>
    <w:p>
      <w:pPr>
        <w:spacing w:before="160" w:after="40" w:line="240" w:lineRule="auto"/>
      </w:pPr>
      <w:r>
        <w:rPr>
          <w:b/>
        </w:rPr>
        <w:t xml:space="preserve">[542] </w:t>
      </w:r>
      <w:hyperlink r:id="rId1578">
        <w:r>
          <w:rPr>
            <w:color w:val="1155CC"/>
            <w:u w:val="single"/>
          </w:rPr>
          <w:t>aDISCO：一种透明方法，可对大型档案石蜡包埋的人体组织块进行 3D 显微镜检查</w:t>
        </w:r>
      </w:hyperlink>
    </w:p>
    <w:p>
      <w:pPr>
        <w:spacing w:before="0" w:after="80"/>
      </w:pPr>
      <w:r>
        <w:rPr>
          <w:i/>
          <w:sz w:val="20"/>
        </w:rPr>
        <w:t>EN: aDISCO: A clearing method to enable 3D microscopy of large archival paraffin-embedded human tissue blocks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579">
        <w:r>
          <w:rPr>
            <w:color w:val="1155CC"/>
            <w:u w:val="single"/>
          </w:rPr>
          <w:t>10.1126/sciadv.aef9926</w:t>
        </w:r>
      </w:hyperlink>
    </w:p>
    <w:p>
      <w:pPr>
        <w:spacing w:before="0" w:after="120"/>
      </w:pPr>
      <w:r>
        <w:rPr>
          <w:b/>
        </w:rPr>
        <w:t xml:space="preserve">Notes: </w:t>
      </w:r>
      <w:r>
        <w:t>abstract_source=crossref</w:t>
      </w:r>
    </w:p>
    <w:p>
      <w:pPr>
        <w:spacing w:before="0" w:after="80" w:lineRule="auto" w:line="276"/>
      </w:pPr>
      <w:r>
        <w:rPr>
          <w:b/>
        </w:rPr>
        <w:t xml:space="preserve">摘要（ZH）: </w:t>
      </w:r>
      <w:r>
        <w:t>人体手术和尸检标本通常以福尔马林固定石蜡包埋 (FFPE) 组织块的形式保存数十年，形成大量健康和患病组织档案。虽然组织透明化和整体显微镜可以实现 3D 分析，但 FFPE 人体组织块由于尺寸大且交联广泛，通常不适合透明化和免疫标记。在这里，我们介绍“档案”DISCO（aDISCO），这是一种旨在克服这些挑战的清算方法。 aDISCO实现了对储存15年或更长时间的大样本的有效清除和免疫标记。我们使用多种抗体将 aDISCO 应用于人脑、脊髓、周围神经、皮肤、肌肉、心脏、肾脏、肝脏、脾脏、结肠和肺。将 aDISCO 与基于深度学习的分析相结合来研究局灶性皮质发育不良 (FCD)，我们发现局灶性和整体神经元密度变化的皮质分层被破坏，这些特征可能被传统组织学忽视。总之，aDISCO 提供适合基于深度学习的处理的数据集，能够检测大型档案人体组织标本中微妙且稀疏的病理。</w:t>
      </w:r>
    </w:p>
    <w:p>
      <w:pPr>
        <w:spacing w:before="0" w:after="200" w:lineRule="auto" w:line="276"/>
      </w:pPr>
      <w:r>
        <w:rPr>
          <w:b/>
        </w:rPr>
        <w:t xml:space="preserve">Abstract (EN): </w:t>
      </w:r>
      <w:r>
        <w:t>Human surgery and autopsy specimens are routinely stored as formalin-fixed paraffin-embedded (FFPE) tissue blocks for decades, creating vast archives of healthy and diseased tissues. While tissue clearing and whole-mount microscopy enable 3D analysis, FFPE human tissue blocks are often unsuitable for clearing and immunolabeling due to their large size and extensive cross-linking. Here, we introduce “archival” DISCO (aDISCO), a clearing method designed to overcome these challenges. aDISCO achieves effective clearing and immunolabeling of large samples stored for 15 years or more. We applied aDISCO to human brain, spinal cord, peripheral nerve, skin, muscle, heart, kidney, liver, spleen, colon, and lung, using a broad range of antibodies. Combining aDISCO with deep learning–based analysis to study focal cortical dysplasia (FCD), we found disrupted cortical layering with both focal and global neuronal density variations, features likely to be overlooked by conventional histology. In summary, aDISCO delivers datasets suitable for deep learning–based processing, enabling the detection of subtle and sparse pathologies in large archival human tissue specimens.</w:t>
      </w:r>
    </w:p>
    <w:p>
      <w:pPr>
        <w:spacing w:before="120" w:after="120"/>
      </w:pPr>
      <w:r>
        <w:rPr>
          <w:sz w:val="18"/>
        </w:rPr>
        <w:t>——————————————————————————————————————————————————————————————————————</w:t>
      </w:r>
    </w:p>
    <w:p>
      <w:pPr>
        <w:spacing w:before="160" w:after="40" w:line="240" w:lineRule="auto"/>
      </w:pPr>
      <w:r>
        <w:rPr>
          <w:b/>
        </w:rPr>
        <w:t xml:space="preserve">[543] </w:t>
      </w:r>
      <w:hyperlink r:id="rId1580">
        <w:r>
          <w:rPr>
            <w:color w:val="1155CC"/>
            <w:u w:val="single"/>
          </w:rPr>
          <w:t>转录因子 TOE3 通过破坏烟草中的 ABA 核心模块同时促进生长和抗病毒免疫</w:t>
        </w:r>
      </w:hyperlink>
    </w:p>
    <w:p>
      <w:pPr>
        <w:spacing w:before="0" w:after="80"/>
      </w:pPr>
      <w:r>
        <w:rPr>
          <w:i/>
          <w:sz w:val="20"/>
        </w:rPr>
        <w:t>EN: A transcription factor TOE3 simultaneously promotes growth and antiviral immunity by disrupting ABA core module in tobacco</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581">
        <w:r>
          <w:rPr>
            <w:color w:val="1155CC"/>
            <w:u w:val="single"/>
          </w:rPr>
          <w:t>10.1126/sciadv.aef2986</w:t>
        </w:r>
      </w:hyperlink>
    </w:p>
    <w:p>
      <w:pPr>
        <w:spacing w:before="0" w:after="120"/>
      </w:pPr>
      <w:r>
        <w:rPr>
          <w:b/>
        </w:rPr>
        <w:t xml:space="preserve">Notes: </w:t>
      </w:r>
      <w:r>
        <w:t>abstract_source=crossref</w:t>
      </w:r>
    </w:p>
    <w:p>
      <w:pPr>
        <w:spacing w:before="0" w:after="80" w:lineRule="auto" w:line="276"/>
      </w:pPr>
      <w:r>
        <w:rPr>
          <w:b/>
        </w:rPr>
        <w:t xml:space="preserve">摘要（ZH）: </w:t>
      </w:r>
      <w:r>
        <w:t>植物免疫激活通常会抑制生长，这被定义为“生长-防御权衡”（GDT）。解偶联GDT有望培育出生长力强、免疫力强的优良品种。我们之前发现 AP2 转录因子 TARGET OF EARLY3 (TOE3) 可促进生长和抗病毒防御。然而，这种 GDT 解偶联的机制仍然未知。在这里，我们发现 TOE3 (T3N) 的氨基末端结构域抑制脱落酸 (ABA) 信号传导。从机制上讲，T3N 与 ABA 受体 PYL4 结合，干扰 PYL4-PP2C4 相互作用。 PYL4-PP2C4 模块调节烟草生长和抗病毒免疫。因此，在正常条件下，T3N 通过下调 ABA 反应来促进烟草生长。 TMV 感染后，T3N 磷酸化被诱导。磷酸化的T3N对PYL4表现出更强的结合亲和力，进一步放大其对PYL4-PP2C4模块的破坏作用，并强烈阻断ABA反应，从而增强抗病毒免疫力。这些发现揭示了 TOE3 如何解偶联 GDT，从而为培育具有强生长和抗病毒免疫力的作物提供策略。</w:t>
      </w:r>
    </w:p>
    <w:p>
      <w:pPr>
        <w:spacing w:before="0" w:after="200" w:lineRule="auto" w:line="276"/>
      </w:pPr>
      <w:r>
        <w:rPr>
          <w:b/>
        </w:rPr>
        <w:t xml:space="preserve">Abstract (EN): </w:t>
      </w:r>
      <w:r>
        <w:t>Plant immune activation often reduces growth, which is defined as “growth-defense trade-off” (GDT). Uncoupling GDT is promising for breeding of elite cultivars with strong growth and immunity. We previously identified that AP2 transcription factor TARGET OF EARLY3 (TOE3) promotes both growth and antiviral defense. However, the mechanism underlying this GDT uncoupling remains unknown. Here, we find that the amino-terminal domain of TOE3 (T3N) inhibits abscisic acid (ABA) signaling. Mechanistically, T3N binds to an ABA receptor PYL4 to interfere with PYL4-PP2C4 interaction. The PYL4-PP2C4 module regulates tobacco growth and antiviral immunity. Thus, under normal conditions, T3N enhances tobacco growth via down-regulating ABA response. Upon TMV infection, the phosphorylation of T3N is induced. Phosphorylated T3N exhibits stronger binding affinity to PYL4 to further amplify its disruptive effect on PYL4-PP2C4 module and strongly block ABA response, thereby boosting antiviral immunity. These findings reveal how TOE3 uncouples GDT to provide strategies for breeding crops with strong growth and antiviral immunity.</w:t>
      </w:r>
    </w:p>
    <w:p>
      <w:pPr>
        <w:spacing w:before="120" w:after="120"/>
      </w:pPr>
      <w:r>
        <w:rPr>
          <w:sz w:val="18"/>
        </w:rPr>
        <w:t>——————————————————————————————————————————————————————————————————————</w:t>
      </w:r>
    </w:p>
    <w:p>
      <w:pPr>
        <w:spacing w:before="160" w:after="40" w:line="240" w:lineRule="auto"/>
      </w:pPr>
      <w:r>
        <w:rPr>
          <w:b/>
        </w:rPr>
        <w:t xml:space="preserve">[544] </w:t>
      </w:r>
      <w:hyperlink r:id="rId1582">
        <w:r>
          <w:rPr>
            <w:color w:val="1155CC"/>
            <w:u w:val="single"/>
          </w:rPr>
          <w:t>HACD-TECR复合物介导的极长链脂肪酸延伸的分子基础揭示了结直肠癌的潜在靶点</w:t>
        </w:r>
      </w:hyperlink>
    </w:p>
    <w:p>
      <w:pPr>
        <w:spacing w:before="0" w:after="80"/>
      </w:pPr>
      <w:r>
        <w:rPr>
          <w:i/>
          <w:sz w:val="20"/>
        </w:rPr>
        <w:t>EN: Molecular basis of HACD-TECR complex mediated very-long-chain fatty acid elongation reveal a potential target in colorectal cancer</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583">
        <w:r>
          <w:rPr>
            <w:color w:val="1155CC"/>
            <w:u w:val="single"/>
          </w:rPr>
          <w:t>10.1126/sciadv.aeh5593</w:t>
        </w:r>
      </w:hyperlink>
    </w:p>
    <w:p>
      <w:pPr>
        <w:spacing w:before="0" w:after="120"/>
      </w:pPr>
      <w:r>
        <w:rPr>
          <w:b/>
        </w:rPr>
        <w:t xml:space="preserve">Notes: </w:t>
      </w:r>
      <w:r>
        <w:t>abstract_source=crossref</w:t>
      </w:r>
    </w:p>
    <w:p>
      <w:pPr>
        <w:spacing w:before="0" w:after="80" w:lineRule="auto" w:line="276"/>
      </w:pPr>
      <w:r>
        <w:rPr>
          <w:b/>
        </w:rPr>
        <w:t xml:space="preserve">摘要（ZH）: </w:t>
      </w:r>
      <w:r>
        <w:t>人们越来越认识到脂肪酸代谢的重塑是肿瘤进展的一个关键特征，但极长链脂肪酸（VLCFA）的贡献仍不完全清楚。 VLCFA 的延长由内质网 (ER) 中的四种连续酶介导，与肿瘤进展有关。然而，VLCFA 延伸酶的分子机制及其对肿瘤发生的具体贡献仍然很大程度上难以捉摸。在这里，我们证明反式 2-烯酰辅酶 A 还原酶 (TECR) 在结直肠癌 (CRC) 中表达上调。结构和生化分析揭示了 TECR 介导的反式 2-烯酰辅酶 A 还原的保守催化机制。此外，我们发现 TECR 与 3-羟酰基辅酶 A 脱水酶 (HACD) 形成稳定的复合物，协同驱动 VLCFA 延伸。 HACD 中独特的 U 形环对于识别 TECR 至关重要。 HACD-TECR 相互作用界面的破坏可显着抑制 CRC 细胞的生长。总的来说，这些发现阐明了 HACD-TECR 介导的 VLCFA 延伸的分子机制，并提出了通过调节 VLCFA 代谢来治疗 CRC 的潜在治疗策略。</w:t>
      </w:r>
    </w:p>
    <w:p>
      <w:pPr>
        <w:spacing w:before="0" w:after="200" w:lineRule="auto" w:line="276"/>
      </w:pPr>
      <w:r>
        <w:rPr>
          <w:b/>
        </w:rPr>
        <w:t xml:space="preserve">Abstract (EN): </w:t>
      </w:r>
      <w:r>
        <w:t>Remodeling of fatty acid metabolism is increasingly recognized as a critical feature of tumor progression, yet the contribution of very long-chain fatty acid (VLCFA) remains incompletely understood. The elongation of VLCFAs, which is mediated by four consecutive enzymes in the endoplasmic reticulum (ER), has been implicated in tumor progression. However, the molecular mechanisms underlying VLCFA elongation enzymes and their specific contributions to tumorigenesis remain largely elusive. Here, we demonstrate that trans-2-enoyl-CoA reductase (TECR) is upregulated in colorectal cancer (CRC). Structural and biochemical analyses revealed a conserved catalytic mechanism for TECR-mediated trans-2-enoyl-CoA reduction. Moreover, we show that TECR forms a stable complex with 3-hydroxyacyl-CoA dehydratase (HACD), to cooperatively drive VLCFA elongation. A unique U-shaped loop in HACD is critical for recognizing TECR. Disruption of the HACD–TECR interaction interface significantly suppresses CRC cell growth. Collectively, these findings elucidate the molecular mechanism of HACD–TECR-mediated VLCFA elongation and suggest a potential therapeutic strategy for CRC treatment by modulating VLCFA metabolism.</w:t>
      </w:r>
    </w:p>
    <w:p>
      <w:pPr>
        <w:spacing w:before="120" w:after="120"/>
      </w:pPr>
      <w:r>
        <w:rPr>
          <w:sz w:val="18"/>
        </w:rPr>
        <w:t>——————————————————————————————————————————————————————————————————————</w:t>
      </w:r>
    </w:p>
    <w:p>
      <w:pPr>
        <w:spacing w:before="160" w:after="40" w:line="240" w:lineRule="auto"/>
      </w:pPr>
      <w:r>
        <w:rPr>
          <w:b/>
        </w:rPr>
        <w:t xml:space="preserve">[545] </w:t>
      </w:r>
      <w:hyperlink r:id="rId1584">
        <w:r>
          <w:rPr>
            <w:color w:val="1155CC"/>
            <w:u w:val="single"/>
          </w:rPr>
          <w:t>界面放大器：通过液滴动力学进行高通量视觉蛋白质检测</w:t>
        </w:r>
      </w:hyperlink>
    </w:p>
    <w:p>
      <w:pPr>
        <w:spacing w:before="0" w:after="80"/>
      </w:pPr>
      <w:r>
        <w:rPr>
          <w:i/>
          <w:sz w:val="20"/>
        </w:rPr>
        <w:t>EN: Interfacial amplifier: High-throughput visual protein detection via droplet dynamics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585">
        <w:r>
          <w:rPr>
            <w:color w:val="1155CC"/>
            <w:u w:val="single"/>
          </w:rPr>
          <w:t>10.1126/sciadv.aef6559</w:t>
        </w:r>
      </w:hyperlink>
    </w:p>
    <w:p>
      <w:pPr>
        <w:spacing w:before="0" w:after="120"/>
      </w:pPr>
      <w:r>
        <w:rPr>
          <w:b/>
        </w:rPr>
        <w:t xml:space="preserve">Notes: </w:t>
      </w:r>
      <w:r>
        <w:t>abstract_source=crossref</w:t>
      </w:r>
    </w:p>
    <w:p>
      <w:pPr>
        <w:spacing w:before="0" w:after="80" w:lineRule="auto" w:line="276"/>
      </w:pPr>
      <w:r>
        <w:rPr>
          <w:b/>
        </w:rPr>
        <w:t xml:space="preserve">摘要（ZH）: </w:t>
      </w:r>
      <w:r>
        <w:t>以超低成本进行快速、可视化蛋白质检测仍然是可扩展的即时检测的一个关键的未满足需求。我们引入了一个高通量平台，利用光滑液体注入多孔表面（SLIPS）上的界面液滴动力学，将蛋白质特异性吸附直接转化为宏观行为。蛋白质浓度和身份通过界面膜的形成调节液滴的临界滑动角，从而无需预处理、无需仪器即可在几分钟内识别出蛋白尿等临床相关目标。该方法可在单个 A4 大小的基板上实现 170 个样品的并行分析（5 分钟，每个样品 ∼ $0.008），仅需要视觉读数。通过将纳米级界面相互作用放大为直观的视觉输出，我们基于 SLIPS 的技术建立了一个可扩展、用户友好的范例，用于跨不同设置的分散诊断和持续健康监测。</w:t>
      </w:r>
    </w:p>
    <w:p>
      <w:pPr>
        <w:spacing w:before="0" w:after="200" w:lineRule="auto" w:line="276"/>
      </w:pPr>
      <w:r>
        <w:rPr>
          <w:b/>
        </w:rPr>
        <w:t xml:space="preserve">Abstract (EN): </w:t>
      </w:r>
      <w:r>
        <w:t>Rapid, visual protein detection at ultralow cost remains a critical unmet need for scalable point-of-care testing. We introduce a high-throughput platform leveraging interfacial droplet dynamics on a slippery liquid-infused porous surface (SLIPS) to directly translate protein-specific adsorption into macroscopic behavior. Protein concentration and identity modulate the critical sliding angle of droplets via interfacial film formation, enabling pretreatment-free, instrument-free identification of clinically relevant targets like proteinuria within minutes. This approach achieves parallel analysis of 170 samples on a single A4-sized substrate (5 minutes, ∼$0.008 per sample), requiring only visual readout. By amplifying nanoscale interfacial interactions into intuitive visual outputs, our SLIPS-based technology establishes a scalable, user-friendly paradigm for decentralized diagnostics and continuous health monitoring across diverse settings.</w:t>
      </w:r>
    </w:p>
    <w:p>
      <w:pPr>
        <w:spacing w:before="120" w:after="120"/>
      </w:pPr>
      <w:r>
        <w:rPr>
          <w:sz w:val="18"/>
        </w:rPr>
        <w:t>——————————————————————————————————————————————————————————————————————</w:t>
      </w:r>
    </w:p>
    <w:p>
      <w:pPr>
        <w:spacing w:before="160" w:after="40" w:line="240" w:lineRule="auto"/>
      </w:pPr>
      <w:r>
        <w:rPr>
          <w:b/>
        </w:rPr>
        <w:t xml:space="preserve">[546] </w:t>
      </w:r>
      <w:hyperlink r:id="rId1586">
        <w:r>
          <w:rPr>
            <w:color w:val="1155CC"/>
            <w:u w:val="single"/>
          </w:rPr>
          <w:t>线粒体应激激活 ELT-2 依赖性溶酶体蛋白稳态以延长线虫寿命</w:t>
        </w:r>
      </w:hyperlink>
    </w:p>
    <w:p>
      <w:pPr>
        <w:spacing w:before="0" w:after="80"/>
      </w:pPr>
      <w:r>
        <w:rPr>
          <w:i/>
          <w:sz w:val="20"/>
        </w:rPr>
        <w:t>EN: Mitochondrial stress activates ELT-2–dependent lysosomal proteostasis to extend lifespan in C. elegans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587">
        <w:r>
          <w:rPr>
            <w:color w:val="1155CC"/>
            <w:u w:val="single"/>
          </w:rPr>
          <w:t>10.1126/sciadv.aeh0657</w:t>
        </w:r>
      </w:hyperlink>
    </w:p>
    <w:p>
      <w:pPr>
        <w:spacing w:before="0" w:after="120"/>
      </w:pPr>
      <w:r>
        <w:rPr>
          <w:b/>
        </w:rPr>
        <w:t xml:space="preserve">Notes: </w:t>
      </w:r>
      <w:r>
        <w:t>abstract_source=crossref</w:t>
      </w:r>
    </w:p>
    <w:p>
      <w:pPr>
        <w:spacing w:before="0" w:after="80" w:lineRule="auto" w:line="276"/>
      </w:pPr>
      <w:r>
        <w:rPr>
          <w:b/>
        </w:rPr>
        <w:t xml:space="preserve">摘要（ZH）: </w:t>
      </w:r>
      <w:r>
        <w:t>轻度线粒体应激可以延长物种的寿命，但其潜在机制仍不清楚。在这里，我们发现，线粒体呼吸的抑制会诱导持续的转录程序，从而增强衰老过程中的溶酶体蛋白水解作用。</w:t>
      </w:r>
      <w:r>
        <w:t xml:space="preserve"> </w:t>
      </w:r>
      <w:r>
        <w:t>秀丽隐杆线虫</w:t>
      </w:r>
      <w:r>
        <w:t xml:space="preserve"> </w:t>
      </w:r>
      <w:r>
        <w:t>。从机制上讲，这种反应主要受到肠道 GATA 转录因子 ELT-2 的调节，ELT-2 保持高表达并直接与溶酶体蛋白酶基因启动子中的 GATA 基序结合，促进其转录激活。此外，我们还确定了 ELT-2 保守锌指 DNA 结合域内的 R249 是其转录活性所需的关键残基。值得注意的是，线粒体-ELT-2-溶酶体轴的运作很大程度上独立于线粒体未折叠蛋白反应（UPR</w:t>
      </w:r>
      <w:r>
        <w:t xml:space="preserve"> </w:t>
      </w:r>
      <w:r>
        <w:t>山</w:t>
      </w:r>
      <w:r>
        <w:t xml:space="preserve"> </w:t>
      </w:r>
      <w:r>
        <w:t>）来对抗衰老。此外，溶酶体活性的增加以及溶酶体蛋白酶 CPR-5 和 CPR-8 对于线粒体应激诱导的有毒聚谷氨酰胺 (polyQ) 聚集体的清除和寿命的延长至关重要。总之，我们的研究结果揭示了一种先前未被认识的 ELT-2 依赖性溶酶体蛋白质稳态途径，该途径在线粒体应激下游发挥作用，以维持蛋白质稳态并促进寿命。</w:t>
      </w:r>
    </w:p>
    <w:p>
      <w:pPr>
        <w:spacing w:before="0" w:after="200" w:lineRule="auto" w:line="276"/>
      </w:pPr>
      <w:r>
        <w:rPr>
          <w:b/>
        </w:rPr>
        <w:t xml:space="preserve">Abstract (EN): </w:t>
      </w:r>
      <w:r>
        <w:t>Mild mitochondrial stress could extend lifespan across species, yet the underlying mechanism remains unclear. Here, we show that inhibition of mitochondrial respiration induces a sustained transcriptional program that enhances lysosomal proteolysis during aging in</w:t>
      </w:r>
      <w:r>
        <w:t xml:space="preserve"> </w:t>
      </w:r>
      <w:r>
        <w:t>Caenorhabditis elegans</w:t>
      </w:r>
      <w:r>
        <w:t xml:space="preserve"> </w:t>
      </w:r>
      <w:r>
        <w:t>. Mechanistically, this response is primarily regulated by the intestinal GATA transcription factor ELT-2, which retains high expression and directly binds to GATA motifs in the promoters of lysosomal protease genes to promote their transcriptional activation. Moreover, we identified R249 within the conserved zinc-finger DNA binding domain of ELT-2 as a key residue required for its transcriptional activity. Notably, this mitochondrion–ELT-2–lysosome axis operates largely independently of the mitochondrial unfolded protein response (UPR</w:t>
      </w:r>
      <w:r>
        <w:t xml:space="preserve"> </w:t>
      </w:r>
      <w:r>
        <w:t>mt</w:t>
      </w:r>
      <w:r>
        <w:t xml:space="preserve"> </w:t>
      </w:r>
      <w:r>
        <w:t>) to counteract aging. Furthermore, increased lysosomal activity, as well as the lysosomal proteases CPR-5 and CPR-8, is essential for mitochondrial stress–induced clearance of toxic polyglutamine (polyQ) aggregates and lifespan extension. Together, our findings reveal a previously unrecognized ELT-2–dependent lysosomal proteostasis pathway that acts downstream of mitochondrial stress to maintain protein homeostasis and promote longevity.</w:t>
      </w:r>
    </w:p>
    <w:p>
      <w:pPr>
        <w:spacing w:before="120" w:after="120"/>
      </w:pPr>
      <w:r>
        <w:rPr>
          <w:sz w:val="18"/>
        </w:rPr>
        <w:t>——————————————————————————————————————————————————————————————————————</w:t>
      </w:r>
    </w:p>
    <w:p>
      <w:pPr>
        <w:spacing w:before="160" w:after="40" w:line="240" w:lineRule="auto"/>
      </w:pPr>
      <w:r>
        <w:rPr>
          <w:b/>
        </w:rPr>
        <w:t xml:space="preserve">[547] </w:t>
      </w:r>
      <w:hyperlink r:id="rId1588">
        <w:r>
          <w:rPr>
            <w:color w:val="1155CC"/>
            <w:u w:val="single"/>
          </w:rPr>
          <w:t>更快、更大、更严重：极端野火蔓延为北美西部和北部森林生态系统的变化奠定了基础</w:t>
        </w:r>
      </w:hyperlink>
    </w:p>
    <w:p>
      <w:pPr>
        <w:spacing w:before="0" w:after="80"/>
      </w:pPr>
      <w:r>
        <w:rPr>
          <w:i/>
          <w:sz w:val="20"/>
        </w:rPr>
        <w:t>EN: Faster, bigger, more severe: Extreme wildfire spread sets the stage for forest ecosystem change in western and boreal North America</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589">
        <w:r>
          <w:rPr>
            <w:color w:val="1155CC"/>
            <w:u w:val="single"/>
          </w:rPr>
          <w:t>10.1126/sciadv.aeg5802</w:t>
        </w:r>
      </w:hyperlink>
    </w:p>
    <w:p>
      <w:pPr>
        <w:spacing w:before="0" w:after="120"/>
      </w:pPr>
      <w:r>
        <w:rPr>
          <w:b/>
        </w:rPr>
        <w:t xml:space="preserve">Notes: </w:t>
      </w:r>
      <w:r>
        <w:t>abstract_source=crossref</w:t>
      </w:r>
    </w:p>
    <w:p>
      <w:pPr>
        <w:spacing w:before="0" w:after="80" w:lineRule="auto" w:line="276"/>
      </w:pPr>
      <w:r>
        <w:rPr>
          <w:b/>
        </w:rPr>
        <w:t xml:space="preserve">摘要（ZH）: </w:t>
      </w:r>
      <w:r>
        <w:t>数量相对较少、迅速蔓延的野火事件烧毁的面积不成比例。但除了烧毁面积之外，快速火灾是否会产生明显的火灾后生态后果？在这里，我们测量了每日线性火灾增长率，并评估了 2012 年至 2023 年间加拿大和美国西部以针叶树为主的森林中发生的 3499 场火灾的火灾蔓延、烧伤严重程度和火灾后景观恢复力指标之间的关系。我们发现，随着线性蔓延率的增加，火灾严重程度、高严重程度烧毁面积的比例以及距幸存活树种子源的距离也会增加。因此，最快的火灾不仅会烧毁大片地区，而且这些地区的剩余树木覆盖率也会减少，恢复能力也会降低，从而为长期植被变化奠定了基础。鉴于预计随着火灾季节延长和天气变得更有利于火灾，极端火灾蔓延将会增加，我们的研究结果强调了有效减少不良影响、管理火灾后景观以维持森林生态系统功能以及促进社会生态适应的日益增长的需求。</w:t>
      </w:r>
    </w:p>
    <w:p>
      <w:pPr>
        <w:spacing w:before="0" w:after="200" w:lineRule="auto" w:line="276"/>
      </w:pPr>
      <w:r>
        <w:rPr>
          <w:b/>
        </w:rPr>
        <w:t xml:space="preserve">Abstract (EN): </w:t>
      </w:r>
      <w:r>
        <w:t>A relatively small number of rapidly spreading wildfire events burn disproportionately large areas. But beyond area burned, do fast fires produce distinct postfire ecological outcomes? Here, we measure daily linear fire growth rates and assess relationships between fire spread, burn severity, and metrics of postfire landscape resilience from 3499 fires occurring between 2012 and 2023 in conifer-dominated forests of Canada and the western US. We find that as linear spread rate increases, so too does fire severity, proportion of area burned at high severity, and distance to surviving live tree seed sources. Thus, not only do the fastest fires burn outsized areas, but these areas have less remaining tree cover and reduced capacity for recovery, setting the stage for long-term vegetation shifts. Given anticipated increases in extreme fire spread as fire seasons lengthen and weather becomes more fire-conducive, our findings highlight growing needs to effectively reduce undesired impacts, manage postfire landscapes to sustain forest ecosystem functions, and foster social-ecological adaptation.</w:t>
      </w:r>
    </w:p>
    <w:p>
      <w:pPr>
        <w:spacing w:before="120" w:after="120"/>
      </w:pPr>
      <w:r>
        <w:rPr>
          <w:sz w:val="18"/>
        </w:rPr>
        <w:t>——————————————————————————————————————————————————————————————————————</w:t>
      </w:r>
    </w:p>
    <w:p>
      <w:pPr>
        <w:spacing w:before="160" w:after="40" w:line="240" w:lineRule="auto"/>
      </w:pPr>
      <w:r>
        <w:rPr>
          <w:b/>
        </w:rPr>
        <w:t xml:space="preserve">[548] </w:t>
      </w:r>
      <w:hyperlink r:id="rId1590">
        <w:r>
          <w:rPr>
            <w:color w:val="1155CC"/>
            <w:u w:val="single"/>
          </w:rPr>
          <w:t>TAL1 在 ETV2 引发的人内皮细胞命运决定中不可或缺</w:t>
        </w:r>
      </w:hyperlink>
    </w:p>
    <w:p>
      <w:pPr>
        <w:spacing w:before="0" w:after="80"/>
      </w:pPr>
      <w:r>
        <w:rPr>
          <w:i/>
          <w:sz w:val="20"/>
        </w:rPr>
        <w:t>EN: TAL1 is indispensable in ETV2-primed human endothelial cell fate determination</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591">
        <w:r>
          <w:rPr>
            <w:color w:val="1155CC"/>
            <w:u w:val="single"/>
          </w:rPr>
          <w:t>10.1126/sciadv.aef9769</w:t>
        </w:r>
      </w:hyperlink>
    </w:p>
    <w:p>
      <w:pPr>
        <w:spacing w:before="0" w:after="120"/>
      </w:pPr>
      <w:r>
        <w:rPr>
          <w:b/>
        </w:rPr>
        <w:t xml:space="preserve">Notes: </w:t>
      </w:r>
      <w:r>
        <w:t>abstract_source=crossref</w:t>
      </w:r>
    </w:p>
    <w:p>
      <w:pPr>
        <w:spacing w:before="0" w:after="80" w:lineRule="auto" w:line="276"/>
      </w:pPr>
      <w:r>
        <w:rPr>
          <w:b/>
        </w:rPr>
        <w:t xml:space="preserve">摘要（ZH）: </w:t>
      </w:r>
      <w:r>
        <w:t>ETS 变异转录因子 2 (ETV2) 是内皮谱系规范的基础转录因子。然而，在内皮命运决定过程中与 ETV2 协调的谱系特异性辅助因子仍然难以捉摸。在这里，我们证明 ETV2 通过直接重塑内皮特异性增强子来驱动人类多能干细胞 (hPSC) 快速向前编程为内皮细胞 (EC)。至关重要的是，我们确定了 T 细胞急性淋巴细胞白血病蛋白 1 (TAL1)，传统上被认为是造血调节因子，也是 ETV2 介导的内皮细胞定型不可或缺的辅助因子。与其在小鼠发育中的作用不同，hPSC 中的 TAL1 缺陷不仅会通过损害关键增强子上的 H3K27ac 沉积来中止内皮细胞程序，还会引发向间充质命运的深刻谱系重定向。从机制上讲，TAL1 与 ETV2 物理相互作用以招募 p300，从而促进内皮细胞身份的许可染色质环境。通过利用基于 hPSC 的分化模型，我们的研究结果将 TAL1 确立为人类 EC 规范的主要看门人，并为以 ETV2 为中心的复合物如何协同控制人类细胞命运提供了分子蓝图。</w:t>
      </w:r>
    </w:p>
    <w:p>
      <w:pPr>
        <w:spacing w:before="0" w:after="200" w:lineRule="auto" w:line="276"/>
      </w:pPr>
      <w:r>
        <w:rPr>
          <w:b/>
        </w:rPr>
        <w:t xml:space="preserve">Abstract (EN): </w:t>
      </w:r>
      <w:r>
        <w:t>ETS variant transcription factor 2 (ETV2) serves as a foundational transcription factor for endothelial lineage specification. However, the lineage-specific cofactors that orchestrate with ETV2 during endothelial fate commitment remain elusive. Here, we demonstrate that ETV2 drives the rapid forward programming of human pluripotent stem cells (hPSCs) into endothelial cells (ECs) by direct remodeling of endothelial-specific enhancers. Crucially, we identify T cell acute lymphocytic leukemia protein 1 (TAL1), which is traditionally characterized as a hematopoietic regulator, as an indispensable cofactor for ETV2-mediated endothelial commitment. Distinct from its role in murine development, TAL1 deficiency in hPSCs not only aborts the endothelial program by impairing H3K27ac deposition at key enhancers but also triggers a profound lineage redirection toward a mesenchymal fate. Mechanistically, TAL1 physically interacts with ETV2 to recruit the p300, thereby facilitating a permissive chromatin environment for endothelial identity. By leveraging an hPSC-based differentiation model, our findings establish TAL1 as a master gatekeeper of human EC specification and provide a molecular blueprint for how ETV2-centric complexes synergistically govern human cell fate.</w:t>
      </w:r>
    </w:p>
    <w:p>
      <w:pPr>
        <w:spacing w:before="120" w:after="120"/>
      </w:pPr>
      <w:r>
        <w:rPr>
          <w:sz w:val="18"/>
        </w:rPr>
        <w:t>——————————————————————————————————————————————————————————————————————</w:t>
      </w:r>
    </w:p>
    <w:p>
      <w:pPr>
        <w:spacing w:before="160" w:after="40" w:line="240" w:lineRule="auto"/>
      </w:pPr>
      <w:r>
        <w:rPr>
          <w:b/>
        </w:rPr>
        <w:t xml:space="preserve">[549] </w:t>
      </w:r>
      <w:hyperlink r:id="rId1592">
        <w:r>
          <w:rPr>
            <w:color w:val="1155CC"/>
            <w:u w:val="single"/>
          </w:rPr>
          <w:t>声谐振器作为小型机器人空气中的无线执行器</w:t>
        </w:r>
      </w:hyperlink>
    </w:p>
    <w:p>
      <w:pPr>
        <w:spacing w:before="0" w:after="80"/>
      </w:pPr>
      <w:r>
        <w:rPr>
          <w:i/>
          <w:sz w:val="20"/>
        </w:rPr>
        <w:t>EN: Acoustic resonators as wireless actuators in air for small-scale robots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593">
        <w:r>
          <w:rPr>
            <w:color w:val="1155CC"/>
            <w:u w:val="single"/>
          </w:rPr>
          <w:t>10.1126/sciadv.aef5620</w:t>
        </w:r>
      </w:hyperlink>
    </w:p>
    <w:p>
      <w:pPr>
        <w:spacing w:before="0" w:after="120"/>
      </w:pPr>
      <w:r>
        <w:rPr>
          <w:b/>
        </w:rPr>
        <w:t xml:space="preserve">Notes: </w:t>
      </w:r>
      <w:r>
        <w:t>abstract_source=crossref</w:t>
      </w:r>
    </w:p>
    <w:p>
      <w:pPr>
        <w:spacing w:before="0" w:after="80" w:lineRule="auto" w:line="276"/>
      </w:pPr>
      <w:r>
        <w:rPr>
          <w:b/>
        </w:rPr>
        <w:t xml:space="preserve">摘要（ZH）: </w:t>
      </w:r>
      <w:r>
        <w:t>虽然声谐振器已在液体中进行了广泛研究，以实现不受束缚的微型机器人，但它们在空气中的实现在很大程度上仍未得到探索。在这里，我们重新审视亥姆霍兹共振的经典原理，并表明尺寸从厘米到微米的 3D 打印空腔在共振激发时会产生从毫牛顿到微牛顿的时空控制推力。我们提供全面的设计框架，以有效利用声学和空气动力，并通过分析建模、数值模拟和实验进行验证。我们展示了由空气传播或结构传播声音驱动的小型船只的机器人导航，强调了驱动方案的多功能性。我们展示了一种由垂直推力驱动的微型飞行器，重量仅为 150 微克，推重比为 4.9，而另一种由转子驱动的微型飞行器，重量仅为 184 微克，转速为每分钟 13,000 转。该驱动方案与进一步的小型化兼容，突破了机器人和航空技术的界限。</w:t>
      </w:r>
    </w:p>
    <w:p>
      <w:pPr>
        <w:spacing w:before="0" w:after="200" w:lineRule="auto" w:line="276"/>
      </w:pPr>
      <w:r>
        <w:rPr>
          <w:b/>
        </w:rPr>
        <w:t xml:space="preserve">Abstract (EN): </w:t>
      </w:r>
      <w:r>
        <w:t>While acoustic resonators have been extensively studied in liquids for the realization of untethered microrobots, their implementation in air remains largely unexplored. Here, we revisit the classical principle of Helmholtz resonance and show that 3D printed cavities with sizes ranging from centimeter to micrometer generate spatiotemporally controlled thrust ranging from millinewton to micronewton upon resonance excitation. We provide a comprehensive design framework to efficiently harness acoustic and aerodynamic forces that are validated through analytical modeling, numerical simulations, and experiments. We show robotic navigation of small-scale boats powered by either air-borne or structure-borne sound, highlighting the versatility of the actuation scheme. We present one type of microflier propelled by vertical thrust that weighs only 150 micrograms with a thrust-to-weight ratio of 4.9 and another type of microflier propelled by a rotor that weighs only 184 micrograms and rotates as fast as 13,000 revolutions per minute. The actuation scheme is compatible with even further miniaturization, pushing the boundaries of robotics and aeronautics.</w:t>
      </w:r>
    </w:p>
    <w:p>
      <w:pPr>
        <w:spacing w:before="120" w:after="120"/>
      </w:pPr>
      <w:r>
        <w:rPr>
          <w:sz w:val="18"/>
        </w:rPr>
        <w:t>——————————————————————————————————————————————————————————————————————</w:t>
      </w:r>
    </w:p>
    <w:p>
      <w:pPr>
        <w:spacing w:before="160" w:after="40" w:line="240" w:lineRule="auto"/>
      </w:pPr>
      <w:r>
        <w:rPr>
          <w:b/>
        </w:rPr>
        <w:t xml:space="preserve">[550] </w:t>
      </w:r>
      <w:hyperlink r:id="rId1594">
        <w:r>
          <w:rPr>
            <w:color w:val="1155CC"/>
            <w:u w:val="single"/>
          </w:rPr>
          <w:t>富含硫醇的免疫调节可注射水凝胶抑制子宫内膜纤维化以恢复受精</w:t>
        </w:r>
      </w:hyperlink>
    </w:p>
    <w:p>
      <w:pPr>
        <w:spacing w:before="0" w:after="80"/>
      </w:pPr>
      <w:r>
        <w:rPr>
          <w:i/>
          <w:sz w:val="20"/>
        </w:rPr>
        <w:t>EN: A thiol-rich immunomodulatory injectable hydrogel suppresses endometrial fibrosis to restore fertilization</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595">
        <w:r>
          <w:rPr>
            <w:color w:val="1155CC"/>
            <w:u w:val="single"/>
          </w:rPr>
          <w:t>10.1126/sciadv.aef5617</w:t>
        </w:r>
      </w:hyperlink>
    </w:p>
    <w:p>
      <w:pPr>
        <w:spacing w:before="0" w:after="120"/>
      </w:pPr>
      <w:r>
        <w:rPr>
          <w:b/>
        </w:rPr>
        <w:t xml:space="preserve">Notes: </w:t>
      </w:r>
      <w:r>
        <w:t>abstract_source=crossref</w:t>
      </w:r>
    </w:p>
    <w:p>
      <w:pPr>
        <w:spacing w:before="0" w:after="80" w:lineRule="auto" w:line="276"/>
      </w:pPr>
      <w:r>
        <w:rPr>
          <w:b/>
        </w:rPr>
        <w:t xml:space="preserve">摘要（ZH）: </w:t>
      </w:r>
      <w:r>
        <w:t>子宫内膜纤维化破坏子宫微环境，是宫腔粘连（IUA）和不孕的主​​要原因。术后屏障通常在粘连松解后使用，但大多数充当被动间隔物，并且不会主动重塑纤维化炎症生态位。在这里，我们报道了一种富含硫醇的免疫调节可注射水凝胶（TR-gel），它通过丙烯酸化透明质酸和硫醇化透明质酸之间的迈克尔加成原位形成。水凝胶适形地粘附在受损的子宫内膜上，提供组织匹配的力学和受控的生物降解，并保留丰富的硫醇基团，从而创造一个还原性的微环境。 TR-gel 清除活性氧，抑制核因子 κB 激活，促进巨噬细胞极化向再生 M2 表型，并减少炎症和纤维化信号传导。在大鼠 IUA 模型中，TR-gel 减少胶原蛋白沉积，促进血管生成，恢复腺体结构和胚胎容受性，并将生育率从 25.0% 提高到 62.5%。这些发现提供了临床前证据，表明富含硫醇的免疫调节水凝胶可以将物理屏障功能与微环境调节相结合，以支持子宫内膜再生。</w:t>
      </w:r>
    </w:p>
    <w:p>
      <w:pPr>
        <w:spacing w:before="0" w:after="200" w:lineRule="auto" w:line="276"/>
      </w:pPr>
      <w:r>
        <w:rPr>
          <w:b/>
        </w:rPr>
        <w:t xml:space="preserve">Abstract (EN): </w:t>
      </w:r>
      <w:r>
        <w:t>Endometrial fibrosis disrupts the uterine microenvironment and is a major cause of intrauterine adhesion (IUA) and infertility. Postoperative barriers are commonly used after adhesiolysis, but most act as passive spacers and do not actively remodel the fibrotic inflammatory niche. Here, we report a thiol-rich immunomodulatory injectable hydrogel (TR-gel) that forms in situ through Michael addition between acrylated hyaluronic acid and thiolated hyaluronic acid. The hydrogel conformally adheres to injured endometrium, provides tissue-matched mechanics and controlled biodegradation, and retains abundant thiol groups that create a reductive microenvironment. TR-gel scavenged reactive oxygen species, suppressed nuclear factor κB activation, promoted macrophage polarization toward a proregenerative M2 phenotype, and reduced inflammatory and fibrotic signaling. In a rat IUA model, TR-gel decreased collagen deposition, promoted angiogenesis, restored glandular architecture and embryo receptivity, and improved the fertility rate from 25.0 to 62.5%. These findings provide preclinical evidence that a thiol-rich immunomodulatory hydrogel can combine physical barrier function with microenvironmental regulation to support endometrial regeneration.</w:t>
      </w:r>
    </w:p>
    <w:p>
      <w:pPr>
        <w:spacing w:before="120" w:after="120"/>
      </w:pPr>
      <w:r>
        <w:rPr>
          <w:sz w:val="18"/>
        </w:rPr>
        <w:t>——————————————————————————————————————————————————————————————————————</w:t>
      </w:r>
    </w:p>
    <w:p>
      <w:pPr>
        <w:spacing w:before="160" w:after="40" w:line="240" w:lineRule="auto"/>
      </w:pPr>
      <w:r>
        <w:rPr>
          <w:b/>
        </w:rPr>
        <w:t xml:space="preserve">[551] </w:t>
      </w:r>
      <w:hyperlink r:id="rId1596">
        <w:r>
          <w:rPr>
            <w:color w:val="1155CC"/>
            <w:u w:val="single"/>
          </w:rPr>
          <w:t>祖先蛋白追踪细菌 DEDDy 双核酸酶内底物特异性和寡聚化的出现</w:t>
        </w:r>
      </w:hyperlink>
    </w:p>
    <w:p>
      <w:pPr>
        <w:spacing w:before="0" w:after="80"/>
      </w:pPr>
      <w:r>
        <w:rPr>
          <w:i/>
          <w:sz w:val="20"/>
        </w:rPr>
        <w:t>EN: Ancestral proteins trace the emergence of substrate specificity and oligomerization within bacterial DEDDy dinucleases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597">
        <w:r>
          <w:rPr>
            <w:color w:val="1155CC"/>
            <w:u w:val="single"/>
          </w:rPr>
          <w:t>10.1126/sciadv.aef1581</w:t>
        </w:r>
      </w:hyperlink>
    </w:p>
    <w:p>
      <w:pPr>
        <w:spacing w:before="0" w:after="120"/>
      </w:pPr>
      <w:r>
        <w:rPr>
          <w:b/>
        </w:rPr>
        <w:t xml:space="preserve">Notes: </w:t>
      </w:r>
      <w:r>
        <w:t>abstract_source=crossref</w:t>
      </w:r>
    </w:p>
    <w:p>
      <w:pPr>
        <w:spacing w:before="0" w:after="80" w:lineRule="auto" w:line="276"/>
      </w:pPr>
      <w:r>
        <w:rPr>
          <w:b/>
        </w:rPr>
        <w:t xml:space="preserve">摘要（ZH）: </w:t>
      </w:r>
      <w:r>
        <w:t>核酸酶对于各种细菌过程至关重要，包括基因组维护和宿主防御。脱氧二核酸酶 (diDNase) 是一类与可移动遗传元件相关的革兰氏阳性菌特异性核酸酶，与革兰氏阴性菌中的 nanoRNase C (NrnC) 同源，但表现出显着差异：diDNase 形成二聚体并切割 DNA 二核苷酸，而 NrnC 形成八聚体，可同时处理 RNA 和 DNA 二核苷酸。底物特异性出现的机制以及它是否与寡聚化有关仍然未知。在这里，我们重建了 diDNase 和 NrnC 直向同源物的共同祖先，它们形成对 DNA 具有中间偏好的二聚体。祖先和现存双核酸酶的结构揭示了构象的逐渐变化，从而导致底物偏好、寡聚状态和催化效率。这些发现强调了如何利用保守的蛋白质折叠，通过微妙、协调的结构修饰来实现分子组装和功能专业化的大规模变化。早期祖先对 DNA 二核苷酸的偏好以及所有现存酶中 DNase 活性的保留有力地证明了 DNA 二核苷酸的生物学功能。</w:t>
      </w:r>
    </w:p>
    <w:p>
      <w:pPr>
        <w:spacing w:before="0" w:after="200" w:lineRule="auto" w:line="276"/>
      </w:pPr>
      <w:r>
        <w:rPr>
          <w:b/>
        </w:rPr>
        <w:t xml:space="preserve">Abstract (EN): </w:t>
      </w:r>
      <w:r>
        <w:t>Nucleases are crucial for various bacterial processes, including genome maintenance and host defense. Deoxydinucleases (diDNases), a class of Gram-positive bacteria–specific nucleases associated with mobile genetic elements, are homologous to nanoRNase C (NrnC) in Gram-negative bacteria but exhibit notable differences: diDNases form dimers and cleave DNA dinucleotides, whereas NrnC forms octamers that process both RNA and DNA dinucleotides. The mechanism by which substrate specificity emerged, and whether it is linked to oligomerization, remained unknown. Here, we reconstructed a common ancestor of diDNases and NrnC orthologs that forms a dimer with intermediate preference for DNA. Structures of ancestral and extant dinucleases reveal gradual changes in conformation that gave rise to substrate preference, oligomeric state, and catalytic efficiency. These findings highlight how subtle, concerted structural modifications enable large-scale changes in molecular assembly and functional specialization, harnessing a conserved protein fold. DNA dinucleotide preference in the early ancestor and preservation of DNase activity in all extant enzymes strongly argue for a biological function of DNA dinucleotides.</w:t>
      </w:r>
    </w:p>
    <w:p>
      <w:pPr>
        <w:spacing w:before="120" w:after="120"/>
      </w:pPr>
      <w:r>
        <w:rPr>
          <w:sz w:val="18"/>
        </w:rPr>
        <w:t>——————————————————————————————————————————————————————————————————————</w:t>
      </w:r>
    </w:p>
    <w:p>
      <w:pPr>
        <w:spacing w:before="160" w:after="40" w:line="240" w:lineRule="auto"/>
      </w:pPr>
      <w:r>
        <w:rPr>
          <w:b/>
        </w:rPr>
        <w:t xml:space="preserve">[552] </w:t>
      </w:r>
      <w:hyperlink r:id="rId1598">
        <w:r>
          <w:rPr>
            <w:color w:val="1155CC"/>
            <w:u w:val="single"/>
          </w:rPr>
          <w:t>飞行果蝇的气味追踪需要视觉再传入和罗盘神经元</w:t>
        </w:r>
      </w:hyperlink>
    </w:p>
    <w:p>
      <w:pPr>
        <w:spacing w:before="0" w:after="80"/>
      </w:pPr>
      <w:r>
        <w:rPr>
          <w:i/>
          <w:sz w:val="20"/>
        </w:rPr>
        <w:t>EN: Odor tracking in flying Drosophila requires visual reafference and compass neurons</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599">
        <w:r>
          <w:rPr>
            <w:color w:val="1155CC"/>
            <w:u w:val="single"/>
          </w:rPr>
          <w:t>10.1073/pnas.2609141123</w:t>
        </w:r>
      </w:hyperlink>
    </w:p>
    <w:p>
      <w:pPr>
        <w:spacing w:before="0" w:after="120"/>
      </w:pPr>
      <w:r>
        <w:rPr>
          <w:b/>
        </w:rPr>
        <w:t xml:space="preserve">Notes: </w:t>
      </w:r>
      <w:r>
        <w:t>abstract_source=crossref</w:t>
      </w:r>
    </w:p>
    <w:p>
      <w:pPr>
        <w:spacing w:before="0" w:after="80" w:lineRule="auto" w:line="276"/>
      </w:pPr>
      <w:r>
        <w:rPr>
          <w:b/>
        </w:rPr>
        <w:t xml:space="preserve">摘要（ZH）: </w:t>
      </w:r>
      <w:r>
        <w:t>飞行</w:t>
      </w:r>
      <w:r>
        <w:t xml:space="preserve"> </w:t>
      </w:r>
      <w:r>
        <w:t>果蝇</w:t>
      </w:r>
      <w:r>
        <w:t xml:space="preserve"> </w:t>
      </w:r>
      <w:r>
        <w:t>关键依赖于高对比度的视觉环境来定位静止空气中的气味源，但主动气味跟踪的视觉整合的神经机制尚不清楚。我们证明了椭球体-原脑桥-胆（E-PG）神经元（中央复合体中的头部方向细胞）与自身生成的视觉运动信号协同工作，以在飞行中的嗅觉导航过程中保持稳定的航向度量。使用磁性系绳系统和数字“视觉夹”，我们证明，消除果蝇自身转弯（再传入）产生的视觉反馈会导致动物在气味羽流中失去方向。因此，仅靠嗅觉和机械感觉信号不足以稳定羽流。 E-PG 神经元已被证明可以存储飞行过程中航向的视觉变化。基因超极化的 E-PG 神经元显着损害了果蝇获取和维持食物气味的能力。值得注意的是，沉默这些神经元并不会破坏基本的视觉反射，例如视运动凝视稳定或物体跟踪，这表明在气味导向的视觉导航而不是视觉飞行控制中具有特定作用。虽然发现气味可以独立调节转动的频率和幅度，但 E-PG 神经元对于将纠正性眼跳的方向引导至羽流中心至关重要。这些结果表明，视觉再传入会利用内部视觉罗盘和相关的控制电路来维持航向变化的空间工作记忆</w:t>
      </w:r>
    </w:p>
    <w:p>
      <w:pPr>
        <w:spacing w:before="0" w:after="200" w:lineRule="auto" w:line="276"/>
      </w:pPr>
      <w:r>
        <w:rPr>
          <w:b/>
        </w:rPr>
        <w:t xml:space="preserve">Abstract (EN): </w:t>
      </w:r>
      <w:r>
        <w:t>Flying</w:t>
      </w:r>
      <w:r>
        <w:t xml:space="preserve"> </w:t>
      </w:r>
      <w:r>
        <w:t>Drosophila</w:t>
      </w:r>
      <w:r>
        <w:t xml:space="preserve"> </w:t>
      </w:r>
      <w:r>
        <w:t>critically depend on high-contrast visual surroundings to localize odor sources in still air, yet the neural mechanisms of visual integration for active odor tracking are unknown. We demonstrate that Ellipsoid body-Protocerebral bridge-Gall (E-PG) neurons—head direction cells in the central complex—work in concert with self-generated visual motion signals to maintain a stable heading metric during olfactory navigation in flight. Using a magnetic tether system and a digital “visual clamp,” we show that removing the visual feedback generated by a fly’s own turns (reafference) causes the animal to lose its heading within an odor plume. Thus, olfactory and mechanosensory signals alone are insufficient for plume stabilization. E-PG neurons have been shown to store visual changes in heading during flight. Genetically hyperpolarizing E-PG neurons significantly compromised the flies’ ability to both acquire and maintain heading toward a food odor. Notably, silencing these neurons did not disrupt basic visual reflexes, such as optomotor gaze stabilization or object tracking, indicating a specific role in odor-directed visual navigation rather than visual flight control. While odor was found to modulate the frequency and amplitude of turns independently, E-PG neurons are essential for directing the orientation of corrective saccades toward the plume center. These results establish that visual reafference engages the internal visual compass and associated control circuits to sustain a spatial working memory of heading changes between saccades, allowing flies to maintain a straight course and navigate effectively toward an invisible odor source in flight in still air.</w:t>
      </w:r>
    </w:p>
    <w:p>
      <w:pPr>
        <w:spacing w:before="120" w:after="120"/>
      </w:pPr>
      <w:r>
        <w:rPr>
          <w:sz w:val="18"/>
        </w:rPr>
        <w:t>——————————————————————————————————————————————————————————————————————</w:t>
      </w:r>
    </w:p>
    <w:p>
      <w:pPr>
        <w:spacing w:before="160" w:after="40" w:line="240" w:lineRule="auto"/>
      </w:pPr>
      <w:r>
        <w:rPr>
          <w:b/>
        </w:rPr>
        <w:t xml:space="preserve">[553] </w:t>
      </w:r>
      <w:hyperlink r:id="rId1600">
        <w:r>
          <w:rPr>
            <w:color w:val="1155CC"/>
            <w:u w:val="single"/>
          </w:rPr>
          <w:t>染色体倒位加速遗传进化并驱动整个岛屿梯度的生态物种形成</w:t>
        </w:r>
      </w:hyperlink>
    </w:p>
    <w:p>
      <w:pPr>
        <w:spacing w:before="0" w:after="80"/>
      </w:pPr>
      <w:r>
        <w:rPr>
          <w:i/>
          <w:sz w:val="20"/>
        </w:rPr>
        <w:t>EN: Chromosomal inversions accelerate genetic evolution and drive ecological speciation across an island gradient</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601">
        <w:r>
          <w:rPr>
            <w:color w:val="1155CC"/>
            <w:u w:val="single"/>
          </w:rPr>
          <w:t>10.1073/pnas.2604805123</w:t>
        </w:r>
      </w:hyperlink>
    </w:p>
    <w:p>
      <w:pPr>
        <w:spacing w:before="0" w:after="120"/>
      </w:pPr>
      <w:r>
        <w:rPr>
          <w:b/>
        </w:rPr>
        <w:t xml:space="preserve">Notes: </w:t>
      </w:r>
      <w:r>
        <w:t>abstract_source=crossref</w:t>
      </w:r>
    </w:p>
    <w:p>
      <w:pPr>
        <w:spacing w:before="0" w:after="80" w:lineRule="auto" w:line="276"/>
      </w:pPr>
      <w:r>
        <w:rPr>
          <w:b/>
        </w:rPr>
        <w:t xml:space="preserve">摘要（ZH）: </w:t>
      </w:r>
      <w:r>
        <w:t>假设染色体重排通过抑制局部适应基因组区域的重组来促进物种形成，但人们对它们在快速分化过程中如何影响进化速率仍知之甚少。在这里，我们研究了两姐妹的基因组结构</w:t>
      </w:r>
      <w:r>
        <w:t xml:space="preserve"> </w:t>
      </w:r>
      <w:r>
        <w:t>苔草</w:t>
      </w:r>
      <w:r>
        <w:t xml:space="preserve"> </w:t>
      </w:r>
      <w:r>
        <w:t>留尼汪岛上的莎草科（Cyperaceae）物种，迅速分化（∼0.5 Mya），占据截然不同的热带山地和干燥亚高山栖息地。使用染色体级组装和群体基因组学，我们表明基因组分歧在整个基因组中并不均匀，而是集中在特定的大规模倒位中。至关重要的是，与共线基因组相比，这些结构变体中的基因表现出显着加快的蛋白质进化速率，正如 ω 升高所证明的那样。这与重组抑制和随后驱动这些模式的纯化选择的放松是一致的，这可能补充甚至超过正选择的信号。功能分析和环境关联表明，这些“基因组加速器”包括关键的适应性位点：14 号和 28 号染色体上的倒位丰富了机械敏感离子通道和生长素运输，这与促进种间生理向干旱的转变是一致的。部分冗余分析表明，持续的种内生态适应在共线基因组中是高度多基因的。我们的结果表明，基因组结构主动决定了进化速度，这表明某些谱系是由基因促进的</w:t>
      </w:r>
    </w:p>
    <w:p>
      <w:pPr>
        <w:spacing w:before="0" w:after="200" w:lineRule="auto" w:line="276"/>
      </w:pPr>
      <w:r>
        <w:rPr>
          <w:b/>
        </w:rPr>
        <w:t xml:space="preserve">Abstract (EN): </w:t>
      </w:r>
      <w:r>
        <w:t>Chromosomal rearrangements are hypothesized to facilitate speciation by suppressing recombination in locally adapted genomic regions, yet how they shape evolutionary rates during rapid divergence remains poorly understood. Here, we investigate the genomic architecture of two sister</w:t>
      </w:r>
      <w:r>
        <w:t xml:space="preserve"> </w:t>
      </w:r>
      <w:r>
        <w:t>Carex</w:t>
      </w:r>
      <w:r>
        <w:t xml:space="preserve"> </w:t>
      </w:r>
      <w:r>
        <w:t>(Cyperaceae) species on Réunion Island, which rapidly diverged (∼0.5 Mya) to occupy contrasting tropical-montane and dry-subalpine habitats. Using chromosome-level assemblies and population genomics, we show that genomic divergence is not uniform across the genome but is concentrated within specific large-scale inversions. Crucially, genes within these structural variants exhibit significantly accelerated rates of protein evolution, as evidenced by elevated ω, compared to the collinear genome. This is consistent with recombination suppression and subsequent relaxation of purifying selection driving these patterns, which may complement or even outweigh the signal of positive selection. Functional analysis and environmental associations reveal that these “genomic accelerators” include key adaptive loci: Inversions on chromosomes 14 and 28 are enriched for mechanosensitive ion channels and auxin transport, which is consistent with facilitating the interspecific physiological shift to aridity. Partial redundancy analyses reveal that ongoing intraspecific ecological adaptation is highly polygenic across the collinear genome. Our results demonstrate that genomic architecture actively dictates evolutionary speed, suggesting that certain lineages boosted by structural variants may bypass the typical constraints of purifying selection to rapidly exploit vacant ecological opportunities.</w:t>
      </w:r>
    </w:p>
    <w:p>
      <w:pPr>
        <w:spacing w:before="120" w:after="120"/>
      </w:pPr>
      <w:r>
        <w:rPr>
          <w:sz w:val="18"/>
        </w:rPr>
        <w:t>——————————————————————————————————————————————————————————————————————</w:t>
      </w:r>
    </w:p>
    <w:p>
      <w:pPr>
        <w:spacing w:before="160" w:after="40" w:line="240" w:lineRule="auto"/>
      </w:pPr>
      <w:r>
        <w:rPr>
          <w:b/>
        </w:rPr>
        <w:t xml:space="preserve">[554] </w:t>
      </w:r>
      <w:hyperlink r:id="rId1602">
        <w:r>
          <w:rPr>
            <w:color w:val="1155CC"/>
            <w:u w:val="single"/>
          </w:rPr>
          <w:t>MALT1选择性剪接——平衡免疫激活和稳态的分子变阻器</w:t>
        </w:r>
      </w:hyperlink>
    </w:p>
    <w:p>
      <w:pPr>
        <w:spacing w:before="0" w:after="80"/>
      </w:pPr>
      <w:r>
        <w:rPr>
          <w:i/>
          <w:sz w:val="20"/>
        </w:rPr>
        <w:t>EN: MALT1 alternative splicing—A molecular rheostat for balancing immune activation and homeostasis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03">
        <w:r>
          <w:rPr>
            <w:color w:val="1155CC"/>
            <w:u w:val="single"/>
          </w:rPr>
          <w:t>10.1126/sciadv.aeh2835</w:t>
        </w:r>
      </w:hyperlink>
    </w:p>
    <w:p>
      <w:pPr>
        <w:spacing w:before="0" w:after="120"/>
      </w:pPr>
      <w:r>
        <w:rPr>
          <w:b/>
        </w:rPr>
        <w:t xml:space="preserve">Notes: </w:t>
      </w:r>
      <w:r>
        <w:t>abstract_source=crossref</w:t>
      </w:r>
    </w:p>
    <w:p>
      <w:pPr>
        <w:spacing w:before="0" w:after="80" w:lineRule="auto" w:line="276"/>
      </w:pPr>
      <w:r>
        <w:rPr>
          <w:b/>
        </w:rPr>
        <w:t xml:space="preserve">摘要（ZH）: </w:t>
      </w:r>
      <w:r>
        <w:t>MALT1（粘膜相关淋巴组织淋巴瘤/白血病蛋白 1）–TRAF6 [肿瘤坏死因子受体 (TNFR) 相关因子 6] 相互作用可驱动淋巴细胞激活和适应性免疫，但也有助于维持免疫稳态。 MALT1 存在两种同工型，差异仅在于编码两种 (MALT1A) 或一种 (MALT1B) TRAF6 结合基序 (T6BM)。 T6BM2 中的人类突变 MALT1 E806D 在 MALT1A 和 MALT1B 中均表达，与免疫缺陷和自身免疫症状相结合的免疫疾病有关。在这里，我们报告直系同源种系突变 MALT1 E814D 足以在小鼠中诱发致命的自身免疫综合征。我们证明，T6BM2 破坏的影响的物种特异性差异可归因于 MALT1 剪接的改变，并且通过在 MALT1 E814D 小鼠中基因强制表达 MALT1A 来恢复免疫稳态。因此，选择性 MALT1 剪接允许调节 TRAF6 关联，从而起到分子变阻器的作用，以在最佳免疫激活和维持外周耐受之间取得平衡。</w:t>
      </w:r>
    </w:p>
    <w:p>
      <w:pPr>
        <w:spacing w:before="0" w:after="200" w:lineRule="auto" w:line="276"/>
      </w:pPr>
      <w:r>
        <w:rPr>
          <w:b/>
        </w:rPr>
        <w:t xml:space="preserve">Abstract (EN): </w:t>
      </w:r>
      <w:r>
        <w:t>MALT1 (mucosa-associated lymphoid tissue lymphoma/leukemia protein 1)–TRAF6 [tumor necrosis factor receptor (TNFR)-associated factor 6] interaction drives lymphocyte activation and adaptive immunity, but it also contributes to maintaining immune homeostasis. MALT1 exists in two isoforms that differ only by either encoding two (MALT1A) or one (MALT1B) TRAF6 binding motif (T6BM). The human mutation MALT1 E806D in T6BM2, expressed in both MALT1A and MALT1B, has been associated with an immune disorder combining symptoms of immune deficiency and autoimmunity. Here, we report that the orthologous germline mutation MALT1 E814D is sufficient to induce a fatal autoimmune syndrome in mice. We demonstrate that species-specific differences in the effects of T6BM2 disruptions can be attributed to alterations in MALT1 splicing and that immune homeostasis is restored by genetically enforcing expression of MALT1A in MALT1 E814D mice. Thus, alternative MALT1 splicing allows tuning of TRAF6 association, thereby functioning as a molecular rheostat to balance between optimal immune activation and maintenance of peripheral tolerance.</w:t>
      </w:r>
    </w:p>
    <w:p>
      <w:pPr>
        <w:spacing w:before="120" w:after="120"/>
      </w:pPr>
      <w:r>
        <w:rPr>
          <w:sz w:val="18"/>
        </w:rPr>
        <w:t>——————————————————————————————————————————————————————————————————————</w:t>
      </w:r>
    </w:p>
    <w:p>
      <w:pPr>
        <w:spacing w:before="160" w:after="40" w:line="240" w:lineRule="auto"/>
      </w:pPr>
      <w:r>
        <w:rPr>
          <w:b/>
        </w:rPr>
        <w:t xml:space="preserve">[555] </w:t>
      </w:r>
      <w:hyperlink r:id="rId1604">
        <w:r>
          <w:rPr>
            <w:color w:val="1155CC"/>
            <w:u w:val="single"/>
          </w:rPr>
          <w:t>警员不当行为与无罪逮捕之间的关系</w:t>
        </w:r>
      </w:hyperlink>
    </w:p>
    <w:p>
      <w:pPr>
        <w:spacing w:before="0" w:after="80"/>
      </w:pPr>
      <w:r>
        <w:rPr>
          <w:i/>
          <w:sz w:val="20"/>
        </w:rPr>
        <w:t>EN: The relationship between officer misconduct and convictionless arrests</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605">
        <w:r>
          <w:rPr>
            <w:color w:val="1155CC"/>
            <w:u w:val="single"/>
          </w:rPr>
          <w:t>10.1073/pnas.2603437123</w:t>
        </w:r>
      </w:hyperlink>
    </w:p>
    <w:p>
      <w:pPr>
        <w:spacing w:before="0" w:after="120"/>
      </w:pPr>
      <w:r>
        <w:rPr>
          <w:b/>
        </w:rPr>
        <w:t xml:space="preserve">Notes: </w:t>
      </w:r>
      <w:r>
        <w:t>abstract_source=crossref</w:t>
      </w:r>
    </w:p>
    <w:p>
      <w:pPr>
        <w:spacing w:before="0" w:after="80" w:lineRule="auto" w:line="276"/>
      </w:pPr>
      <w:r>
        <w:rPr>
          <w:b/>
        </w:rPr>
        <w:t xml:space="preserve">摘要（ZH）: </w:t>
      </w:r>
      <w:r>
        <w:t>本文探讨了先前被指控不当行为的警官是否更有可能进行无罪逮捕（导致无罪或驳回指控或被告被判无罪的逮捕）。使用芝加哥警察局的轮换值班日历来获得在特定日期分配工作的警员组中看似合理的外生变化，我们发现，与没有不当行为的同行相比，行为不当的警官因非指数犯罪和涉及高级警官自由裁量权的情况而被捕的人数在统计上显着增加。我们的研究结果还表明，下游法律行为者，例如检察官和法官，可能部分地“纠正”了这些逮捕。</w:t>
      </w:r>
    </w:p>
    <w:p>
      <w:pPr>
        <w:spacing w:before="0" w:after="200" w:lineRule="auto" w:line="276"/>
      </w:pPr>
      <w:r>
        <w:rPr>
          <w:b/>
        </w:rPr>
        <w:t xml:space="preserve">Abstract (EN): </w:t>
      </w:r>
      <w:r>
        <w:t>This paper examines whether officers with high prior alleged misconduct are more likely to make convictionless arrests (arrests that result in no or dismissed charges or where the defendant is found not guilty). Using the Chicago Police Department’s rotational duty calendar to obtain plausibly exogenous variation in the set of officers assigned to work on a particular day, we find that high-misconduct officers make statistically significantly more arrests for nonindex crimes and in situations involving high officer discretion, compared to their no-misconduct peers. Our findings also suggest that downstream legal actors, such as prosecutors and judges, may be partially “correcting” these arrests.</w:t>
      </w:r>
    </w:p>
    <w:p>
      <w:pPr>
        <w:spacing w:before="120" w:after="120"/>
      </w:pPr>
      <w:r>
        <w:rPr>
          <w:sz w:val="18"/>
        </w:rPr>
        <w:t>——————————————————————————————————————————————————————————————————————</w:t>
      </w:r>
    </w:p>
    <w:p>
      <w:pPr>
        <w:spacing w:before="160" w:after="40" w:line="240" w:lineRule="auto"/>
      </w:pPr>
      <w:r>
        <w:rPr>
          <w:b/>
        </w:rPr>
        <w:t xml:space="preserve">[556] </w:t>
      </w:r>
      <w:hyperlink r:id="rId1606">
        <w:r>
          <w:rPr>
            <w:color w:val="1155CC"/>
            <w:u w:val="single"/>
          </w:rPr>
          <w:t>程序化重置机制在感染开始时启动艰难梭菌毒力</w:t>
        </w:r>
      </w:hyperlink>
    </w:p>
    <w:p>
      <w:pPr>
        <w:spacing w:before="0" w:after="80"/>
      </w:pPr>
      <w:r>
        <w:rPr>
          <w:i/>
          <w:sz w:val="20"/>
        </w:rPr>
        <w:t>EN: A programmed reset mechanism primes Clostridioides difficile virulence at the onset of infection</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07">
        <w:r>
          <w:rPr>
            <w:color w:val="1155CC"/>
            <w:u w:val="single"/>
          </w:rPr>
          <w:t>10.1126/sciadv.aeg1542</w:t>
        </w:r>
      </w:hyperlink>
    </w:p>
    <w:p>
      <w:pPr>
        <w:spacing w:before="0" w:after="120"/>
      </w:pPr>
      <w:r>
        <w:rPr>
          <w:b/>
        </w:rPr>
        <w:t xml:space="preserve">Notes: </w:t>
      </w:r>
      <w:r>
        <w:t>abstract_source=crossref</w:t>
      </w:r>
    </w:p>
    <w:p>
      <w:pPr>
        <w:spacing w:before="0" w:after="80" w:lineRule="auto" w:line="276"/>
      </w:pPr>
      <w:r>
        <w:rPr>
          <w:b/>
        </w:rPr>
        <w:t xml:space="preserve">摘要（ZH）: </w:t>
      </w:r>
      <w:r>
        <w:t>艰难梭菌</w:t>
      </w:r>
      <w:r>
        <w:t xml:space="preserve"> </w:t>
      </w:r>
      <w:r>
        <w:t>是抗生素相关性腹泻的主要原因。这种病原体产生疾病所必需的毒素和促进肠道定植的鞭毛。鞭毛和毒素以开/关方式共同调节，导致产毒鞭毛细胞的异质群体（</w:t>
      </w:r>
      <w:r>
        <w:t xml:space="preserve"> </w:t>
      </w:r>
      <w:r>
        <w:t>FLG</w:t>
      </w:r>
      <w:r>
        <w:t xml:space="preserve"> </w:t>
      </w:r>
      <w:r>
        <w:t>-ON）和毒素产生减弱的鞭毛细胞（</w:t>
      </w:r>
      <w:r>
        <w:t xml:space="preserve"> </w:t>
      </w:r>
      <w:r>
        <w:t>FLG</w:t>
      </w:r>
      <w:r>
        <w:t xml:space="preserve"> </w:t>
      </w:r>
      <w:r>
        <w:t>-关闭）。选择性压力如何影响开/关切换动态和总体种群构成尚不清楚。在这里，我们使用小鼠疾病模型来评估</w:t>
      </w:r>
      <w:r>
        <w:t xml:space="preserve"> </w:t>
      </w:r>
      <w:r>
        <w:t>艰难梭菌</w:t>
      </w:r>
      <w:r>
        <w:t xml:space="preserve"> </w:t>
      </w:r>
      <w:r>
        <w:t>体内群体。出现了两个关键结果：（i）</w:t>
      </w:r>
      <w:r>
        <w:t xml:space="preserve"> </w:t>
      </w:r>
      <w:r>
        <w:t>FLG</w:t>
      </w:r>
      <w:r>
        <w:t xml:space="preserve"> </w:t>
      </w:r>
      <w:r>
        <w:t>孢子萌发期间发生向“ON”方向的转变，并且（ii）毒素诱导的炎症加剧</w:t>
      </w:r>
      <w:r>
        <w:t xml:space="preserve"> </w:t>
      </w:r>
      <w:r>
        <w:t>FLG</w:t>
      </w:r>
      <w:r>
        <w:t xml:space="preserve"> </w:t>
      </w:r>
      <w:r>
        <w:t>-感染期间关闭人群。这些发现揭示了一个循环，其中主要</w:t>
      </w:r>
      <w:r>
        <w:t xml:space="preserve"> </w:t>
      </w:r>
      <w:r>
        <w:t>FLG</w:t>
      </w:r>
      <w:r>
        <w:t xml:space="preserve"> </w:t>
      </w:r>
      <w:r>
        <w:t>-OFF 孢子传播到环境中，下一个宿主中的孢子萌发重置</w:t>
      </w:r>
      <w:r>
        <w:t xml:space="preserve"> </w:t>
      </w:r>
      <w:r>
        <w:t>艰难梭菌</w:t>
      </w:r>
      <w:r>
        <w:t xml:space="preserve"> </w:t>
      </w:r>
      <w:r>
        <w:t>感染开始时，会形成一群有毒的活动性产毒细胞。</w:t>
      </w:r>
    </w:p>
    <w:p>
      <w:pPr>
        <w:spacing w:before="0" w:after="200" w:lineRule="auto" w:line="276"/>
      </w:pPr>
      <w:r>
        <w:rPr>
          <w:b/>
        </w:rPr>
        <w:t xml:space="preserve">Abstract (EN): </w:t>
      </w:r>
      <w:r>
        <w:t>Clostridioides difficile</w:t>
      </w:r>
      <w:r>
        <w:t xml:space="preserve"> </w:t>
      </w:r>
      <w:r>
        <w:t>is a major cause of antibiotic-associated diarrhea. This pathogen produces toxins essential for disease and flagella that promote intestinal colonization. Flagella and toxins are coregulated in an ON/OFF manner leading to a heterogeneous population of toxigenic, flagellated cells (</w:t>
      </w:r>
      <w:r>
        <w:t xml:space="preserve"> </w:t>
      </w:r>
      <w:r>
        <w:t>flg</w:t>
      </w:r>
      <w:r>
        <w:t xml:space="preserve"> </w:t>
      </w:r>
      <w:r>
        <w:t>-ON) and aflagellate cells with attenuated toxin production (</w:t>
      </w:r>
      <w:r>
        <w:t xml:space="preserve"> </w:t>
      </w:r>
      <w:r>
        <w:t>flg</w:t>
      </w:r>
      <w:r>
        <w:t xml:space="preserve"> </w:t>
      </w:r>
      <w:r>
        <w:t>-OFF). How selective pressures affect ON/OFF switching dynamics and overall population composition is unknown. Here, we use a mouse model of disease to evaluate the ON/OFF makeup of the</w:t>
      </w:r>
      <w:r>
        <w:t xml:space="preserve"> </w:t>
      </w:r>
      <w:r>
        <w:t>C. difficile</w:t>
      </w:r>
      <w:r>
        <w:t xml:space="preserve"> </w:t>
      </w:r>
      <w:r>
        <w:t>population in vivo. Two key results emerged: (i) Directional inversion of the</w:t>
      </w:r>
      <w:r>
        <w:t xml:space="preserve"> </w:t>
      </w:r>
      <w:r>
        <w:t>flg</w:t>
      </w:r>
      <w:r>
        <w:t xml:space="preserve"> </w:t>
      </w:r>
      <w:r>
        <w:t>switch to the “ON” orientation occurs during spore germination, and (ii) toxin-induced inflammation enriches for a</w:t>
      </w:r>
      <w:r>
        <w:t xml:space="preserve"> </w:t>
      </w:r>
      <w:r>
        <w:t>flg</w:t>
      </w:r>
      <w:r>
        <w:t xml:space="preserve"> </w:t>
      </w:r>
      <w:r>
        <w:t>-OFF population during infection. These findings reveal a cycle in which predominantly</w:t>
      </w:r>
      <w:r>
        <w:t xml:space="preserve"> </w:t>
      </w:r>
      <w:r>
        <w:t>flg</w:t>
      </w:r>
      <w:r>
        <w:t xml:space="preserve"> </w:t>
      </w:r>
      <w:r>
        <w:t>-OFF spores are disseminated into the environment, and spore germination in the next host resets</w:t>
      </w:r>
      <w:r>
        <w:t xml:space="preserve"> </w:t>
      </w:r>
      <w:r>
        <w:t>C. difficile</w:t>
      </w:r>
      <w:r>
        <w:t xml:space="preserve"> </w:t>
      </w:r>
      <w:r>
        <w:t>to a virulent population of motile, toxigenic cells at infection onset.</w:t>
      </w:r>
    </w:p>
    <w:p>
      <w:pPr>
        <w:spacing w:before="120" w:after="120"/>
      </w:pPr>
      <w:r>
        <w:rPr>
          <w:sz w:val="18"/>
        </w:rPr>
        <w:t>——————————————————————————————————————————————————————————————————————</w:t>
      </w:r>
    </w:p>
    <w:p>
      <w:pPr>
        <w:spacing w:before="160" w:after="40" w:line="240" w:lineRule="auto"/>
      </w:pPr>
      <w:r>
        <w:rPr>
          <w:b/>
        </w:rPr>
        <w:t xml:space="preserve">[557] </w:t>
      </w:r>
      <w:hyperlink r:id="rId1608">
        <w:r>
          <w:rPr>
            <w:color w:val="1155CC"/>
            <w:u w:val="single"/>
          </w:rPr>
          <w:t>从婴儿对单个物体的重复视觉体验中发现的小型训练集进行广义学习的解决方案</w:t>
        </w:r>
      </w:hyperlink>
    </w:p>
    <w:p>
      <w:pPr>
        <w:spacing w:before="0" w:after="80"/>
      </w:pPr>
      <w:r>
        <w:rPr>
          <w:i/>
          <w:sz w:val="20"/>
        </w:rPr>
        <w:t>EN: A solution to generalized learning from small training sets found in infants’ repeated visual experiences of individual objects</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609">
        <w:r>
          <w:rPr>
            <w:color w:val="1155CC"/>
            <w:u w:val="single"/>
          </w:rPr>
          <w:t>10.1073/pnas.2536143123</w:t>
        </w:r>
      </w:hyperlink>
    </w:p>
    <w:p>
      <w:pPr>
        <w:spacing w:before="0" w:after="120"/>
      </w:pPr>
      <w:r>
        <w:rPr>
          <w:b/>
        </w:rPr>
        <w:t xml:space="preserve">Notes: </w:t>
      </w:r>
      <w:r>
        <w:t>abstract_source=crossref</w:t>
      </w:r>
    </w:p>
    <w:p>
      <w:pPr>
        <w:spacing w:before="0" w:after="80" w:lineRule="auto" w:line="276"/>
      </w:pPr>
      <w:r>
        <w:rPr>
          <w:b/>
        </w:rPr>
        <w:t xml:space="preserve">摘要（ZH）: </w:t>
      </w:r>
      <w:r>
        <w:t>一岁大的婴儿会根据这些类别中极少数范例的特殊经历，迅速形成并概括类别。在这里，我们提供了婴儿日常生活视觉体验对 8 个物体类别的统计数据。使用在进餐时间记录的婴儿头部摄像头图像的语料库（87 个进餐时间，14 个婴儿），我们测量了每个类别的独特实例的频率以及同一类别实例内和实例之间视觉体验的变异性。个别婴儿的实例的频率分布高度倾斜，包含相同少数物体的许多图像以及其他实例的较少图像。对个体儿童的个体类别体验的图论测量揭示了高相似性和高变异性的“块状”混合，组织成多个但相互关联的高相似性图像簇。在计算实验中，我们表明，人工创建的训练集以高相似性和低相似性的互连混合为特征，支持在有限训练后泛化到新实例。我们讨论对类别识别以及对人类和机器更广泛的学习的影响。</w:t>
      </w:r>
    </w:p>
    <w:p>
      <w:pPr>
        <w:spacing w:before="0" w:after="200" w:lineRule="auto" w:line="276"/>
      </w:pPr>
      <w:r>
        <w:rPr>
          <w:b/>
        </w:rPr>
        <w:t xml:space="preserve">Abstract (EN): </w:t>
      </w:r>
      <w:r>
        <w:t>One-year-old infants rapidly form and generalize categories from idiosyncratic experiences of very few exemplars of those categories. Here we provide evidence on the statistics of infants’ daily-life visual experiences for 8 object categories. Using a corpus of infant head-camera images recorded at mealtimes (87 mealtimes,14 infants), we measure the frequency of the unique instances of each category and the variability of the visual experiences within and across instances of the same category. The frequency distributions of instances for individual infants are highly skewed, containing many images of the same few objects along with fewer images of other instances. Graph theoretic measures of individual category experiences for individual children reveal a “lumpy” mix of high similarity and high variability, organized into multiple but interconnected clusters of high-similarity images. In computational experiments, we show that artificially created training sets characterized by an interconnected mix of high and low similarity support generalization to novel instances after limited training. We discuss implications for category recognition, and for learning more generally, by both humans and machines.</w:t>
      </w:r>
    </w:p>
    <w:p>
      <w:pPr>
        <w:spacing w:before="120" w:after="120"/>
      </w:pPr>
      <w:r>
        <w:rPr>
          <w:sz w:val="18"/>
        </w:rPr>
        <w:t>——————————————————————————————————————————————————————————————————————</w:t>
      </w:r>
    </w:p>
    <w:p>
      <w:pPr>
        <w:spacing w:before="160" w:after="40" w:line="240" w:lineRule="auto"/>
      </w:pPr>
      <w:r>
        <w:rPr>
          <w:b/>
        </w:rPr>
        <w:t xml:space="preserve">[558] </w:t>
      </w:r>
      <w:hyperlink r:id="rId1610">
        <w:r>
          <w:rPr>
            <w:color w:val="1155CC"/>
            <w:u w:val="single"/>
          </w:rPr>
          <w:t>RNA 末端尿嘧啶转移酶是 AML 中可药物治疗的弱点，但对于正常造血来说是可有可无的</w:t>
        </w:r>
      </w:hyperlink>
    </w:p>
    <w:p>
      <w:pPr>
        <w:spacing w:before="0" w:after="80"/>
      </w:pPr>
      <w:r>
        <w:rPr>
          <w:i/>
          <w:sz w:val="20"/>
        </w:rPr>
        <w:t>EN: RNA terminal uridylyl transferases are druggable vulnerabilities in AML but are dispensable for normal hematopoiesis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11">
        <w:r>
          <w:rPr>
            <w:color w:val="1155CC"/>
            <w:u w:val="single"/>
          </w:rPr>
          <w:t>10.1126/sciadv.aec3399</w:t>
        </w:r>
      </w:hyperlink>
    </w:p>
    <w:p>
      <w:pPr>
        <w:spacing w:before="0" w:after="120"/>
      </w:pPr>
      <w:r>
        <w:rPr>
          <w:b/>
        </w:rPr>
        <w:t xml:space="preserve">Notes: </w:t>
      </w:r>
      <w:r>
        <w:t>abstract_source=crossref</w:t>
      </w:r>
    </w:p>
    <w:p>
      <w:pPr>
        <w:spacing w:before="0" w:after="80" w:lineRule="auto" w:line="276"/>
      </w:pPr>
      <w:r>
        <w:rPr>
          <w:b/>
        </w:rPr>
        <w:t xml:space="preserve">摘要（ZH）: </w:t>
      </w:r>
      <w:r>
        <w:t>急性髓系白血病（AML）是一种由造血干细胞和祖细胞（HSPC）引起的侵袭性血液恶性肿瘤。目前的治疗方法往往无法根除 AML；因此，新的治疗策略至关重要。在这里，我们揭示了 RNA 末端尿苷酰转移酶 4 和 7 (TUT4/7) 是可药物治疗靶点，其基因缺失可抑制 AML 生长，诱导细胞凋亡，并提高白血病小鼠模型的存活率。值得注意的是，临床前 TUT4/7 抑制剂可促进 AML 患者样本中的细胞死亡，并与 Venetoclax 具有协同作用。从机制上讲，TUT4/7 失活会抑制甲羟戊酸途径基因表达，从而损害胆固醇合成途径。目前的 AML 治疗经常引起严重的造血毒性。虽然</w:t>
      </w:r>
      <w:r>
        <w:t xml:space="preserve"> </w:t>
      </w:r>
      <w:r>
        <w:t>啧啧4/7</w:t>
      </w:r>
      <w:r>
        <w:t xml:space="preserve"> </w:t>
      </w:r>
      <w:r>
        <w:t>缺失导致整个造血系统的炎症激活，这允许正常的寿命和</w:t>
      </w:r>
      <w:r>
        <w:t xml:space="preserve"> </w:t>
      </w:r>
      <w:r>
        <w:t>啧啧4/7</w:t>
      </w:r>
      <w:r>
        <w:t xml:space="preserve"> </w:t>
      </w:r>
      <w:r>
        <w:t>缺陷不会损害 HSPC 功能。总之，这些发现将 TUT4/7 确定为可药物靶标，其失活可抑制 AML，同时保护正常造血功能。与维奈托克联合使用，这是一种有前途的治疗策略。</w:t>
      </w:r>
    </w:p>
    <w:p>
      <w:pPr>
        <w:spacing w:before="0" w:after="200" w:lineRule="auto" w:line="276"/>
      </w:pPr>
      <w:r>
        <w:rPr>
          <w:b/>
        </w:rPr>
        <w:t xml:space="preserve">Abstract (EN): </w:t>
      </w:r>
      <w:r>
        <w:t>Acute myeloid leukemia (AML) is an aggressive hematological malignancy arising from hematopoietic stem and progenitor cells (HSPCs). Current treatments often fail to eradicate AML; therefore, new therapeutic strategies are essential. Here, we reveal that RNA terminal uridylyl transferase enzymes 4 and 7 (TUT4/7) are druggable therapeutic targets, whose genetic deletion suppresses AML growth, induces apoptosis, and improves the survival in leukemic mouse models. Notably, a preclinical TUT4/7 inhibitor promotes cell death in samples from patients with AML and synergizes with venetoclax. Mechanistically, TUT4/7 inactivation suppresses mevalonate pathway gene expression, compromising the cholesterol synthesis pathway. Current AML therapies often cause severe hematopoietic toxicity. Although</w:t>
      </w:r>
      <w:r>
        <w:t xml:space="preserve"> </w:t>
      </w:r>
      <w:r>
        <w:t>Tut4/7</w:t>
      </w:r>
      <w:r>
        <w:t xml:space="preserve"> </w:t>
      </w:r>
      <w:r>
        <w:t>deletion results in inflammatory activation throughout the hematopoietic system, this is permissive to a normal life span and</w:t>
      </w:r>
      <w:r>
        <w:t xml:space="preserve"> </w:t>
      </w:r>
      <w:r>
        <w:t>Tut4/7</w:t>
      </w:r>
      <w:r>
        <w:t xml:space="preserve"> </w:t>
      </w:r>
      <w:r>
        <w:t>deficiency does not compromise HSPC function. Together, these findings identify TUT4/7 as druggable targets, whose inactivation suppresses AML while sparing normal hematopoiesis. In combination with venetoclax, this represents a promising therapeutic strategy.</w:t>
      </w:r>
    </w:p>
    <w:p>
      <w:pPr>
        <w:spacing w:before="120" w:after="120"/>
      </w:pPr>
      <w:r>
        <w:rPr>
          <w:sz w:val="18"/>
        </w:rPr>
        <w:t>——————————————————————————————————————————————————————————————————————</w:t>
      </w:r>
    </w:p>
    <w:p>
      <w:pPr>
        <w:spacing w:before="160" w:after="40" w:line="240" w:lineRule="auto"/>
      </w:pPr>
      <w:r>
        <w:rPr>
          <w:b/>
        </w:rPr>
        <w:t xml:space="preserve">[559] </w:t>
      </w:r>
      <w:hyperlink r:id="rId1612">
        <w:r>
          <w:rPr>
            <w:color w:val="1155CC"/>
            <w:u w:val="single"/>
          </w:rPr>
          <w:t>肺大细胞神经内分泌癌的蛋白质组学特征确定分子特征和治疗策略</w:t>
        </w:r>
      </w:hyperlink>
    </w:p>
    <w:p>
      <w:pPr>
        <w:spacing w:before="0" w:after="80"/>
      </w:pPr>
      <w:r>
        <w:rPr>
          <w:i/>
          <w:sz w:val="20"/>
        </w:rPr>
        <w:t>EN: Proteogenomic characterization of pulmonary large-cell neuroendocrine carcinoma identifies molecular features and therapeutic strategy</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13">
        <w:r>
          <w:rPr>
            <w:color w:val="1155CC"/>
            <w:u w:val="single"/>
          </w:rPr>
          <w:t>10.1126/sciadv.adz0583</w:t>
        </w:r>
      </w:hyperlink>
    </w:p>
    <w:p>
      <w:pPr>
        <w:spacing w:before="0" w:after="120"/>
      </w:pPr>
      <w:r>
        <w:rPr>
          <w:b/>
        </w:rPr>
        <w:t xml:space="preserve">Notes: </w:t>
      </w:r>
      <w:r>
        <w:t>abstract_source=crossref</w:t>
      </w:r>
    </w:p>
    <w:p>
      <w:pPr>
        <w:spacing w:before="0" w:after="80" w:lineRule="auto" w:line="276"/>
      </w:pPr>
      <w:r>
        <w:rPr>
          <w:b/>
        </w:rPr>
        <w:t xml:space="preserve">摘要（ZH）: </w:t>
      </w:r>
      <w:r>
        <w:t>肺大细胞神经内分泌癌（LCNEC）是一种罕见但高度侵袭性的非小细胞肺癌（NSCLC）亚型，治疗选择有限。我们使用 107 名患者的肿瘤和配对的正常邻近组织（81 例纯 LCNEC 和 26 例组合 LCNEC）对 LCNEC 进行了全面的蛋白质组学分析。 APOBEC 突变特征与肿瘤发生和免疫抑制过程密切相关，并且</w:t>
      </w:r>
      <w:r>
        <w:t xml:space="preserve"> </w:t>
      </w:r>
      <w:r>
        <w:t>KEAP1</w:t>
      </w:r>
      <w:r>
        <w:t xml:space="preserve"> </w:t>
      </w:r>
      <w:r>
        <w:t>突变与 LCNEC 合并 NSCLC 中的代谢重编程相关。在神经内分泌和免疫表型之间观察到相互矛盾的关系。我们确定了三种具有独特预后特征、微环境失调、遗传改变和潜在治疗靶点的 LCNEC 亚型。白细胞介素 33 (IL-33) 成为与 T 细胞浸润增强和抗肿瘤活性相关的关键治疗生物标志物。我们通过定点诱变进一步优化重组 IL-33 (rIL33)，并开发了聚乙二醇化 rIL33，证明其在食蟹猴中的循环时间延长，并在小鼠模型中具有优异的免疫激动剂活性。总体而言，这项研究提供了对 LCNEC 生物学的见解，并为肺癌提供了有前途的创新免疫激动剂治疗策略。</w:t>
      </w:r>
    </w:p>
    <w:p>
      <w:pPr>
        <w:spacing w:before="0" w:after="200" w:lineRule="auto" w:line="276"/>
      </w:pPr>
      <w:r>
        <w:rPr>
          <w:b/>
        </w:rPr>
        <w:t xml:space="preserve">Abstract (EN): </w:t>
      </w:r>
      <w:r>
        <w:t>Pulmonary large-cell neuroendocrine carcinoma (LCNEC) is a rare yet highly aggressive subtype of non-small cell lung carcinoma (NSCLC) with limited therapeutic options. We conduct a comprehensive proteogenomic analysis of LCNEC using tumors and paired normal adjacent tissues from 107 patients (81 pure LCNEC and 26 combined LCNEC). APOBEC mutational signatures strongly correlate processes of tumor initiation and immune suppression, and</w:t>
      </w:r>
      <w:r>
        <w:t xml:space="preserve"> </w:t>
      </w:r>
      <w:r>
        <w:t>KEAP1</w:t>
      </w:r>
      <w:r>
        <w:t xml:space="preserve"> </w:t>
      </w:r>
      <w:r>
        <w:t>mutations correlate with metabolic reprogramming in LCNEC combined with NSCLC. A conflicting relationship is observed between neuroendocrine and immune phenotypes. We identify three LCNEC subtypes with unique prognosis features, microenvironment dysregulation, genetic alterations, and potential therapeutic targets. Interleukin-33 (IL-33) emerges as a critical therapeutic biomarker associated with enhanced T cell infiltration and antitumor activity. We further optimize recombinant IL-33 (rIL33) with site-directed mutagenesis and develop PEGylated rIL33, demonstrating its prolonged circulation time in cynomolgus monkeys and superior immune agonist activity in mouse models. Overall, this study offers insights into LCNEC biology and provides promising innovative immunoagonist therapy strategies for lung cancer.</w:t>
      </w:r>
    </w:p>
    <w:p>
      <w:pPr>
        <w:spacing w:before="120" w:after="120"/>
      </w:pPr>
      <w:r>
        <w:rPr>
          <w:sz w:val="18"/>
        </w:rPr>
        <w:t>——————————————————————————————————————————————————————————————————————</w:t>
      </w:r>
    </w:p>
    <w:p>
      <w:pPr>
        <w:spacing w:before="160" w:after="40" w:line="240" w:lineRule="auto"/>
      </w:pPr>
      <w:r>
        <w:rPr>
          <w:b/>
        </w:rPr>
        <w:t xml:space="preserve">[560] </w:t>
      </w:r>
      <w:hyperlink r:id="rId1614">
        <w:r>
          <w:rPr>
            <w:color w:val="1155CC"/>
            <w:u w:val="single"/>
          </w:rPr>
          <w:t>通过逆向设计的相位掩模进行单次曝光全息 3D 打印</w:t>
        </w:r>
      </w:hyperlink>
    </w:p>
    <w:p>
      <w:pPr>
        <w:spacing w:before="0" w:after="80"/>
      </w:pPr>
      <w:r>
        <w:rPr>
          <w:i/>
          <w:sz w:val="20"/>
        </w:rPr>
        <w:t>EN: Single-exposure holographic 3D printing via inverse-designed phase masks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15">
        <w:r>
          <w:rPr>
            <w:color w:val="1155CC"/>
            <w:u w:val="single"/>
          </w:rPr>
          <w:t>10.1126/sciadv.aec3536</w:t>
        </w:r>
      </w:hyperlink>
    </w:p>
    <w:p>
      <w:pPr>
        <w:spacing w:before="0" w:after="120"/>
      </w:pPr>
      <w:r>
        <w:rPr>
          <w:b/>
        </w:rPr>
        <w:t xml:space="preserve">Notes: </w:t>
      </w:r>
      <w:r>
        <w:t>abstract_source=crossref</w:t>
      </w:r>
    </w:p>
    <w:p>
      <w:pPr>
        <w:spacing w:before="0" w:after="80" w:lineRule="auto" w:line="276"/>
      </w:pPr>
      <w:r>
        <w:rPr>
          <w:b/>
        </w:rPr>
        <w:t xml:space="preserve">摘要（ZH）: </w:t>
      </w:r>
      <w:r>
        <w:t>使用光的增材制造通常受到串行逐体素或逐层处理的限制，这从根本上限制了制造速度和可扩展性。在这里，我们介绍了一种单次曝光全息三维 (3D) 打印方法，该方法可以一步光学合成整个体积剂量分布。该方法将逆向设计的微结构相位掩模与专为控制光吸收而设计的光聚合物树脂相结合。通过精确定制相位掩模版形，我们在树脂内生成任意 3D 光强度分布，包括定义中空内部特征的有意编码的暗区域。同时，树脂配方旨在平衡光学渗透与足够的局部能量沉积，以在整个体积内实现高保真聚合。使用这种方法，毫米级架构包含超过 10 个</w:t>
      </w:r>
      <w:r>
        <w:rPr>
          <w:vertAlign w:val="subscript"/>
        </w:rPr>
        <w:t>6</w:t>
      </w:r>
      <w:r>
        <w:t>可寻址体素是在一次 7.5 秒的曝光中制造出来的，对应于每秒 ∼1 立方毫米的体积吞吐量（&gt;10</w:t>
      </w:r>
      <w:r>
        <w:rPr>
          <w:vertAlign w:val="subscript"/>
        </w:rPr>
        <w:t>5</w:t>
      </w:r>
      <w:r>
        <w:t>每秒体素）。目前所展示的性能受到树脂动力学和照明几何形状的限制，而不是受到相位掩模框架本身的限制。由于体积信息容量随着相位掩模的空间带宽乘积而变化，因此这种方法提供了一条通向更高吞吐量的清晰途径，从而实现了微光学元件、生物医学支架的可扩展制造</w:t>
      </w:r>
    </w:p>
    <w:p>
      <w:pPr>
        <w:spacing w:before="0" w:after="200" w:lineRule="auto" w:line="276"/>
      </w:pPr>
      <w:r>
        <w:rPr>
          <w:b/>
        </w:rPr>
        <w:t xml:space="preserve">Abstract (EN): </w:t>
      </w:r>
      <w:r>
        <w:t>Additive manufacturing using light is commonly constrained by serial voxel-by-voxel or layer-by-layer processing, which fundamentally limits fabrication speed and scalability. Here, we introduce a single-exposure holographic three-dimensional (3D) printing approach that synthesizes an entire volumetric dose distribution optically in one step. The method combines inverse-designed microstructured phase masks with photopolymer resins engineered for controlled optical absorption. By precisely tailoring the phase-mask topography, we generate arbitrary 3D light-intensity distributions within the resin, including intentionally encoded dark regions that define hollow internal features. Simultaneously, the resin formulation is designed to balance optical penetration with sufficient local energy deposition to achieve high-fidelity polymerization throughout the volume. Using this approach, millimeter-scale architectures comprising more than 10</w:t>
      </w:r>
      <w:r>
        <w:rPr>
          <w:vertAlign w:val="subscript"/>
        </w:rPr>
        <w:t>6</w:t>
      </w:r>
      <w:r>
        <w:t>addressable voxels are fabricated in a single 7.5-second exposure, corresponding to a volumetric throughput of ∼1 cubic millimeters per second (&amp;gt;10</w:t>
      </w:r>
      <w:r>
        <w:rPr>
          <w:vertAlign w:val="subscript"/>
        </w:rPr>
        <w:t>5</w:t>
      </w:r>
      <w:r>
        <w:t>voxels per second). The demonstrated performance is presently limited by resin kinetics and illumination geometry rather than by the phase-mask framework itself. Because the volumetric information capacity scales with the space-bandwidth product of the phase mask, this approach provides a clear pathway toward substantially higher throughput, enabling scalable fabrication of micro-optical components, biomedical scaffolds, and other precision-engineered mesoscale systems.</w:t>
      </w:r>
    </w:p>
    <w:p>
      <w:pPr>
        <w:spacing w:before="120" w:after="120"/>
      </w:pPr>
      <w:r>
        <w:rPr>
          <w:sz w:val="18"/>
        </w:rPr>
        <w:t>——————————————————————————————————————————————————————————————————————</w:t>
      </w:r>
    </w:p>
    <w:p>
      <w:pPr>
        <w:spacing w:before="160" w:after="40" w:line="240" w:lineRule="auto"/>
      </w:pPr>
      <w:r>
        <w:rPr>
          <w:b/>
        </w:rPr>
        <w:t xml:space="preserve">[561] </w:t>
      </w:r>
      <w:hyperlink r:id="rId1616">
        <w:r>
          <w:rPr>
            <w:color w:val="1155CC"/>
            <w:u w:val="single"/>
          </w:rPr>
          <w:t>肌无力胸腺将类别转换的 B 细胞重新编程为依赖 BAFF 的幸存者</w:t>
        </w:r>
      </w:hyperlink>
    </w:p>
    <w:p>
      <w:pPr>
        <w:spacing w:before="0" w:after="80"/>
      </w:pPr>
      <w:r>
        <w:rPr>
          <w:i/>
          <w:sz w:val="20"/>
        </w:rPr>
        <w:t>EN: Myasthenia thymus reprograms class-switched B cells into BAFF-dependent survivors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17">
        <w:r>
          <w:rPr>
            <w:color w:val="1155CC"/>
            <w:u w:val="single"/>
          </w:rPr>
          <w:t>10.1126/sciadv.aec3842</w:t>
        </w:r>
      </w:hyperlink>
    </w:p>
    <w:p>
      <w:pPr>
        <w:spacing w:before="0" w:after="120"/>
      </w:pPr>
      <w:r>
        <w:rPr>
          <w:b/>
        </w:rPr>
        <w:t xml:space="preserve">Notes: </w:t>
      </w:r>
      <w:r>
        <w:t>abstract_source=crossref</w:t>
      </w:r>
    </w:p>
    <w:p>
      <w:pPr>
        <w:spacing w:before="0" w:after="80" w:lineRule="auto" w:line="276"/>
      </w:pPr>
      <w:r>
        <w:rPr>
          <w:b/>
        </w:rPr>
        <w:t xml:space="preserve">摘要（ZH）: </w:t>
      </w:r>
      <w:r>
        <w:t>重症肌无力 (MG) 提出了临床挑战，自身抗体滴度很难预测疾病的严重程度，而胸腺切除术提供的益处不一致。我们假设胸腺 B 细胞获得了绕过经典耐受检查点的生存机制，从而能够独立于抗原特异性选择而持续存在。使用单细胞 RNA 测序、V(D)J 谱分析和空间转录组学生成迄今为止最大的 MG 图谱（237,661 个细胞），我们确定了 MG 发病机制中的耐受检查点交换。胸腺生发中心内的病理类别转换 B 细胞表现出抗原呈递减少（</w:t>
      </w:r>
      <w:r>
        <w:t xml:space="preserve"> </w:t>
      </w:r>
      <w:r>
        <w:t>CD74</w:t>
      </w:r>
      <w:r>
        <w:t xml:space="preserve"> </w:t>
      </w:r>
      <w:r>
        <w:t>和</w:t>
      </w:r>
      <w:r>
        <w:t xml:space="preserve"> </w:t>
      </w:r>
      <w:r>
        <w:t>CD1C</w:t>
      </w:r>
      <w:r>
        <w:t xml:space="preserve"> </w:t>
      </w:r>
      <w:r>
        <w:t>）并减少</w:t>
      </w:r>
      <w:r>
        <w:t xml:space="preserve"> </w:t>
      </w:r>
      <w:r>
        <w:t>CD40</w:t>
      </w:r>
      <w:r>
        <w:t xml:space="preserve"> </w:t>
      </w:r>
      <w:r>
        <w:t>共刺激同时上调</w:t>
      </w:r>
      <w:r>
        <w:t xml:space="preserve"> </w:t>
      </w:r>
      <w:r>
        <w:t>肿瘤坏死因子RSF17</w:t>
      </w:r>
      <w:r>
        <w:t xml:space="preserve"> </w:t>
      </w:r>
      <w:r>
        <w:t>参与 BAFF 驱动的生存。这种转变使得多克隆自身反应性 B 细胞能够逃避严格的选择并在周围位点进行播种。滤泡辅助 T 细胞通过增加</w:t>
      </w:r>
      <w:r>
        <w:t xml:space="preserve"> </w:t>
      </w:r>
      <w:r>
        <w:t>TNFSF13B</w:t>
      </w:r>
      <w:r>
        <w:t xml:space="preserve"> </w:t>
      </w:r>
      <w:r>
        <w:t>和</w:t>
      </w:r>
      <w:r>
        <w:t xml:space="preserve"> </w:t>
      </w:r>
      <w:r>
        <w:t>CHGB</w:t>
      </w:r>
      <w:r>
        <w:t xml:space="preserve"> </w:t>
      </w:r>
      <w:r>
        <w:t>表达，后者促进多巴胺介导的突触加速。这些发现提供了对 MG 临床悖论的深入了解，并指出 BAFF-BCMA 轴作为潜在的治疗靶点和疾病活动的生物标志物。</w:t>
      </w:r>
    </w:p>
    <w:p>
      <w:pPr>
        <w:spacing w:before="0" w:after="200" w:lineRule="auto" w:line="276"/>
      </w:pPr>
      <w:r>
        <w:rPr>
          <w:b/>
        </w:rPr>
        <w:t xml:space="preserve">Abstract (EN): </w:t>
      </w:r>
      <w:r>
        <w:t>Myasthenia gravis (MG) presents a clinical challenge where autoantibody titers poorly predict disease severity, and thymectomy provides inconsistent benefits. We hypothesized that thymic B cells acquire survival mechanisms that bypass canonical tolerance checkpoints, enabling persistence independent of antigen-specific selection. Using single-cell RNA sequencing, V(D)J repertoire analysis, and spatial transcriptomics to generate the largest MG atlas to date (237,661 cells), we identified a tolerance checkpoint swap in MG pathogenesis. Pathological class-switched B cells within thymic germinal centers exhibited reduced antigen presentation (</w:t>
      </w:r>
      <w:r>
        <w:t xml:space="preserve"> </w:t>
      </w:r>
      <w:r>
        <w:t>CD74</w:t>
      </w:r>
      <w:r>
        <w:t xml:space="preserve"> </w:t>
      </w:r>
      <w:r>
        <w:t>and</w:t>
      </w:r>
      <w:r>
        <w:t xml:space="preserve"> </w:t>
      </w:r>
      <w:r>
        <w:t>CD1C</w:t>
      </w:r>
      <w:r>
        <w:t xml:space="preserve"> </w:t>
      </w:r>
      <w:r>
        <w:t>) and diminished</w:t>
      </w:r>
      <w:r>
        <w:t xml:space="preserve"> </w:t>
      </w:r>
      <w:r>
        <w:t>CD40</w:t>
      </w:r>
      <w:r>
        <w:t xml:space="preserve"> </w:t>
      </w:r>
      <w:r>
        <w:t>costimulation while up-regulating</w:t>
      </w:r>
      <w:r>
        <w:t xml:space="preserve"> </w:t>
      </w:r>
      <w:r>
        <w:t>TNFRSF17</w:t>
      </w:r>
      <w:r>
        <w:t xml:space="preserve"> </w:t>
      </w:r>
      <w:r>
        <w:t>to engage BAFF-driven survival. This shift allows polyclonal autoreactive B cells to evade stringent selection and seed peripheral sites. T follicular helper cells supported this reprogramming via increased</w:t>
      </w:r>
      <w:r>
        <w:t xml:space="preserve"> </w:t>
      </w:r>
      <w:r>
        <w:t>TNFSF13B</w:t>
      </w:r>
      <w:r>
        <w:t xml:space="preserve"> </w:t>
      </w:r>
      <w:r>
        <w:t>and</w:t>
      </w:r>
      <w:r>
        <w:t xml:space="preserve"> </w:t>
      </w:r>
      <w:r>
        <w:t>CHGB</w:t>
      </w:r>
      <w:r>
        <w:t xml:space="preserve"> </w:t>
      </w:r>
      <w:r>
        <w:t>expression, with the latter facilitating dopamine-mediated synaptic acceleration. These findings offer insight into clinical paradoxes in MG and point to the BAFF-BCMA axis as a potential therapeutic target and biomarkers for disease activity.</w:t>
      </w:r>
    </w:p>
    <w:p>
      <w:pPr>
        <w:spacing w:before="120" w:after="120"/>
      </w:pPr>
      <w:r>
        <w:rPr>
          <w:sz w:val="18"/>
        </w:rPr>
        <w:t>——————————————————————————————————————————————————————————————————————</w:t>
      </w:r>
    </w:p>
    <w:p>
      <w:pPr>
        <w:spacing w:before="160" w:after="40" w:line="240" w:lineRule="auto"/>
      </w:pPr>
      <w:r>
        <w:rPr>
          <w:b/>
        </w:rPr>
        <w:t xml:space="preserve">[562] </w:t>
      </w:r>
      <w:hyperlink r:id="rId1618">
        <w:r>
          <w:rPr>
            <w:color w:val="1155CC"/>
            <w:u w:val="single"/>
          </w:rPr>
          <w:t>首次评估用于载人深空探索的可穿戴辐射防护（在阿耳忒弥斯一号上飞行）</w:t>
        </w:r>
      </w:hyperlink>
    </w:p>
    <w:p>
      <w:pPr>
        <w:spacing w:before="0" w:after="80"/>
      </w:pPr>
      <w:r>
        <w:rPr>
          <w:i/>
          <w:sz w:val="20"/>
        </w:rPr>
        <w:t>EN: First evaluation of wearable radiation protection for human deep space exploration, as flown on Artemis I</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19">
        <w:r>
          <w:rPr>
            <w:color w:val="1155CC"/>
            <w:u w:val="single"/>
          </w:rPr>
          <w:t>10.1126/sciadv.adz1892</w:t>
        </w:r>
      </w:hyperlink>
    </w:p>
    <w:p>
      <w:pPr>
        <w:spacing w:before="0" w:after="120"/>
      </w:pPr>
      <w:r>
        <w:rPr>
          <w:b/>
        </w:rPr>
        <w:t xml:space="preserve">Notes: </w:t>
      </w:r>
      <w:r>
        <w:t>abstract_source=crossref</w:t>
      </w:r>
    </w:p>
    <w:p>
      <w:pPr>
        <w:spacing w:before="0" w:after="80" w:lineRule="auto" w:line="276"/>
      </w:pPr>
      <w:r>
        <w:rPr>
          <w:b/>
        </w:rPr>
        <w:t xml:space="preserve">摘要（ZH）: </w:t>
      </w:r>
      <w:r>
        <w:t>随着长时间载人深空任务的准备工作正在进行中，太阳粒子事件（SPE）对宇航员的健康风险变得越来越重要。为了解决这一危险，在阿耳忒弥斯一号期间对 AstroRad 背心（一种提供有针对性的器官保护的个人辐射屏蔽服装）进行了测试。两个配备有内部和外部被动和主动剂量计的拟人化女性模型在猎户座飞船上飞行：一个没有屏蔽，另一个穿着 AstroRad。内范艾伦带传输主动剂量计测量结果被推断以模拟 SPE 场景，预测 1972 年 8 月类似 SPE 的有效剂量减少约 60%，1989 年 10 月类似 SPE 的有效剂量减少近 40%，随解剖模型略有不同。这样的减少可以使宇航员分别免受相当于 193 天和 131 天的深空辐射暴露。这些发现表明，AstroRad 等可穿戴屏蔽可以成为安全、可持续的人类深空探索的重要元素。</w:t>
      </w:r>
    </w:p>
    <w:p>
      <w:pPr>
        <w:spacing w:before="0" w:after="200" w:lineRule="auto" w:line="276"/>
      </w:pPr>
      <w:r>
        <w:rPr>
          <w:b/>
        </w:rPr>
        <w:t xml:space="preserve">Abstract (EN): </w:t>
      </w:r>
      <w:r>
        <w:t>With preparations underway for extended-duration crewed deep space missions, the health risks of solar particle events (SPEs) to astronauts are becoming increasingly pertinent. To address this hazard, the AstroRad vest, a personal radiation shielding garment providing targeted organ protection, was tested during Artemis I. Two anthropomorphic female phantoms, equipped with internal and external passive and active dosimeters, were flown aboard the Orion spacecraft: one unshielded and the other wearing AstroRad. Inner Van Allen belt transit active dosimeter measurements were extrapolated to simulate SPE scenarios, predicting effective dose reductions of ∼60% for an August 1972–like SPE and nearly 40% for an October 1989–like SPE, varying slightly with anatomical model. Such reductions could spare astronauts the equivalent of up to 193 and 131 days of deep space radiation exposure, respectively. These findings demonstrate that wearable shielding such as AstroRad could serve as a vital element for safe and sustainable human deep space exploration.</w:t>
      </w:r>
    </w:p>
    <w:p>
      <w:pPr>
        <w:spacing w:before="120" w:after="120"/>
      </w:pPr>
      <w:r>
        <w:rPr>
          <w:sz w:val="18"/>
        </w:rPr>
        <w:t>——————————————————————————————————————————————————————————————————————</w:t>
      </w:r>
    </w:p>
    <w:p>
      <w:pPr>
        <w:spacing w:before="160" w:after="40" w:line="240" w:lineRule="auto"/>
      </w:pPr>
      <w:r>
        <w:rPr>
          <w:b/>
        </w:rPr>
        <w:t xml:space="preserve">[563] </w:t>
      </w:r>
      <w:hyperlink r:id="rId1620">
        <w:r>
          <w:rPr>
            <w:color w:val="1155CC"/>
            <w:u w:val="single"/>
          </w:rPr>
          <w:t>连续体中准束缚态辅助的光子时间晶体</w:t>
        </w:r>
      </w:hyperlink>
    </w:p>
    <w:p>
      <w:pPr>
        <w:spacing w:before="0" w:after="80"/>
      </w:pPr>
      <w:r>
        <w:rPr>
          <w:i/>
          <w:sz w:val="20"/>
        </w:rPr>
        <w:t>EN: Photonic time crystals assisted by quasi-bound states in the continuum</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21">
        <w:r>
          <w:rPr>
            <w:color w:val="1155CC"/>
            <w:u w:val="single"/>
          </w:rPr>
          <w:t>10.1126/sciadv.aed4055</w:t>
        </w:r>
      </w:hyperlink>
    </w:p>
    <w:p>
      <w:pPr>
        <w:spacing w:before="0" w:after="120"/>
      </w:pPr>
      <w:r>
        <w:rPr>
          <w:b/>
        </w:rPr>
        <w:t xml:space="preserve">Notes: </w:t>
      </w:r>
      <w:r>
        <w:t>abstract_source=crossref</w:t>
      </w:r>
    </w:p>
    <w:p>
      <w:pPr>
        <w:spacing w:before="0" w:after="80" w:lineRule="auto" w:line="276"/>
      </w:pPr>
      <w:r>
        <w:rPr>
          <w:b/>
        </w:rPr>
        <w:t xml:space="preserve">摘要（ZH）: </w:t>
      </w:r>
      <w:r>
        <w:t>光子时间晶体（PTC）的特点是材料特性随时间快速调制，从而产生光动量带隙。然而，在光频率下观察这些带隙仍然难以捉摸，因为显示显着动量带隙所需的时间调制幅度相对较高，可用材料无法达到。虽然众所周知，在亚波长尺度构建 PTC 可以改善带隙尺寸，但我们通过利用纳米光子工具箱将这一概念推向了极致。具体来说，我们证明了由支持连续体中准束缚态的散射体组成的结构可以通过增加光与时变物质之间的相互作用时间来显着降低所需的调制幅度。尽管时间调制较弱，这使我们能够观察到明显的动量带隙。我们的方法弥合了连续介质和时变超材料中束缚态的概念，为在光频率下实现 PTC 铺平了道路。</w:t>
      </w:r>
    </w:p>
    <w:p>
      <w:pPr>
        <w:spacing w:before="0" w:after="200" w:lineRule="auto" w:line="276"/>
      </w:pPr>
      <w:r>
        <w:rPr>
          <w:b/>
        </w:rPr>
        <w:t xml:space="preserve">Abstract (EN): </w:t>
      </w:r>
      <w:r>
        <w:t>Photonic time crystals (PTCs) are characterized by the rapid modulation of the material properties in time, causing a momentum bandgap for light. However, the observation of these bandgaps at optical frequencies remains elusive as the necessary temporal modulation amplitudes to show notable momentum bandgaps are relatively high, inaccessible with available materials. While it has been known that structuring PTCs at the subwavelength scale can improve the bandgap size, we push this concept to the extreme by leveraging the nanophotonic toolbox. Specifically, we demonstrate that structures composed of scatterers supporting quasi-bound states in the continuum can substantially reduce the required modulation amplitudes by enhancing the interaction time between light and time-varying matter. This allows us to observe noticeable momentum bandgaps despite the weak temporal modulation. Our approach bridges the concepts of bound states in the continuum and time-varying metamaterials, paving the way toward realizable PTCs at optical frequencies.</w:t>
      </w:r>
    </w:p>
    <w:p>
      <w:pPr>
        <w:spacing w:before="120" w:after="120"/>
      </w:pPr>
      <w:r>
        <w:rPr>
          <w:sz w:val="18"/>
        </w:rPr>
        <w:t>——————————————————————————————————————————————————————————————————————</w:t>
      </w:r>
    </w:p>
    <w:p>
      <w:pPr>
        <w:spacing w:before="160" w:after="40" w:line="240" w:lineRule="auto"/>
      </w:pPr>
      <w:r>
        <w:rPr>
          <w:b/>
        </w:rPr>
        <w:t xml:space="preserve">[564] </w:t>
      </w:r>
      <w:hyperlink r:id="rId1622">
        <w:r>
          <w:rPr>
            <w:color w:val="1155CC"/>
            <w:u w:val="single"/>
          </w:rPr>
          <w:t>噬菌体编码的 NARP3 系统重建 NAD+ 颠覆细菌免疫力</w:t>
        </w:r>
      </w:hyperlink>
    </w:p>
    <w:p>
      <w:pPr>
        <w:spacing w:before="0" w:after="80"/>
      </w:pPr>
      <w:r>
        <w:rPr>
          <w:i/>
          <w:sz w:val="20"/>
        </w:rPr>
        <w:t>EN: Phage-encoded NARP3 system rebuilds NAD+ to subvert bacterial immunity</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23">
        <w:r>
          <w:rPr>
            <w:color w:val="1155CC"/>
            <w:u w:val="single"/>
          </w:rPr>
          <w:t>10.1126/sciadv.aee9000</w:t>
        </w:r>
      </w:hyperlink>
    </w:p>
    <w:p>
      <w:pPr>
        <w:spacing w:before="0" w:after="120"/>
      </w:pPr>
      <w:r>
        <w:rPr>
          <w:b/>
        </w:rPr>
        <w:t xml:space="preserve">Notes: </w:t>
      </w:r>
      <w:r>
        <w:t>abstract_source=crossref</w:t>
      </w:r>
    </w:p>
    <w:p>
      <w:pPr>
        <w:spacing w:before="0" w:after="80" w:lineRule="auto" w:line="276"/>
      </w:pPr>
      <w:r>
        <w:rPr>
          <w:b/>
        </w:rPr>
        <w:t xml:space="preserve">摘要（ZH）: </w:t>
      </w:r>
      <w:r>
        <w:t>噬菌体采取多种对策来逃避细菌烟酰胺腺嘌呤二核苷酸（NAD）</w:t>
      </w:r>
      <w:r>
        <w:t xml:space="preserve"> </w:t>
      </w:r>
      <w:r>
        <w:t>+</w:t>
      </w:r>
      <w:r>
        <w:t xml:space="preserve"> </w:t>
      </w:r>
      <w:r>
        <w:t>）——永久军备竞赛中的定向豁免。已知的途径包括 NAD</w:t>
      </w:r>
      <w:r>
        <w:t xml:space="preserve"> </w:t>
      </w:r>
      <w:r>
        <w:t>+</w:t>
      </w:r>
      <w:r>
        <w:t xml:space="preserve"> </w:t>
      </w:r>
      <w:r>
        <w:t>重建途径 1 (NARP1)，回收腺苷 5'-二磷酸核糖，以及 NARP2，将烟酰胺转化为 NAD</w:t>
      </w:r>
      <w:r>
        <w:t xml:space="preserve"> </w:t>
      </w:r>
      <w:r>
        <w:t>+</w:t>
      </w:r>
      <w:r>
        <w:t xml:space="preserve"> </w:t>
      </w:r>
      <w:r>
        <w:t>通过烟酰胺单核苷酸连接。是否额外NAD</w:t>
      </w:r>
      <w:r>
        <w:t xml:space="preserve"> </w:t>
      </w:r>
      <w:r>
        <w:t>+</w:t>
      </w:r>
      <w:r>
        <w:t xml:space="preserve"> </w:t>
      </w:r>
      <w:r>
        <w:t>- 现有的恢复策略仍不清楚。在这里，我们鉴定出 NARP3，一种保守的双基因 NAD</w:t>
      </w:r>
      <w:r>
        <w:t xml:space="preserve"> </w:t>
      </w:r>
      <w:r>
        <w:t>+</w:t>
      </w:r>
      <w:r>
        <w:t xml:space="preserve"> </w:t>
      </w:r>
      <w:r>
        <w:t>-恢复肠杆菌感染噬菌体中广泛存在的噬菌体途径。 NARP3 编码吡啶核苷摄取系统 C (PnuC) 样烟酰胺核苷转运蛋白 (Bas30_87) 和双功能 NAD</w:t>
      </w:r>
      <w:r>
        <w:t xml:space="preserve"> </w:t>
      </w:r>
      <w:r>
        <w:t>+</w:t>
      </w:r>
      <w:r>
        <w:t xml:space="preserve"> </w:t>
      </w:r>
      <w:r>
        <w:t>生物合成调节剂 (NadR) 样酶 (Bas30_86)。 Bas30_87导入烟酰胺核苷，Bas30_86将其转化为NAD</w:t>
      </w:r>
      <w:r>
        <w:t xml:space="preserve"> </w:t>
      </w:r>
      <w:r>
        <w:t>+</w:t>
      </w:r>
      <w:r>
        <w:t xml:space="preserve"> </w:t>
      </w:r>
      <w:r>
        <w:t>通过顺序磷酸化和腺苷酸化。 NARP3完全恢复NAD</w:t>
      </w:r>
      <w:r>
        <w:t xml:space="preserve"> </w:t>
      </w:r>
      <w:r>
        <w:t>+</w:t>
      </w:r>
      <w:r>
        <w:t xml:space="preserve"> </w:t>
      </w:r>
      <w:r>
        <w:t>Sir2-HerA 防御耗尽的池，实现了强大的噬菌体复制。我们单独解析了 Bas30_86 并与 NAD 结合的 X 射线晶体结构</w:t>
      </w:r>
      <w:r>
        <w:t xml:space="preserve"> </w:t>
      </w:r>
      <w:r>
        <w:t>+</w:t>
      </w:r>
      <w:r>
        <w:t xml:space="preserve"> </w:t>
      </w:r>
      <w:r>
        <w:t>，揭示协调的底物捕获、中间体处理和产物形成。突变分析证实运输和酶活性都是必不可少的。 NARP3 作为代谢物发挥作用</w:t>
      </w:r>
    </w:p>
    <w:p>
      <w:pPr>
        <w:spacing w:before="0" w:after="200" w:lineRule="auto" w:line="276"/>
      </w:pPr>
      <w:r>
        <w:rPr>
          <w:b/>
        </w:rPr>
        <w:t xml:space="preserve">Abstract (EN): </w:t>
      </w:r>
      <w:r>
        <w:t>Phages deploy diverse countermeasures to evade bacterial nicotinamide adenine dinucleotide (NAD</w:t>
      </w:r>
      <w:r>
        <w:t xml:space="preserve"> </w:t>
      </w:r>
      <w:r>
        <w:t>+</w:t>
      </w:r>
      <w:r>
        <w:t xml:space="preserve"> </w:t>
      </w:r>
      <w:r>
        <w:t>)–directed immunity in a perpetual arms race. Known pathways include NAD</w:t>
      </w:r>
      <w:r>
        <w:t xml:space="preserve"> </w:t>
      </w:r>
      <w:r>
        <w:t>+</w:t>
      </w:r>
      <w:r>
        <w:t xml:space="preserve"> </w:t>
      </w:r>
      <w:r>
        <w:t>reconstitution pathway 1 (NARP1), which recycles adenosine 5′-diphosphate–ribose, and NARP2, which converts nicotinamide into NAD</w:t>
      </w:r>
      <w:r>
        <w:t xml:space="preserve"> </w:t>
      </w:r>
      <w:r>
        <w:t>+</w:t>
      </w:r>
      <w:r>
        <w:t xml:space="preserve"> </w:t>
      </w:r>
      <w:r>
        <w:t>via nicotinamide mononucleotide ligation. Whether additional NAD</w:t>
      </w:r>
      <w:r>
        <w:t xml:space="preserve"> </w:t>
      </w:r>
      <w:r>
        <w:t>+</w:t>
      </w:r>
      <w:r>
        <w:t xml:space="preserve"> </w:t>
      </w:r>
      <w:r>
        <w:t>-restoring strategies exist has remained unclear. Here, we identify NARP3, a conserved two-gene NAD</w:t>
      </w:r>
      <w:r>
        <w:t xml:space="preserve"> </w:t>
      </w:r>
      <w:r>
        <w:t>+</w:t>
      </w:r>
      <w:r>
        <w:t xml:space="preserve"> </w:t>
      </w:r>
      <w:r>
        <w:t>-restoring phage pathway widespread in Enterobacteriaceae-infecting phages. NARP3 encodes a pyridine nucleoside uptake system C (PnuC)-like nicotinamide riboside transporter (Bas30_87) and a bifunctional NAD</w:t>
      </w:r>
      <w:r>
        <w:t xml:space="preserve"> </w:t>
      </w:r>
      <w:r>
        <w:t>+</w:t>
      </w:r>
      <w:r>
        <w:t xml:space="preserve"> </w:t>
      </w:r>
      <w:r>
        <w:t>biosynthesis regulator (NadR)-like enzyme (Bas30_86). Bas30_87 imports nicotinamide riboside, and Bas30_86 converts it to NAD</w:t>
      </w:r>
      <w:r>
        <w:t xml:space="preserve"> </w:t>
      </w:r>
      <w:r>
        <w:t>+</w:t>
      </w:r>
      <w:r>
        <w:t xml:space="preserve"> </w:t>
      </w:r>
      <w:r>
        <w:t>through sequential phosphorylation and adenylation. NARP3 fully restores NAD</w:t>
      </w:r>
      <w:r>
        <w:t xml:space="preserve"> </w:t>
      </w:r>
      <w:r>
        <w:t>+</w:t>
      </w:r>
      <w:r>
        <w:t xml:space="preserve"> </w:t>
      </w:r>
      <w:r>
        <w:t>pools depleted by Sir2-HerA defenses, enabling robust phage replication. We solve x-ray crystal structures of Bas30_86 alone and bound to NAD</w:t>
      </w:r>
      <w:r>
        <w:t xml:space="preserve"> </w:t>
      </w:r>
      <w:r>
        <w:t>+</w:t>
      </w:r>
      <w:r>
        <w:t xml:space="preserve"> </w:t>
      </w:r>
      <w:r>
        <w:t>, revealing coordinated substrate capture, intermediate handling, and product formation. Mutational analyses confirm that both transport and enzymatic activities are essential. NARP3 functions as a metabolite-centered countermeasure, expands the phage arsenal, and underscores NAD</w:t>
      </w:r>
      <w:r>
        <w:t xml:space="preserve"> </w:t>
      </w:r>
      <w:r>
        <w:t>+</w:t>
      </w:r>
      <w:r>
        <w:t xml:space="preserve"> </w:t>
      </w:r>
      <w:r>
        <w:t>metabolism as a central battlefield in host-phage conflicts. Its discovery provides a blueprint for engineering phages to bypass NAD</w:t>
      </w:r>
      <w:r>
        <w:t xml:space="preserve"> </w:t>
      </w:r>
      <w:r>
        <w:t>+</w:t>
      </w:r>
      <w:r>
        <w:t xml:space="preserve"> </w:t>
      </w:r>
      <w:r>
        <w:t>-dependent bacterial immunity and offers a mechanistic framework to harness metabolite-guided viral strategies for biotechnological applications.</w:t>
      </w:r>
    </w:p>
    <w:p>
      <w:pPr>
        <w:spacing w:before="120" w:after="120"/>
      </w:pPr>
      <w:r>
        <w:rPr>
          <w:sz w:val="18"/>
        </w:rPr>
        <w:t>——————————————————————————————————————————————————————————————————————</w:t>
      </w:r>
    </w:p>
    <w:p>
      <w:pPr>
        <w:spacing w:before="160" w:after="40" w:line="240" w:lineRule="auto"/>
      </w:pPr>
      <w:r>
        <w:rPr>
          <w:b/>
        </w:rPr>
        <w:t xml:space="preserve">[565] </w:t>
      </w:r>
      <w:hyperlink r:id="rId1624">
        <w:r>
          <w:rPr>
            <w:color w:val="1155CC"/>
            <w:u w:val="single"/>
          </w:rPr>
          <w:t>淀粉样蛋白原纤维纳米通道中承压水的结构和动力学</w:t>
        </w:r>
      </w:hyperlink>
    </w:p>
    <w:p>
      <w:pPr>
        <w:spacing w:before="0" w:after="80"/>
      </w:pPr>
      <w:r>
        <w:rPr>
          <w:i/>
          <w:sz w:val="20"/>
        </w:rPr>
        <w:t>EN: Structure and dynamics of confined water in amyloid protein fibril nanochannels</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625">
        <w:r>
          <w:rPr>
            <w:color w:val="1155CC"/>
            <w:u w:val="single"/>
          </w:rPr>
          <w:t>10.1073/pnas.2613258123</w:t>
        </w:r>
      </w:hyperlink>
    </w:p>
    <w:p>
      <w:pPr>
        <w:spacing w:before="0" w:after="120"/>
      </w:pPr>
      <w:r>
        <w:rPr>
          <w:b/>
        </w:rPr>
        <w:t xml:space="preserve">Notes: </w:t>
      </w:r>
      <w:r>
        <w:t>abstract_source=crossref</w:t>
      </w:r>
    </w:p>
    <w:p>
      <w:pPr>
        <w:spacing w:before="0" w:after="80" w:lineRule="auto" w:line="276"/>
      </w:pPr>
      <w:r>
        <w:rPr>
          <w:b/>
        </w:rPr>
        <w:t xml:space="preserve">摘要（ZH）: </w:t>
      </w:r>
      <w:r>
        <w:t>许多淀粉样蛋白原纤维的特点是具有致密的核心结构，很大程度上排除了水。然而，越来越多的淀粉样原纤维结构被发现含有水通道。尽管已经研究了膜蛋白通道和孔中的水，但淀粉样蛋白原纤维纳米通道中水的结构和动力学在很大程度上尚未被探索。在这项计算研究中，我们使用分子动力学模拟来表征离体人血清淀粉样蛋白 A (hSAA)、离体鼠 SAA (mSAA) 和离体猫 SAA (fSAA) 原纤维水通道内的水的结构和动力学。尽管这些蛋白质高度同源，但它们的原纤维结构差异很大，这为了解序列水平变异如何影响内部水行为提供了机会。我们发现，所有三种原纤维通道内的水相对于大量水都表现出阻尼平移和旋转扩散，并采用不同的有序氢键网络。 fSAA 和 hSAA 通道中的水通过亲水侧链水合内部盐桥和氢键，表明具有稳定作用。 mSAA 通道中的承压水与残留物的侧链和主链相互作用，显示出独特的三角形排列和冰状动力学，这是以前未报道过的承压水。我们的结果有助于阐明水在淀粉样蛋白原纤维内部的结构和动力学作用。</w:t>
      </w:r>
    </w:p>
    <w:p>
      <w:pPr>
        <w:spacing w:before="0" w:after="200" w:lineRule="auto" w:line="276"/>
      </w:pPr>
      <w:r>
        <w:rPr>
          <w:b/>
        </w:rPr>
        <w:t xml:space="preserve">Abstract (EN): </w:t>
      </w:r>
      <w:r>
        <w:t>Many fibrils of amyloid proteins are characterized by a dense core structure that largely excludes water. However, an increasing number of amyloid fibril structures are observed to contain water channels. Although water in membrane protein channels and pores has been studied, the structure and dynamics of water in amyloid protein fibril nanochannels is largely unexplored. In this computational study, we used molecular dynamics simulations to characterize the structure and dynamics of water inside the water channels of ex vivo human Serum Amyloid A (hSAA), ex vivo murine SAA (mSAA), and ex vivo feline SAA (fSAA) fibrils. Although these proteins are highly homologous, their fibril architectures differ substantially, providing an opportunity to understand how sequence-level variation influences interior water behavior. We find that water within the channels of all three fibrils exhibits damped translational and rotational diffusion relative to bulk water and adopts distinct ordered hydrogen-bonding networks. The water in fSAA and hSAA channels hydrates interior salt-bridges and hydrogen bonds with hydrophilic side chains, suggesting a stabilizing role. Confined water in mSAA channels engages in interactions with both the side chains and backbone of the residues, showing a unique trigonal arrangement and ice-like dynamics that has not been previously reported for confined water. Our results serve to elucidate the structural and dynamical role of water in the interior of amyloid protein fibrils.</w:t>
      </w:r>
    </w:p>
    <w:p>
      <w:pPr>
        <w:spacing w:before="120" w:after="120"/>
      </w:pPr>
      <w:r>
        <w:rPr>
          <w:sz w:val="18"/>
        </w:rPr>
        <w:t>——————————————————————————————————————————————————————————————————————</w:t>
      </w:r>
    </w:p>
    <w:p>
      <w:pPr>
        <w:spacing w:before="160" w:after="40" w:line="240" w:lineRule="auto"/>
      </w:pPr>
      <w:r>
        <w:rPr>
          <w:b/>
        </w:rPr>
        <w:t xml:space="preserve">[566] </w:t>
      </w:r>
      <w:hyperlink r:id="rId1626">
        <w:r>
          <w:rPr>
            <w:color w:val="1155CC"/>
            <w:u w:val="single"/>
          </w:rPr>
          <w:t>CDT1 与复制体一起重塑复制叉</w:t>
        </w:r>
      </w:hyperlink>
    </w:p>
    <w:p>
      <w:pPr>
        <w:spacing w:before="0" w:after="80"/>
      </w:pPr>
      <w:r>
        <w:rPr>
          <w:i/>
          <w:sz w:val="20"/>
        </w:rPr>
        <w:t>EN: CDT1 acts with the replisome to remodel replication forks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27">
        <w:r>
          <w:rPr>
            <w:color w:val="1155CC"/>
            <w:u w:val="single"/>
          </w:rPr>
          <w:t>10.1126/sciadv.aee6914</w:t>
        </w:r>
      </w:hyperlink>
    </w:p>
    <w:p>
      <w:pPr>
        <w:spacing w:before="0" w:after="120"/>
      </w:pPr>
      <w:r>
        <w:rPr>
          <w:b/>
        </w:rPr>
        <w:t xml:space="preserve">Notes: </w:t>
      </w:r>
      <w:r>
        <w:t>abstract_source=crossref</w:t>
      </w:r>
    </w:p>
    <w:p>
      <w:pPr>
        <w:spacing w:before="0" w:after="80" w:lineRule="auto" w:line="276"/>
      </w:pPr>
      <w:r>
        <w:rPr>
          <w:b/>
        </w:rPr>
        <w:t xml:space="preserve">摘要（ZH）: </w:t>
      </w:r>
      <w:r>
        <w:t>复制叉在基因组复制过程中遇到问题，引发复制压力。分叉逆转是一种关键的应激耐受途径，有助于缓解复制挑战，促进 DNA 合成。在这里，我们报告了起源许可因子 CDT1 在通过复制叉逆转进行的叉重塑中的功能。起源重新激活早期阶段的复制动力学特征表明，CDT1 可以阻止分叉进展而不诱导 DNA 断裂。值得注意的是，CDT1 在再复制和基因毒性应激暴露的条件下介导复制叉逆转，并且该功能依赖于与 CMG 解旋酶的相互作用。尽管增殖细胞核抗原 (PCNA) 在不受干扰的条件下隔离 CDT1 进行蛋白水解降解，但 ATAD5 介导的 PCNA 在受压叉处卸载会释放 CDT1，与 CMG 解旋酶相互作用并促进叉重塑。因此，与 CDT1 功能必须在 S 期失活的观点相反，我们的研究结果揭示了一种调节机制，可促进 CDT1 响应复制应激的叉重塑功能。</w:t>
      </w:r>
    </w:p>
    <w:p>
      <w:pPr>
        <w:spacing w:before="0" w:after="200" w:lineRule="auto" w:line="276"/>
      </w:pPr>
      <w:r>
        <w:rPr>
          <w:b/>
        </w:rPr>
        <w:t xml:space="preserve">Abstract (EN): </w:t>
      </w:r>
      <w:r>
        <w:t>Replication forks encounter problems during genome duplication that trigger replication stress. Fork reversal is a key stress tolerance pathway that helps mitigate replication challenges to facilitate DNA synthesis. Here, we report the function of origin licensing factor CDT1 in fork remodeling by replication fork reversal. Characterization of replication dynamics during early stages of origin reactivation revealed that CDT1 blocks fork progression without inducing DNA breaks. Notably, CDT1 mediates replication fork reversal under conditions of re-replication and genotoxic stress exposure, and this function is dependent on the interaction with the CMG helicase. Although proliferating cell nuclear antigen (PCNA) sequesters CDT1 for proteolytic degradation under unperturbed conditions, ATAD5-mediated PCNA unloading at stressed forks releases CDT1 to interact with the CMG helicase and promote fork remodeling. Thus, contrary to the notion that CDT1 function must be inactivated in the S phase, our findings uncover a regulatory mechanism that facilitates fork remodeling function of CDT1 in response to replication stress.</w:t>
      </w:r>
    </w:p>
    <w:p>
      <w:pPr>
        <w:spacing w:before="120" w:after="120"/>
      </w:pPr>
      <w:r>
        <w:rPr>
          <w:sz w:val="18"/>
        </w:rPr>
        <w:t>——————————————————————————————————————————————————————————————————————</w:t>
      </w:r>
    </w:p>
    <w:p>
      <w:pPr>
        <w:spacing w:before="160" w:after="40" w:line="240" w:lineRule="auto"/>
      </w:pPr>
      <w:r>
        <w:rPr>
          <w:b/>
        </w:rPr>
        <w:t xml:space="preserve">[567] </w:t>
      </w:r>
      <w:hyperlink r:id="rId1628">
        <w:r>
          <w:rPr>
            <w:color w:val="1155CC"/>
            <w:u w:val="single"/>
          </w:rPr>
          <w:t>CD5+树突状细胞机器人介导的原位免疫细胞激活</w:t>
        </w:r>
      </w:hyperlink>
    </w:p>
    <w:p>
      <w:pPr>
        <w:spacing w:before="0" w:after="80"/>
      </w:pPr>
      <w:r>
        <w:rPr>
          <w:i/>
          <w:sz w:val="20"/>
        </w:rPr>
        <w:t>EN: CD5+ dendritic cell robots mediated in situ immunocyte activation</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29">
        <w:r>
          <w:rPr>
            <w:color w:val="1155CC"/>
            <w:u w:val="single"/>
          </w:rPr>
          <w:t>10.1126/sciadv.aee5305</w:t>
        </w:r>
      </w:hyperlink>
    </w:p>
    <w:p>
      <w:pPr>
        <w:spacing w:before="0" w:after="120"/>
      </w:pPr>
      <w:r>
        <w:rPr>
          <w:b/>
        </w:rPr>
        <w:t xml:space="preserve">Notes: </w:t>
      </w:r>
      <w:r>
        <w:t>abstract_source=crossref</w:t>
      </w:r>
    </w:p>
    <w:p>
      <w:pPr>
        <w:spacing w:before="0" w:after="80" w:lineRule="auto" w:line="276"/>
      </w:pPr>
      <w:r>
        <w:rPr>
          <w:b/>
        </w:rPr>
        <w:t xml:space="preserve">摘要（ZH）: </w:t>
      </w:r>
      <w:r>
        <w:t>具有自我推进和导航能力的免疫细胞微型机器人已成为一个令人兴奋的研究领域。体外细胞毒性免疫细胞的分离、激活和过继转移是一些最常见的技术方法。然而，细胞毒性免疫细胞的异位激活和过继转移存在全身炎症反应和功能衰竭的风险。为了解决这个瓶颈，我们报告了 CD5</w:t>
      </w:r>
      <w:r>
        <w:t xml:space="preserve"> </w:t>
      </w:r>
      <w:r>
        <w:t>+</w:t>
      </w:r>
      <w:r>
        <w:t xml:space="preserve"> </w:t>
      </w:r>
      <w:r>
        <w:t>树突状细胞微型机器人（CD5</w:t>
      </w:r>
      <w:r>
        <w:t xml:space="preserve"> </w:t>
      </w:r>
      <w:r>
        <w:t>+</w:t>
      </w:r>
      <w:r>
        <w:t xml:space="preserve"> </w:t>
      </w:r>
      <w:r>
        <w:t>DC机器人）由工程天然CD5构建</w:t>
      </w:r>
      <w:r>
        <w:t xml:space="preserve"> </w:t>
      </w:r>
      <w:r>
        <w:t>+</w:t>
      </w:r>
      <w:r>
        <w:t xml:space="preserve"> </w:t>
      </w:r>
      <w:r>
        <w:t>树突状细胞吞噬涂有肿瘤细胞膜的磁性纳米粒子。 CD5表面的PD-L1</w:t>
      </w:r>
      <w:r>
        <w:t xml:space="preserve"> </w:t>
      </w:r>
      <w:r>
        <w:t>+</w:t>
      </w:r>
      <w:r>
        <w:t xml:space="preserve"> </w:t>
      </w:r>
      <w:r>
        <w:t>细胞被预先封闭以增强免疫激活能力。在切换外源旋转/锥形磁场下，CD5</w:t>
      </w:r>
      <w:r>
        <w:t xml:space="preserve"> </w:t>
      </w:r>
      <w:r>
        <w:t>+</w:t>
      </w:r>
      <w:r>
        <w:t xml:space="preserve"> </w:t>
      </w:r>
      <w:r>
        <w:t>DC机器人在脉管系统内形成用于上游运动的链状簇或用于下游运动的带状簇，从而能够在肠道目标处精确聚集。然后，它们沿着肿瘤趋化因子梯度导航，通过正趋化作用穿透细胞外基质屏障，深入渗透到肿瘤组织并触发驻留免疫细胞的级联激活。与依赖自我介导的细胞毒性的传统细胞微型机器人疗法不同，这种 CD5</w:t>
      </w:r>
      <w:r>
        <w:t xml:space="preserve"> </w:t>
      </w:r>
      <w:r>
        <w:t>+</w:t>
      </w:r>
      <w:r>
        <w:t xml:space="preserve"> </w:t>
      </w:r>
      <w:r>
        <w:t>DC机器人系统通过重新编程先天免疫细胞激活持久的抗肿瘤免疫力</w:t>
      </w:r>
    </w:p>
    <w:p>
      <w:pPr>
        <w:spacing w:before="0" w:after="200" w:lineRule="auto" w:line="276"/>
      </w:pPr>
      <w:r>
        <w:rPr>
          <w:b/>
        </w:rPr>
        <w:t xml:space="preserve">Abstract (EN): </w:t>
      </w:r>
      <w:r>
        <w:t>Immune cell microbots with self-propelling and navigating capabilities have become an exciting field of research. Isolation, activation, and adoptive transfer of cytotoxic immune cells in vitro are some of the most common technical methods. However, the ex situ activation and adoptive transfer of cytotoxic immune cells carry the risk of systemic inflammatory responses and functional exhaustion. To address this bottleneck, we report a CD5</w:t>
      </w:r>
      <w:r>
        <w:t xml:space="preserve"> </w:t>
      </w:r>
      <w:r>
        <w:t>+</w:t>
      </w:r>
      <w:r>
        <w:t xml:space="preserve"> </w:t>
      </w:r>
      <w:r>
        <w:t>dendritic cell microbot (CD5</w:t>
      </w:r>
      <w:r>
        <w:t xml:space="preserve"> </w:t>
      </w:r>
      <w:r>
        <w:t>+</w:t>
      </w:r>
      <w:r>
        <w:t xml:space="preserve"> </w:t>
      </w:r>
      <w:r>
        <w:t>DC robot) constructed by engineering natural CD5</w:t>
      </w:r>
      <w:r>
        <w:t xml:space="preserve"> </w:t>
      </w:r>
      <w:r>
        <w:t>+</w:t>
      </w:r>
      <w:r>
        <w:t xml:space="preserve"> </w:t>
      </w:r>
      <w:r>
        <w:t>dendritic cells to phagocytose magnetic nanoparticles coated with tumor cell membranes. The PD-L1 on the surface of CD5</w:t>
      </w:r>
      <w:r>
        <w:t xml:space="preserve"> </w:t>
      </w:r>
      <w:r>
        <w:t>+</w:t>
      </w:r>
      <w:r>
        <w:t xml:space="preserve"> </w:t>
      </w:r>
      <w:r>
        <w:t>cells is preblocked to enhance immune activation capacity. Under switched exogenous rotating/conical magnetic fields, CD5</w:t>
      </w:r>
      <w:r>
        <w:t xml:space="preserve"> </w:t>
      </w:r>
      <w:r>
        <w:t>+</w:t>
      </w:r>
      <w:r>
        <w:t xml:space="preserve"> </w:t>
      </w:r>
      <w:r>
        <w:t>DC robots form chain-like clusters for upstream motion or ribbon-like clusters for downstream motion within the vasculature, enabling precise aggregation at intestinal targets. Then, they navigate along tumor chemokine gradients, penetrating the extracellular matrix barrier via positive chemotaxis to infiltrate deep into tumor tissues and trigger cascading activation of resident immune cells. Distinct from traditional cellular microbot therapies that rely on self-mediated cytotoxicity, this CD5</w:t>
      </w:r>
      <w:r>
        <w:t xml:space="preserve"> </w:t>
      </w:r>
      <w:r>
        <w:t>+</w:t>
      </w:r>
      <w:r>
        <w:t xml:space="preserve"> </w:t>
      </w:r>
      <w:r>
        <w:t>DC robot system activates durable antitumor immunity by reprogramming innate immune cells within the tumor microenvironment. This strategy offers a novel pathway toward precision-targeted therapy with excellent biocompatibility and functional stability.</w:t>
      </w:r>
    </w:p>
    <w:p>
      <w:pPr>
        <w:spacing w:before="120" w:after="120"/>
      </w:pPr>
      <w:r>
        <w:rPr>
          <w:sz w:val="18"/>
        </w:rPr>
        <w:t>——————————————————————————————————————————————————————————————————————</w:t>
      </w:r>
    </w:p>
    <w:p>
      <w:pPr>
        <w:spacing w:before="160" w:after="40" w:line="240" w:lineRule="auto"/>
      </w:pPr>
      <w:r>
        <w:rPr>
          <w:b/>
        </w:rPr>
        <w:t xml:space="preserve">[568] </w:t>
      </w:r>
      <w:hyperlink r:id="rId1630">
        <w:r>
          <w:rPr>
            <w:color w:val="1155CC"/>
            <w:u w:val="single"/>
          </w:rPr>
          <w:t>聚合物载体破坏金属有机笼的溶解度用于浓II型多孔液体萃取正烷烃</w:t>
        </w:r>
      </w:hyperlink>
    </w:p>
    <w:p>
      <w:pPr>
        <w:spacing w:before="0" w:after="80"/>
      </w:pPr>
      <w:r>
        <w:rPr>
          <w:i/>
          <w:sz w:val="20"/>
        </w:rPr>
        <w:t>EN: Breaking solubility of metal-organic cages via polymer carrier for concentrated type II porous liquid to extract n-alkanes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31">
        <w:r>
          <w:rPr>
            <w:color w:val="1155CC"/>
            <w:u w:val="single"/>
          </w:rPr>
          <w:t>10.1126/sciadv.aee3993</w:t>
        </w:r>
      </w:hyperlink>
    </w:p>
    <w:p>
      <w:pPr>
        <w:spacing w:before="0" w:after="120"/>
      </w:pPr>
      <w:r>
        <w:rPr>
          <w:b/>
        </w:rPr>
        <w:t xml:space="preserve">Notes: </w:t>
      </w:r>
      <w:r>
        <w:t>abstract_source=crossref</w:t>
      </w:r>
    </w:p>
    <w:p>
      <w:pPr>
        <w:spacing w:before="0" w:after="80" w:lineRule="auto" w:line="276"/>
      </w:pPr>
      <w:r>
        <w:rPr>
          <w:b/>
        </w:rPr>
        <w:t xml:space="preserve">摘要（ZH）: </w:t>
      </w:r>
      <w:r>
        <w:t>II型多孔液体表现出源自分子笼的主客体特性，在液-液分离中具有潜在的用途；然而，由于MOC在空腔排除溶剂中的溶解度有限，以金属有机笼（MOC）作为孔主体的材料极为罕见。在这里，我们报道了使用聚乙烯吡咯烷酮（PVP）在聚乙二醇（PEG）中提供多氧钒酸盐-有机混合笼（HD），以获得浓缩的II型多孔液体（HD）</w:t>
      </w:r>
      <w:r>
        <w:t xml:space="preserve"> </w:t>
      </w:r>
      <w:r>
        <w:t>聚乙烯吡咯烷酮</w:t>
      </w:r>
      <w:r>
        <w:t xml:space="preserve"> </w:t>
      </w:r>
      <w:r>
        <w:t>/PEG）。结构表征和建模研究共同证实，PVP-PEG 相容性和 HD-PVP 相互作用使得 PEG 中 HD 浓度较高。 PVP 的最小负载量加上 PVP 和 PEG 的空间位阻确保了永久的孔隙率和室温流动性。高清</w:t>
      </w:r>
      <w:r>
        <w:t xml:space="preserve"> </w:t>
      </w:r>
      <w:r>
        <w:t>聚乙烯吡咯烷酮</w:t>
      </w:r>
      <w:r>
        <w:t xml:space="preserve"> </w:t>
      </w:r>
      <w:r>
        <w:t>/PEG 对 C 表现出高吸收性和选择性</w:t>
      </w:r>
      <w:r>
        <w:rPr>
          <w:vertAlign w:val="subscript"/>
        </w:rPr>
        <w:t>5</w:t>
      </w:r>
      <w:r>
        <w:t>–C</w:t>
      </w:r>
      <w:r>
        <w:rPr>
          <w:vertAlign w:val="subscript"/>
        </w:rPr>
        <w:t>7</w:t>
      </w:r>
      <w:r>
        <w:t>n</w:t>
      </w:r>
      <w:r>
        <w:t xml:space="preserve"> </w:t>
      </w:r>
      <w:r>
        <w:t>-由于HD和之间的主客体相互作用，烷烃超过其支链异构体</w:t>
      </w:r>
      <w:r>
        <w:t xml:space="preserve"> </w:t>
      </w:r>
      <w:r>
        <w:t>n</w:t>
      </w:r>
      <w:r>
        <w:t xml:space="preserve"> </w:t>
      </w:r>
      <w:r>
        <w:t>-烷烃。 HD的设计策略</w:t>
      </w:r>
      <w:r>
        <w:t xml:space="preserve"> </w:t>
      </w:r>
      <w:r>
        <w:t>聚乙烯吡咯烷酮</w:t>
      </w:r>
      <w:r>
        <w:t xml:space="preserve"> </w:t>
      </w:r>
      <w:r>
        <w:t>/PEG 已成功扩展到其他典型 MOC 和常用的空腔排除溶剂。</w:t>
      </w:r>
    </w:p>
    <w:p>
      <w:pPr>
        <w:spacing w:before="0" w:after="200" w:lineRule="auto" w:line="276"/>
      </w:pPr>
      <w:r>
        <w:rPr>
          <w:b/>
        </w:rPr>
        <w:t xml:space="preserve">Abstract (EN): </w:t>
      </w:r>
      <w:r>
        <w:t>Type II porous liquids that exhibit host-guest properties derived from molecular cages are of potential utility in liquid-liquid separations; however, those with metal-organic cages (MOCs) as pore hosts are extremely rare due to the limited solubility of MOCs in cavity-excluded solvents. Here, we report the use of polyvinylpyrrolidone (PVP) to deliver polyoxovanadate-organic hybrid cages (HD) in polyethylene glycol (PEG) for a concentrated type II porous liquid (HD</w:t>
      </w:r>
      <w:r>
        <w:t xml:space="preserve"> </w:t>
      </w:r>
      <w:r>
        <w:t>PVP</w:t>
      </w:r>
      <w:r>
        <w:t xml:space="preserve"> </w:t>
      </w:r>
      <w:r>
        <w:t>/PEG). Structural characterizations and modeling studies collectively confirm that the PVP-PEG compatibility and the HD-PVP interaction enable the high HD concentration in PEG. The minimal loading of PVP coupled with the steric hindrance of PVP and PEG ensure the permanent porosity and room-temperature fluidity. HD</w:t>
      </w:r>
      <w:r>
        <w:t xml:space="preserve"> </w:t>
      </w:r>
      <w:r>
        <w:t>PVP</w:t>
      </w:r>
      <w:r>
        <w:t xml:space="preserve"> </w:t>
      </w:r>
      <w:r>
        <w:t>/PEG exhibits high uptake and selectivity toward C</w:t>
      </w:r>
      <w:r>
        <w:rPr>
          <w:vertAlign w:val="subscript"/>
        </w:rPr>
        <w:t>5</w:t>
      </w:r>
      <w:r>
        <w:t>–C</w:t>
      </w:r>
      <w:r>
        <w:rPr>
          <w:vertAlign w:val="subscript"/>
        </w:rPr>
        <w:t>7</w:t>
      </w:r>
      <w:r>
        <w:t>n</w:t>
      </w:r>
      <w:r>
        <w:t xml:space="preserve"> </w:t>
      </w:r>
      <w:r>
        <w:t>-alkanes over their branched isomers due to the host-guest interactions between HD and</w:t>
      </w:r>
      <w:r>
        <w:t xml:space="preserve"> </w:t>
      </w:r>
      <w:r>
        <w:t>n</w:t>
      </w:r>
      <w:r>
        <w:t xml:space="preserve"> </w:t>
      </w:r>
      <w:r>
        <w:t>-alkanes. The design strategy of HD</w:t>
      </w:r>
      <w:r>
        <w:t xml:space="preserve"> </w:t>
      </w:r>
      <w:r>
        <w:t>PVP</w:t>
      </w:r>
      <w:r>
        <w:t xml:space="preserve"> </w:t>
      </w:r>
      <w:r>
        <w:t>/PEG was successfully extended to other typical MOCs and commonly-used cavity-excluded solvents.</w:t>
      </w:r>
    </w:p>
    <w:p>
      <w:pPr>
        <w:spacing w:before="120" w:after="120"/>
      </w:pPr>
      <w:r>
        <w:rPr>
          <w:sz w:val="18"/>
        </w:rPr>
        <w:t>——————————————————————————————————————————————————————————————————————</w:t>
      </w:r>
    </w:p>
    <w:p>
      <w:pPr>
        <w:spacing w:before="160" w:after="40" w:line="240" w:lineRule="auto"/>
      </w:pPr>
      <w:r>
        <w:rPr>
          <w:b/>
        </w:rPr>
        <w:t xml:space="preserve">[569] </w:t>
      </w:r>
      <w:hyperlink r:id="rId1632">
        <w:r>
          <w:rPr>
            <w:color w:val="1155CC"/>
            <w:u w:val="single"/>
          </w:rPr>
          <w:t>惰性气体在地球深处的保留：动力学捕获还是稳定结合？</w:t>
        </w:r>
      </w:hyperlink>
    </w:p>
    <w:p>
      <w:pPr>
        <w:spacing w:before="0" w:after="80"/>
      </w:pPr>
      <w:r>
        <w:rPr>
          <w:i/>
          <w:sz w:val="20"/>
        </w:rPr>
        <w:t>EN: Retention of noble gases in the deep Earth: Kinetic trapping or stable bonding?</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33">
        <w:r>
          <w:rPr>
            <w:color w:val="1155CC"/>
            <w:u w:val="single"/>
          </w:rPr>
          <w:t>10.1126/sciadv.aee3254</w:t>
        </w:r>
      </w:hyperlink>
    </w:p>
    <w:p>
      <w:pPr>
        <w:spacing w:before="0" w:after="120"/>
      </w:pPr>
      <w:r>
        <w:rPr>
          <w:b/>
        </w:rPr>
        <w:t xml:space="preserve">Notes: </w:t>
      </w:r>
      <w:r>
        <w:t>abstract_source=crossref</w:t>
      </w:r>
    </w:p>
    <w:p>
      <w:pPr>
        <w:spacing w:before="0" w:after="80" w:lineRule="auto" w:line="276"/>
      </w:pPr>
      <w:r>
        <w:rPr>
          <w:b/>
        </w:rPr>
        <w:t xml:space="preserve">摘要（ZH）: </w:t>
      </w:r>
      <w:r>
        <w:t>稀有气体在高压含二氧化硅固体和熔体中的键合潜力仍然存在争议，但这是了解其保留行为和评估含硅酸盐相在最初存在于大气中的稀有气体的运输和储存中的作用的核心问题。在这里，我们评估了三种硅酸盐中稀有气体的化学行为：石英、硒铁矿和钙钛矿。使用电子定位函数和巴德电荷分析，我们没有发现稳定共价键或离子键的证据。重惰性气体非常缓慢的晶内扩散决定了它们在晶体生长过程中被捕获在硅酸盐中。与硅酸盐晶格相比，稀有气体更可能存在于熔体或晶界中。</w:t>
      </w:r>
    </w:p>
    <w:p>
      <w:pPr>
        <w:spacing w:before="0" w:after="200" w:lineRule="auto" w:line="276"/>
      </w:pPr>
      <w:r>
        <w:rPr>
          <w:b/>
        </w:rPr>
        <w:t xml:space="preserve">Abstract (EN): </w:t>
      </w:r>
      <w:r>
        <w:t>The bonding potential of noble gases in high-pressure silica-bearing solids and melts remains debated, yet it is a central question for understanding their retention behavior and evaluating the role of silicate-bearing phases in the transport and storage of noble gases originally present in the atmosphere. Here, we assess the chemical behavior of noble gases in three silicates: quartz, seifertite, and perovskite. Using the electron localization function and Bader charge analysis, we find no evidence of stable covalent or ionicbonding. The very slow intracrystalline diffusion of heavy noble gases governs their trapping in silicates during crystal growth. Noble gases are more likely to reside in melts or grain boundaries than in silicate crystal lattices.</w:t>
      </w:r>
    </w:p>
    <w:p>
      <w:pPr>
        <w:spacing w:before="120" w:after="120"/>
      </w:pPr>
      <w:r>
        <w:rPr>
          <w:sz w:val="18"/>
        </w:rPr>
        <w:t>——————————————————————————————————————————————————————————————————————</w:t>
      </w:r>
    </w:p>
    <w:p>
      <w:pPr>
        <w:spacing w:before="160" w:after="40" w:line="240" w:lineRule="auto"/>
      </w:pPr>
      <w:r>
        <w:rPr>
          <w:b/>
        </w:rPr>
        <w:t xml:space="preserve">[570] </w:t>
      </w:r>
      <w:hyperlink r:id="rId1634">
        <w:r>
          <w:rPr>
            <w:color w:val="1155CC"/>
            <w:u w:val="single"/>
          </w:rPr>
          <w:t>使用时间敏感的多模式生物标志物预测轻度认知障碍进展</w:t>
        </w:r>
      </w:hyperlink>
    </w:p>
    <w:p>
      <w:pPr>
        <w:spacing w:before="0" w:after="80"/>
      </w:pPr>
      <w:r>
        <w:rPr>
          <w:i/>
          <w:sz w:val="20"/>
        </w:rPr>
        <w:t>EN: Prediction of mild cognitive impairment progression using time-sensitive multimodal biomarkers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35">
        <w:r>
          <w:rPr>
            <w:color w:val="1155CC"/>
            <w:u w:val="single"/>
          </w:rPr>
          <w:t>10.1126/sciadv.aee2305</w:t>
        </w:r>
      </w:hyperlink>
    </w:p>
    <w:p>
      <w:pPr>
        <w:spacing w:before="0" w:after="120"/>
      </w:pPr>
      <w:r>
        <w:rPr>
          <w:b/>
        </w:rPr>
        <w:t xml:space="preserve">Notes: </w:t>
      </w:r>
      <w:r>
        <w:t>abstract_source=crossref</w:t>
      </w:r>
    </w:p>
    <w:p>
      <w:pPr>
        <w:spacing w:before="0" w:after="80" w:lineRule="auto" w:line="276"/>
      </w:pPr>
      <w:r>
        <w:rPr>
          <w:b/>
        </w:rPr>
        <w:t xml:space="preserve">摘要（ZH）: </w:t>
      </w:r>
      <w:r>
        <w:t>阿尔茨海默病 (AD) 在症状出现之前会默默发展数年，因此早期识别高危人群对于预防试验和早期干预至关重要。我们测试了结合神经生理学、影像学和血液生物标志物是否可以改善对有 AD 家族史的认知未受损老年人进展为轻度认知障碍 (MCI) 的预测。</w:t>
      </w:r>
      <w:r>
        <w:t xml:space="preserve"> </w:t>
      </w:r>
      <w:r>
        <w:t>n</w:t>
      </w:r>
      <w:r>
        <w:t xml:space="preserve"> </w:t>
      </w:r>
      <w:r>
        <w:t>= 102； 31名进步者；平均随访时间为 5.9 年）。脑磁图、磁共振成像、血浆生物标志物以及淀粉样蛋白和 tau 正电子发射断层扫描都捕获了疾病生物学的互补方面。多模式模型比单独的人口统计和遗传因素更准确地预测进展。较高的 MEG α 功率与近期风险增加相关，而较高的 γ 活性则预示近期风险较低；随着时间的推移，这两种影响都会减弱。较高的新皮质淀粉样蛋白负荷预示着随访期间风险增加，而血浆生物标志物和内嗅tau蛋白预测较高的风险，但没有显着的时变效应。这些发现支持时间敏感的多模式框架，用于识别因 AD 导致认知功能障碍且有 MCI 风险的个体。</w:t>
      </w:r>
    </w:p>
    <w:p>
      <w:pPr>
        <w:spacing w:before="0" w:after="200" w:lineRule="auto" w:line="276"/>
      </w:pPr>
      <w:r>
        <w:rPr>
          <w:b/>
        </w:rPr>
        <w:t xml:space="preserve">Abstract (EN): </w:t>
      </w:r>
      <w:r>
        <w:t>Alzheimer’s disease (AD) develops silently for years before symptoms emerge, making early identification of at-risk individuals essential for prevention trials and early intervention. We tested whether combining neurophysiological, imaging, and blood biomarkers improves prediction of progression to mild cognitive impairment (MCI) in cognitively unimpaired older adults with a family history of AD (</w:t>
      </w:r>
      <w:r>
        <w:t xml:space="preserve"> </w:t>
      </w:r>
      <w:r>
        <w:t>n</w:t>
      </w:r>
      <w:r>
        <w:t xml:space="preserve"> </w:t>
      </w:r>
      <w:r>
        <w:t>= 102; 31 progressors; mean follow-up of 5.9 years). Magnetoencephalography, magnetic resonance imaging, plasma biomarkers, and amyloid and tau positron emission tomography each captured complementary aspects of disease biology. Multimodal models predicted progression more accurately than demographic and genetic factors alone. Higher MEG alpha power was associated with increased near-term risk, whereas higher gamma activity predicted lower near-term risk; both effects weakened over time. Higher neocortical amyloid burden predicted increasing risk over follow-up, whereas plasma biomarkers and entorhinal tau predicted higher risk without significant time-varying effects. These findings support a time-sensitive multimodal framework for identifying cognitively unimpaired individuals at risk of MCI due to AD.</w:t>
      </w:r>
    </w:p>
    <w:p>
      <w:pPr>
        <w:spacing w:before="120" w:after="120"/>
      </w:pPr>
      <w:r>
        <w:rPr>
          <w:sz w:val="18"/>
        </w:rPr>
        <w:t>——————————————————————————————————————————————————————————————————————</w:t>
      </w:r>
    </w:p>
    <w:p>
      <w:pPr>
        <w:spacing w:before="160" w:after="40" w:line="240" w:lineRule="auto"/>
      </w:pPr>
      <w:r>
        <w:rPr>
          <w:b/>
        </w:rPr>
        <w:t xml:space="preserve">[571] </w:t>
      </w:r>
      <w:hyperlink r:id="rId1636">
        <w:r>
          <w:rPr>
            <w:color w:val="1155CC"/>
            <w:u w:val="single"/>
          </w:rPr>
          <w:t>Mito-TEMPO 通过减少氧化应激并通过 Sod2 增强线粒体自噬来提高 npc1 敲除斑马鱼的存活率</w:t>
        </w:r>
      </w:hyperlink>
    </w:p>
    <w:p>
      <w:pPr>
        <w:spacing w:before="0" w:after="80"/>
      </w:pPr>
      <w:r>
        <w:rPr>
          <w:i/>
          <w:sz w:val="20"/>
        </w:rPr>
        <w:t>EN: Mito-TEMPO improves survival rates in npc1-knockout zebrafish by reducing oxidative stress and enhancing mitophagy via Sod2</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37">
        <w:r>
          <w:rPr>
            <w:color w:val="1155CC"/>
            <w:u w:val="single"/>
          </w:rPr>
          <w:t>10.1126/sciadv.aee0509</w:t>
        </w:r>
      </w:hyperlink>
    </w:p>
    <w:p>
      <w:pPr>
        <w:spacing w:before="0" w:after="120"/>
      </w:pPr>
      <w:r>
        <w:rPr>
          <w:b/>
        </w:rPr>
        <w:t xml:space="preserve">Notes: </w:t>
      </w:r>
      <w:r>
        <w:t>abstract_source=crossref</w:t>
      </w:r>
    </w:p>
    <w:p>
      <w:pPr>
        <w:spacing w:before="0" w:after="80" w:lineRule="auto" w:line="276"/>
      </w:pPr>
      <w:r>
        <w:rPr>
          <w:b/>
        </w:rPr>
        <w:t xml:space="preserve">摘要（ZH）: </w:t>
      </w:r>
      <w:r>
        <w:t>Niemann-Pick C 型 (NPC) 病是一种溶酶体贮积症，主要由基因突变引起</w:t>
      </w:r>
      <w:r>
        <w:t xml:space="preserve"> </w:t>
      </w:r>
      <w:r>
        <w:t>NPC1</w:t>
      </w:r>
      <w:r>
        <w:t xml:space="preserve"> </w:t>
      </w:r>
      <w:r>
        <w:t>基因。大多数患者出现早期症状，包括肝脾肿大和消化系统损伤，随后出现进行性神经退行性变。然而，提高鼻咽癌患者生存率的有效治疗方法仍然有限。在本研究中，使用</w:t>
      </w:r>
      <w:r>
        <w:t xml:space="preserve"> </w:t>
      </w:r>
      <w:r>
        <w:t>NPC1</w:t>
      </w:r>
      <w:r>
        <w:t xml:space="preserve"> </w:t>
      </w:r>
      <w:r>
        <w:t>-我们实验室建立的敲除（NPC1-KO）斑马鱼模型，我们的团队建议</w:t>
      </w:r>
      <w:r>
        <w:t xml:space="preserve"> </w:t>
      </w:r>
      <w:r>
        <w:t>NPC1</w:t>
      </w:r>
      <w:r>
        <w:t xml:space="preserve"> </w:t>
      </w:r>
      <w:r>
        <w:t>缺乏似乎与超氧化物歧化酶 2 (Sod2) 表达显着下调相关，同时伴有过度氧化应激 (OS)、线粒体功能障碍和线粒体自噬缺陷。 Mito-TEMPO（一种作用于 SOD 的线粒体靶向抗氧化剂）治疗可提高早期 NPC1-KO 斑马鱼的存活率并改善胆固醇积累和肝功能损伤。潜在机制可能涉及 OS 减弱和通过 SOD2 增强促进 PINK1/Parkin 依赖性线粒体自噬通量。我们的研究结果支持 Mito-TEMPO 作为潜在的治疗剂，并支持 SOD2 作为鼻咽癌疾病的可能靶标。</w:t>
      </w:r>
    </w:p>
    <w:p>
      <w:pPr>
        <w:spacing w:before="0" w:after="200" w:lineRule="auto" w:line="276"/>
      </w:pPr>
      <w:r>
        <w:rPr>
          <w:b/>
        </w:rPr>
        <w:t xml:space="preserve">Abstract (EN): </w:t>
      </w:r>
      <w:r>
        <w:t>Niemann-Pick type C (NPC) disease is a lysosomal storage disorder primarily caused by mutations in the</w:t>
      </w:r>
      <w:r>
        <w:t xml:space="preserve"> </w:t>
      </w:r>
      <w:r>
        <w:t>NPC1</w:t>
      </w:r>
      <w:r>
        <w:t xml:space="preserve"> </w:t>
      </w:r>
      <w:r>
        <w:t>gene. Most patients present with early-life symptoms including hepatosplenomegaly and digestive system impairment, followed by progressive neurodegeneration. However, effective therapeutic approaches to improve survival in NPC disease remain limited. In this study, using an</w:t>
      </w:r>
      <w:r>
        <w:t xml:space="preserve"> </w:t>
      </w:r>
      <w:r>
        <w:t>npc1</w:t>
      </w:r>
      <w:r>
        <w:t xml:space="preserve"> </w:t>
      </w:r>
      <w:r>
        <w:t>-knockout (NPC1-KO) zebrafish model established in our laboratory, our team suggests that</w:t>
      </w:r>
      <w:r>
        <w:t xml:space="preserve"> </w:t>
      </w:r>
      <w:r>
        <w:t>npc1</w:t>
      </w:r>
      <w:r>
        <w:t xml:space="preserve"> </w:t>
      </w:r>
      <w:r>
        <w:t>deficiency appears to correlate with marked down-regulation of superoxide dismutase 2 (Sod2) expression, concurrent with excessive oxidative stress (OS), mitochondrial dysfunction, and defective mitophagy. Treatment with Mito-TEMPO, a mitochondria-targeted antioxidant acting on SOD, increased survival rates and ameliorated cholesterol accumulation and liver function impairment in early-stage NPC1-KO zebrafish. The underlying mechanism may involve attenuation of OS and promotion of PINK1/Parkin-dependent mitophagic flux through SOD2 enhancement. Our findings support Mito-TEMPO as a potential therapeutic agent and SOD2 as a possible target for NPC disease.</w:t>
      </w:r>
    </w:p>
    <w:p>
      <w:pPr>
        <w:spacing w:before="120" w:after="120"/>
      </w:pPr>
      <w:r>
        <w:rPr>
          <w:sz w:val="18"/>
        </w:rPr>
        <w:t>——————————————————————————————————————————————————————————————————————</w:t>
      </w:r>
    </w:p>
    <w:p>
      <w:pPr>
        <w:spacing w:before="160" w:after="40" w:line="240" w:lineRule="auto"/>
      </w:pPr>
      <w:r>
        <w:rPr>
          <w:b/>
        </w:rPr>
        <w:t xml:space="preserve">[572] </w:t>
      </w:r>
      <w:hyperlink r:id="rId1638">
        <w:r>
          <w:rPr>
            <w:color w:val="1155CC"/>
            <w:u w:val="single"/>
          </w:rPr>
          <w:t>超快近场纳米光谱揭示内部电场增强 MoS2 边界处的还原反应性</w:t>
        </w:r>
      </w:hyperlink>
    </w:p>
    <w:p>
      <w:pPr>
        <w:spacing w:before="0" w:after="80"/>
      </w:pPr>
      <w:r>
        <w:rPr>
          <w:i/>
          <w:sz w:val="20"/>
        </w:rPr>
        <w:t>EN: Internal electric fields enhance reductive reactivity at MoS2 boundaries revealed by ultrafast near-field nanospectroscopy</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39">
        <w:r>
          <w:rPr>
            <w:color w:val="1155CC"/>
            <w:u w:val="single"/>
          </w:rPr>
          <w:t>10.1126/sciadv.aee0180</w:t>
        </w:r>
      </w:hyperlink>
    </w:p>
    <w:p>
      <w:pPr>
        <w:spacing w:before="0" w:after="120"/>
      </w:pPr>
      <w:r>
        <w:rPr>
          <w:b/>
        </w:rPr>
        <w:t xml:space="preserve">Notes: </w:t>
      </w:r>
      <w:r>
        <w:t>abstract_source=crossref</w:t>
      </w:r>
    </w:p>
    <w:p>
      <w:pPr>
        <w:spacing w:before="0" w:after="80" w:lineRule="auto" w:line="276"/>
      </w:pPr>
      <w:r>
        <w:rPr>
          <w:b/>
        </w:rPr>
        <w:t xml:space="preserve">摘要（ZH）: </w:t>
      </w:r>
      <w:r>
        <w:t>单层MoS</w:t>
      </w:r>
      <w:r>
        <w:rPr>
          <w:vertAlign w:val="subscript"/>
        </w:rPr>
        <w:t>2</w:t>
      </w:r>
      <w:r>
        <w:t>是一种有前景的低成本、高效的电化学或光化学还原反应催化剂。之前的许多工作已经证明 2D MoS</w:t>
      </w:r>
      <w:r>
        <w:rPr>
          <w:vertAlign w:val="subscript"/>
        </w:rPr>
        <w:t>2</w:t>
      </w:r>
      <w:r>
        <w:t>边缘或边界是活性反应位点；然而，它们的结构和电子动力学起源仍不清楚。在这里，我们报告了一种孔径型近场超快瞬态吸收光谱，可直接探测纳米级 MoS2 的电子动力学</w:t>
      </w:r>
      <w:r>
        <w:rPr>
          <w:vertAlign w:val="subscript"/>
        </w:rPr>
        <w:t>2</w:t>
      </w:r>
      <w:r>
        <w:t>边界。近场瞬态吸收成像揭示了边界处的斯塔克效应特征，其中由于晶体边界的氧化而固有地形成了 1.93 MV/cm 的内置电场。该场驱动边界处的超快电子注入和积累，从而增强了内部的边界反应性。这些发现揭示了二维 MoS2 的纳米级结构-活性相关性</w:t>
      </w:r>
      <w:r>
        <w:rPr>
          <w:vertAlign w:val="subscript"/>
        </w:rPr>
        <w:t>2</w:t>
      </w:r>
      <w:r>
        <w:t>促进基于过渡金属二硫属化物的催化剂的合理设计。</w:t>
      </w:r>
    </w:p>
    <w:p>
      <w:pPr>
        <w:spacing w:before="0" w:after="200" w:lineRule="auto" w:line="276"/>
      </w:pPr>
      <w:r>
        <w:rPr>
          <w:b/>
        </w:rPr>
        <w:t xml:space="preserve">Abstract (EN): </w:t>
      </w:r>
      <w:r>
        <w:t>Monolayer MoS</w:t>
      </w:r>
      <w:r>
        <w:rPr>
          <w:vertAlign w:val="subscript"/>
        </w:rPr>
        <w:t>2</w:t>
      </w:r>
      <w:r>
        <w:t>is a promising low-cost and efficient catalyst for electrochemical or photochemical reduction reactions. Many previous works have demonstrated that 2D MoS</w:t>
      </w:r>
      <w:r>
        <w:rPr>
          <w:vertAlign w:val="subscript"/>
        </w:rPr>
        <w:t>2</w:t>
      </w:r>
      <w:r>
        <w:t>edges or boundaries are active reaction sites; however, their structural and electron dynamic origins remain unclear. Here we report an aperture-type near-field ultrafast transient absorption spectroscopy to directly probe the electron dynamics at nanoscale MoS</w:t>
      </w:r>
      <w:r>
        <w:rPr>
          <w:vertAlign w:val="subscript"/>
        </w:rPr>
        <w:t>2</w:t>
      </w:r>
      <w:r>
        <w:t>boundaries. Near-field transient absorption imaging reveals a Stark effect signature at boundaries, where a built-in electric field of 1.93 MV/cm is intrinsically formed due to the oxidation of crystal boundaries. This field drives ultrafast electron injection and accumulation at the boundaries, enhancing boundary reactivity over the interior. These findings uncover the nanoscale structure-activity correlation for 2D MoS</w:t>
      </w:r>
      <w:r>
        <w:rPr>
          <w:vertAlign w:val="subscript"/>
        </w:rPr>
        <w:t>2</w:t>
      </w:r>
      <w:r>
        <w:t>and promote the rational design of catalysts based on transition metal dichalcogenides.</w:t>
      </w:r>
    </w:p>
    <w:p>
      <w:pPr>
        <w:spacing w:before="120" w:after="120"/>
      </w:pPr>
      <w:r>
        <w:rPr>
          <w:sz w:val="18"/>
        </w:rPr>
        <w:t>——————————————————————————————————————————————————————————————————————</w:t>
      </w:r>
    </w:p>
    <w:p>
      <w:pPr>
        <w:spacing w:before="160" w:after="40" w:line="240" w:lineRule="auto"/>
      </w:pPr>
      <w:r>
        <w:rPr>
          <w:b/>
        </w:rPr>
        <w:t xml:space="preserve">[573] </w:t>
      </w:r>
      <w:hyperlink r:id="rId1640">
        <w:r>
          <w:rPr>
            <w:color w:val="1155CC"/>
            <w:u w:val="single"/>
          </w:rPr>
          <w:t>治疗心因性瘙痒的前额叶肽能回路</w:t>
        </w:r>
      </w:hyperlink>
    </w:p>
    <w:p>
      <w:pPr>
        <w:spacing w:before="0" w:after="80"/>
      </w:pPr>
      <w:r>
        <w:rPr>
          <w:i/>
          <w:sz w:val="20"/>
        </w:rPr>
        <w:t>EN: A prefrontal peptidergic circuit for psychogenic itch</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41">
        <w:r>
          <w:rPr>
            <w:color w:val="1155CC"/>
            <w:u w:val="single"/>
          </w:rPr>
          <w:t>10.1126/sciadv.aed8901</w:t>
        </w:r>
      </w:hyperlink>
    </w:p>
    <w:p>
      <w:pPr>
        <w:spacing w:before="0" w:after="120"/>
      </w:pPr>
      <w:r>
        <w:rPr>
          <w:b/>
        </w:rPr>
        <w:t xml:space="preserve">Notes: </w:t>
      </w:r>
      <w:r>
        <w:t>abstract_source=crossref</w:t>
      </w:r>
    </w:p>
    <w:p>
      <w:pPr>
        <w:spacing w:before="0" w:after="80" w:lineRule="auto" w:line="276"/>
      </w:pPr>
      <w:r>
        <w:rPr>
          <w:b/>
        </w:rPr>
        <w:t xml:space="preserve">摘要（ZH）: </w:t>
      </w:r>
      <w:r>
        <w:t>心理压力可以在没有外周刺激的情况下引起瘙痒，但其潜在机制仍不清楚。在这里，我们证明内侧前额叶皮层（mPFC）内的肽能回路介导了这种现象。在慢性束缚应激下的小鼠中，应激引起的抓挠与胃泌素释放肽（GRP）释放增加以及中皮层中表达 GRP 受体（GRPR）的神经元活性增强同时发生。将 GRP 显微注射到 mPFC 中会重现应激引起的瘙痒，而消融 GRPR 神经元则会消除这种瘙痒。 GRPR 神经元或其来自腹内侧丘脑和基底外侧杏仁核的 GRP 表达输入的光遗传学激活会引起强烈的抓挠；相反，抑制这些输入或 GRPR 神经元会减弱抓挠。总的来说，我们的研究结果建立了一种中央肽能机制，将心理压力转化为瘙痒输出，从而确定了心因性瘙痒的关键神经基质。</w:t>
      </w:r>
    </w:p>
    <w:p>
      <w:pPr>
        <w:spacing w:before="0" w:after="200" w:lineRule="auto" w:line="276"/>
      </w:pPr>
      <w:r>
        <w:rPr>
          <w:b/>
        </w:rPr>
        <w:t xml:space="preserve">Abstract (EN): </w:t>
      </w:r>
      <w:r>
        <w:t>Psychological stress can evoke itch without a peripheral stimulus, yet the underlying mechanism remains undefined. Here, we demonstrate that a peptidergic circuit within the medial prefrontal cortex (mPFC) mediates this phenomenon. In mice under chronic restraint stress, stress-elicited scratching coincided with elevated gastrin-releasing peptide (GRP) release and heightened activity of GRP receptor (GRPR)–expressing neurons in the mPFC. Microinjection of GRP into the mPFC reproduced stress-induced itch, whereas ablation of GRPR neurons abolished it. Optogenetic activation of GRPR neurons or their GRP-expressing inputs from the ventromedial thalamus and basolateral amygdala evoked robust scratching; conversely, silencing these inputs or GRPR neurons attenuated scratching. Collectively, our findings establish a central peptidergic mechanism that transduces psychological stress into pruriceptive output, thereby identifying a critical neural substrate for psychogenic itch.</w:t>
      </w:r>
    </w:p>
    <w:p>
      <w:pPr>
        <w:spacing w:before="120" w:after="120"/>
      </w:pPr>
      <w:r>
        <w:rPr>
          <w:sz w:val="18"/>
        </w:rPr>
        <w:t>——————————————————————————————————————————————————————————————————————</w:t>
      </w:r>
    </w:p>
    <w:p>
      <w:pPr>
        <w:spacing w:before="160" w:after="40" w:line="240" w:lineRule="auto"/>
      </w:pPr>
      <w:r>
        <w:rPr>
          <w:b/>
        </w:rPr>
        <w:t xml:space="preserve">[574] </w:t>
      </w:r>
      <w:hyperlink r:id="rId1642">
        <w:r>
          <w:rPr>
            <w:color w:val="1155CC"/>
            <w:u w:val="single"/>
          </w:rPr>
          <w:t>成纤维细胞通过响应白细胞介素 1 并招募中性粒细胞来抵抗皮肤表面的金黄色葡萄球菌</w:t>
        </w:r>
      </w:hyperlink>
    </w:p>
    <w:p>
      <w:pPr>
        <w:spacing w:before="0" w:after="80"/>
      </w:pPr>
      <w:r>
        <w:rPr>
          <w:i/>
          <w:sz w:val="20"/>
        </w:rPr>
        <w:t>EN: Fibroblasts resist Staphylococcus aureus on the skin surface by responding to interleukin-1 and recruiting neutrophils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43">
        <w:r>
          <w:rPr>
            <w:color w:val="1155CC"/>
            <w:u w:val="single"/>
          </w:rPr>
          <w:t>10.1126/sciadv.aee5871</w:t>
        </w:r>
      </w:hyperlink>
    </w:p>
    <w:p>
      <w:pPr>
        <w:spacing w:before="0" w:after="120"/>
      </w:pPr>
      <w:r>
        <w:rPr>
          <w:b/>
        </w:rPr>
        <w:t xml:space="preserve">Notes: </w:t>
      </w:r>
      <w:r>
        <w:t>abstract_source=crossref</w:t>
      </w:r>
    </w:p>
    <w:p>
      <w:pPr>
        <w:spacing w:before="0" w:after="80" w:lineRule="auto" w:line="276"/>
      </w:pPr>
      <w:r>
        <w:rPr>
          <w:b/>
        </w:rPr>
        <w:t xml:space="preserve">摘要（ZH）: </w:t>
      </w:r>
      <w:r>
        <w:t>金黄色葡萄球菌</w:t>
      </w:r>
      <w:r>
        <w:t xml:space="preserve"> </w:t>
      </w:r>
      <w:r>
        <w:t>可能会导致严重感染，但它也可以驻留在皮肤上而不引起疾病。这种明显的悖论意味着强大的宿主防御系统，可以防止</w:t>
      </w:r>
      <w:r>
        <w:t xml:space="preserve"> </w:t>
      </w:r>
      <w:r>
        <w:t>金黄色葡萄球菌</w:t>
      </w:r>
      <w:r>
        <w:t xml:space="preserve"> </w:t>
      </w:r>
      <w:r>
        <w:t>以免侵入真皮层。在这项研究中，我们研究了皮肤如何检测和响应表面的</w:t>
      </w:r>
      <w:r>
        <w:t xml:space="preserve"> </w:t>
      </w:r>
      <w:r>
        <w:t>金黄色葡萄球菌</w:t>
      </w:r>
      <w:r>
        <w:t xml:space="preserve"> </w:t>
      </w:r>
      <w:r>
        <w:t>曝光。通过无偏倚的转录组学、生化和磷酸化蛋白质组学分析，然后在人类和小鼠模型中进行针对性验证，我们发现成纤维细胞对 IL-1 的识别对于免疫反应至关重要。体外成纤维细胞中白细胞介素 1 受体 1 型 (IL-1R1) 的缺失或阻断消除了角质形成细胞驱动的基因表达变化，并减少了趋化因子的产生。此外，局部使用后，缺乏成纤维细胞 IL-1R1 的小鼠皮肤中性粒细胞较少，细菌载量较高。</w:t>
      </w:r>
      <w:r>
        <w:t xml:space="preserve"> </w:t>
      </w:r>
      <w:r>
        <w:t>金黄色葡萄球菌</w:t>
      </w:r>
      <w:r>
        <w:t xml:space="preserve"> </w:t>
      </w:r>
      <w:r>
        <w:t>应用程序。这些发现表明，成纤维细胞积极参与先天免疫，并强调了 IL-1R1 依赖性角质形成细胞-成纤维细胞-中性粒细胞的通讯轴。了解这一途径可以深入了解中性粒细胞向皮肤募集的机制，并可能有助于开发新的治疗方法。</w:t>
      </w:r>
    </w:p>
    <w:p>
      <w:pPr>
        <w:spacing w:before="0" w:after="200" w:lineRule="auto" w:line="276"/>
      </w:pPr>
      <w:r>
        <w:rPr>
          <w:b/>
        </w:rPr>
        <w:t xml:space="preserve">Abstract (EN): </w:t>
      </w:r>
      <w:r>
        <w:t>Staphylococcus aureus</w:t>
      </w:r>
      <w:r>
        <w:t xml:space="preserve"> </w:t>
      </w:r>
      <w:r>
        <w:t>can cause serious infections, yet it can also reside on the skin without causing disease. This apparent paradox implies a strong host defense system, which prevents</w:t>
      </w:r>
      <w:r>
        <w:t xml:space="preserve"> </w:t>
      </w:r>
      <w:r>
        <w:t>S. aureus</w:t>
      </w:r>
      <w:r>
        <w:t xml:space="preserve"> </w:t>
      </w:r>
      <w:r>
        <w:t>from invading the dermis. In this study, we investigate how the skin detects and responds to superficial</w:t>
      </w:r>
      <w:r>
        <w:t xml:space="preserve"> </w:t>
      </w:r>
      <w:r>
        <w:t>S. aureus</w:t>
      </w:r>
      <w:r>
        <w:t xml:space="preserve"> </w:t>
      </w:r>
      <w:r>
        <w:t>exposure. Using unbiased transcriptomic, biochemical, and phosphoproteomic analyses, followed by targeted validation in human and mouse models, we found that fibroblast recognition of interleukin-1 is essential for immune response. Deletion or blockade of the interleukin-1 receptor type 1 (IL-1R1) in fibroblasts in vitro abolished keratinocyte-driven changes in gene expression and reduced chemokine production. Furthermore, the skin of mice lacking fibroblast IL-1R1 had fewer neutrophils and higher bacterial load after topical</w:t>
      </w:r>
      <w:r>
        <w:t xml:space="preserve"> </w:t>
      </w:r>
      <w:r>
        <w:t>S. aureus</w:t>
      </w:r>
      <w:r>
        <w:t xml:space="preserve"> </w:t>
      </w:r>
      <w:r>
        <w:t>application. These findings show that fibroblasts actively participate in innate immunity and highlight an IL-1R1–dependent keratinocyte-fibroblast-neutrophil axis of communication. Understanding this pathway provides insights into mechanisms that initiate neutrophil recruitment to the skin and may help develop new approaches to therapy.</w:t>
      </w:r>
    </w:p>
    <w:p>
      <w:pPr>
        <w:spacing w:before="120" w:after="120"/>
      </w:pPr>
      <w:r>
        <w:rPr>
          <w:sz w:val="18"/>
        </w:rPr>
        <w:t>——————————————————————————————————————————————————————————————————————</w:t>
      </w:r>
    </w:p>
    <w:p>
      <w:pPr>
        <w:spacing w:before="160" w:after="40" w:line="240" w:lineRule="auto"/>
      </w:pPr>
      <w:r>
        <w:rPr>
          <w:b/>
        </w:rPr>
        <w:t xml:space="preserve">[575] </w:t>
      </w:r>
      <w:hyperlink r:id="rId1644">
        <w:r>
          <w:rPr>
            <w:color w:val="1155CC"/>
            <w:u w:val="single"/>
          </w:rPr>
          <w:t>吉普赛家族转座子的生活方式塑造了其调节机制</w:t>
        </w:r>
      </w:hyperlink>
    </w:p>
    <w:p>
      <w:pPr>
        <w:spacing w:before="0" w:after="80"/>
      </w:pPr>
      <w:r>
        <w:rPr>
          <w:i/>
          <w:sz w:val="20"/>
        </w:rPr>
        <w:t>EN: Lifestyles of Gypsy-family transposons shape their regulatory mechanisms</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645">
        <w:r>
          <w:rPr>
            <w:color w:val="1155CC"/>
            <w:u w:val="single"/>
          </w:rPr>
          <w:t>10.1073/pnas.2617602123</w:t>
        </w:r>
      </w:hyperlink>
    </w:p>
    <w:p>
      <w:pPr>
        <w:spacing w:before="0" w:after="120"/>
      </w:pPr>
      <w:r>
        <w:rPr>
          <w:b/>
        </w:rPr>
        <w:t xml:space="preserve">Notes: </w:t>
      </w:r>
      <w:r>
        <w:t>abstract_source=crossref</w:t>
      </w:r>
    </w:p>
    <w:p>
      <w:pPr>
        <w:spacing w:before="0" w:after="80" w:lineRule="auto" w:line="276"/>
      </w:pPr>
      <w:r>
        <w:rPr>
          <w:b/>
        </w:rPr>
        <w:t xml:space="preserve">摘要（ZH）: </w:t>
      </w:r>
      <w:r>
        <w:t>转座元件（TE）是一组高度多样化的自私基因组元件，普遍存在于生命树中，其不受控制的传播对基因组稳定性构成威胁。最近的研究探索了</w:t>
      </w:r>
      <w:r>
        <w:t xml:space="preserve"> </w:t>
      </w:r>
      <w:r>
        <w:t>黑腹果蝇</w:t>
      </w:r>
      <w:r>
        <w:t xml:space="preserve"> </w:t>
      </w:r>
      <w:r>
        <w:t>TE、它们与宿主基因组的共同进化以及调节其活性的机制。然而，人们对它们的跨物种进化模式知之甚少。长末端重复 (LTR) 反转录转座子是最活跃的 TE 组</w:t>
      </w:r>
      <w:r>
        <w:t xml:space="preserve"> </w:t>
      </w:r>
      <w:r>
        <w:t>果蝇</w:t>
      </w:r>
      <w:r>
        <w:t xml:space="preserve"> </w:t>
      </w:r>
      <w:r>
        <w:t>。它们大致分为在种系中活跃的逆转录病毒和在性腺体中表达的昆虫内源逆转录病毒。据推测，体细胞元件通过获得病毒衍生蛋白（例如包膜和 sORF2）来感染种系，从而在连续几代中繁殖。在这项研究中，我们整理了 249 个果蝇基因组中的 LTR 反转录转座子序列，使我们能够研究它们在这些物种中的进化并强调它们不同程度的保守性。此外，我们揭示了包膜蛋白丢失或失活的多个实例，表明这些转座子的表达模式发生了变化，可能伴随着采用不同的转录控制机制。我们将其与 sORF2 的进化历史进行对比，我们发现 sORF2 更加稳定。最后，我们检查了负责转录调控的转座子 LTR 区域的变化，并使用预测模型来识别六个 t</w:t>
      </w:r>
    </w:p>
    <w:p>
      <w:pPr>
        <w:spacing w:before="0" w:after="200" w:lineRule="auto" w:line="276"/>
      </w:pPr>
      <w:r>
        <w:rPr>
          <w:b/>
        </w:rPr>
        <w:t xml:space="preserve">Abstract (EN): </w:t>
      </w:r>
      <w:r>
        <w:t>Transposable elements (TEs) are a highly diverse group of selfish genomic elements, prevalent across the tree of life, whose uncontrolled propagation poses a threat to genome stability. Recent studies have explored the evolution of</w:t>
      </w:r>
      <w:r>
        <w:t xml:space="preserve"> </w:t>
      </w:r>
      <w:r>
        <w:t>Drosophila melanogaster</w:t>
      </w:r>
      <w:r>
        <w:t xml:space="preserve"> </w:t>
      </w:r>
      <w:r>
        <w:t>TEs, their coevolution with the host genome, and mechanisms that regulate their activity. However, little is known about their cross-species evolutionary patterns. Long terminal repeat (LTR) retrotransposons are the most active group of TEs in</w:t>
      </w:r>
      <w:r>
        <w:t xml:space="preserve"> </w:t>
      </w:r>
      <w:r>
        <w:t>Drosophila</w:t>
      </w:r>
      <w:r>
        <w:t xml:space="preserve"> </w:t>
      </w:r>
      <w:r>
        <w:t>. They are broadly separated into retroelements, which are active in the germline, and insect endogenous retroviruses that express in the gonadal soma. Somatic elements are hypothesized to infect the germline through their acquisition of virus-derived proteins such as Envelope and sORF2, thus multiplying through successive generations. In this study, we curated the sequences of LTR retrotransposons in 249 drosophilid genomes, allowing us to study their evolution across these species and highlight their varying degrees of conservation. Furthermore, we reveal multiple instances of Envelope protein loss or inactivation that suggest shifts in the expression pattern of these transposons, likely accompanied by adopting different transcriptional control mechanisms. We contrast this with the evolutionary history of sORF2, which we found to be much more stable. Lastly, we examine variations in transposon LTR regions responsible for transcriptional regulation and use predictive modeling to identify six transcription factors that may regulate their tissue-specific expression. Altogether, we reveal complex, interspecies evolutionary patterns of</w:t>
      </w:r>
      <w:r>
        <w:t xml:space="preserve"> </w:t>
      </w:r>
      <w:r>
        <w:t>Gypsy</w:t>
      </w:r>
      <w:r>
        <w:t xml:space="preserve"> </w:t>
      </w:r>
      <w:r>
        <w:t>-family LTR retrotransposons and highlight examples of their coevolution with their host genome.</w:t>
      </w:r>
    </w:p>
    <w:p>
      <w:pPr>
        <w:spacing w:before="120" w:after="120"/>
      </w:pPr>
      <w:r>
        <w:rPr>
          <w:sz w:val="18"/>
        </w:rPr>
        <w:t>——————————————————————————————————————————————————————————————————————</w:t>
      </w:r>
    </w:p>
    <w:p>
      <w:pPr>
        <w:spacing w:before="160" w:after="40" w:line="240" w:lineRule="auto"/>
      </w:pPr>
      <w:r>
        <w:rPr>
          <w:b/>
        </w:rPr>
        <w:t xml:space="preserve">[576] </w:t>
      </w:r>
      <w:hyperlink r:id="rId1646">
        <w:r>
          <w:rPr>
            <w:color w:val="1155CC"/>
            <w:u w:val="single"/>
          </w:rPr>
          <w:t>GNPs-pIL-4 重新编程巨噬细胞极化并激活 OSM/GSNOR/ENG 轴以改善缺血肢体的血管生成</w:t>
        </w:r>
      </w:hyperlink>
    </w:p>
    <w:p>
      <w:pPr>
        <w:spacing w:before="0" w:after="80"/>
      </w:pPr>
      <w:r>
        <w:rPr>
          <w:i/>
          <w:sz w:val="20"/>
        </w:rPr>
        <w:t>EN: GNPs-pIL-4 reprograms macrophage polarization and activates the OSM/GSNOR/ENG axis to improve angiogenesis in ischemic limbs</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47">
        <w:r>
          <w:rPr>
            <w:color w:val="1155CC"/>
            <w:u w:val="single"/>
          </w:rPr>
          <w:t>10.1126/sciadv.aed5692</w:t>
        </w:r>
      </w:hyperlink>
    </w:p>
    <w:p>
      <w:pPr>
        <w:spacing w:before="0" w:after="120"/>
      </w:pPr>
      <w:r>
        <w:rPr>
          <w:b/>
        </w:rPr>
        <w:t xml:space="preserve">Notes: </w:t>
      </w:r>
      <w:r>
        <w:t>abstract_source=crossref</w:t>
      </w:r>
    </w:p>
    <w:p>
      <w:pPr>
        <w:spacing w:before="0" w:after="80" w:lineRule="auto" w:line="276"/>
      </w:pPr>
      <w:r>
        <w:rPr>
          <w:b/>
        </w:rPr>
        <w:t xml:space="preserve">摘要（ZH）: </w:t>
      </w:r>
      <w:r>
        <w:t>基于基因疗法的治疗性血管生成是一种潜在的外周动脉疾病（PAD）治疗方法，但需要更稳定、高效、高亲和力的递送载体和优化的递送策略。在这里，我们设计了用叶酸和聚乙烯亚胺修饰的三维石墨烯纳米颗粒，用于巨噬细胞特异性递送白细胞介素4质粒（pIL-4），形成用于局部肌肉注射的GNPs-pIL-4。 GNPs-pIL-4大小均匀，表面带正电荷，核酸负载能力强（</w:t>
      </w:r>
      <w:r>
        <w:t xml:space="preserve"> </w:t>
      </w:r>
      <w:r>
        <w:t>K</w:t>
      </w:r>
      <w:r>
        <w:t xml:space="preserve"> </w:t>
      </w:r>
      <w:r>
        <w:t>d</w:t>
      </w:r>
      <w:r>
        <w:t xml:space="preserve"> </w:t>
      </w:r>
      <w:r>
        <w:t>：25 纳摩尔）。在体内，GNPs-pIL-4 通过诱导修复性 M2 巨噬细胞极化来重塑缺血微环境。在巨噬细胞介导下，GNPs-pIL-4 改善了肌肉收缩力，延迟了力量损失，并增强了血液灌注和氧饱和度。从机制上讲，GNPs-pIL-4 特异性开启制瘤素 M 介导的巨噬细胞-内皮细胞通讯，然后激活血管生成，增加内皮萌芽、迁移和管形成。这些影响归因于下调</w:t>
      </w:r>
      <w:r>
        <w:t xml:space="preserve"> </w:t>
      </w:r>
      <w:r>
        <w:t>S</w:t>
      </w:r>
      <w:r>
        <w:t xml:space="preserve"> </w:t>
      </w:r>
      <w:r>
        <w:t>-亚硝基谷胱甘肽还原酶表达，从而增加内皮糖蛋白 C209 位点的 S-亚硝基化。 GNPs-pIL-4 代表了一种有前景的 PAD 基因治疗策略。</w:t>
      </w:r>
    </w:p>
    <w:p>
      <w:pPr>
        <w:spacing w:before="0" w:after="200" w:lineRule="auto" w:line="276"/>
      </w:pPr>
      <w:r>
        <w:rPr>
          <w:b/>
        </w:rPr>
        <w:t xml:space="preserve">Abstract (EN): </w:t>
      </w:r>
      <w:r>
        <w:t>Therapeutic angiogenesis based on gene therapies is a potential peripheral artery disease (PAD) treatment yet needs a more stable, efficient, and high-affinity delivery vector and an optimized delivery strategy. Here, we engineered three-dimensional graphene nanoparticles modified with folic acid and polyethyleneimine for macrophage-specific delivery of interleukin-4 plasmids (pIL-4), forming GNPs-pIL-4 for local intramuscular injection. GNPs-pIL-4 had uniform size, positive surface charge, and strong nucleic acid loading capacity (</w:t>
      </w:r>
      <w:r>
        <w:t xml:space="preserve"> </w:t>
      </w:r>
      <w:r>
        <w:t>K</w:t>
      </w:r>
      <w:r>
        <w:t xml:space="preserve"> </w:t>
      </w:r>
      <w:r>
        <w:t>d</w:t>
      </w:r>
      <w:r>
        <w:t xml:space="preserve"> </w:t>
      </w:r>
      <w:r>
        <w:t>: 25 nanomolar). In vivo, GNPs-pIL-4 reshaped the ischemic microenvironment by inducing reparative M2 macrophage polarization. Mediated by macrophages, GNPs-pIL-4 improved muscle contractility, delayed strength loss, and enhanced blood perfusion and oxygen saturation. Mechanistically, GNPs-pIL-4 specifically turned on the oncostatin M–mediated macrophage-endothelium communication and then activated the angiogenesis, with increased endothelial sprouting, migration, and tube formation. These effects attributed to the down-regulated</w:t>
      </w:r>
      <w:r>
        <w:t xml:space="preserve"> </w:t>
      </w:r>
      <w:r>
        <w:t>S</w:t>
      </w:r>
      <w:r>
        <w:t xml:space="preserve"> </w:t>
      </w:r>
      <w:r>
        <w:t>-nitrosoglutathione reductase expression, thereby increasing S-nitrosylation at the C209 site of endoglin. GNPs-pIL-4 represents a promising gene therapy strategy for PAD.</w:t>
      </w:r>
    </w:p>
    <w:p>
      <w:pPr>
        <w:spacing w:before="120" w:after="120"/>
      </w:pPr>
      <w:r>
        <w:rPr>
          <w:sz w:val="18"/>
        </w:rPr>
        <w:t>——————————————————————————————————————————————————————————————————————</w:t>
      </w:r>
    </w:p>
    <w:p>
      <w:pPr>
        <w:spacing w:before="160" w:after="40" w:line="240" w:lineRule="auto"/>
      </w:pPr>
      <w:r>
        <w:rPr>
          <w:b/>
        </w:rPr>
        <w:t xml:space="preserve">[577] </w:t>
      </w:r>
      <w:hyperlink r:id="rId1648">
        <w:r>
          <w:rPr>
            <w:color w:val="1155CC"/>
            <w:u w:val="single"/>
          </w:rPr>
          <w:t>表型可变遗传缺陷的定量模型</w:t>
        </w:r>
      </w:hyperlink>
    </w:p>
    <w:p>
      <w:pPr>
        <w:spacing w:before="0" w:after="80"/>
      </w:pPr>
      <w:r>
        <w:rPr>
          <w:i/>
          <w:sz w:val="20"/>
        </w:rPr>
        <w:t>EN: A quantitative model of a phenotypically variable genetic defect</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649">
        <w:r>
          <w:rPr>
            <w:color w:val="1155CC"/>
            <w:u w:val="single"/>
          </w:rPr>
          <w:t>10.1073/pnas.2619147123</w:t>
        </w:r>
      </w:hyperlink>
    </w:p>
    <w:p>
      <w:pPr>
        <w:spacing w:before="0" w:after="120"/>
      </w:pPr>
      <w:r>
        <w:rPr>
          <w:b/>
        </w:rPr>
        <w:t xml:space="preserve">Notes: </w:t>
      </w:r>
      <w:r>
        <w:t>abstract_source=crossref</w:t>
      </w:r>
    </w:p>
    <w:p>
      <w:pPr>
        <w:spacing w:before="0" w:after="80" w:lineRule="auto" w:line="276"/>
      </w:pPr>
      <w:r>
        <w:rPr>
          <w:b/>
        </w:rPr>
        <w:t xml:space="preserve">摘要（ZH）: </w:t>
      </w:r>
      <w:r>
        <w:t>表型变异是人类疾病的标志。它是遗传修饰剂、环境和随机效应综合作用的结果，但它们的贡献很难理清。在这里，我们建立了终端细胞的规范</w:t>
      </w:r>
      <w:r>
        <w:t xml:space="preserve"> </w:t>
      </w:r>
      <w:r>
        <w:t>果蝇</w:t>
      </w:r>
      <w:r>
        <w:t xml:space="preserve"> </w:t>
      </w:r>
      <w:r>
        <w:t>气管系统作为孟德尔疾病表型变异和表型出现的模型。通过扰动成纤维细胞生长因子（FGF）配体剂量，导致终末细胞损失，我们发现微环境和随机效应都会导致终末细胞规格的变异。我们证明了表型是 Ras-ERK 信号传导减弱的结果，并使用实时成像来识别成功和失败的终末细胞规范的分子和形态特征。最后，使用责任阈值模型，我们量化了遗传扰动、微环境影响和随机性的相对程度，建立了剖析表型变异起源的策略。</w:t>
      </w:r>
    </w:p>
    <w:p>
      <w:pPr>
        <w:spacing w:before="0" w:after="200" w:lineRule="auto" w:line="276"/>
      </w:pPr>
      <w:r>
        <w:rPr>
          <w:b/>
        </w:rPr>
        <w:t xml:space="preserve">Abstract (EN): </w:t>
      </w:r>
      <w:r>
        <w:t>Phenotypic variability is a hallmark of human disease. It results from a combination of genetic modifiers, environment, and stochastic effects, but their contributions are hard to disentangle. Here, we establish the specification of terminal cells in the</w:t>
      </w:r>
      <w:r>
        <w:t xml:space="preserve"> </w:t>
      </w:r>
      <w:r>
        <w:t>Drosophila</w:t>
      </w:r>
      <w:r>
        <w:t xml:space="preserve"> </w:t>
      </w:r>
      <w:r>
        <w:t>tracheal system as a model for phenotypic variability and phenotypic emergence in Mendelian disorders. By perturbing Fibroblast growth factor (FGF) ligand dosage, which leads to a loss of terminal cells, we find that both microenvironmental and stochastic effects contribute to variability in terminal cell specification. We demonstrate that the phenotype results from reduced Ras-ERK signaling and use live imaging to identify molecular and morphological features of successful and failed terminal cell specification. Finally, using liability-threshold modeling, we quantify the relative magnitudes of genetic perturbations, microenvironmental effects, and stochasticity, establishing a strategy for dissecting the origins of phenotypic variability.</w:t>
      </w:r>
    </w:p>
    <w:p>
      <w:pPr>
        <w:spacing w:before="120" w:after="120"/>
      </w:pPr>
      <w:r>
        <w:rPr>
          <w:sz w:val="18"/>
        </w:rPr>
        <w:t>——————————————————————————————————————————————————————————————————————</w:t>
      </w:r>
    </w:p>
    <w:p>
      <w:pPr>
        <w:spacing w:before="160" w:after="40" w:line="240" w:lineRule="auto"/>
      </w:pPr>
      <w:r>
        <w:rPr>
          <w:b/>
        </w:rPr>
        <w:t xml:space="preserve">[578] </w:t>
      </w:r>
      <w:hyperlink r:id="rId1650">
        <w:r>
          <w:rPr>
            <w:color w:val="1155CC"/>
            <w:u w:val="single"/>
          </w:rPr>
          <w:t>突触锌可塑性塑造耳蜗损伤后适应性和适应不良的皮质可塑性</w:t>
        </w:r>
      </w:hyperlink>
    </w:p>
    <w:p>
      <w:pPr>
        <w:spacing w:before="0" w:after="80"/>
      </w:pPr>
      <w:r>
        <w:rPr>
          <w:i/>
          <w:sz w:val="20"/>
        </w:rPr>
        <w:t>EN: Synaptic zinc plasticity shapes adaptive and maladaptive cortical plasticity following cochlear injury</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51">
        <w:r>
          <w:rPr>
            <w:color w:val="1155CC"/>
            <w:u w:val="single"/>
          </w:rPr>
          <w:t>10.1126/sciadv.aee9298</w:t>
        </w:r>
      </w:hyperlink>
    </w:p>
    <w:p>
      <w:pPr>
        <w:spacing w:before="0" w:after="120"/>
      </w:pPr>
      <w:r>
        <w:rPr>
          <w:b/>
        </w:rPr>
        <w:t xml:space="preserve">Notes: </w:t>
      </w:r>
      <w:r>
        <w:t>abstract_source=crossref</w:t>
      </w:r>
    </w:p>
    <w:p>
      <w:pPr>
        <w:spacing w:before="0" w:after="80" w:lineRule="auto" w:line="276"/>
      </w:pPr>
      <w:r>
        <w:rPr>
          <w:b/>
        </w:rPr>
        <w:t xml:space="preserve">摘要（ZH）: </w:t>
      </w:r>
      <w:r>
        <w:t>耳蜗损伤会触发补偿性初级听觉皮层 (A1) 可塑性，从而放大对残余感觉输入的反应，从而有助于恢复皮层对声音的反应性和感知声音检测阈值。然而，这种适应可能会变得适应不良，产生神经元过度活跃，导致耳鸣和听觉过敏。控制这些适应性和适应不良变化的神经调节机制仍然未知。在这里，我们证明噪声引起的耳蜗损伤触发双向突触锌信号可塑性，增强兴奋性主神经元和表达小清蛋白的中间神经元的活性，同时抑制表达生长抑素的中间神经元的活性。突触锌可塑性的这些细胞类型特异性效应有助于恢复 A1 对声音和感知检测阈值的反应性，同时也是神经过度活跃所必需的。总之，我们的研究结果确立了突触锌作为一种关键的神经调节剂，可以塑造适应性和适应不良的皮质可塑性，并确定了一个有希望的治疗靶点，用于改善耳蜗损伤后的知觉恢复并减轻耳鸣和听觉过敏。</w:t>
      </w:r>
    </w:p>
    <w:p>
      <w:pPr>
        <w:spacing w:before="0" w:after="200" w:lineRule="auto" w:line="276"/>
      </w:pPr>
      <w:r>
        <w:rPr>
          <w:b/>
        </w:rPr>
        <w:t xml:space="preserve">Abstract (EN): </w:t>
      </w:r>
      <w:r>
        <w:t>Cochlear damage triggers compensatory primary auditory cortex (A1) plasticity that amplifies responses to residual sensory inputs, thereby contributing to the restoration of both cortical responsiveness to sound and perceptual sound detection threshold. However, this adaptation can become maladaptive, producing neuronal hyperactivity that contributes to tinnitus and hyperacusis. The neuromodulatory mechanisms governing these adaptive and maladaptive changes remain unknown. Here, we demonstrate that noise-induced cochlear injury triggers bidirectional synaptic zinc signaling plasticity that potentiates activity in excitatory principal neurons and parvalbumin-expressing interneurons, while suppressing activity in somatostatin-expressing interneurons. These cell-type-specific effects of synaptic zinc plasticity contribute to restoring A1 responsiveness to sound and perceptual detection thresholds, while being necessary for neural hyperactivity. Together, our findings establish synaptic zinc as a pivotal neuromodulator that shapes both adaptive and maladaptive cortical plasticity and identify a promising therapeutic target for improving perceptual recovery after cochlear damage and mitigating tinnitus and hyperacusis.</w:t>
      </w:r>
    </w:p>
    <w:p>
      <w:pPr>
        <w:spacing w:before="120" w:after="120"/>
      </w:pPr>
      <w:r>
        <w:rPr>
          <w:sz w:val="18"/>
        </w:rPr>
        <w:t>——————————————————————————————————————————————————————————————————————</w:t>
      </w:r>
    </w:p>
    <w:p>
      <w:pPr>
        <w:spacing w:before="160" w:after="40" w:line="240" w:lineRule="auto"/>
      </w:pPr>
      <w:r>
        <w:rPr>
          <w:b/>
        </w:rPr>
        <w:t xml:space="preserve">[579] </w:t>
      </w:r>
      <w:hyperlink r:id="rId1652">
        <w:r>
          <w:rPr>
            <w:color w:val="1155CC"/>
            <w:u w:val="single"/>
          </w:rPr>
          <w:t>佳能通过仪器变量分析在单细胞 CRISPR 研究中实现下游基因的因果推断</w:t>
        </w:r>
      </w:hyperlink>
    </w:p>
    <w:p>
      <w:pPr>
        <w:spacing w:before="0" w:after="80"/>
      </w:pPr>
      <w:r>
        <w:rPr>
          <w:i/>
          <w:sz w:val="20"/>
        </w:rPr>
        <w:t>EN: Canon enables causal inference of downstream genes in single-cell CRISPR studies via instrumental variable analysis</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653">
        <w:r>
          <w:rPr>
            <w:color w:val="1155CC"/>
            <w:u w:val="single"/>
          </w:rPr>
          <w:t>10.1073/pnas.2525359123</w:t>
        </w:r>
      </w:hyperlink>
    </w:p>
    <w:p>
      <w:pPr>
        <w:spacing w:before="0" w:after="120"/>
      </w:pPr>
      <w:r>
        <w:rPr>
          <w:b/>
        </w:rPr>
        <w:t xml:space="preserve">Notes: </w:t>
      </w:r>
      <w:r>
        <w:t>abstract_source=crossref</w:t>
      </w:r>
    </w:p>
    <w:p>
      <w:pPr>
        <w:spacing w:before="0" w:after="80" w:lineRule="auto" w:line="276"/>
      </w:pPr>
      <w:r>
        <w:rPr>
          <w:b/>
        </w:rPr>
        <w:t xml:space="preserve">摘要（ZH）: </w:t>
      </w:r>
      <w:r>
        <w:t>sc-CRISPR 筛选中的一项关键分析任务是识别受扰动靶基因影响的下游基因。这项任务的现有方法主要依赖于传统的基于关联的分析，这种分析不仅无法建立基因之间的因果关系，而且还存在较高的假阳性率和有限的统计能力。为了克服这些限制，我们引入了一种基于因果推断的框架，该框架利用单细胞中 gRNA 的扰动状态作为工具变量（IV），通过 IV 分析推断因果基因关系。在此框架的基础上，我们进一步提出了 Canon，一种单样本 IV 分析方法，专门用于系统地识别可能受到不同 sc-CRISPR 平台上的扰动目标基因潜在因果影响的基因。佳能确保稳健的 I 类错误控制，同时保持高统计功效。我们通过综合模拟和真实数据应用来评估其性能。佳能确定的基因-基因关系为因果基因调控网络提供了宝贵的见解，发现了与癌症生物学具有潜在相关性的候选治疗靶点，并证明了 sc-CRISPR 筛选在以前所未有的规模解决因果调控网络方面的变革潜力。</w:t>
      </w:r>
    </w:p>
    <w:p>
      <w:pPr>
        <w:spacing w:before="0" w:after="200" w:lineRule="auto" w:line="276"/>
      </w:pPr>
      <w:r>
        <w:rPr>
          <w:b/>
        </w:rPr>
        <w:t xml:space="preserve">Abstract (EN): </w:t>
      </w:r>
      <w:r>
        <w:t>A critical analytical task in sc-CRISPR screening is identifying downstream genes influenced by perturbed target genes. Existing methods for this task primarily rely on traditional association-based analyses, which not only fall short in establishing causal relationships between genes but also suffer from high false positive rates and limited statistical power. To overcome these limitations, we introduce a causal inference-based framework that leverages the perturbation status of gRNAs in single cells as instrumental variables (IVs) to infer causal gene relationship via IV analysis. Building upon this framework, we further present Canon, a one-sample IV analysis method specifically tailored to systematically identify genes that are potentially causally influenced by perturbed target genes across diverse sc-CRISPR platforms. Canon ensures robust type I error control while maintaining high statistical power. We evaluated its performance through comprehensive simulations and real data applications. The gene–gene relationships identified by Canon provide valuable insights into the causal gene regulatory network, uncovering candidate therapeutic targets with potential relevance for cancer biology and demonstrating the transformative potential of sc-CRISPR screening to resolve causal regulatory networks at an unprecedented scale.</w:t>
      </w:r>
    </w:p>
    <w:p>
      <w:pPr>
        <w:spacing w:before="120" w:after="120"/>
      </w:pPr>
      <w:r>
        <w:rPr>
          <w:sz w:val="18"/>
        </w:rPr>
        <w:t>——————————————————————————————————————————————————————————————————————</w:t>
      </w:r>
    </w:p>
    <w:p>
      <w:pPr>
        <w:spacing w:before="160" w:after="40" w:line="240" w:lineRule="auto"/>
      </w:pPr>
      <w:r>
        <w:rPr>
          <w:b/>
        </w:rPr>
        <w:t xml:space="preserve">[580] </w:t>
      </w:r>
      <w:hyperlink r:id="rId1654">
        <w:r>
          <w:rPr>
            <w:color w:val="1155CC"/>
            <w:u w:val="single"/>
          </w:rPr>
          <w:t>MicroRNA-34a抑制KLF2通过CXCR4/CXCL12通路促进年龄相关性黄斑变性的病理性血管生成</w:t>
        </w:r>
      </w:hyperlink>
    </w:p>
    <w:p>
      <w:pPr>
        <w:spacing w:before="0" w:after="80"/>
      </w:pPr>
      <w:r>
        <w:rPr>
          <w:i/>
          <w:sz w:val="20"/>
        </w:rPr>
        <w:t>EN: MicroRNA-34a suppresses KLF2 to promote pathological angiogenesis through the CXCR4/CXCL12 pathway in age-related macular degeneration</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655">
        <w:r>
          <w:rPr>
            <w:color w:val="1155CC"/>
            <w:u w:val="single"/>
          </w:rPr>
          <w:t>10.1073/pnas.2524037123</w:t>
        </w:r>
      </w:hyperlink>
    </w:p>
    <w:p>
      <w:pPr>
        <w:spacing w:before="0" w:after="120"/>
      </w:pPr>
      <w:r>
        <w:rPr>
          <w:b/>
        </w:rPr>
        <w:t xml:space="preserve">Notes: </w:t>
      </w:r>
      <w:r>
        <w:t>abstract_source=crossref</w:t>
      </w:r>
    </w:p>
    <w:p>
      <w:pPr>
        <w:spacing w:before="0" w:after="80" w:lineRule="auto" w:line="276"/>
      </w:pPr>
      <w:r>
        <w:rPr>
          <w:b/>
        </w:rPr>
        <w:t xml:space="preserve">摘要（ZH）: </w:t>
      </w:r>
      <w:r>
        <w:t>年龄相关性黄斑变性（AMD）以病理性脉络膜新生血管（CNV）为特征，是老年人视力丧失的主要原因。血管内皮生长因子 A (VEGFa) 拮抗剂可以预防急性视力丧失，但高治疗负担和长期治疗的疗效丧失凸显了探索替代机制的必要性。最近，microRNA-34a (miR-34a) 已成为衰老和年龄相关疾病的关键调节因子，但其在新生血管性 AMD 中的作用尚不清楚。在损伤诱导的小鼠 CNV 模型中，我们发现 miR-34a 促进病理性血管生成，而不改变 CNV 的典型调节因子 Vegfa 或其受体 Kdr 的表达。从机制上讲，miR-34a 直接靶向并抑制转录因子 KLF2，从而上调促血管生成因子 CXCR4 和 CXCL12。最后，我们发现 miR-34a 会加剧老年小鼠的 CNV，并在湿性 AMD 患者切除的 CNV 病变中表达。这些发现确立了年龄相关的 miR-34a 与 AMD 中的新生血管形成之间的因果关系。</w:t>
      </w:r>
    </w:p>
    <w:p>
      <w:pPr>
        <w:spacing w:before="0" w:after="200" w:lineRule="auto" w:line="276"/>
      </w:pPr>
      <w:r>
        <w:rPr>
          <w:b/>
        </w:rPr>
        <w:t xml:space="preserve">Abstract (EN): </w:t>
      </w:r>
      <w:r>
        <w:t>Age-related macular degeneration (AMD), characterized by pathologic choroidal neovascularization (CNV), is a leading cause of vision loss in the elderly. Vascular endothelial growth factor A (VEGFa) antagonists can prevent acute vision loss, but high treatment burden and loss of efficacy with chronic therapy highlight the need to explore alternative mechanisms. Recently, microRNA-34a (miR-34a) has emerged as a key regulator in aging and age-related diseases, but its role in neovascular AMD is unclear. In an injury-induced murine CNV model, we found miR-34a promoted pathological angiogenesis, without altering expression of Vegfa or its receptor Kdr, the canonical regulators of CNV. Mechanistically, miR-34a directly targets and inhibits the transcription factor KLF2, thereby upregulating the proangiogenic factors CXCR4 and CXCL12. Finally, we show miR-34a exacerbates CNV in aged mice and is expressed in CNV lesions excised from wet AMD patients. These findings establish a causal link between the age-related miR-34a and neovascularization in AMD.</w:t>
      </w:r>
    </w:p>
    <w:p>
      <w:pPr>
        <w:spacing w:before="120" w:after="120"/>
      </w:pPr>
      <w:r>
        <w:rPr>
          <w:sz w:val="18"/>
        </w:rPr>
        <w:t>——————————————————————————————————————————————————————————————————————</w:t>
      </w:r>
    </w:p>
    <w:p>
      <w:pPr>
        <w:spacing w:before="160" w:after="40" w:line="240" w:lineRule="auto"/>
      </w:pPr>
      <w:r>
        <w:rPr>
          <w:b/>
        </w:rPr>
        <w:t xml:space="preserve">[581] </w:t>
      </w:r>
      <w:hyperlink r:id="rId1656">
        <w:r>
          <w:rPr>
            <w:color w:val="1155CC"/>
            <w:u w:val="single"/>
          </w:rPr>
          <w:t>使用交联质谱绘制拟南芥中蛋白质复合物的结构</w:t>
        </w:r>
      </w:hyperlink>
    </w:p>
    <w:p>
      <w:pPr>
        <w:spacing w:before="0" w:after="80"/>
      </w:pPr>
      <w:r>
        <w:rPr>
          <w:i/>
          <w:sz w:val="20"/>
        </w:rPr>
        <w:t>EN: Mapping the architecture of protein complexes in Arabidopsis using cross-linking mass spectrometry</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657">
        <w:r>
          <w:rPr>
            <w:color w:val="1155CC"/>
            <w:u w:val="single"/>
          </w:rPr>
          <w:t>10.1073/pnas.2519615123</w:t>
        </w:r>
      </w:hyperlink>
    </w:p>
    <w:p>
      <w:pPr>
        <w:spacing w:before="0" w:after="120"/>
      </w:pPr>
      <w:r>
        <w:rPr>
          <w:b/>
        </w:rPr>
        <w:t xml:space="preserve">Notes: </w:t>
      </w:r>
      <w:r>
        <w:t>abstract_source=crossref</w:t>
      </w:r>
    </w:p>
    <w:p>
      <w:pPr>
        <w:spacing w:before="0" w:after="80" w:lineRule="auto" w:line="276"/>
      </w:pPr>
      <w:r>
        <w:rPr>
          <w:b/>
        </w:rPr>
        <w:t xml:space="preserve">摘要（ZH）: </w:t>
      </w:r>
      <w:r>
        <w:t>捕获正在运行的分子机器对于理解蛋白质复合物结构、细胞调控和基因功能至关重要。在这里，我们提供了大规模的结构蛋白质组学资源</w:t>
      </w:r>
      <w:r>
        <w:t xml:space="preserve"> </w:t>
      </w:r>
      <w:r>
        <w:t>拟南芥</w:t>
      </w:r>
      <w:r>
        <w:t xml:space="preserve"> </w:t>
      </w:r>
      <w:r>
        <w:t>使用优化的交联质谱工作流程生成。使用三官能交联剂 PhoX（其膦酸部分能够实现基于固定金属亲和色谱的富集），我们选择性地从全细胞裂解物、叶绿体和细胞核中富集交联肽。使用 pLink 3.2 进行分析，识别出 52,944 个独特的交联肽对，对应于 5,064 个蛋白质中的 37,531 个残基水平接触点。这些数据定义了 3,083 种蛋白质-蛋白质相互作用，包括 2,385 种异聚体相互作用和 698 种同源多聚体相互作用。与相互作用基因/蛋白质检索搜索工具 (STRING) 数据库的比较表明，STRING 分数≥0.9 支持 676 个相互作用。蛋白质数据库和 AlphaFold 模型的结构映射表明，大多数交联都在预期的 35 Å 距离限制内。该数据集进一步能够分析不同分子组装体之间的蛋白质连接性和复杂拓扑结构，包括 Rubisco 全酶、叶绿体 70S 核糖体、光系统复合物和胞质 80S 核糖体以及相关的生物发生和调节因子。我们还鉴定了组蛋白相关复合物，包括涉及 O-酰基转移酶的相互作用。通过提供残基水平的结构约束</w:t>
      </w:r>
    </w:p>
    <w:p>
      <w:pPr>
        <w:spacing w:before="0" w:after="200" w:lineRule="auto" w:line="276"/>
      </w:pPr>
      <w:r>
        <w:rPr>
          <w:b/>
        </w:rPr>
        <w:t xml:space="preserve">Abstract (EN): </w:t>
      </w:r>
      <w:r>
        <w:t>Capturing molecular machines in action is essential for understanding protein complex architecture, cellular regulation, and gene function. Here, we present a large-scale structural proteomics resource for</w:t>
      </w:r>
      <w:r>
        <w:t xml:space="preserve"> </w:t>
      </w:r>
      <w:r>
        <w:t>Arabidopsis thaliana</w:t>
      </w:r>
      <w:r>
        <w:t xml:space="preserve"> </w:t>
      </w:r>
      <w:r>
        <w:t>generated using an optimized cross-linking mass spectrometry workflow. Using the trifunctional cross-linker PhoX, whose phosphonic acid moiety enables immobilized metal affinity chromatography-based enrichment, we selectively enriched cross-linked peptides from whole-cell lysates, chloroplasts, and nuclei. Analysis with pLink 3.2 identified 52,944 unique cross-linked peptide pairs, corresponding to 37,531 residue-level contacts across 5,064 proteins. These data define 3,083 protein–protein interactions, including 2,385 heteromeric and 698 homomultimeric interactions. Comparison with the Search Tool for the Retrieval of Interacting Genes/Proteins (STRING) database showed that 676 interactions are supported by STRING scores ≥0.9. Structural mapping to Protein Data Bank and AlphaFold models showed that most cross-links were within the expected 35 Å distance constraint. The dataset further enabled the analysis of protein connectivity and complex topology across diverse molecular assemblies, including the Rubisco holoenzyme, chloroplast 70S ribosome, photosystem complexes, and the cytosolic 80S ribosome together with associated biogenesis and regulatory factors. We also identified histone-associated complexes, including interactions involving an O-acyltransferase. By providing residue-level structural constraints for a substantial portion of the</w:t>
      </w:r>
      <w:r>
        <w:t xml:space="preserve"> </w:t>
      </w:r>
      <w:r>
        <w:t>Arabidopsis</w:t>
      </w:r>
      <w:r>
        <w:t xml:space="preserve"> </w:t>
      </w:r>
      <w:r>
        <w:t>proteome, this study provides a resource for exploring plant molecular machines and their spatial organization.</w:t>
      </w:r>
    </w:p>
    <w:p>
      <w:pPr>
        <w:spacing w:before="120" w:after="120"/>
      </w:pPr>
      <w:r>
        <w:rPr>
          <w:sz w:val="18"/>
        </w:rPr>
        <w:t>——————————————————————————————————————————————————————————————————————</w:t>
      </w:r>
    </w:p>
    <w:p>
      <w:pPr>
        <w:spacing w:before="160" w:after="40" w:line="240" w:lineRule="auto"/>
      </w:pPr>
      <w:r>
        <w:rPr>
          <w:b/>
        </w:rPr>
        <w:t xml:space="preserve">[582] </w:t>
      </w:r>
      <w:hyperlink r:id="rId1658">
        <w:r>
          <w:rPr>
            <w:color w:val="1155CC"/>
            <w:u w:val="single"/>
          </w:rPr>
          <w:t>关税政策以及为什么经济学需要群际心理学</w:t>
        </w:r>
      </w:hyperlink>
    </w:p>
    <w:p>
      <w:pPr>
        <w:spacing w:before="0" w:after="80"/>
      </w:pPr>
      <w:r>
        <w:rPr>
          <w:i/>
          <w:sz w:val="20"/>
        </w:rPr>
        <w:t>EN: Tariff policy and why economics needs intergroup psychology</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659">
        <w:r>
          <w:rPr>
            <w:color w:val="1155CC"/>
            <w:u w:val="single"/>
          </w:rPr>
          <w:t>10.1073/pnas.2514670123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[583] </w:t>
      </w:r>
      <w:hyperlink r:id="rId1660">
        <w:r>
          <w:rPr>
            <w:color w:val="1155CC"/>
            <w:u w:val="single"/>
          </w:rPr>
          <w:t>县级种族态度偏见与先修课程参与差异之间的关联</w:t>
        </w:r>
      </w:hyperlink>
    </w:p>
    <w:p>
      <w:pPr>
        <w:spacing w:before="0" w:after="80"/>
      </w:pPr>
      <w:r>
        <w:rPr>
          <w:i/>
          <w:sz w:val="20"/>
        </w:rPr>
        <w:t>EN: Associations between county-level racial attitude bias and disparities in Advanced Placement participation</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661">
        <w:r>
          <w:rPr>
            <w:color w:val="1155CC"/>
            <w:u w:val="single"/>
          </w:rPr>
          <w:t>10.1073/pnas.2512555123</w:t>
        </w:r>
      </w:hyperlink>
    </w:p>
    <w:p>
      <w:pPr>
        <w:spacing w:before="0" w:after="120"/>
      </w:pPr>
      <w:r>
        <w:rPr>
          <w:b/>
        </w:rPr>
        <w:t xml:space="preserve">Notes: </w:t>
      </w:r>
      <w:r>
        <w:t>abstract_source=crossref</w:t>
      </w:r>
    </w:p>
    <w:p>
      <w:pPr>
        <w:spacing w:before="0" w:after="80" w:lineRule="auto" w:line="276"/>
      </w:pPr>
      <w:r>
        <w:rPr>
          <w:b/>
        </w:rPr>
        <w:t xml:space="preserve">摘要（ZH）: </w:t>
      </w:r>
      <w:r>
        <w:t>虽然人们对基本学术成就方面的种族差异给予了很多关注，但对卓越表现（参与和表现机会发展和展示高成就）方面的种族差异的关注相对较少。本研究调查了种族态度偏见与参加大学先修课程 (AP) 计划的差异之间的关系，该计划是美国教育体系中追求卓越的典型机会。我们通过将隐含项目中隐含和明确的亲白人/反黑人偏见措施与民权数据收集中的美联社参与数据相结合，研究了地区种族态度偏见是否与黑人和白人美联社参与差异相关。县级隐性和显性的种族偏见——总体上是白人居民，特别是白人教师——与 AP 课程入学方面的黑人和白人差异始终呈正相关，但 AP 考试的参加和通过情况却并非如此。重要的是，在考虑了高中之前 AP 入学率和学业成绩的差异后，种族态度偏见和入学差异之间的关系仍然存在。这些发现强调了确定其他程序的重要性，通过这些程序，社区成员的种族态度偏见可能会阻止黑人学生参加 AP 课程和其他卓越机会。</w:t>
      </w:r>
    </w:p>
    <w:p>
      <w:pPr>
        <w:spacing w:before="0" w:after="200" w:lineRule="auto" w:line="276"/>
      </w:pPr>
      <w:r>
        <w:rPr>
          <w:b/>
        </w:rPr>
        <w:t xml:space="preserve">Abstract (EN): </w:t>
      </w:r>
      <w:r>
        <w:t>While much attention has been paid to racial disparities in basic academic attainment, relatively less attention is given to racial disparities in excellence—participation in and performance within opportunities to develop and demonstrate high achievement. The present research investigates how racial attitude bias relates to disparities in participation in the Advanced Placement (AP) program, a paradigmatic opportunity for excellence in the US education system. We examined whether regional racial attitude biases are associated with Black–White AP participation disparities by combining implicit and explicit pro-White/anti-Black bias measures from Project Implicit with AP participation data from the Civil Rights Data Collection. County-level implicit and explicit racial biases—among White residents overall, and White teachers specifically—were consistently and positively associated with Black–White disparities in AP course enrollment, but this was not the case for AP exam taking and passing. Importantly, the relationships between racial attitude bias and enrollment disparities remained after accounting for disparities in AP access and academic achievement prior to high school. These findings highlight the importance of identifying additional processes through which community members’ racial attitude biases may deter Black students from participating in the AP program and other opportunities for excellence.</w:t>
      </w:r>
    </w:p>
    <w:p>
      <w:pPr>
        <w:spacing w:before="120" w:after="120"/>
      </w:pPr>
      <w:r>
        <w:rPr>
          <w:sz w:val="18"/>
        </w:rPr>
        <w:t>——————————————————————————————————————————————————————————————————————</w:t>
      </w:r>
    </w:p>
    <w:p>
      <w:pPr>
        <w:spacing w:before="160" w:after="40" w:line="240" w:lineRule="auto"/>
      </w:pPr>
      <w:r>
        <w:rPr>
          <w:b/>
        </w:rPr>
        <w:t xml:space="preserve">[584] </w:t>
      </w:r>
      <w:hyperlink r:id="rId1662">
        <w:r>
          <w:rPr>
            <w:color w:val="1155CC"/>
            <w:u w:val="single"/>
          </w:rPr>
          <w:t>宽视场双光子随机照明显微镜 (2P-RIM)</w:t>
        </w:r>
      </w:hyperlink>
    </w:p>
    <w:p>
      <w:pPr>
        <w:spacing w:before="0" w:after="80"/>
      </w:pPr>
      <w:r>
        <w:rPr>
          <w:i/>
          <w:sz w:val="20"/>
        </w:rPr>
        <w:t>EN: Wide-field two-photon random illumination microscopy (2P-RIM)</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63">
        <w:r>
          <w:rPr>
            <w:color w:val="1155CC"/>
            <w:u w:val="single"/>
          </w:rPr>
          <w:t>10.1126/sciadv.aef3487</w:t>
        </w:r>
      </w:hyperlink>
    </w:p>
    <w:p>
      <w:pPr>
        <w:spacing w:before="0" w:after="120"/>
      </w:pPr>
      <w:r>
        <w:rPr>
          <w:b/>
        </w:rPr>
        <w:t xml:space="preserve">Notes: </w:t>
      </w:r>
      <w:r>
        <w:t>abstract_source=crossref</w:t>
      </w:r>
    </w:p>
    <w:p>
      <w:pPr>
        <w:spacing w:before="0" w:after="80" w:lineRule="auto" w:line="276"/>
      </w:pPr>
      <w:r>
        <w:rPr>
          <w:b/>
        </w:rPr>
        <w:t xml:space="preserve">摘要（ZH）: </w:t>
      </w:r>
      <w:r>
        <w:t>由于其固有的轴向切片和减少的离焦漂白，通常使用聚焦双光子 (2P) 荧光显微镜检查生物和生物医学样品。然而，2P 成像通常需要激发强度，这可能会因电离和自由基形成而损坏样品。此外，与线性单光子 (1P) 荧光显微镜相比，2P 显微镜的横向分辨率较低。使用相机的宽视场 2P 显微镜有望减少光毒性，同时保持高图像采集率。宽视场成像以顺序单点扫描的高功率和短积分时间为代价，换取了数百万像素并行检测的低功率和延长积分时间。然而，在任意大视场 (FOV) 上生成有效的轴向切片仍然是一个挑战。在这项工作中，我们介绍了 2P 随机照明显微镜 (2P-RIM)，这是一种易于实现的 2P 宽视场技术，可实现低光损伤成像、微米轴向切片和增强任意大视场的横向分辨率。通过将宽视场斑点照明与图像标准偏差匹配算法结合使用，2P-RIM 展示了大于 200 μm 的视场多色成像、220 nm 的横向分辨率、2 μm 的轴向切片以及比聚焦激光扫描显微镜中使用的峰值激发功率低约 10 倍的功率。</w:t>
      </w:r>
    </w:p>
    <w:p>
      <w:pPr>
        <w:spacing w:before="0" w:after="200" w:lineRule="auto" w:line="276"/>
      </w:pPr>
      <w:r>
        <w:rPr>
          <w:b/>
        </w:rPr>
        <w:t xml:space="preserve">Abstract (EN): </w:t>
      </w:r>
      <w:r>
        <w:t>Biological and biomedical samples are routinely examined using focused two-photon (2P) fluorescence microscopy due to its intrinsic axial sectioning and reduced out-of-focus bleaching. However, 2P imaging often requires excitation intensities that can damage samples through ionization and radical formation. In addition, the lateral resolution of 2P microscopy is lower compared to linear one-photon (1P) fluorescence microscopy. Wide-field 2P microscopy, using cameras, holds promise for reducing phototoxicity while maintaining high image acquisition rates. Wide-field imaging trades the high power and short integration times of sequential single point scanning for the low power and extended integration times of parallel detection across millions of pixels. However, generating effective axial sectioning over arbitrarily large fields of view (FOVs) has remained a challenge. In this work, we introduce 2P random illumination microscopy (2P-RIM), an easy-to-implement 2P wide-field technique that achieves low photo-damage imaging, micrometric axial sectioning, and enhanced lateral resolution for arbitrarily large FOVs. By using wide-field speckled illuminations in conjunction with an image standard deviation matching algorithm, 2P-RIM demonstrated multicolor imaging over FOVs greater than 200 μm, lateral resolution of 220 nm, axial sectioning of 2 μm, and peak excitation powers about 10 times lower than those used in focused laser scanning microscopy.</w:t>
      </w:r>
    </w:p>
    <w:p>
      <w:pPr>
        <w:spacing w:before="120" w:after="120"/>
      </w:pPr>
      <w:r>
        <w:rPr>
          <w:sz w:val="18"/>
        </w:rPr>
        <w:t>——————————————————————————————————————————————————————————————————————</w:t>
      </w:r>
    </w:p>
    <w:p>
      <w:pPr>
        <w:spacing w:before="160" w:after="40" w:line="240" w:lineRule="auto"/>
      </w:pPr>
      <w:r>
        <w:rPr>
          <w:b/>
        </w:rPr>
        <w:t xml:space="preserve">[585] </w:t>
      </w:r>
      <w:hyperlink r:id="rId1664">
        <w:r>
          <w:rPr>
            <w:color w:val="1155CC"/>
            <w:u w:val="single"/>
          </w:rPr>
          <w:t>通过可编程微滴水提取实现长期淀粉样蛋白聚集动力学测定和快速淀粉样蛋白聚类</w:t>
        </w:r>
      </w:hyperlink>
    </w:p>
    <w:p>
      <w:pPr>
        <w:spacing w:before="0" w:after="80"/>
      </w:pPr>
      <w:r>
        <w:rPr>
          <w:i/>
          <w:sz w:val="20"/>
        </w:rPr>
        <w:t>EN: Long-term amyloid aggregation kinetic assay and rapid amyloid clustering enabled by programmable microdroplet water extraction</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65">
        <w:r>
          <w:rPr>
            <w:color w:val="1155CC"/>
            <w:u w:val="single"/>
          </w:rPr>
          <w:t>10.1126/sciadv.aeh3040</w:t>
        </w:r>
      </w:hyperlink>
    </w:p>
    <w:p>
      <w:pPr>
        <w:spacing w:before="0" w:after="120"/>
      </w:pPr>
      <w:r>
        <w:rPr>
          <w:b/>
        </w:rPr>
        <w:t xml:space="preserve">Notes: </w:t>
      </w:r>
      <w:r>
        <w:t>abstract_source=crossref</w:t>
      </w:r>
    </w:p>
    <w:p>
      <w:pPr>
        <w:spacing w:before="0" w:after="80" w:lineRule="auto" w:line="276"/>
      </w:pPr>
      <w:r>
        <w:rPr>
          <w:b/>
        </w:rPr>
        <w:t xml:space="preserve">摘要（ZH）: </w:t>
      </w:r>
      <w:r>
        <w:t>淀粉样蛋白是与神经退行性疾病相关的错误折叠的蛋白质聚集体。它们的聚集动力学受到许多变量的影响，并表现出自催化和随机行为，促使使用基于微滴的测定来增强统计稳健性。然而，在孵育过程中从微滴中不受控制的水提取会改变溶质浓度，限制可达到的温度和反应时间范围，并限制实验的多功能性。在这里，我们介绍了一种微滴处理策略，可实现可编程微滴水提取。抑制水提取可在 60°C 下进行长达 30 天的长期聚集动力学测量，而促进水提取可在 1 小时内诱导淀粉样蛋白聚集。使用这种技术，我们研究了作为液滴大小、蛋白质浓度和孵育时间函数​​的聚集动力学，并使用微滴衍生的淀粉样蛋白簇（MDAC）进行了初步研究。这些进步扩大了基于液滴的测定的实验灵活性，并为淀粉样蛋白聚集和聚类提供了可重复的体外平台，在下游筛选和生物学研究中具有潜在的应用。</w:t>
      </w:r>
    </w:p>
    <w:p>
      <w:pPr>
        <w:spacing w:before="0" w:after="200" w:lineRule="auto" w:line="276"/>
      </w:pPr>
      <w:r>
        <w:rPr>
          <w:b/>
        </w:rPr>
        <w:t xml:space="preserve">Abstract (EN): </w:t>
      </w:r>
      <w:r>
        <w:t>Amyloids are misfolded protein aggregates linked to neurodegenerative diseases. Their aggregation kinetics are influenced by numerous variables and exhibit autocatalytic and stochastic behavior, prompting the use of microdroplet-based assays to enhance statistical robustness. However, uncontrolled water extraction from microdroplets during incubation alters solute concentration, limits accessible temperature and reaction time ranges, and limits experimental versatility. Here, we introduce a microdroplet handling strategy that enables programmable microdroplet water extraction. Suppressing water extraction enables long-term aggregation kinetic measurements for up to 30 days at 60°C, while promoting water extraction induces amyloid clustering within 1 hour. Using this technique, we investigated aggregation kinetics as a function of droplet size, protein concentration, and incubation time and conducted preliminary studies using microdroplet-derived amyloid clusters (MDACs). These advancements expand the experimental flexibility of droplet-based assays and provide a reproducible in vitro platform for amyloid aggregation and clustering, with potential applications in downstream screening and biological studies.</w:t>
      </w:r>
    </w:p>
    <w:p>
      <w:pPr>
        <w:spacing w:before="120" w:after="120"/>
      </w:pPr>
      <w:r>
        <w:rPr>
          <w:sz w:val="18"/>
        </w:rPr>
        <w:t>——————————————————————————————————————————————————————————————————————</w:t>
      </w:r>
    </w:p>
    <w:p>
      <w:pPr>
        <w:spacing w:before="160" w:after="40" w:line="240" w:lineRule="auto"/>
      </w:pPr>
      <w:r>
        <w:rPr>
          <w:b/>
        </w:rPr>
        <w:t xml:space="preserve">[586] </w:t>
      </w:r>
      <w:hyperlink r:id="rId1666">
        <w:r>
          <w:rPr>
            <w:color w:val="1155CC"/>
            <w:u w:val="single"/>
          </w:rPr>
          <w:t>ARID1B DNA 结合域中的隐秘小分子结合位点</w:t>
        </w:r>
      </w:hyperlink>
    </w:p>
    <w:p>
      <w:pPr>
        <w:spacing w:before="0" w:after="80"/>
      </w:pPr>
      <w:r>
        <w:rPr>
          <w:i/>
          <w:sz w:val="20"/>
        </w:rPr>
        <w:t>EN: Cryptic small-molecule binding sites in the ARID1B DNA-binding domain</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667">
        <w:r>
          <w:rPr>
            <w:color w:val="1155CC"/>
            <w:u w:val="single"/>
          </w:rPr>
          <w:t>10.1073/pnas.2529603123</w:t>
        </w:r>
      </w:hyperlink>
    </w:p>
    <w:p>
      <w:pPr>
        <w:spacing w:before="0" w:after="120"/>
      </w:pPr>
      <w:r>
        <w:rPr>
          <w:b/>
        </w:rPr>
        <w:t xml:space="preserve">Notes: </w:t>
      </w:r>
      <w:r>
        <w:t>abstract_source=crossref</w:t>
      </w:r>
    </w:p>
    <w:p>
      <w:pPr>
        <w:spacing w:before="0" w:after="80" w:lineRule="auto" w:line="276"/>
      </w:pPr>
      <w:r>
        <w:rPr>
          <w:b/>
        </w:rPr>
        <w:t xml:space="preserve">摘要（ZH）: </w:t>
      </w:r>
      <w:r>
        <w:t>ARID1B 的基因缺失已被证明以综合致死的方式发挥作用，选择性杀死肿瘤抑制因子 ARID1A 发生突变的癌细胞，ARID1A 是人类癌症中最常改变的蛋白质之一。然而，由于 ARID1B 上缺乏经典的可药物小分子结合袋，目前尚未开发出针对 ARID1A 突变型癌症的精准治疗药物 ARID1B。在这里，我们对 ARID1B 的小球状富含 AT 相互作用域 (ARID) DNA 结合域进行了分子动力学模拟，证明 ARID 表现出显着的构象动力学，暴露了小域上的潜在可配位位点。然后，通过 2D 蛋白质检测 NMR 片段筛选，我们能够鉴定出两种以缓慢动力学与 ARID1B ARID 结合的化合物，表明与蛋白质的低群体构象结合。 ARID1B ARID 与化合物或相近类似物结合的 X 射线结构表明，它们与蛋白质中两个不同的隐秘口袋结合，通过不同的构象重排暴露，揭示了蛋白质基态中不存在的可药物位点。尽管 ARID1A 和 ARID1B ARID 之间具有高度序列同源性，但这两个隐秘口袋都支持与 ARID1B 的选择性结合，在一种情况下超过 140 倍，为在 ARID1A 突变癌症中选择性靶向 ARID1B 提供了一条途径。</w:t>
      </w:r>
    </w:p>
    <w:p>
      <w:pPr>
        <w:spacing w:before="0" w:after="200" w:lineRule="auto" w:line="276"/>
      </w:pPr>
      <w:r>
        <w:rPr>
          <w:b/>
        </w:rPr>
        <w:t xml:space="preserve">Abstract (EN): </w:t>
      </w:r>
      <w:r>
        <w:t>Genetic depletion of ARID1B has been shown to act in a synthetically lethal manner to selectively kill cancer cells with mutations in the tumor suppressor ARID1A, one of the most frequently altered proteins in human cancer. However, no precision therapeutic targeting ARID1B in ARID1A-mutant cancer has been developed due to the lack of a classically druggable small-molecule binding pocket on ARID1B. Here, we carried out molecular dynamics simulations on the small, globular AT-rich Interaction Domain (ARID) DNA-binding domain of ARID1B, demonstrating that the ARID exhibits significant conformational dynamics that expose a potentially ligandable site on the small domain. 2D protein-detected NMR fragment screening then allowed us to identify two compounds that bind to the ARID1B ARID with slow kinetics, suggestive of binding to a low-population conformation of the protein. X-ray structures of the ARID1B ARID bound to the compounds or close analogues demonstrated that they bind to two distinct cryptic pockets in the protein, exposed through different conformational rearrangements that reveal druggable sites absent in the ground state of the protein. Despite the high sequence homology between the ARID1A and ARID1B ARIDs, both cryptic pockets support selective binding to ARID1B, in one case greater than 140-fold, providing an avenue toward selectively targeting ARID1B in ARID1A-mutant cancer.</w:t>
      </w:r>
    </w:p>
    <w:p>
      <w:pPr>
        <w:spacing w:before="120" w:after="120"/>
      </w:pPr>
      <w:r>
        <w:rPr>
          <w:sz w:val="18"/>
        </w:rPr>
        <w:t>——————————————————————————————————————————————————————————————————————</w:t>
      </w:r>
    </w:p>
    <w:p>
      <w:pPr>
        <w:spacing w:before="160" w:after="40" w:line="240" w:lineRule="auto"/>
      </w:pPr>
      <w:r>
        <w:rPr>
          <w:b/>
        </w:rPr>
        <w:t xml:space="preserve">[587] </w:t>
      </w:r>
      <w:hyperlink r:id="rId1668">
        <w:r>
          <w:rPr>
            <w:color w:val="1155CC"/>
            <w:u w:val="single"/>
          </w:rPr>
          <w:t>通过深度学习增强拉曼显微光谱对神经类器官进行无标记生化成像和时间点分析</w:t>
        </w:r>
      </w:hyperlink>
    </w:p>
    <w:p>
      <w:pPr>
        <w:spacing w:before="0" w:after="80"/>
      </w:pPr>
      <w:r>
        <w:rPr>
          <w:i/>
          <w:sz w:val="20"/>
        </w:rPr>
        <w:t>EN: Label-free biochemical imaging and time point analysis of neural organoids via deep learning–enhanced Raman microspectroscopy</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69">
        <w:r>
          <w:rPr>
            <w:color w:val="1155CC"/>
            <w:u w:val="single"/>
          </w:rPr>
          <w:t>10.1126/sciadv.aec5080</w:t>
        </w:r>
      </w:hyperlink>
    </w:p>
    <w:p>
      <w:pPr>
        <w:spacing w:before="0" w:after="120"/>
      </w:pPr>
      <w:r>
        <w:rPr>
          <w:b/>
        </w:rPr>
        <w:t xml:space="preserve">Notes: </w:t>
      </w:r>
      <w:r>
        <w:t>abstract_source=crossref</w:t>
      </w:r>
    </w:p>
    <w:p>
      <w:pPr>
        <w:spacing w:before="0" w:after="80" w:lineRule="auto" w:line="276"/>
      </w:pPr>
      <w:r>
        <w:rPr>
          <w:b/>
        </w:rPr>
        <w:t xml:space="preserve">摘要（ZH）: </w:t>
      </w:r>
      <w:r>
        <w:t>三维 (3D) 类器官已成为研究人类发育、疾病和体外药物反应的强大模型。然而，他们的分析仍然受到标准成像和表征技术的限制，这些技术是侵入性的，需要外源标记，并且提供有限的多重分析。在这里，我们提出了一种非侵入性、无标记成像平台，它将拉曼显微光谱学与基于深度学习的高光谱分解相结合，用于对神经类器官进行无监督、空间分辨的生化分析。我们的方法能够对冷冻切片和完整类器官中的细胞和亚细胞结构进行 2D 和 3D 绘图，与传统的高光谱分析方法相比，提高了成像精度和稳健性。使用我们的平台，我们展示了神经类器官内神经玫瑰花结的体积成像，并询问完整神经类器官早期发育阶段生化成分的变化，揭示了脂质、蛋白质和核酸的时空变化。这项工作为高内涵、无标记（生物）化学表型分析建立了一个通用框架，在类器官研究及其他领域具有广泛的应用。</w:t>
      </w:r>
    </w:p>
    <w:p>
      <w:pPr>
        <w:spacing w:before="0" w:after="200" w:lineRule="auto" w:line="276"/>
      </w:pPr>
      <w:r>
        <w:rPr>
          <w:b/>
        </w:rPr>
        <w:t xml:space="preserve">Abstract (EN): </w:t>
      </w:r>
      <w:r>
        <w:t>Three-dimensional (3D) organoids have emerged as powerful models for studying human development, disease, and drug response in vitro. Yet, their analysis remains constrained by standard imaging and characterization techniques, which are invasive, require exogenous labeling, and offer limited multiplexing. Here, we present a noninvasive, label-free imaging platform that integrates Raman microspectroscopy with deep learning–based hyperspectral unmixing for unsupervised, spatially resolved biochemical analysis of neural organoids. Our approach enables 2D and 3D mapping of cellular and subcellular structures in both cryosectioned and intact organoids, achieving improved imaging accuracy and robustness compared to conventional methods for hyperspectral analysis. Using our platform, we demonstrate volumetric imaging of a neural rosette within a neural organoid and interrogate changes in biochemical composition during early developmental stages in intact neural organoids, revealing spatiotemporal variations in lipids, proteins, and nucleic acids. This work establishes a versatile framework for high-content, label-free (bio)chemical phenotyping with broad applications in organoid research and beyond.</w:t>
      </w:r>
    </w:p>
    <w:p>
      <w:pPr>
        <w:spacing w:before="120" w:after="120"/>
      </w:pPr>
      <w:r>
        <w:rPr>
          <w:sz w:val="18"/>
        </w:rPr>
        <w:t>——————————————————————————————————————————————————————————————————————</w:t>
      </w:r>
    </w:p>
    <w:p>
      <w:pPr>
        <w:spacing w:before="160" w:after="40" w:line="240" w:lineRule="auto"/>
      </w:pPr>
      <w:r>
        <w:rPr>
          <w:b/>
        </w:rPr>
        <w:t xml:space="preserve">[588] </w:t>
      </w:r>
      <w:hyperlink r:id="rId1670">
        <w:r>
          <w:rPr>
            <w:color w:val="1155CC"/>
            <w:u w:val="single"/>
          </w:rPr>
          <w:t>通过纳米压印准二维钙钛矿光子结构的热机械调节</w:t>
        </w:r>
      </w:hyperlink>
    </w:p>
    <w:p>
      <w:pPr>
        <w:spacing w:before="0" w:after="80"/>
      </w:pPr>
      <w:r>
        <w:rPr>
          <w:i/>
          <w:sz w:val="20"/>
        </w:rPr>
        <w:t>EN: Thermomechanical regulation of quasi-2D perovskite photonic structures via nanoimprint</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71">
        <w:r>
          <w:rPr>
            <w:color w:val="1155CC"/>
            <w:u w:val="single"/>
          </w:rPr>
          <w:t>10.1126/sciadv.aef0259</w:t>
        </w:r>
      </w:hyperlink>
    </w:p>
    <w:p>
      <w:pPr>
        <w:spacing w:before="0" w:after="120"/>
      </w:pPr>
      <w:r>
        <w:rPr>
          <w:b/>
        </w:rPr>
        <w:t xml:space="preserve">Notes: </w:t>
      </w:r>
      <w:r>
        <w:t>abstract_source=crossref</w:t>
      </w:r>
    </w:p>
    <w:p>
      <w:pPr>
        <w:spacing w:before="0" w:after="80" w:lineRule="auto" w:line="276"/>
      </w:pPr>
      <w:r>
        <w:rPr>
          <w:b/>
        </w:rPr>
        <w:t xml:space="preserve">摘要（ZH）: </w:t>
      </w:r>
      <w:r>
        <w:t>纳米压印光刻（NIL）为钙钛矿光子器件的高分辨率图案化提供了一种可扩展的途径；然而，由于对压印过程中钙钛矿热机械行为的了解有限，NIL 图案钙钛矿光子结构的性能潜力在很大程度上仍未实现。在这里，我们提供了一个机制框架，阐明了准二维 Dion-Jacobson 钙钛矿中控制 NIL 的耦合热机械过程。我们表明，立方相中的压印独特地能够同时增强粘弹性变形性和机械硬度，促进高保真图案转移，同时保持结构完整性。我们进一步揭示了依赖于垫片的机械光学权衡：柔性垫片促进塑性流动和表面平坦化，产生更高的</w:t>
      </w:r>
      <w:r>
        <w:t xml:space="preserve"> </w:t>
      </w:r>
      <w:r>
        <w:t>问</w:t>
      </w:r>
      <w:r>
        <w:t xml:space="preserve"> </w:t>
      </w:r>
      <w:r>
        <w:t>共振，而刚性间隔物在奥斯特瓦尔德熟化驱动的重结晶过程中增强结晶度，降低激光阈值。利用这些见解，我们展示了连续谱钙钛矿激光器的束缚态，达到了历史新高</w:t>
      </w:r>
      <w:r>
        <w:t xml:space="preserve"> </w:t>
      </w:r>
      <w:r>
        <w:t>问</w:t>
      </w:r>
      <w:r>
        <w:t xml:space="preserve"> </w:t>
      </w:r>
      <w:r>
        <w:t>单独优化的器件具有高达 36,000 的系数（高达 36,000）和低激光阈值（低至每平方厘米 5 微焦耳），同时在环境条件下保持稳定的单模发射超过 151 小时。</w:t>
      </w:r>
    </w:p>
    <w:p>
      <w:pPr>
        <w:spacing w:before="0" w:after="200" w:lineRule="auto" w:line="276"/>
      </w:pPr>
      <w:r>
        <w:rPr>
          <w:b/>
        </w:rPr>
        <w:t xml:space="preserve">Abstract (EN): </w:t>
      </w:r>
      <w:r>
        <w:t>Nanoimprint lithography (NIL) offers a scalable route to high-resolution patterning of perovskite photonic devices; however, the performance potential of NIL-patterned perovskite photonic structures remains largely unrealized because of limited understanding of perovskite thermomechanical behavior during imprinting. Here, we provide a mechanistic framework elucidating the coupled thermomechanical processes governing NIL in quasi–two-dimensional Dion-Jacobson perovskites. We show that imprinting in the cubic phase uniquely enables the simultaneous enhancement of viscoelastic deformability and mechanical hardness, facilitating high-fidelity pattern transfer while preserving structural integrity. We further uncover a spacer-dependent mechanical-optical trade-off: Flexible spacers promote plastic flow and surface planarization, yielding higher-</w:t>
      </w:r>
      <w:r>
        <w:t>Q</w:t>
      </w:r>
      <w:r>
        <w:t xml:space="preserve"> </w:t>
      </w:r>
      <w:r>
        <w:t>resonances, whereas rigid spacers enhance crystallinity during Ostwald ripening–driven recrystallization, reducing lasing thresholds. Leveraging these insights, we demonstrate bound-state-in-the-continuum perovskite lasers achieving a record-high</w:t>
      </w:r>
      <w:r>
        <w:t xml:space="preserve"> </w:t>
      </w:r>
      <w:r>
        <w:t>Q</w:t>
      </w:r>
      <w:r>
        <w:t xml:space="preserve"> </w:t>
      </w:r>
      <w:r>
        <w:t>factor (up to 36,000) and low lasing thresholds (down to 5 microjoules per square centimeter) in separately optimized devices, while sustaining stable single-mode emission for over 151 hours under ambient conditions.</w:t>
      </w:r>
    </w:p>
    <w:p>
      <w:pPr>
        <w:spacing w:before="120" w:after="120"/>
      </w:pPr>
      <w:r>
        <w:rPr>
          <w:sz w:val="18"/>
        </w:rPr>
        <w:t>——————————————————————————————————————————————————————————————————————</w:t>
      </w:r>
    </w:p>
    <w:p>
      <w:pPr>
        <w:spacing w:before="160" w:after="40" w:line="240" w:lineRule="auto"/>
      </w:pPr>
      <w:r>
        <w:rPr>
          <w:b/>
        </w:rPr>
        <w:t xml:space="preserve">[589] </w:t>
      </w:r>
      <w:hyperlink r:id="rId1672">
        <w:r>
          <w:rPr>
            <w:color w:val="1155CC"/>
            <w:u w:val="single"/>
          </w:rPr>
          <w:t>重新评估孕激素受体亚型 PGR-A 和 PGR-B 在女性生育力中的作用</w:t>
        </w:r>
      </w:hyperlink>
    </w:p>
    <w:p>
      <w:pPr>
        <w:spacing w:before="0" w:after="80"/>
      </w:pPr>
      <w:r>
        <w:rPr>
          <w:i/>
          <w:sz w:val="20"/>
        </w:rPr>
        <w:t>EN: Reassessing the role of progesterone receptor isoforms PGR-A and PGR-B in female fertility</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73">
        <w:r>
          <w:rPr>
            <w:color w:val="1155CC"/>
            <w:u w:val="single"/>
          </w:rPr>
          <w:t>10.1126/sciadv.adz7757</w:t>
        </w:r>
      </w:hyperlink>
    </w:p>
    <w:p>
      <w:pPr>
        <w:spacing w:before="0" w:after="120"/>
      </w:pPr>
      <w:r>
        <w:rPr>
          <w:b/>
        </w:rPr>
        <w:t xml:space="preserve">Notes: </w:t>
      </w:r>
      <w:r>
        <w:t>abstract_source=crossref</w:t>
      </w:r>
    </w:p>
    <w:p>
      <w:pPr>
        <w:spacing w:before="0" w:after="80" w:lineRule="auto" w:line="276"/>
      </w:pPr>
      <w:r>
        <w:rPr>
          <w:b/>
        </w:rPr>
        <w:t xml:space="preserve">摘要（ZH）: </w:t>
      </w:r>
      <w:r>
        <w:t>黄体酮是一种重要的生殖激素，通过黄体酮受体转录调节因子发挥作用。短 PGR-A 亚型缺少 PGR-B 中存在的 164 个氨基酸的氨基末端区域，该区域可显着增强转录活性。使 PGR-A (PRAKO) 或 PGR-B (PRBKO) 失活的异构体特异性突变体表明 PGR-A 对于女性生育能力特别重要。这项研究修正了这一解释，表明 PRAKO 中无意的移码突变导致了两种异构体的消融，而不是预期的 PGR-A 异构体特异性突变。通过 CRISPR-Cas9 编辑产生的真正的 PGR-A 特异性突变体完全缺乏 PGR-A，但保留了 PGR-B 表达，显示出与野生型无法区分的表型。因此，虽然短 PGR-A 亚型具有独特的功能，但它对于雌性小鼠的繁殖并不是独立必需的，并且必须根据这一新信息重新考虑这些高度保守的亚型的生理作用。</w:t>
      </w:r>
    </w:p>
    <w:p>
      <w:pPr>
        <w:spacing w:before="0" w:after="200" w:lineRule="auto" w:line="276"/>
      </w:pPr>
      <w:r>
        <w:rPr>
          <w:b/>
        </w:rPr>
        <w:t xml:space="preserve">Abstract (EN): </w:t>
      </w:r>
      <w:r>
        <w:t>Progesterone is a critical reproductive hormone that acts via progesterone receptor transcriptional regulators. The short PGR-A isoform lacks a 164–amino acid amino-terminal region present in PGR-B that markedly enhances transcriptional activity. Isoform-specific mutants inactivating either PGR-A (PRAKO) or PGR-B (PRBKO) indicated that PGR-A is specifically essential for female fertility. This study revises that interpretation by showing that an inadvertent frameshift mutation in the PRAKO caused ablation of both isoforms, not the intended PGR-A isoform–specific mutation. A true PGR-A–specific mutant generated through CRISPR-Cas9 editing with a complete lack of PGR-A but retained PGR-B expression showed a phenotype indistinguishable from wild type. Thus, while the short PGR-A isoform has distinct function, it is not independently essential for female reproduction in mice, and the physiological role of these highly conserved isoforms must be reconsidered in light of this new information.</w:t>
      </w:r>
    </w:p>
    <w:p>
      <w:pPr>
        <w:spacing w:before="120" w:after="120"/>
      </w:pPr>
      <w:r>
        <w:rPr>
          <w:sz w:val="18"/>
        </w:rPr>
        <w:t>——————————————————————————————————————————————————————————————————————</w:t>
      </w:r>
    </w:p>
    <w:p>
      <w:pPr>
        <w:spacing w:before="160" w:after="40" w:line="240" w:lineRule="auto"/>
      </w:pPr>
      <w:r>
        <w:rPr>
          <w:b/>
        </w:rPr>
        <w:t xml:space="preserve">[590] </w:t>
      </w:r>
      <w:hyperlink r:id="rId1674">
        <w:r>
          <w:rPr>
            <w:color w:val="1155CC"/>
            <w:u w:val="single"/>
          </w:rPr>
          <w:t>对 Peng 等人的修正，用于癌症的高性能 &gt;1,300 nm NIR-II 荧光分子成像的章鱼探针</w:t>
        </w:r>
      </w:hyperlink>
    </w:p>
    <w:p>
      <w:pPr>
        <w:spacing w:before="0" w:after="80"/>
      </w:pPr>
      <w:r>
        <w:rPr>
          <w:i/>
          <w:sz w:val="20"/>
        </w:rPr>
        <w:t>EN: Correction for Peng et al., An Octopus probe for high-performance &gt;1,300 nm NIR-II fluorescence molecular imaging of cancer</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675">
        <w:r>
          <w:rPr>
            <w:color w:val="1155CC"/>
            <w:u w:val="single"/>
          </w:rPr>
          <w:t>10.1073/pnas.2625351123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[591] </w:t>
      </w:r>
      <w:hyperlink r:id="rId1676">
        <w:r>
          <w:rPr>
            <w:color w:val="1155CC"/>
            <w:u w:val="single"/>
          </w:rPr>
          <w:t>绳纹基因组学揭示欧亚大陆东部旧石器时代晚期狩猎采集者的寒冷适应</w:t>
        </w:r>
      </w:hyperlink>
    </w:p>
    <w:p>
      <w:pPr>
        <w:spacing w:before="0" w:after="80"/>
      </w:pPr>
      <w:r>
        <w:rPr>
          <w:i/>
          <w:sz w:val="20"/>
        </w:rPr>
        <w:t>EN: Jomon genomics reveal cold adaptation in Upper Paleolithic hunter-gatherers of eastern Eurasia</w:t>
      </w:r>
    </w:p>
    <w:p>
      <w:pPr>
        <w:spacing w:before="0" w:after="120"/>
      </w:pPr>
      <w:r>
        <w:rPr>
          <w:b/>
        </w:rPr>
        <w:t xml:space="preserve">Source: </w:t>
      </w:r>
      <w:r>
        <w:t>AAAS: Science Advances: Table of Contents</w:t>
      </w:r>
      <w:r>
        <w:t xml:space="preserve">    </w:t>
      </w:r>
      <w:r>
        <w:rPr>
          <w:b/>
        </w:rPr>
        <w:t xml:space="preserve">Pub date: </w:t>
      </w:r>
      <w:r>
        <w:t>2026-08-12 07:00:00+00:00</w:t>
      </w:r>
      <w:r>
        <w:t xml:space="preserve">    </w:t>
      </w:r>
      <w:r>
        <w:rPr>
          <w:b/>
        </w:rPr>
        <w:t xml:space="preserve">DOI: </w:t>
      </w:r>
      <w:hyperlink r:id="rId1677">
        <w:r>
          <w:rPr>
            <w:color w:val="1155CC"/>
            <w:u w:val="single"/>
          </w:rPr>
          <w:t>10.1126/sciadv.aea7469</w:t>
        </w:r>
      </w:hyperlink>
    </w:p>
    <w:p>
      <w:pPr>
        <w:spacing w:before="0" w:after="120"/>
      </w:pPr>
      <w:r>
        <w:rPr>
          <w:b/>
        </w:rPr>
        <w:t xml:space="preserve">Notes: </w:t>
      </w:r>
      <w:r>
        <w:t>abstract_source=crossref</w:t>
      </w:r>
    </w:p>
    <w:p>
      <w:pPr>
        <w:spacing w:before="0" w:after="80" w:lineRule="auto" w:line="276"/>
      </w:pPr>
      <w:r>
        <w:rPr>
          <w:b/>
        </w:rPr>
        <w:t xml:space="preserve">摘要（ZH）: </w:t>
      </w:r>
      <w:r>
        <w:t>怎么做到的</w:t>
      </w:r>
      <w:r>
        <w:t xml:space="preserve"> </w:t>
      </w:r>
      <w:r>
        <w:t>智人</w:t>
      </w:r>
      <w:r>
        <w:t xml:space="preserve"> </w:t>
      </w:r>
      <w:r>
        <w:t>在欧亚大陆扩散期间在极端环境中茁壮成长？解开使人类在末次盛冰期（LGM）期间得以生存的适应性仍然至关重要。在这里，我们分析了日本群岛全新世狩猎采集者（绳文）的 42 个基因组，揭示了他们来自一个孤立的旧石器时代晚期 (UP) 东欧亚血统的深厚血统。我们检测到从北上西伯利亚人到绳文人的基因流，调和了生物人类学和考古学之间关于东亚人的长期争论。我们没有发现绳文特有的丹尼索瓦人血统，这表明他们在末期盛世与大陆人分歧之前存在共同的基因渗入。此外，我们发现了与绳纹UP祖先的寒冷适应一致的证据，突出了不同的生理途径。我们的研究为研究UP东欧亚人的古代适应提供了第一个古基因组框架之一，揭示了当今人类来自较寒冷的过去的进化遗产。</w:t>
      </w:r>
    </w:p>
    <w:p>
      <w:pPr>
        <w:spacing w:before="0" w:after="200" w:lineRule="auto" w:line="276"/>
      </w:pPr>
      <w:r>
        <w:rPr>
          <w:b/>
        </w:rPr>
        <w:t xml:space="preserve">Abstract (EN): </w:t>
      </w:r>
      <w:r>
        <w:t>How did</w:t>
      </w:r>
      <w:r>
        <w:t xml:space="preserve"> </w:t>
      </w:r>
      <w:r>
        <w:t>Homo sapiens</w:t>
      </w:r>
      <w:r>
        <w:t xml:space="preserve"> </w:t>
      </w:r>
      <w:r>
        <w:t>thrive in extreme environments during their dispersal across Eurasia? Unraveling adaptations that enabled human survival during the Last Glacial Maximum (LGM) remains critical. Here, we analyze 42 genomes from Holocene hunter-gatherers (Jomon) in the Japanese archipelago, revealing their deep ancestry from an isolated Upper Paleolithic (UP) East Eurasian lineage. We detect gene flow from northern UP Siberians into Jomon, reconciling long-standing debates between bioanthropology and archaeology regarding East Asian peopling. We find no Jomon-specific Denisovan ancestry, suggesting shared introgression before their LGM divergence from mainlanders. Furthermore, we find evidence consistent with cold adaptation in Jomon UP ancestry, highlighting diverse physiological pathways. Our study provides one of the first paleogenomic frameworks for investigating ancient adaptations in UP East Eurasians, revealing an evolutionary legacy from a colder past in present-day humans.</w:t>
      </w:r>
    </w:p>
    <w:p>
      <w:pPr>
        <w:spacing w:before="120" w:after="120"/>
      </w:pPr>
      <w:r>
        <w:rPr>
          <w:sz w:val="18"/>
        </w:rPr>
        <w:t>——————————————————————————————————————————————————————————————————————</w:t>
      </w:r>
    </w:p>
    <w:p>
      <w:pPr>
        <w:spacing w:before="160" w:after="40" w:line="240" w:lineRule="auto"/>
      </w:pPr>
      <w:r>
        <w:rPr>
          <w:b/>
        </w:rPr>
        <w:t xml:space="preserve">[592] </w:t>
      </w:r>
      <w:hyperlink r:id="rId1678">
        <w:r>
          <w:rPr>
            <w:color w:val="1155CC"/>
            <w:u w:val="single"/>
          </w:rPr>
          <w:t>伯顿·H·辛格（Burton H. Singer，1938-2026）：跨学科的遗产</w:t>
        </w:r>
      </w:hyperlink>
    </w:p>
    <w:p>
      <w:pPr>
        <w:spacing w:before="0" w:after="80"/>
      </w:pPr>
      <w:r>
        <w:rPr>
          <w:i/>
          <w:sz w:val="20"/>
        </w:rPr>
        <w:t>EN: Burton H. Singer (1938–2026): A legacy across disciplines</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679">
        <w:r>
          <w:rPr>
            <w:color w:val="1155CC"/>
            <w:u w:val="single"/>
          </w:rPr>
          <w:t>10.1073/pnas.2620887123</w:t>
        </w:r>
      </w:hyperlink>
    </w:p>
    <w:p>
      <w:pPr>
        <w:spacing w:before="0" w:after="120"/>
      </w:pPr>
      <w:r>
        <w:rPr>
          <w:b/>
        </w:rPr>
        <w:t xml:space="preserve">Notes: </w:t>
      </w:r>
      <w:r>
        <w:t>abstract_source=crossref</w:t>
      </w:r>
    </w:p>
    <w:p>
      <w:pPr>
        <w:spacing w:before="0" w:after="80" w:lineRule="auto" w:line="276"/>
      </w:pPr>
      <w:r>
        <w:rPr>
          <w:b/>
        </w:rPr>
        <w:t xml:space="preserve">摘要（ZH）: </w:t>
      </w:r>
      <w:r>
        <w:t>伯顿·辛格 (Burton Singer) 于 1994 年当选为美国国家科学院院士，于 2005 年当选为美国国家医学院院士，于 2026 年 2 月 15 日去世，享年 87 岁。他的职业生涯跨越了统计学、流行病学、经济学、人口学、生态学和公共卫生领域，超越了传统的学术界限。他将随机过程理论的严谨性应用于从劳动力市场动态和人口变化到热带疾病流行病学、公共卫生政策和环境管理等一系列问题。他创立了耶鲁大学公共卫生学院，担任国家研究委员会国家统计委员会主席，并领导了世界卫生组织的热带病研究治理。然而，同事们对他的冒险精神、不知疲倦的慷慨和不敬的幽默和他的成就一样记忆犹新。</w:t>
      </w:r>
    </w:p>
    <w:p>
      <w:pPr>
        <w:spacing w:before="0" w:after="200" w:lineRule="auto" w:line="276"/>
      </w:pPr>
      <w:r>
        <w:rPr>
          <w:b/>
        </w:rPr>
        <w:t xml:space="preserve">Abstract (EN): </w:t>
      </w:r>
      <w:r>
        <w:t>Burton Singer, elected to the National Academy of Sciences in 1994 and the National Academy of Medicine in 2005, died on February 15, 2026, at age 87. Moving seamlessly across statistics, epidemiology, economics, demography, ecology, and public health, his career transcended conventional academic boundaries. He brought the rigor of stochastic process theory to problems ranging from labor market dynamics and demographic change to tropical disease epidemiology, public health policy, and environmental stewardship. He founded the Yale School of Public Health, chaired the National Research Council’s Committee on National Statistics, and led tropical disease research governance for the World Health Organization. Yet colleagues recall his adventurous spirit, indefatigable generosity, and irreverent humor as vividly as his accomplishments.</w:t>
      </w:r>
    </w:p>
    <w:p>
      <w:pPr>
        <w:spacing w:before="120" w:after="120"/>
      </w:pPr>
      <w:r>
        <w:rPr>
          <w:sz w:val="18"/>
        </w:rPr>
        <w:t>——————————————————————————————————————————————————————————————————————</w:t>
      </w:r>
    </w:p>
    <w:p>
      <w:pPr>
        <w:spacing w:before="160" w:after="40" w:line="240" w:lineRule="auto"/>
      </w:pPr>
      <w:r>
        <w:rPr>
          <w:b/>
        </w:rPr>
        <w:t xml:space="preserve">[593] </w:t>
      </w:r>
      <w:hyperlink r:id="rId1680">
        <w:r>
          <w:rPr>
            <w:color w:val="1155CC"/>
            <w:u w:val="single"/>
          </w:rPr>
          <w:t>常识认知中的递归心智化和公众显着性</w:t>
        </w:r>
      </w:hyperlink>
    </w:p>
    <w:p>
      <w:pPr>
        <w:spacing w:before="0" w:after="80"/>
      </w:pPr>
      <w:r>
        <w:rPr>
          <w:i/>
          <w:sz w:val="20"/>
        </w:rPr>
        <w:t>EN: Recursive mentalizing and public salience in the perception of common knowledge</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681">
        <w:r>
          <w:rPr>
            <w:color w:val="1155CC"/>
            <w:u w:val="single"/>
          </w:rPr>
          <w:t>10.1073/pnas.2536294123</w:t>
        </w:r>
      </w:hyperlink>
    </w:p>
    <w:p>
      <w:pPr>
        <w:spacing w:before="0" w:after="120"/>
      </w:pPr>
      <w:r>
        <w:rPr>
          <w:b/>
        </w:rPr>
        <w:t xml:space="preserve">Notes: </w:t>
      </w:r>
      <w:r>
        <w:t>abstract_source=crossref</w:t>
      </w:r>
    </w:p>
    <w:p>
      <w:pPr>
        <w:spacing w:before="0" w:after="80" w:lineRule="auto" w:line="276"/>
      </w:pPr>
      <w:r>
        <w:rPr>
          <w:b/>
        </w:rPr>
        <w:t xml:space="preserve">摘要（ZH）: </w:t>
      </w:r>
      <w:r>
        <w:t>理论上，常识是协调所必需的，即人人都知道、人人都知道的知识。但有限的思维无法代表无限嵌入的命题，甚至其中一些命题也会造成认知负担。我们提出，人们通过将递归心智化的能力有限的能力与公众显着性的直觉相结合来感知常识：当共同公开见证一个事件时，他们推断递归嵌入的信念是被许可的。我们调查了参与者将嵌入的信念归因于虚构小插曲中的人物。研究 1 所呈现的叙述中，人物可获得的信息要么是不对称的、互惠的，要么是公开的。参与者用 0、2、4、6 和 18 个嵌入表示他们对角色信念的信心（后者是间接判断的）。评级显示，i）嵌入数量下降，反映了认知负荷；ii）非公开条件下嵌入信念的适度过度归因；iii）公共条件下嵌入信念的归因要高得多；iv）高度间接判断，认为任意深度的信念是合理的。研究 2 通过动画视频复制了这些发现，其中角色的信息是私人的、互惠的、双重互惠的或公开的。总之，这些研究表明，人们将常识归因于公共重大事件的观察者，同时容易受到能力驱动的递归崩溃和启发式外推（错误的嵌入信念）的影响。这可以解释人类如何从稀疏的线索中实现协调，但是</w:t>
      </w:r>
    </w:p>
    <w:p>
      <w:pPr>
        <w:spacing w:before="0" w:after="200" w:lineRule="auto" w:line="276"/>
      </w:pPr>
      <w:r>
        <w:rPr>
          <w:b/>
        </w:rPr>
        <w:t xml:space="preserve">Abstract (EN): </w:t>
      </w:r>
      <w:r>
        <w:t>Common knowledge—what everyone knows that everyone knows, ad infinitum—is theoretically required for coordination. But a finite mind cannot represent infinitely embedded propositions, and even a few are cognitively taxing. We propose that people perceive common knowledge by combining a capacity-limited ability for recursive mentalizing with an intuitive sense of public salience: When an event is jointly and openly witnessed, they infer that recursively embedded beliefs are licensed. We probed participants’ attributions of embedded beliefs to characters in fictitious vignettes. Study 1 presented narratives in which the information available to characters was either asymmetrical, reciprocal, or public. Participants indicated their confidence in the characters’ beliefs with 0, 2, 4, 6, and 18 embeddings (the latter judged indirectly). Ratings showed i) a decline with number of embeddings, reflecting cognitive load, ii) modest overattribution of embedded beliefs in the nonpublic conditions, iii) far higher attribution of embedded beliefs in the public conditions, and iv) high indirect judgments that arbitrarily deep beliefs were justified. Study 2 replicated these findings with animated videos in which the characters’ information was private, reciprocal, doubly reciprocal, or public. Together, the studies indicate that people attribute common knowledge to observers of a publicly salient event, while being susceptible to capacity-driven recursion collapse and heuristic extrapolation (false embedded beliefs). This can explain how humans achieve coordination from sparse cues, yet sometimes miscoordinate when publicness is absent or embedding grows complex.</w:t>
      </w:r>
    </w:p>
    <w:p>
      <w:pPr>
        <w:spacing w:before="120" w:after="120"/>
      </w:pPr>
      <w:r>
        <w:rPr>
          <w:sz w:val="18"/>
        </w:rPr>
        <w:t>——————————————————————————————————————————————————————————————————————</w:t>
      </w:r>
    </w:p>
    <w:p>
      <w:pPr>
        <w:spacing w:before="160" w:after="40" w:line="240" w:lineRule="auto"/>
      </w:pPr>
      <w:r>
        <w:rPr>
          <w:b/>
        </w:rPr>
        <w:t xml:space="preserve">[594] </w:t>
      </w:r>
      <w:hyperlink r:id="rId1682">
        <w:r>
          <w:rPr>
            <w:color w:val="1155CC"/>
            <w:u w:val="single"/>
          </w:rPr>
          <w:t>尽管有共同的偏好、生态和进化历史，但同域羽鳍慈鲷之间的决策规则存在差异</w:t>
        </w:r>
      </w:hyperlink>
    </w:p>
    <w:p>
      <w:pPr>
        <w:spacing w:before="0" w:after="80"/>
      </w:pPr>
      <w:r>
        <w:rPr>
          <w:i/>
          <w:sz w:val="20"/>
        </w:rPr>
        <w:t>EN: Decision rules diverge between sympatric Featherfin cichlids despite shared preferences, ecology, and evolutionary history</w:t>
      </w:r>
    </w:p>
    <w:p>
      <w:pPr>
        <w:spacing w:before="0" w:after="120"/>
      </w:pPr>
      <w:r>
        <w:rPr>
          <w:b/>
        </w:rPr>
        <w:t xml:space="preserve">Source: </w:t>
      </w:r>
      <w:r>
        <w:t>Proceedings of the National Academy of Sciences: Keyword search for query</w:t>
      </w:r>
      <w:r>
        <w:t xml:space="preserve">    </w:t>
      </w:r>
      <w:r>
        <w:rPr>
          <w:b/>
        </w:rPr>
        <w:t xml:space="preserve">Pub date: </w:t>
      </w:r>
      <w:r>
        <w:t>2026-08-12 07:00:00+00:00</w:t>
      </w:r>
      <w:r>
        <w:t xml:space="preserve">    </w:t>
      </w:r>
      <w:r>
        <w:rPr>
          <w:b/>
        </w:rPr>
        <w:t xml:space="preserve">DOI: </w:t>
      </w:r>
      <w:hyperlink r:id="rId1683">
        <w:r>
          <w:rPr>
            <w:color w:val="1155CC"/>
            <w:u w:val="single"/>
          </w:rPr>
          <w:t>10.1073/pnas.2620602123</w:t>
        </w:r>
      </w:hyperlink>
    </w:p>
    <w:p>
      <w:pPr>
        <w:spacing w:before="0" w:after="120"/>
      </w:pPr>
      <w:r>
        <w:rPr>
          <w:b/>
        </w:rPr>
        <w:t xml:space="preserve">Notes: </w:t>
      </w:r>
      <w:r>
        <w:t>abstract_source=crossref</w:t>
      </w:r>
    </w:p>
    <w:p>
      <w:pPr>
        <w:spacing w:before="0" w:after="80" w:lineRule="auto" w:line="276"/>
      </w:pPr>
      <w:r>
        <w:rPr>
          <w:b/>
        </w:rPr>
        <w:t xml:space="preserve">摘要（ZH）: </w:t>
      </w:r>
      <w:r>
        <w:t>据推测，动物决策过程的差异可归因于信息处理机制的差异。然而，对这一想法所需的比较测试受到物种之间生态、感知或动机差异的阻碍，这些差异混淆了决策过程的直接分析。为了克服这些限制，我们研究了两种密切相关的同域慈鲷鱼（</w:t>
      </w:r>
      <w:r>
        <w:t xml:space="preserve"> </w:t>
      </w:r>
      <w:r>
        <w:t>德文蒂鲫</w:t>
      </w:r>
      <w:r>
        <w:t xml:space="preserve"> </w:t>
      </w:r>
      <w:r>
        <w:t>和</w:t>
      </w:r>
      <w:r>
        <w:t xml:space="preserve"> </w:t>
      </w:r>
      <w:r>
        <w:t>鲫鱼</w:t>
      </w:r>
      <w:r>
        <w:t xml:space="preserve"> </w:t>
      </w:r>
      <w:r>
        <w:t>）共享视觉能力、生态环境和物体移除动机，我们利用人类心理学研究的既定范式对野生动物的决策策略分歧进行系统评估。在坦噶尼喀湖进行的一系列现场认知实验（包括 5000 多次试验）中，我们首先发现这两个物种在低知觉负荷下做出相似的决定，具有相同的大小和颜色偏好以及类似的奇怪效应。然而，当任务复杂性增加并且选择需要整合相互冲突的特征时，物种的决策就会出现分歧。</w:t>
      </w:r>
      <w:r>
        <w:t xml:space="preserve"> </w:t>
      </w:r>
      <w:r>
        <w:t>毛皮毛蠹</w:t>
      </w:r>
      <w:r>
        <w:t xml:space="preserve"> </w:t>
      </w:r>
      <w:r>
        <w:t>根据单一主导特征做出快速、一致的决策，而</w:t>
      </w:r>
      <w:r>
        <w:t xml:space="preserve"> </w:t>
      </w:r>
      <w:r>
        <w:t>A. 德温蒂</w:t>
      </w:r>
      <w:r>
        <w:t xml:space="preserve"> </w:t>
      </w:r>
      <w:r>
        <w:t>花了更长的时间来决定并整合选项的所有功能。诱饵范式证实了这一点</w:t>
      </w:r>
      <w:r>
        <w:t xml:space="preserve"> </w:t>
      </w:r>
      <w:r>
        <w:t>A. 德温蒂</w:t>
      </w:r>
      <w:r>
        <w:t xml:space="preserve"> </w:t>
      </w:r>
      <w:r>
        <w:t>主要依赖于现有信息。这些发现表明，密切相关的物种可以表现出</w:t>
      </w:r>
    </w:p>
    <w:p>
      <w:pPr>
        <w:spacing w:before="0" w:after="200" w:lineRule="auto" w:line="276"/>
      </w:pPr>
      <w:r>
        <w:rPr>
          <w:b/>
        </w:rPr>
        <w:t xml:space="preserve">Abstract (EN): </w:t>
      </w:r>
      <w:r>
        <w:t>It has been hypothesized that divergence in animal decision processes can be attributed to differences in information processing mechanisms. However, the required comparative tests of this idea are hindered by ecological, perceptual, or motivational divergence among species that confound a direct analysis of decision processes. To overcome these limitations, we study two closely related, sympatric cichlid fishes (</w:t>
      </w:r>
      <w:r>
        <w:t xml:space="preserve"> </w:t>
      </w:r>
      <w:r>
        <w:t>Aulonocranus dewindti</w:t>
      </w:r>
      <w:r>
        <w:t xml:space="preserve"> </w:t>
      </w:r>
      <w:r>
        <w:t>and</w:t>
      </w:r>
      <w:r>
        <w:t xml:space="preserve"> </w:t>
      </w:r>
      <w:r>
        <w:t>Cyathopharynx furcifer</w:t>
      </w:r>
      <w:r>
        <w:t xml:space="preserve"> </w:t>
      </w:r>
      <w:r>
        <w:t>) that share visual capacities, ecological context and object-removal motivations, and we perform a systematic assessment of decisional strategy divergence in wild animals, using established paradigms from human psychology research. In a series of in situ field cognitive experiments in Lake Tanganyika, comprising over 5,000 trials, we first find that the two species make similar decisions under low perceptual load, with identical size and color preferences and comparable oddity effects. Yet, when task complexity increased and choices required integrating conflicting features, the species’ decisions diverged.</w:t>
      </w:r>
      <w:r>
        <w:t xml:space="preserve"> </w:t>
      </w:r>
      <w:r>
        <w:t>C. furcifer</w:t>
      </w:r>
      <w:r>
        <w:t xml:space="preserve"> </w:t>
      </w:r>
      <w:r>
        <w:t>made rapid, consistent decisions based on a single dominant feature, whereas</w:t>
      </w:r>
      <w:r>
        <w:t xml:space="preserve"> </w:t>
      </w:r>
      <w:r>
        <w:t>A. dewindti</w:t>
      </w:r>
      <w:r>
        <w:t xml:space="preserve"> </w:t>
      </w:r>
      <w:r>
        <w:t>took longer to decide and integrated all features of the options. A decoy paradigm confirmed that</w:t>
      </w:r>
      <w:r>
        <w:t xml:space="preserve"> </w:t>
      </w:r>
      <w:r>
        <w:t>A. dewindti</w:t>
      </w:r>
      <w:r>
        <w:t xml:space="preserve"> </w:t>
      </w:r>
      <w:r>
        <w:t>’s primarily relied on available information. These findings show that closely related species can exhibit markedly different decision outcomes despite sharing sensory abilities, ecological context, and baseline preferences. The observed divergence is consistent with differences in prioritization and integration of information under complex conditions.</w:t>
      </w:r>
    </w:p>
    <w:p>
      <w:pPr>
        <w:spacing w:before="120" w:after="120"/>
      </w:pPr>
      <w:r>
        <w:rPr>
          <w:sz w:val="18"/>
        </w:rPr>
        <w:t>——————————————————————————————————————————————————————————————————————</w:t>
      </w:r>
    </w:p>
    <w:p>
      <w:pPr>
        <w:spacing w:before="160" w:after="40" w:line="240" w:lineRule="auto"/>
      </w:pPr>
      <w:r>
        <w:rPr>
          <w:b/>
        </w:rPr>
        <w:t xml:space="preserve">[595] </w:t>
      </w:r>
      <w:hyperlink r:id="rId1684">
        <w:r>
          <w:rPr>
            <w:color w:val="1155CC"/>
            <w:u w:val="single"/>
          </w:rPr>
          <w:t>单层 CMOS 通用范德华隧道注入器</w:t>
        </w:r>
      </w:hyperlink>
    </w:p>
    <w:p>
      <w:pPr>
        <w:spacing w:before="0" w:after="80"/>
      </w:pPr>
      <w:r>
        <w:rPr>
          <w:i/>
          <w:sz w:val="20"/>
        </w:rPr>
        <w:t>EN: A Universal van der Waals Tunneling Injector for Monolayer CMOS</w:t>
      </w:r>
    </w:p>
    <w:p>
      <w:pPr>
        <w:spacing w:before="0" w:after="120"/>
      </w:pPr>
      <w:r>
        <w:rPr>
          <w:b/>
        </w:rPr>
        <w:t xml:space="preserve">Source: </w:t>
      </w:r>
      <w:r>
        <w:t>Wiley: Advanced Materials: Table of Contents</w:t>
      </w:r>
      <w:r>
        <w:t xml:space="preserve">    </w:t>
      </w:r>
      <w:r>
        <w:rPr>
          <w:b/>
        </w:rPr>
        <w:t xml:space="preserve">Pub date: </w:t>
      </w:r>
      <w:r>
        <w:t>2026-08-12 07:40:11+00:00</w:t>
      </w:r>
      <w:r>
        <w:t xml:space="preserve">    </w:t>
      </w:r>
      <w:r>
        <w:rPr>
          <w:b/>
        </w:rPr>
        <w:t xml:space="preserve">DOI: </w:t>
      </w:r>
      <w:hyperlink r:id="rId1685">
        <w:r>
          <w:rPr>
            <w:color w:val="1155CC"/>
            <w:u w:val="single"/>
          </w:rPr>
          <w:t>10.1002/adma.74597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 (2D) 半导体有望将逻辑技术扩展到原子厚度极限，但单层互补金属氧化物半导体 (CMOS) 在很大程度上受到极性依赖、热电子发射主导的接触的阻碍，这些接触阻碍了统一的注入解决方案。在这里，我们介绍简并掺杂的结晶 SnSe</w:t>
      </w:r>
      <w:r>
        <w:rPr>
          <w:vertAlign w:val="subscript"/>
        </w:rPr>
        <w:t>2</w:t>
      </w:r>
      <w:r>
        <w:t>作为通用源侧范德华（vdW）注入器，能够强制全隧道载流子注入到两个</w:t>
      </w:r>
      <w:r>
        <w:t xml:space="preserve"> </w:t>
      </w:r>
      <w:r>
        <w:t>p</w:t>
      </w:r>
      <w:r>
        <w:t xml:space="preserve"> </w:t>
      </w:r>
      <w:r>
        <w:t>‐ 和</w:t>
      </w:r>
      <w:r>
        <w:t xml:space="preserve"> </w:t>
      </w:r>
      <w:r>
        <w:t>n</w:t>
      </w:r>
      <w:r>
        <w:t xml:space="preserve"> </w:t>
      </w:r>
      <w:r>
        <w:t>‐型单层通道。大电子亲和力 (∼5.1 eV)、简并载流子密度 (&gt;10</w:t>
      </w:r>
      <w:r>
        <w:rPr>
          <w:vertAlign w:val="subscript"/>
        </w:rPr>
        <w:t>19</w:t>
      </w:r>
      <w:r>
        <w:t>厘米</w:t>
      </w:r>
      <w:r>
        <w:t xml:space="preserve"> </w:t>
      </w:r>
      <w:r>
        <w:t>−3</w:t>
      </w:r>
      <w:r>
        <w:t xml:space="preserve"> </w:t>
      </w:r>
      <w:r>
        <w:t>），原子均匀的 vdW 界面耦合可以实现极性定制的隧道机制，同时有效抑制界面间隙状态。在</w:t>
      </w:r>
      <w:r>
        <w:t xml:space="preserve"> </w:t>
      </w:r>
      <w:r>
        <w:t>p</w:t>
      </w:r>
      <w:r>
        <w:t xml:space="preserve"> </w:t>
      </w:r>
      <w:r>
        <w:t>‐WSe型</w:t>
      </w:r>
      <w:r>
        <w:rPr>
          <w:vertAlign w:val="subscript"/>
        </w:rPr>
        <w:t>2</w:t>
      </w:r>
      <w:r>
        <w:t>，III 型（断隙）排列可驱动高效的带间隧道效应，与传统金属电极相比，驱动电流增强了 1000 倍以上。在</w:t>
      </w:r>
      <w:r>
        <w:t xml:space="preserve"> </w:t>
      </w:r>
      <w:r>
        <w:t>n</w:t>
      </w:r>
      <w:r>
        <w:t xml:space="preserve"> </w:t>
      </w:r>
      <w:r>
        <w:t>‐型MoS</w:t>
      </w:r>
      <w:r>
        <w:rPr>
          <w:vertAlign w:val="subscript"/>
        </w:rPr>
        <w:t>2</w:t>
      </w:r>
      <w:r>
        <w:t>, 硒化锡</w:t>
      </w:r>
      <w:r>
        <w:rPr>
          <w:vertAlign w:val="subscript"/>
        </w:rPr>
        <w:t>2</w:t>
      </w:r>
      <w:r>
        <w:t>注入器在亚耗尽宽度单层体内形成 I 型异质结，从而实现从场控 Fowler-Nordheim 类演化而来的栅极可调注入</w:t>
      </w:r>
    </w:p>
    <w:p>
      <w:pPr>
        <w:spacing w:before="0" w:after="200" w:lineRule="auto" w:line="276"/>
      </w:pPr>
      <w:r>
        <w:rPr>
          <w:b/>
        </w:rPr>
        <w:t xml:space="preserve">Abstract (EN): </w:t>
      </w:r>
      <w:r>
        <w:t>Two‐dimensional (2D) semiconductors are poised to extend logic technology to the atomic‐thickness limit, yet monolayer complementary metal‐oxide‐semiconductor (CMOS) has been largely hampered by polarity‐dependent, thermionic‐emission‐dominated contacts that preclude a unified injection solution. Here, we introduce degenerately doped, crystalline SnSe</w:t>
      </w:r>
      <w:r>
        <w:rPr>
          <w:vertAlign w:val="subscript"/>
        </w:rPr>
        <w:t>2</w:t>
      </w:r>
      <w:r>
        <w:t>as a universal source‐side van der Waals (vdW) injector capable of enforcing all‐tunneling carrier injection into both</w:t>
      </w:r>
      <w:r>
        <w:t xml:space="preserve"> </w:t>
      </w:r>
      <w:r>
        <w:t>p</w:t>
      </w:r>
      <w:r>
        <w:t xml:space="preserve"> </w:t>
      </w:r>
      <w:r>
        <w:t>‐ and</w:t>
      </w:r>
      <w:r>
        <w:t xml:space="preserve"> </w:t>
      </w:r>
      <w:r>
        <w:t>n</w:t>
      </w:r>
      <w:r>
        <w:t xml:space="preserve"> </w:t>
      </w:r>
      <w:r>
        <w:t>‐type monolayer channels. The combination of a large electron affinity (∼5.1 eV), degenerate carrier density (&amp;gt;10</w:t>
      </w:r>
      <w:r>
        <w:rPr>
          <w:vertAlign w:val="subscript"/>
        </w:rPr>
        <w:t>19</w:t>
      </w:r>
      <w:r>
        <w:t>cm</w:t>
      </w:r>
      <w:r>
        <w:t xml:space="preserve"> </w:t>
      </w:r>
      <w:r>
        <w:t>−3</w:t>
      </w:r>
      <w:r>
        <w:t xml:space="preserve"> </w:t>
      </w:r>
      <w:r>
        <w:t>), and atomically uniform vdW interfacial coupling enables polarity‐tailored tunneling mechanisms while effectively suppressing interfacial gap states. In</w:t>
      </w:r>
      <w:r>
        <w:t xml:space="preserve"> </w:t>
      </w:r>
      <w:r>
        <w:t>p</w:t>
      </w:r>
      <w:r>
        <w:t xml:space="preserve"> </w:t>
      </w:r>
      <w:r>
        <w:t>‐type WSe</w:t>
      </w:r>
      <w:r>
        <w:rPr>
          <w:vertAlign w:val="subscript"/>
        </w:rPr>
        <w:t>2</w:t>
      </w:r>
      <w:r>
        <w:t>, a type‐III (broken gap) alignment drives efficient band‐to‐band tunneling, yielding a &amp;gt;1000‐fold enhancement in drive current over conventional metal electrodes. In</w:t>
      </w:r>
      <w:r>
        <w:t xml:space="preserve"> </w:t>
      </w:r>
      <w:r>
        <w:t>n</w:t>
      </w:r>
      <w:r>
        <w:t xml:space="preserve"> </w:t>
      </w:r>
      <w:r>
        <w:t>‐type MoS</w:t>
      </w:r>
      <w:r>
        <w:rPr>
          <w:vertAlign w:val="subscript"/>
        </w:rPr>
        <w:t>2</w:t>
      </w:r>
      <w:r>
        <w:t>, the SnSe</w:t>
      </w:r>
      <w:r>
        <w:rPr>
          <w:vertAlign w:val="subscript"/>
        </w:rPr>
        <w:t>2</w:t>
      </w:r>
      <w:r>
        <w:t>injector forms a type‐I heterojunction within the sub‐depletion‐width monolayer body, enabling a gate‐tunable injection that evolves from field‐controlled Fowler–Nordheim‐like tunneling to thickness‐limited tunneling, achieving an on/off ratio &amp;gt; 10</w:t>
      </w:r>
      <w:r>
        <w:rPr>
          <w:vertAlign w:val="subscript"/>
        </w:rPr>
        <w:t>9</w:t>
      </w:r>
      <w:r>
        <w:t>and a subthreshold swing below 70 mV dec</w:t>
      </w:r>
      <w:r>
        <w:t xml:space="preserve"> </w:t>
      </w:r>
      <w:r>
        <w:t>−1</w:t>
      </w:r>
      <w:r>
        <w:t xml:space="preserve"> </w:t>
      </w:r>
      <w:r>
        <w:t>. Integrating this single‐material injector, we demonstrate a monolayer CMOS inverter with a maximum voltage gain of ∼340 at</w:t>
      </w:r>
      <w:r>
        <w:t xml:space="preserve"> </w:t>
      </w:r>
      <w:r>
        <w:t>V</w:t>
      </w:r>
      <w:r>
        <w:t xml:space="preserve"> </w:t>
      </w:r>
      <w:r>
        <w:t>DD</w:t>
      </w:r>
      <w:r>
        <w:t xml:space="preserve"> </w:t>
      </w:r>
      <w:r>
        <w:t>= 2 V, establishing degenerate SnSe</w:t>
      </w:r>
      <w:r>
        <w:rPr>
          <w:vertAlign w:val="subscript"/>
        </w:rPr>
        <w:t>2</w:t>
      </w:r>
      <w:r>
        <w:t>as a dual‐polarity vdW injector and providing a platform for high‐performance, low‐power 2D integrated circuits.</w:t>
      </w:r>
    </w:p>
    <w:p>
      <w:pPr>
        <w:spacing w:before="120" w:after="120"/>
      </w:pPr>
      <w:r>
        <w:rPr>
          <w:sz w:val="18"/>
        </w:rPr>
        <w:t>——————————————————————————————————————————————————————————————————————</w:t>
      </w:r>
    </w:p>
    <w:p>
      <w:pPr>
        <w:spacing w:before="160" w:after="40" w:line="240" w:lineRule="auto"/>
      </w:pPr>
      <w:r>
        <w:rPr>
          <w:b/>
        </w:rPr>
        <w:t xml:space="preserve">[596] </w:t>
      </w:r>
      <w:hyperlink r:id="rId1686">
        <w:r>
          <w:rPr>
            <w:color w:val="1155CC"/>
            <w:u w:val="single"/>
          </w:rPr>
          <w:t>预先设计的碳空位通过稳定保护性 M-C-O 界面来释放高熵碳化物的卓越抗氧化性</w:t>
        </w:r>
      </w:hyperlink>
    </w:p>
    <w:p>
      <w:pPr>
        <w:spacing w:before="0" w:after="80"/>
      </w:pPr>
      <w:r>
        <w:rPr>
          <w:i/>
          <w:sz w:val="20"/>
        </w:rPr>
        <w:t>EN: Predesigned Carbon Vacancies Unlock Superior Oxidation Resistance of High‐Entropy Carbides by Stabilizing a Protective M–C–O Interphase</w:t>
      </w:r>
    </w:p>
    <w:p>
      <w:pPr>
        <w:spacing w:before="0" w:after="120"/>
      </w:pPr>
      <w:r>
        <w:rPr>
          <w:b/>
        </w:rPr>
        <w:t xml:space="preserve">Source: </w:t>
      </w:r>
      <w:r>
        <w:t>Wiley: Advanced Materials: Table of Contents</w:t>
      </w:r>
      <w:r>
        <w:t xml:space="preserve">    </w:t>
      </w:r>
      <w:r>
        <w:rPr>
          <w:b/>
        </w:rPr>
        <w:t xml:space="preserve">Pub date: </w:t>
      </w:r>
      <w:r>
        <w:t>2026-08-12 07:44:12+00:00</w:t>
      </w:r>
      <w:r>
        <w:t xml:space="preserve">    </w:t>
      </w:r>
      <w:r>
        <w:rPr>
          <w:b/>
        </w:rPr>
        <w:t xml:space="preserve">DOI: </w:t>
      </w:r>
      <w:hyperlink r:id="rId1687">
        <w:r>
          <w:rPr>
            <w:color w:val="1155CC"/>
            <w:u w:val="single"/>
          </w:rPr>
          <w:t>10.1002/adma.74592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高熵碳化物（HEC）的初始氧化阶段是一个决定性但人们知之甚少的“黑匣子”，它决定着它们在超高温应用中的最终性能。在这里，我们推出了一个强大的策略——预先设计碳空位——从根本上增强 HEC 的抗氧化性。通过将原位X射线衍射（XRD）和原位透射电子显微镜与电子能量损失光谱（TEM-EELS）相结合，我们首次提供了氧原子在早期氧化阶段优先占据这些预先设计的空位的直接原子尺度可视化，从而导致亚稳态金属-碳-氧（M-C-O）界面层的动态形成。我们结合实验和理论分析揭示了双重增强机制：在动力学上，M-C-O 抑制了（111）表面上的氧吸附及其随后的向内扩散；从热力学角度来看，它们在高温下稳定 HEC 晶格，从而增加 M─C 键断裂的能垒。这项工作不仅破译了增强抗氧化性的原子起源，而且为下一代超高温陶瓷建立了简单、通用、高效的设计原理。</w:t>
      </w:r>
    </w:p>
    <w:p>
      <w:pPr>
        <w:spacing w:before="0" w:after="200" w:lineRule="auto" w:line="276"/>
      </w:pPr>
      <w:r>
        <w:rPr>
          <w:b/>
        </w:rPr>
        <w:t xml:space="preserve">Abstract (EN): </w:t>
      </w:r>
      <w:r>
        <w:t>The initial oxidation stage of high‐entropy carbides (HECs) is a decisive yet poorly understood “black box” that governs their ultimate performance for ultra‐high‐temperature applications. Here, we unveil a powerful strategy—predesigning carbon vacancies—to fundamentally enhance HECs oxidation resistance. By integrating in situ x‐ray diffraction (XRD) and in situ transmission electron microscopy coupled with electron energy loss spectroscopy (TEM‐EELS), we provide the first direct, atomic‐scale visualization of oxygen atoms preferentially occupying these predesigned vacancies during the incipient oxidation stage, leading to the dynamic formation of a metastable metal–carbon–oxygen (M–C–O) interfacial layer. Our combined experimental and theoretical analyses reveal a dual enhancement mechanism: kinetically, M–C–O suppresses both oxygen adsorption on the (111) surface and its subsequent inward diffusion; thermodynamically, they stabilize the HEC lattice at elevated temperatures, thereby increasing the energy barrier for M─C bond cleavage. This work not only deciphers the atomistic origin of enhanced oxidation resistance but also establishes a simple, general, and efficient design principle for next‐generation ultra‐high‐temperature ceramics.</w:t>
      </w:r>
    </w:p>
    <w:p>
      <w:pPr>
        <w:spacing w:before="120" w:after="120"/>
      </w:pPr>
      <w:r>
        <w:rPr>
          <w:sz w:val="18"/>
        </w:rPr>
        <w:t>——————————————————————————————————————————————————————————————————————</w:t>
      </w:r>
    </w:p>
    <w:p>
      <w:pPr>
        <w:spacing w:before="160" w:after="40" w:line="240" w:lineRule="auto"/>
      </w:pPr>
      <w:r>
        <w:rPr>
          <w:b/>
        </w:rPr>
        <w:t xml:space="preserve">[597] </w:t>
      </w:r>
      <w:hyperlink r:id="rId1688">
        <w:r>
          <w:rPr>
            <w:color w:val="1155CC"/>
            <w:u w:val="single"/>
          </w:rPr>
          <w:t>用于增强接触电催化的羟基化调节极性界面</w:t>
        </w:r>
      </w:hyperlink>
    </w:p>
    <w:p>
      <w:pPr>
        <w:spacing w:before="0" w:after="80"/>
      </w:pPr>
      <w:r>
        <w:rPr>
          <w:i/>
          <w:sz w:val="20"/>
        </w:rPr>
        <w:t>EN: Hydroxylation Regulated Polar Interfaces for Enhanced Contact‐Electro‐Catalysis</w:t>
      </w:r>
    </w:p>
    <w:p>
      <w:pPr>
        <w:spacing w:before="0" w:after="120"/>
      </w:pPr>
      <w:r>
        <w:rPr>
          <w:b/>
        </w:rPr>
        <w:t xml:space="preserve">Source: </w:t>
      </w:r>
      <w:r>
        <w:t>Wiley: Advanced Materials: Table of Contents</w:t>
      </w:r>
      <w:r>
        <w:t xml:space="preserve">    </w:t>
      </w:r>
      <w:r>
        <w:rPr>
          <w:b/>
        </w:rPr>
        <w:t xml:space="preserve">Pub date: </w:t>
      </w:r>
      <w:r>
        <w:t>2026-08-12 07:57:49+00:00</w:t>
      </w:r>
      <w:r>
        <w:t xml:space="preserve">    </w:t>
      </w:r>
      <w:r>
        <w:rPr>
          <w:b/>
        </w:rPr>
        <w:t xml:space="preserve">DOI: </w:t>
      </w:r>
      <w:hyperlink r:id="rId1689">
        <w:r>
          <w:rPr>
            <w:color w:val="1155CC"/>
            <w:u w:val="single"/>
          </w:rPr>
          <w:t>10.1002/adma.74585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接触电催化（CEC）将机械激发转化为界面氧化还原化学，但极性矿泉水界面的设计仍然不够充分，限制了自发极化有效转化为接触驱动的电荷转移。在这里，我们利用表面羟基化来调节天然电气石的极性界面，以增强 CEC。实验和第一性原理计算表明，羟基优先锚定在表面铝位点上，形成富含羟基的界面，同时保留块状晶体框架。该界面重新组织了电荷分布，增强了有效的界面极化，提高了表面电位，降低了电荷转移电阻，从而有利于H</w:t>
      </w:r>
      <w:r>
        <w:rPr>
          <w:vertAlign w:val="subscript"/>
        </w:rPr>
        <w:t>2</w:t>
      </w:r>
      <w:r>
        <w:t>奥和奥</w:t>
      </w:r>
      <w:r>
        <w:rPr>
          <w:vertAlign w:val="subscript"/>
        </w:rPr>
        <w:t>2</w:t>
      </w:r>
      <w:r>
        <w:t>激活。在超声波激励下，羟基化电气石产生·OH和·O</w:t>
      </w:r>
      <w:r>
        <w:rPr>
          <w:vertAlign w:val="subscript"/>
        </w:rPr>
        <w:t>2</w:t>
      </w:r>
      <w:r>
        <w:t>-</w:t>
      </w:r>
      <w:r>
        <w:t>信号分别比单独自发极化产生的信号高 6.5 倍和 5.7 倍。增强的 CEC 可实现罗丹明 B 降解、重金属去除和抗菌活性。这项工作为机械驱动的环境催化建立了羟基化调节的极性界面。</w:t>
      </w:r>
    </w:p>
    <w:p>
      <w:pPr>
        <w:spacing w:before="0" w:after="200" w:lineRule="auto" w:line="276"/>
      </w:pPr>
      <w:r>
        <w:rPr>
          <w:b/>
        </w:rPr>
        <w:t xml:space="preserve">Abstract (EN): </w:t>
      </w:r>
      <w:r>
        <w:t>Contact‐electro‐catalysis (CEC) converts mechanical excitation into interfacial redox chemistry, yet polar mineral water interfaces remain insufficiently engineered, limiting the efficient translation of spontaneous polarization into contact driven charge transfer. Here, we use surface hydroxylation to regulate the polar interface of natural tourmaline for enhanced CEC. Experiments and first principles calculations show that hydroxyl groups preferentially anchor at surface Al sites, forming a hydroxyl enriched interface while preserving the bulk crystal framework. This interface reorganizes the charge distribution, enhances effective interfacial polarization, raises the surface potential, and reduces charge transfer resistance, thereby facilitating H</w:t>
      </w:r>
      <w:r>
        <w:rPr>
          <w:vertAlign w:val="subscript"/>
        </w:rPr>
        <w:t>2</w:t>
      </w:r>
      <w:r>
        <w:t>O and O</w:t>
      </w:r>
      <w:r>
        <w:rPr>
          <w:vertAlign w:val="subscript"/>
        </w:rPr>
        <w:t>2</w:t>
      </w:r>
      <w:r>
        <w:t>activation. Under ultrasound excitation, hydroxylated tourmaline produces ·OH and ·O</w:t>
      </w:r>
      <w:r>
        <w:rPr>
          <w:vertAlign w:val="subscript"/>
        </w:rPr>
        <w:t>2</w:t>
      </w:r>
      <w:r>
        <w:t>−</w:t>
      </w:r>
      <w:r>
        <w:t>signals 6.5 and 5.7 times higher, respectively, than those generated by spontaneous polarization alone. The enhanced CEC enables Rhodamine B degradation, heavy metal removal, and antibacterial activity. This work establishes hydroxylation regulated polar interfaces for mechanically driven environmental catalysis.</w:t>
      </w:r>
    </w:p>
    <w:p>
      <w:pPr>
        <w:spacing w:before="120" w:after="120"/>
      </w:pPr>
      <w:r>
        <w:rPr>
          <w:sz w:val="18"/>
        </w:rPr>
        <w:t>——————————————————————————————————————————————————————————————————————</w:t>
      </w:r>
    </w:p>
    <w:p>
      <w:pPr>
        <w:spacing w:before="160" w:after="40" w:line="240" w:lineRule="auto"/>
      </w:pPr>
      <w:r>
        <w:rPr>
          <w:b/>
        </w:rPr>
        <w:t xml:space="preserve">[598] </w:t>
      </w:r>
      <w:hyperlink r:id="rId1690">
        <w:r>
          <w:rPr>
            <w:color w:val="1155CC"/>
            <w:u w:val="single"/>
          </w:rPr>
          <w:t>通过氧杂环丁烷侧链工程实现可光图案化和可拉伸无规聚合物半导体</w:t>
        </w:r>
      </w:hyperlink>
    </w:p>
    <w:p>
      <w:pPr>
        <w:spacing w:before="0" w:after="80"/>
      </w:pPr>
      <w:r>
        <w:rPr>
          <w:i/>
          <w:sz w:val="20"/>
        </w:rPr>
        <w:t>EN: Photopatternable and Stretchable Random Polymer Semiconductor via Oxetane Side‐Chain Engineering</w:t>
      </w:r>
    </w:p>
    <w:p>
      <w:pPr>
        <w:spacing w:before="0" w:after="120"/>
      </w:pPr>
      <w:r>
        <w:rPr>
          <w:b/>
        </w:rPr>
        <w:t xml:space="preserve">Source: </w:t>
      </w:r>
      <w:r>
        <w:t>Wiley: Advanced Materials: Table of Contents</w:t>
      </w:r>
      <w:r>
        <w:t xml:space="preserve">    </w:t>
      </w:r>
      <w:r>
        <w:rPr>
          <w:b/>
        </w:rPr>
        <w:t xml:space="preserve">Pub date: </w:t>
      </w:r>
      <w:r>
        <w:t>2026-08-12 08:15:24+00:00</w:t>
      </w:r>
      <w:r>
        <w:t xml:space="preserve">    </w:t>
      </w:r>
      <w:r>
        <w:rPr>
          <w:b/>
        </w:rPr>
        <w:t xml:space="preserve">DOI: </w:t>
      </w:r>
      <w:hyperlink r:id="rId1691">
        <w:r>
          <w:rPr>
            <w:color w:val="1155CC"/>
            <w:u w:val="single"/>
          </w:rPr>
          <w:t>10.1002/adma.74618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柔性电子设备需要半导体材料具有高电荷传输性能、机械弹性以及与先进图案化技术的兼容性。传统的光刻技术与聚合物半导体不相容，并且现有的光交联策略经常因主链副反应而损害迁移率。在这里，我们报告了一种氧杂环丁烷侧链工程策略，该策略能够实现基于二酮吡咯并吡咯（DPP）的无规三元共聚物，</w:t>
      </w:r>
      <w:r>
        <w:t xml:space="preserve"> </w:t>
      </w:r>
      <w:r>
        <w:t>PDPPSe-oxe17</w:t>
      </w:r>
      <w:r>
        <w:t xml:space="preserve"> </w:t>
      </w:r>
      <w:r>
        <w:t>，在温和的紫外线照射下用碘鎓盐光引发剂形成坚固的交联网络。氧杂环丁烷基团（17 mol%）的受控掺入保留了共轭主链的电子结构，同时实现了快速开环聚合以实现高分辨率光图案化。该聚合物表现出 2.19 ± 0.28 cm 的高空穴迁移率</w:t>
      </w:r>
      <w:r>
        <w:rPr>
          <w:vertAlign w:val="subscript"/>
        </w:rPr>
        <w:t>2</w:t>
      </w:r>
      <w:r>
        <w:t>V</w:t>
      </w:r>
      <w:r>
        <w:t xml:space="preserve"> </w:t>
      </w:r>
      <w:r>
        <w:t>-</w:t>
      </w:r>
      <w:r>
        <w:rPr>
          <w:vertAlign w:val="subscript"/>
        </w:rPr>
        <w:t>1</w:t>
      </w:r>
      <w:r>
        <w:t>s</w:t>
      </w:r>
      <w:r>
        <w:t xml:space="preserve"> </w:t>
      </w:r>
      <w:r>
        <w:t>-</w:t>
      </w:r>
      <w:r>
        <w:rPr>
          <w:vertAlign w:val="subscript"/>
        </w:rPr>
        <w:t>1</w:t>
      </w:r>
      <w:r>
        <w:t>，略微增加至 2.27 ± 0.19 cm</w:t>
      </w:r>
      <w:r>
        <w:rPr>
          <w:vertAlign w:val="subscript"/>
        </w:rPr>
        <w:t>2</w:t>
      </w:r>
      <w:r>
        <w:t>V</w:t>
      </w:r>
      <w:r>
        <w:t xml:space="preserve"> </w:t>
      </w:r>
      <w:r>
        <w:t>-</w:t>
      </w:r>
      <w:r>
        <w:rPr>
          <w:vertAlign w:val="subscript"/>
        </w:rPr>
        <w:t>1</w:t>
      </w:r>
      <w:r>
        <w:t>s</w:t>
      </w:r>
      <w:r>
        <w:t xml:space="preserve"> </w:t>
      </w:r>
      <w:r>
        <w:t>-</w:t>
      </w:r>
      <w:r>
        <w:rPr>
          <w:vertAlign w:val="subscript"/>
        </w:rPr>
        <w:t>1</w:t>
      </w:r>
      <w:r>
        <w:t>交联后——代表了光图案化 OFET 报道的最高迁移率之一。由此产生的 3D 聚氧杂环丁烷网络具有良好的机械鲁棒性，使薄膜能够承受 108% 的应变，并在 30% 和 50% 时保持~85% 和~76% 的迁移率</w:t>
      </w:r>
    </w:p>
    <w:p>
      <w:pPr>
        <w:spacing w:before="0" w:after="200" w:lineRule="auto" w:line="276"/>
      </w:pPr>
      <w:r>
        <w:rPr>
          <w:b/>
        </w:rPr>
        <w:t xml:space="preserve">Abstract (EN): </w:t>
      </w:r>
      <w:r>
        <w:t>Flexible electronic devices demand semiconducting materials that combine high charge transport performance, mechanical resilience, and compatibility with advanced patterning techniques. Conventional photolithography is incompatible with polymer semiconductors, and existing photo‐crosslinking strategies often compromise mobility due to backbone side reactions. Here we report an oxetane side‑chain engineering strategy that enables a diketopyrrolopyrrole (DPP)‑based random terpolymer,</w:t>
      </w:r>
      <w:r>
        <w:t xml:space="preserve"> </w:t>
      </w:r>
      <w:r>
        <w:t>PDPPSe‑oxe17</w:t>
      </w:r>
      <w:r>
        <w:t xml:space="preserve"> </w:t>
      </w:r>
      <w:r>
        <w:t>, to form robust crosslinked networks under mild UV irradiation with iodonium salt photoinitiators. Controlled incorporation of oxetane groups (17 mol%) preserves the electronic structure of the conjugated backbone while enabling rapid ring‑opening polymerization for high‑resolution photopatterning. The polymer exhibits a high hole mobility of 2.19 ± 0.28 cm</w:t>
      </w:r>
      <w:r>
        <w:rPr>
          <w:vertAlign w:val="subscript"/>
        </w:rPr>
        <w:t>2</w:t>
      </w:r>
      <w:r>
        <w:t>V</w:t>
      </w:r>
      <w:r>
        <w:t xml:space="preserve"> </w:t>
      </w:r>
      <w:r>
        <w:t>−</w:t>
      </w:r>
      <w:r>
        <w:rPr>
          <w:vertAlign w:val="subscript"/>
        </w:rPr>
        <w:t>1</w:t>
      </w:r>
      <w:r>
        <w:t>s</w:t>
      </w:r>
      <w:r>
        <w:t xml:space="preserve"> </w:t>
      </w:r>
      <w:r>
        <w:t>−</w:t>
      </w:r>
      <w:r>
        <w:rPr>
          <w:vertAlign w:val="subscript"/>
        </w:rPr>
        <w:t>1</w:t>
      </w:r>
      <w:r>
        <w:t>, which slightly increases to 2.27 ± 0.19 cm</w:t>
      </w:r>
      <w:r>
        <w:rPr>
          <w:vertAlign w:val="subscript"/>
        </w:rPr>
        <w:t>2</w:t>
      </w:r>
      <w:r>
        <w:t>V</w:t>
      </w:r>
      <w:r>
        <w:t xml:space="preserve"> </w:t>
      </w:r>
      <w:r>
        <w:t>−</w:t>
      </w:r>
      <w:r>
        <w:rPr>
          <w:vertAlign w:val="subscript"/>
        </w:rPr>
        <w:t>1</w:t>
      </w:r>
      <w:r>
        <w:t>s</w:t>
      </w:r>
      <w:r>
        <w:t xml:space="preserve"> </w:t>
      </w:r>
      <w:r>
        <w:t>−</w:t>
      </w:r>
      <w:r>
        <w:rPr>
          <w:vertAlign w:val="subscript"/>
        </w:rPr>
        <w:t>1</w:t>
      </w:r>
      <w:r>
        <w:t>after crosslinking—representing one of the highest mobilities reported for photopatterned OFETs. The resulting 3D polyoxetane network imparts good mechanical robustness, allowing films to withstand 108% strain and retain ∼85% and ∼76% mobility at 30% and 50% strain. Even at 100% strain, the mobility remains ∼1.4 ± 0.12 cm</w:t>
      </w:r>
      <w:r>
        <w:rPr>
          <w:vertAlign w:val="subscript"/>
        </w:rPr>
        <w:t>2</w:t>
      </w:r>
      <w:r>
        <w:t>V</w:t>
      </w:r>
      <w:r>
        <w:t xml:space="preserve"> </w:t>
      </w:r>
      <w:r>
        <w:t>−</w:t>
      </w:r>
      <w:r>
        <w:rPr>
          <w:vertAlign w:val="subscript"/>
        </w:rPr>
        <w:t>1</w:t>
      </w:r>
      <w:r>
        <w:t>s</w:t>
      </w:r>
      <w:r>
        <w:t xml:space="preserve"> </w:t>
      </w:r>
      <w:r>
        <w:t>−</w:t>
      </w:r>
      <w:r>
        <w:rPr>
          <w:vertAlign w:val="subscript"/>
        </w:rPr>
        <w:t>1</w:t>
      </w:r>
      <w:r>
        <w:t>, whereas non‑crosslinked counterparts retain only ∼3% of their initial mobility. This work establishes a generalizable molecular design principle for intrinsically photopatternable and stretchable polymer semiconductors.</w:t>
      </w:r>
    </w:p>
    <w:p>
      <w:pPr>
        <w:spacing w:before="120" w:after="120"/>
      </w:pPr>
      <w:r>
        <w:rPr>
          <w:sz w:val="18"/>
        </w:rPr>
        <w:t>——————————————————————————————————————————————————————————————————————</w:t>
      </w:r>
    </w:p>
    <w:p>
      <w:pPr>
        <w:spacing w:before="160" w:after="40" w:line="240" w:lineRule="auto"/>
      </w:pPr>
      <w:r>
        <w:rPr>
          <w:b/>
        </w:rPr>
        <w:t xml:space="preserve">[599] </w:t>
      </w:r>
      <w:hyperlink r:id="rId1692">
        <w:r>
          <w:rPr>
            <w:color w:val="1155CC"/>
            <w:u w:val="single"/>
          </w:rPr>
          <w:t>准二维钙钛矿 LED 稳定性的全面综述：内在/外在降解的机理洞察和创新的稳定策略</w:t>
        </w:r>
      </w:hyperlink>
    </w:p>
    <w:p>
      <w:pPr>
        <w:spacing w:before="0" w:after="80"/>
      </w:pPr>
      <w:r>
        <w:rPr>
          <w:i/>
          <w:sz w:val="20"/>
        </w:rPr>
        <w:t>EN: Comprehensive Review on Stability of Quasi‐2D Perovskite LEDs: Mechanistic Insights Into Intrinsic/Extrinsic Degradation and Innovative Stabilization Strategies</w:t>
      </w:r>
    </w:p>
    <w:p>
      <w:pPr>
        <w:spacing w:before="0" w:after="120"/>
      </w:pPr>
      <w:r>
        <w:rPr>
          <w:b/>
        </w:rPr>
        <w:t xml:space="preserve">Source: </w:t>
      </w:r>
      <w:r>
        <w:t>Wiley: Advanced Materials: Table of Contents</w:t>
      </w:r>
      <w:r>
        <w:t xml:space="preserve">    </w:t>
      </w:r>
      <w:r>
        <w:rPr>
          <w:b/>
        </w:rPr>
        <w:t xml:space="preserve">Pub date: </w:t>
      </w:r>
      <w:r>
        <w:t>2026-08-12 08:18:55+00:00</w:t>
      </w:r>
      <w:r>
        <w:t xml:space="preserve">    </w:t>
      </w:r>
      <w:r>
        <w:rPr>
          <w:b/>
        </w:rPr>
        <w:t xml:space="preserve">DOI: </w:t>
      </w:r>
      <w:hyperlink r:id="rId1693">
        <w:r>
          <w:rPr>
            <w:color w:val="1155CC"/>
            <w:u w:val="single"/>
          </w:rPr>
          <w:t>10.1002/adma.74580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准二维（准2D）钙钛矿发光二极管（PeLED）凭借其卓越的电子和光学特性，在下一代显示器中获得了强大的竞争优势。近年来，准二维PeLED性能稳步提升，外量子效率（EQE）攀升至30%左右，发展潜力巨大。然而，这些设备的运行稳定性仍然是一个关键瓶颈，严重限制了它们的商业化。因此，本综述重点关注准二维钙钛矿稳定性的影响因素和机制。围绕准二维PeLED的稳定性，我们首先从内在原因和外在原因的双重维度系统分析了影响稳定性的关键因素。随后，我们总结了增强准2D PeLED稳定性的策略，包括成分调节、添加剂调节、相位分布调节、器件结构调节、工艺参数调节等。最后，我们概述了目前在实现稳定的准2D PeLED方面面临的挑战和机遇，为高性能、长寿命的准2D PeLED的发展提供了明确的方向。</w:t>
      </w:r>
    </w:p>
    <w:p>
      <w:pPr>
        <w:spacing w:before="0" w:after="200" w:lineRule="auto" w:line="276"/>
      </w:pPr>
      <w:r>
        <w:rPr>
          <w:b/>
        </w:rPr>
        <w:t xml:space="preserve">Abstract (EN): </w:t>
      </w:r>
      <w:r>
        <w:t>Quasi‐two‐dimensional (quasi‐2D) perovskite light‐emitting diodes (PeLEDs) have gained a strong competitive edge in next‐generation display, thanks to their exceptional electronic and optical properties. In recent years, the performance of quasi‐2D PeLEDs has advanced steadily, with their external quantum efficiency (EQE) climbing to approximately 30%, highlighting immense development potential. However, the operational stability of these devices remains a critical bottleneck, severely limiting their commercialization. Consequently, this review focuses on the influencing factors and mechanisms governing the stability of quasi‐2D perovskites. Centering on the stability of quasi‐2D PeLEDs, we first systematically analyze the key stability‐affecting factors from the dual dimensions of intrinsic and extrinsic causes. Subsequently, we summarize strategies for enhancing the stability of quasi‐2D PeLEDs, including component regulation, additive regulation, phase distribution regulation, device structure regulation, process parameter regulation, and so on. Finally, we outline the challenges and opportunities currently faced in achieving stable quasi‐2D PeLEDs, providing a clear direction for the development of high‐performance, long‐lifetime quasi‐2D PeLEDs.</w:t>
      </w:r>
    </w:p>
    <w:p>
      <w:pPr>
        <w:spacing w:before="120" w:after="120"/>
      </w:pPr>
      <w:r>
        <w:rPr>
          <w:sz w:val="18"/>
        </w:rPr>
        <w:t>——————————————————————————————————————————————————————————————————————</w:t>
      </w:r>
    </w:p>
    <w:p>
      <w:pPr>
        <w:spacing w:before="160" w:after="40" w:line="240" w:lineRule="auto"/>
      </w:pPr>
      <w:r>
        <w:rPr>
          <w:b/>
        </w:rPr>
        <w:t xml:space="preserve">[600] </w:t>
      </w:r>
      <w:hyperlink r:id="rId1694">
        <w:r>
          <w:rPr>
            <w:color w:val="1155CC"/>
            <w:u w:val="single"/>
          </w:rPr>
          <w:t>通过液晶域和橡胶基体协同动力学的频率自适应弹性体</w:t>
        </w:r>
      </w:hyperlink>
    </w:p>
    <w:p>
      <w:pPr>
        <w:spacing w:before="0" w:after="80"/>
      </w:pPr>
      <w:r>
        <w:rPr>
          <w:i/>
          <w:sz w:val="20"/>
        </w:rPr>
        <w:t>EN: Frequency‐Adaptive Elastomers Through Cooperative Dynamics of Liquid‐Crystalline Domains and a Rubber Matrix</w:t>
      </w:r>
    </w:p>
    <w:p>
      <w:pPr>
        <w:spacing w:before="0" w:after="120"/>
      </w:pPr>
      <w:r>
        <w:rPr>
          <w:b/>
        </w:rPr>
        <w:t xml:space="preserve">Source: </w:t>
      </w:r>
      <w:r>
        <w:t>Wiley: Advanced Materials: Table of Contents</w:t>
      </w:r>
      <w:r>
        <w:t xml:space="preserve">    </w:t>
      </w:r>
      <w:r>
        <w:rPr>
          <w:b/>
        </w:rPr>
        <w:t xml:space="preserve">Pub date: </w:t>
      </w:r>
      <w:r>
        <w:t>2026-08-12 08:23:24+00:00</w:t>
      </w:r>
      <w:r>
        <w:t xml:space="preserve">    </w:t>
      </w:r>
      <w:r>
        <w:rPr>
          <w:b/>
        </w:rPr>
        <w:t xml:space="preserve">DOI: </w:t>
      </w:r>
      <w:hyperlink r:id="rId1695">
        <w:r>
          <w:rPr>
            <w:color w:val="1155CC"/>
            <w:u w:val="single"/>
          </w:rPr>
          <w:t>10.1002/adma.74609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弹性体非常适合在负载下需要保形变形的部件，但其模量对频率的敏感性较低，限制了材料抵抗动态损坏的能力。在这里，我们报告了一种相分离弹性体，它在低负载频率下保持柔顺性，在高频下强烈变硬，同时保持弹性恢复。该弹性体包含羧基丁腈橡胶 (XNBR) 基质和分散的液晶 (LC) 域。在缓慢加载下，分散相可以通过介晶重新取向来松弛局部应力。相比之下，由于运动受到限制，相同的域在更快的加载下变得越来越承重。结果，相分离弹性体的模量从 0.01 Hz 到 100 Hz 增加了 6.2 倍，而纯 XNBR 的模量增加了约 2.2 倍。除了速率硬化之外，与纯 XNBR 相比，该材料还保留了弹性、低滞后性和长期尺寸稳定性，从而显着提高了高频负载下的抗磨料磨损（质量损失减少 77.4%）、重复冲击（损坏率减少 83.7%）和缺口扩展（超过 30 000 次循环）的能力。这些结果表明，可恢复橡胶基体和液晶域之间的协同动力学可以为弹性体提供一条有用的途径，将顺应性与自适应机械保护相结合。</w:t>
      </w:r>
    </w:p>
    <w:p>
      <w:pPr>
        <w:spacing w:before="0" w:after="200" w:lineRule="auto" w:line="276"/>
      </w:pPr>
      <w:r>
        <w:rPr>
          <w:b/>
        </w:rPr>
        <w:t xml:space="preserve">Abstract (EN): </w:t>
      </w:r>
      <w:r>
        <w:t>Elastomers are highly suitable for components requiring conformal deformation under load, but their low modulus sensitivity to frequency limits the material's ability to resist dynamic damage. Here we report a phase‐separated elastomer that remains compliant at low loading frequency and stiffens strongly at high frequency, while preserving elastic recovery. The elastomer comprises a carboxylated nitrile rubber (XNBR) matrix and dispersed liquid‐crystalline (LC) domains. Under slow loading, the dispersed phase can relax local stress through mesogen reorientation. In contrast, the same domains become increasingly load‐bearing under faster loading as this motion is constrained. As a result, the modulus of the phase‐separated elastomer increases by 6.2‐fold from 0.01 to 100 Hz, compared with about 2.2‐fold for the neat XNBR. In addition to rate stiffening, the materials retain resilience, low hysteresis, and long‐term dimensional stability, leading to significantly improved resistance to abrasive wear (77.4% reduction in mass loss), repeated impact (83.7% reduction in damaged ratio), and notch propagation (over 30 000 cycles) upon high‐frequency loading, compared with the neat XNBR. These results show that cooperative dynamics between a recoverable rubber matrix and LC domains can provide a useful route to elastomers that combine compliance with adaptive mechanical protection.</w:t>
      </w:r>
    </w:p>
    <w:p>
      <w:pPr>
        <w:spacing w:before="120" w:after="120"/>
      </w:pPr>
      <w:r>
        <w:rPr>
          <w:sz w:val="18"/>
        </w:rPr>
        <w:t>——————————————————————————————————————————————————————————————————————</w:t>
      </w:r>
    </w:p>
    <w:p>
      <w:pPr>
        <w:spacing w:before="160" w:after="40" w:line="240" w:lineRule="auto"/>
      </w:pPr>
      <w:r>
        <w:rPr>
          <w:b/>
        </w:rPr>
        <w:t xml:space="preserve">[601] </w:t>
      </w:r>
      <w:hyperlink r:id="rId1696">
        <w:r>
          <w:rPr>
            <w:color w:val="1155CC"/>
            <w:u w:val="single"/>
          </w:rPr>
          <w:t>化学驱动环形微电机的表面电荷调节非平衡组装和开放式活晶体</w:t>
        </w:r>
      </w:hyperlink>
    </w:p>
    <w:p>
      <w:pPr>
        <w:spacing w:before="0" w:after="80"/>
      </w:pPr>
      <w:r>
        <w:rPr>
          <w:i/>
          <w:sz w:val="20"/>
        </w:rPr>
        <w:t>EN: Surface Charge Regulated Non‐Equilibrium Assembly and Open Living Crystals of Chemically Driven Ring‐Shaped Micromotors</w:t>
      </w:r>
    </w:p>
    <w:p>
      <w:pPr>
        <w:spacing w:before="0" w:after="120"/>
      </w:pPr>
      <w:r>
        <w:rPr>
          <w:b/>
        </w:rPr>
        <w:t xml:space="preserve">Source: </w:t>
      </w:r>
      <w:r>
        <w:t>Wiley: Advanced Materials: Table of Contents</w:t>
      </w:r>
      <w:r>
        <w:t xml:space="preserve">    </w:t>
      </w:r>
      <w:r>
        <w:rPr>
          <w:b/>
        </w:rPr>
        <w:t xml:space="preserve">Pub date: </w:t>
      </w:r>
      <w:r>
        <w:t>2026-08-12 08:27:24+00:00</w:t>
      </w:r>
      <w:r>
        <w:t xml:space="preserve">    </w:t>
      </w:r>
      <w:r>
        <w:rPr>
          <w:b/>
        </w:rPr>
        <w:t xml:space="preserve">DOI: </w:t>
      </w:r>
      <w:hyperlink r:id="rId1697">
        <w:r>
          <w:rPr>
            <w:color w:val="1155CC"/>
            <w:u w:val="single"/>
          </w:rPr>
          <w:t>10.1002/adma.74621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由自推进和集体动力学驱动的活性胶体系统为软材料提供了一条非平衡途径。实现这种材料取决于创造新颖的活性系统并破译它们的集体行为。在这里，我们提出了一种新型环形、部分涂层的 Pt-SiO</w:t>
      </w:r>
      <w:r>
        <w:rPr>
          <w:vertAlign w:val="subscript"/>
        </w:rPr>
        <w:t>2</w:t>
      </w:r>
      <w:r>
        <w:t>胶体微电机并报告我们的发现，即表面电荷的符号在确定推进速度和逆转活结晶行为方面起着至关重要的作用。我们的结果表明，带负电的环形微电机可以实现超过 20 µm s 的高推进速度</w:t>
      </w:r>
      <w:r>
        <w:t xml:space="preserve"> </w:t>
      </w:r>
      <w:r>
        <w:t>-</w:t>
      </w:r>
      <w:r>
        <w:rPr>
          <w:vertAlign w:val="subscript"/>
        </w:rPr>
        <w:t>1</w:t>
      </w:r>
      <w:r>
        <w:t>0.5 wt% H 时</w:t>
      </w:r>
      <w:r>
        <w:rPr>
          <w:vertAlign w:val="subscript"/>
        </w:rPr>
        <w:t>2</w:t>
      </w:r>
      <w:r>
        <w:t>氧</w:t>
      </w:r>
      <w:r>
        <w:rPr>
          <w:vertAlign w:val="subscript"/>
        </w:rPr>
        <w:t>2</w:t>
      </w:r>
      <w:r>
        <w:t>溶液，而带正电的环移动得慢得多。我们进一步发现带负电和带正电的环总是表现出相反的活性结晶行为：如果一种类型可以结晶，另一种则不能。我们发现，这种相反的结晶行为源于始终相反的 EO 流动方向，无论流场是对称还是不对称。仅当向内的 EO 流动区域超过环周长的 50% 时，才会发生活性结晶。通过实验和数值模拟相结合，我们证明了带相反电荷的环形微电机之间流场的巨大差异源于环的不同表面电荷符号</w:t>
      </w:r>
    </w:p>
    <w:p>
      <w:pPr>
        <w:spacing w:before="0" w:after="200" w:lineRule="auto" w:line="276"/>
      </w:pPr>
      <w:r>
        <w:rPr>
          <w:b/>
        </w:rPr>
        <w:t xml:space="preserve">Abstract (EN): </w:t>
      </w:r>
      <w:r>
        <w:t>Active colloidal systems, driven by self‐propulsion and collective dynamics, offer a non‐equilibrium route to soft materials. Realizing such materials hinges on creating novel active systems and deciphering their collective behavior. Here we present a new type of ring‐shaped, partially‐coated Pt‐SiO</w:t>
      </w:r>
      <w:r>
        <w:rPr>
          <w:vertAlign w:val="subscript"/>
        </w:rPr>
        <w:t>2</w:t>
      </w:r>
      <w:r>
        <w:t>colloidal micromotor and report our finding that the sign of the surface charge plays a crucial role in determining the propulsion speed and reversing the living crystallization behavior. Our results show that negatively charged ring‐shaped micromotors can achieve high propulsion speeds exceeding 20 µm s</w:t>
      </w:r>
      <w:r>
        <w:t xml:space="preserve"> </w:t>
      </w:r>
      <w:r>
        <w:t>−</w:t>
      </w:r>
      <w:r>
        <w:rPr>
          <w:vertAlign w:val="subscript"/>
        </w:rPr>
        <w:t>1</w:t>
      </w:r>
      <w:r>
        <w:t>at 0.5 wt% H</w:t>
      </w:r>
      <w:r>
        <w:rPr>
          <w:vertAlign w:val="subscript"/>
        </w:rPr>
        <w:t>2</w:t>
      </w:r>
      <w:r>
        <w:t>O</w:t>
      </w:r>
      <w:r>
        <w:rPr>
          <w:vertAlign w:val="subscript"/>
        </w:rPr>
        <w:t>2</w:t>
      </w:r>
      <w:r>
        <w:t>solution, whereas positively charged rings move much more slowly. We further find that negatively and positively charged rings always exhibit opposite living crystallization behaviors: if one type can crystallize, the other cannot. We reveal that this opposite crystallization behavior stems from the consistently opposite EO flow directions, irrespective of whether the flow field is symmetric or asymmetric. Living crystallization occurs only when the inward EO flow region exceeds 50% of the ring circumference. By combining experiments and numerical simulations, we demonstrate that the sharp difference in the flow fields between oppositely charged ring‐shaped micromotors originates from the different surface charge signs of the rings and the substrate.</w:t>
      </w:r>
    </w:p>
    <w:p>
      <w:pPr>
        <w:spacing w:before="120" w:after="120"/>
      </w:pPr>
      <w:r>
        <w:rPr>
          <w:sz w:val="18"/>
        </w:rPr>
        <w:t>——————————————————————————————————————————————————————————————————————</w:t>
      </w:r>
    </w:p>
    <w:p>
      <w:pPr>
        <w:spacing w:before="160" w:after="40" w:line="240" w:lineRule="auto"/>
      </w:pPr>
      <w:r>
        <w:rPr>
          <w:b/>
        </w:rPr>
        <w:t xml:space="preserve">[602] </w:t>
      </w:r>
      <w:hyperlink r:id="rId1698">
        <w:r>
          <w:rPr>
            <w:color w:val="1155CC"/>
            <w:u w:val="single"/>
          </w:rPr>
          <w:t>多孔COF@cMOF异质结辅助激光解吸/电离质谱法增强乳腺癌血清代谢组学筛查</w:t>
        </w:r>
      </w:hyperlink>
    </w:p>
    <w:p>
      <w:pPr>
        <w:spacing w:before="0" w:after="80"/>
      </w:pPr>
      <w:r>
        <w:rPr>
          <w:i/>
          <w:sz w:val="20"/>
        </w:rPr>
        <w:t>EN: Porous COF@cMOF Heterojunction‐Assisted Laser Desorption/Ionization Mass Spectrometry for Enhanced Breast‐Cancer Serum Metabolomic Screening</w:t>
      </w:r>
    </w:p>
    <w:p>
      <w:pPr>
        <w:spacing w:before="0" w:after="120"/>
      </w:pPr>
      <w:r>
        <w:rPr>
          <w:b/>
        </w:rPr>
        <w:t xml:space="preserve">Source: </w:t>
      </w:r>
      <w:r>
        <w:t>Wiley: Advanced Materials: Table of Contents</w:t>
      </w:r>
      <w:r>
        <w:t xml:space="preserve">    </w:t>
      </w:r>
      <w:r>
        <w:rPr>
          <w:b/>
        </w:rPr>
        <w:t xml:space="preserve">Pub date: </w:t>
      </w:r>
      <w:r>
        <w:t>2026-08-12 09:38:18+00:00</w:t>
      </w:r>
      <w:r>
        <w:t xml:space="preserve">    </w:t>
      </w:r>
      <w:r>
        <w:rPr>
          <w:b/>
        </w:rPr>
        <w:t xml:space="preserve">DOI: </w:t>
      </w:r>
      <w:hyperlink r:id="rId1699">
        <w:r>
          <w:rPr>
            <w:color w:val="1155CC"/>
            <w:u w:val="single"/>
          </w:rPr>
          <w:t>10.1002/adma.74620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早期乳腺癌（BC）筛查需要来自微创样本的可靠分子信息，但复杂生物液中小分子代谢物的灵敏检测仍然具有挑战性。在此，通过原位外延生长策略开发了一种结构明确的多孔异质结基质 COF316@CuHHTP，用于血清代谢组学筛选。多孔且化学性质稳定的 COF316 用作核心支架，而导电 CuHHTP 形成用于界面电荷介导的连贯外壳。由此产生的异质结能够实现高效的小分子捕获和通过通道的定向传输，同时增强的光热转换和优化的电荷传输共同提高了小分子代谢物的解吸/电离效率和灵敏度。因此，COF316@CuHHTP 可实现灵敏且稳定的激光解吸/电离质谱 (LDI-MS) 分析，最大信噪比 (S/N) 增强达到约 194 倍，超低检测限 (LOD) 低至 pmol 水平，并且对高盐和富含蛋白质的条件具有很强的耐受性。应用于血清分析时，该平台能够以出色的判别性能（AUC = 0.996）进行 BC 诊断，并识别 20 种与疾病相关的代谢特征。</w:t>
      </w:r>
    </w:p>
    <w:p>
      <w:pPr>
        <w:spacing w:before="0" w:after="200" w:lineRule="auto" w:line="276"/>
      </w:pPr>
      <w:r>
        <w:rPr>
          <w:b/>
        </w:rPr>
        <w:t xml:space="preserve">Abstract (EN): </w:t>
      </w:r>
      <w:r>
        <w:t>Early breast‐cancer (BC) screening requires reliable molecular information from minimally invasive samples, yet sensitive detection of small‐molecule metabolites in complex biofluids remains challenging. Herein, a structurally well‐defined porous heterojunction matrix, COF316@CuHHTP, is developed through an in situ epitaxial‐growth strategy for serum metabolomic screening. Porous and chemically robust COF316 serves as the core scaffold, while conductive CuHHTP forms a coherent shell for interfacial charge mediation. The resulting heterojunction enables efficient small‐molecule capture and directional transport through the channels, while enhanced photothermal conversion and optimized charge transport collectively improve desorption/ionization efficiency and sensitivity for small‐molecule metabolites. Consequently, COF316@CuHHTP enables sensitive and robust laser desorption/ionization mass spectrometry (LDI‐MS) analysis, with the maximum signal‐to‐noise (S/N) enhancement reaching ∼194‐fold, ultralow limits of detection (LODs) down to the pmol level, and strong tolerance to high‐salt and protein‐rich conditions. Applied to serum analysis, this platform enables BC diagnosis with excellent discriminatory performance (AUC = 0.996) and identifies 20 disease‐associated metabolic signatures.</w:t>
      </w:r>
    </w:p>
    <w:p>
      <w:pPr>
        <w:spacing w:before="120" w:after="120"/>
      </w:pPr>
      <w:r>
        <w:rPr>
          <w:sz w:val="18"/>
        </w:rPr>
        <w:t>——————————————————————————————————————————————————————————————————————</w:t>
      </w:r>
    </w:p>
    <w:p>
      <w:pPr>
        <w:spacing w:before="160" w:after="40" w:line="240" w:lineRule="auto"/>
      </w:pPr>
      <w:r>
        <w:rPr>
          <w:b/>
        </w:rPr>
        <w:t xml:space="preserve">[603] </w:t>
      </w:r>
      <w:hyperlink r:id="rId1700">
        <w:r>
          <w:rPr>
            <w:color w:val="1155CC"/>
            <w:u w:val="single"/>
          </w:rPr>
          <w:t>揭示铜-膦酰基苯甲酸酯光杂化物的活性位点和载流子动力学，以高效产生 H2O2</w:t>
        </w:r>
      </w:hyperlink>
    </w:p>
    <w:p>
      <w:pPr>
        <w:spacing w:before="0" w:after="80"/>
      </w:pPr>
      <w:r>
        <w:rPr>
          <w:i/>
          <w:sz w:val="20"/>
        </w:rPr>
        <w:t>EN: Unveiling Active Sites and Charge Carrier Dynamics in Copper–Phosphonobenzoate Photohybrids for Efficient H2O2 Generation</w:t>
      </w:r>
    </w:p>
    <w:p>
      <w:pPr>
        <w:spacing w:before="0" w:after="120"/>
      </w:pPr>
      <w:r>
        <w:rPr>
          <w:b/>
        </w:rPr>
        <w:t xml:space="preserve">Source: </w:t>
      </w:r>
      <w:r>
        <w:t>Wiley: Advanced Energy Materials: Table of Contents</w:t>
      </w:r>
      <w:r>
        <w:t xml:space="preserve">    </w:t>
      </w:r>
      <w:r>
        <w:rPr>
          <w:b/>
        </w:rPr>
        <w:t xml:space="preserve">Pub date: </w:t>
      </w:r>
      <w:r>
        <w:t>2026-08-12 09:42:48+00:00</w:t>
      </w:r>
      <w:r>
        <w:t xml:space="preserve">    </w:t>
      </w:r>
      <w:r>
        <w:rPr>
          <w:b/>
        </w:rPr>
        <w:t xml:space="preserve">DOI: </w:t>
      </w:r>
      <w:hyperlink r:id="rId1701">
        <w:r>
          <w:rPr>
            <w:color w:val="1155CC"/>
            <w:u w:val="single"/>
          </w:rPr>
          <w:t>10.1002/aenm.71388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太阳能驱动的高选择性化学转化反应仍然是人工光合作用系统面临的持续挑战。这里，两种膦酰基苯甲酸铜光杂化配位聚合物（PCP），</w:t>
      </w:r>
      <w:r>
        <w:t xml:space="preserve"> </w:t>
      </w:r>
      <w:r>
        <w:t>米</w:t>
      </w:r>
      <w:r>
        <w:t xml:space="preserve"> </w:t>
      </w:r>
      <w:r>
        <w:t>‐CBP 和</w:t>
      </w:r>
      <w:r>
        <w:t xml:space="preserve"> </w:t>
      </w:r>
      <w:r>
        <w:t>p</w:t>
      </w:r>
      <w:r>
        <w:t xml:space="preserve"> </w:t>
      </w:r>
      <w:r>
        <w:t>‐CBP 的介绍，强调了其结构差异框架所产生的独特光催化行为。单晶 X 射线衍射表明，双功能膦酰基苯甲酸酯配体的位置异构现象与辅助联吡啶结合，将 Cu (II) 中心组织成不同的配位几何形状和灵活的框架维度。虽然</w:t>
      </w:r>
      <w:r>
        <w:t xml:space="preserve"> </w:t>
      </w:r>
      <w:r>
        <w:t>p</w:t>
      </w:r>
      <w:r>
        <w:t xml:space="preserve"> </w:t>
      </w:r>
      <w:r>
        <w:t>‐CBP 表现出稍窄的光学带隙，</w:t>
      </w:r>
      <w:r>
        <w:t xml:space="preserve"> </w:t>
      </w:r>
      <w:r>
        <w:t>米</w:t>
      </w:r>
      <w:r>
        <w:t xml:space="preserve"> </w:t>
      </w:r>
      <w:r>
        <w:t>‐CBP 显示出更有利的能带排列，更低的 O</w:t>
      </w:r>
      <w:r>
        <w:rPr>
          <w:vertAlign w:val="subscript"/>
        </w:rPr>
        <w:t>2</w:t>
      </w:r>
      <w:r>
        <w:t>吸附能和更有效的电荷分离，导致 H 显着增强</w:t>
      </w:r>
      <w:r>
        <w:rPr>
          <w:vertAlign w:val="subscript"/>
        </w:rPr>
        <w:t>2</w:t>
      </w:r>
      <w:r>
        <w:t>氧</w:t>
      </w:r>
      <w:r>
        <w:rPr>
          <w:vertAlign w:val="subscript"/>
        </w:rPr>
        <w:t>2</w:t>
      </w:r>
      <w:r>
        <w:t>一代（1915 µmol g</w:t>
      </w:r>
      <w:r>
        <w:t xml:space="preserve"> </w:t>
      </w:r>
      <w:r>
        <w:t>−1</w:t>
      </w:r>
      <w:r>
        <w:t xml:space="preserve"> </w:t>
      </w:r>
      <w:r>
        <w:t>小时</w:t>
      </w:r>
      <w:r>
        <w:t xml:space="preserve"> </w:t>
      </w:r>
      <w:r>
        <w:t>−1</w:t>
      </w:r>
      <w:r>
        <w:t xml:space="preserve"> </w:t>
      </w:r>
      <w:r>
        <w:t>）在模拟太阳照射下。桨轮 Cu(II) 产生更短的 Cu…Cu 接触和延长的离域路径，从而加速电子转移到表面结合的 O</w:t>
      </w:r>
      <w:r>
        <w:rPr>
          <w:vertAlign w:val="subscript"/>
        </w:rPr>
        <w:t>2</w:t>
      </w:r>
      <w:r>
        <w:t>并促进两个电子氧还原（2e</w:t>
      </w:r>
      <w:r>
        <w:t xml:space="preserve"> </w:t>
      </w:r>
      <w:r>
        <w:t>-</w:t>
      </w:r>
      <w:r>
        <w:t>ORR)途径</w:t>
      </w:r>
    </w:p>
    <w:p>
      <w:pPr>
        <w:spacing w:before="0" w:after="200" w:lineRule="auto" w:line="276"/>
      </w:pPr>
      <w:r>
        <w:rPr>
          <w:b/>
        </w:rPr>
        <w:t xml:space="preserve">Abstract (EN): </w:t>
      </w:r>
      <w:r>
        <w:t>Solar‐driven, highly selective chemical transformation reactions remain a persistent challenge for artificial photosynthetic systems. Herein, two copper‐phosphonobenzoate photohybrid coordination polymers (PCPs),</w:t>
      </w:r>
      <w:r>
        <w:t xml:space="preserve"> </w:t>
      </w:r>
      <w:r>
        <w:t>m</w:t>
      </w:r>
      <w:r>
        <w:t xml:space="preserve"> </w:t>
      </w:r>
      <w:r>
        <w:t>‐CBP and</w:t>
      </w:r>
      <w:r>
        <w:t xml:space="preserve"> </w:t>
      </w:r>
      <w:r>
        <w:t>p</w:t>
      </w:r>
      <w:r>
        <w:t xml:space="preserve"> </w:t>
      </w:r>
      <w:r>
        <w:t>‐CBP, are introduced, highlighting distinct photocatalytic behavior arising from their structurally differentiated frameworks. Single‐crystal x‐ray diffraction reveals that the positional isomerism of the bifunctional phosphonobenzoate ligand, in combination with an auxiliary bipyridine, organizes Cu (II) centers into distinct coordination geometries and flexible framework dimensionalities. Although</w:t>
      </w:r>
      <w:r>
        <w:t xml:space="preserve"> </w:t>
      </w:r>
      <w:r>
        <w:t>p</w:t>
      </w:r>
      <w:r>
        <w:t xml:space="preserve"> </w:t>
      </w:r>
      <w:r>
        <w:t>‐CBP exhibits a slightly narrower optical bandgap,</w:t>
      </w:r>
      <w:r>
        <w:t xml:space="preserve"> </w:t>
      </w:r>
      <w:r>
        <w:t>m</w:t>
      </w:r>
      <w:r>
        <w:t xml:space="preserve"> </w:t>
      </w:r>
      <w:r>
        <w:t>‐CBP displays more favorable band alignment, lower O</w:t>
      </w:r>
      <w:r>
        <w:rPr>
          <w:vertAlign w:val="subscript"/>
        </w:rPr>
        <w:t>2</w:t>
      </w:r>
      <w:r>
        <w:t>adsorption energy and more efficient charge separation, resulting in markedly enhanced H</w:t>
      </w:r>
      <w:r>
        <w:rPr>
          <w:vertAlign w:val="subscript"/>
        </w:rPr>
        <w:t>2</w:t>
      </w:r>
      <w:r>
        <w:t>O</w:t>
      </w:r>
      <w:r>
        <w:rPr>
          <w:vertAlign w:val="subscript"/>
        </w:rPr>
        <w:t>2</w:t>
      </w:r>
      <w:r>
        <w:t>generation (1915 µmol g</w:t>
      </w:r>
      <w:r>
        <w:t xml:space="preserve"> </w:t>
      </w:r>
      <w:r>
        <w:t>−1</w:t>
      </w:r>
      <w:r>
        <w:t xml:space="preserve"> </w:t>
      </w:r>
      <w:r>
        <w:t>h</w:t>
      </w:r>
      <w:r>
        <w:t xml:space="preserve"> </w:t>
      </w:r>
      <w:r>
        <w:t>−1</w:t>
      </w:r>
      <w:r>
        <w:t xml:space="preserve"> </w:t>
      </w:r>
      <w:r>
        <w:t>) under simulated solar irradiation. The paddle wheel Cu(II) creates shorter Cu…Cu contacts and extended delocalized pathways, which accelerate electron transfer to surface‐bound O</w:t>
      </w:r>
      <w:r>
        <w:rPr>
          <w:vertAlign w:val="subscript"/>
        </w:rPr>
        <w:t>2</w:t>
      </w:r>
      <w:r>
        <w:t>and facilitate two electron oxygen reduction (2e</w:t>
      </w:r>
      <w:r>
        <w:t xml:space="preserve"> </w:t>
      </w:r>
      <w:r>
        <w:t>−</w:t>
      </w:r>
      <w:r>
        <w:t>ORR) pathway. In contrast,</w:t>
      </w:r>
      <w:r>
        <w:t xml:space="preserve"> </w:t>
      </w:r>
      <w:r>
        <w:t>p‐</w:t>
      </w:r>
      <w:r>
        <w:t xml:space="preserve"> </w:t>
      </w:r>
      <w:r>
        <w:t>CBP featuring isolated square planar and octahedral sites exhibits localized charge density and diminished 2e</w:t>
      </w:r>
      <w:r>
        <w:t xml:space="preserve"> </w:t>
      </w:r>
      <w:r>
        <w:t>−</w:t>
      </w:r>
      <w:r>
        <w:t>ORR selectivity. Furthermore, radical‐trapping experiments confirm a two‐electron pathway predominantly, and DFT studies reveal the energy profiles of O</w:t>
      </w:r>
      <w:r>
        <w:rPr>
          <w:vertAlign w:val="subscript"/>
        </w:rPr>
        <w:t>2</w:t>
      </w:r>
      <w:r>
        <w:t>adsorption sites. Together, these findings illustrate a design strategy for constructing framework architectures with regioisomeric bifunctional groups regulating coordination environments, charge transport and ORR selectivity, precisely tailoring structure‐property‐function dynamics in solar‐driven H</w:t>
      </w:r>
      <w:r>
        <w:rPr>
          <w:vertAlign w:val="subscript"/>
        </w:rPr>
        <w:t>2</w:t>
      </w:r>
      <w:r>
        <w:t>O</w:t>
      </w:r>
      <w:r>
        <w:rPr>
          <w:vertAlign w:val="subscript"/>
        </w:rPr>
        <w:t>2</w:t>
      </w:r>
      <w:r>
        <w:t>photosynthesis.</w:t>
      </w:r>
    </w:p>
    <w:p>
      <w:pPr>
        <w:spacing w:before="120" w:after="120"/>
      </w:pPr>
      <w:r>
        <w:rPr>
          <w:sz w:val="18"/>
        </w:rPr>
        <w:t>——————————————————————————————————————————————————————————————————————</w:t>
      </w:r>
    </w:p>
    <w:p>
      <w:pPr>
        <w:spacing w:before="160" w:after="40" w:line="240" w:lineRule="auto"/>
      </w:pPr>
      <w:r>
        <w:rPr>
          <w:b/>
        </w:rPr>
        <w:t xml:space="preserve">[604] </w:t>
      </w:r>
      <w:hyperlink r:id="rId1702">
        <w:r>
          <w:rPr>
            <w:color w:val="1155CC"/>
            <w:u w:val="single"/>
          </w:rPr>
          <w:t>无法区分光子与双光子级联</w:t>
        </w:r>
      </w:hyperlink>
    </w:p>
    <w:p>
      <w:pPr>
        <w:spacing w:before="0" w:after="80"/>
      </w:pPr>
      <w:r>
        <w:rPr>
          <w:i/>
          <w:sz w:val="20"/>
        </w:rPr>
        <w:t>EN: Indistinguishable Photons from a Two-Photon Cascade</w:t>
      </w:r>
    </w:p>
    <w:p>
      <w:pPr>
        <w:spacing w:before="0" w:after="120"/>
      </w:pPr>
      <w:r>
        <w:rPr>
          <w:b/>
        </w:rPr>
        <w:t xml:space="preserve">Source: </w:t>
      </w:r>
      <w:r>
        <w:t>Recent Articles in Phys. Rev. Lett.</w:t>
      </w:r>
      <w:r>
        <w:t xml:space="preserve">    </w:t>
      </w:r>
      <w:r>
        <w:rPr>
          <w:b/>
        </w:rPr>
        <w:t xml:space="preserve">Pub date: </w:t>
      </w:r>
      <w:r>
        <w:t>2026-08-12 10:00:00+00:00</w:t>
      </w:r>
      <w:r>
        <w:t xml:space="preserve">    </w:t>
      </w:r>
      <w:r>
        <w:rPr>
          <w:b/>
        </w:rPr>
        <w:t xml:space="preserve">DOI: </w:t>
      </w:r>
      <w:hyperlink r:id="rId1703">
        <w:r>
          <w:rPr>
            <w:color w:val="1155CC"/>
            <w:u w:val="single"/>
          </w:rPr>
          <w:t>10.1103/t8sk-b2w4</w:t>
        </w:r>
      </w:hyperlink>
    </w:p>
    <w:p>
      <w:pPr>
        <w:spacing w:before="0" w:after="120"/>
      </w:pPr>
      <w:r>
        <w:rPr>
          <w:b/>
        </w:rPr>
        <w:t xml:space="preserve">Notes: </w:t>
      </w:r>
      <w:r>
        <w:t>abstract_source=rss_description</w:t>
      </w:r>
    </w:p>
    <w:p>
      <w:pPr>
        <w:spacing w:before="0" w:after="80" w:lineRule="auto" w:line="276"/>
      </w:pPr>
      <w:r>
        <w:rPr>
          <w:b/>
        </w:rPr>
        <w:t xml:space="preserve">摘要（ZH）: </w:t>
      </w:r>
      <w:r>
        <w:t>作者：Timon L. Baltisberger、Francesco Salusti、Mark R. Hogg、Malwina A. Marczak、Nils Heinisch、Sascha R. Valentin、Stefan Schumacher、Arne Ludwig、Klaus D. Jöns 和 Richard J. Warburton 通过级联进行四级钻石方案的衰变是纠缠光子对的潜在来源。固态实现是半导体量子点中的双激子级联。虽然已经证明了高纠缠保真度，但两个光子 XX 和 X 在时间上是相关的，t…[Phys.莱特牧师。 137, 073603] 2026 年 8 月 12 日星期三发布</w:t>
      </w:r>
    </w:p>
    <w:p>
      <w:pPr>
        <w:spacing w:before="0" w:after="200" w:lineRule="auto" w:line="276"/>
      </w:pPr>
      <w:r>
        <w:rPr>
          <w:b/>
        </w:rPr>
        <w:t xml:space="preserve">Abstract (EN): </w:t>
      </w:r>
      <w:r>
        <w:t>Author(s): Timon L. Baltisberger, Francesco Salusti, Mark R. Hogg, Malwina A. Marczak, Nils Heinisch, Sascha R. Valentin, Stefan Schumacher, Arne Ludwig, Klaus D. Jöns, and Richard J. WarburtonDecay of a four-level diamond scheme via a cascade is a potential source of entangled photon pairs. A solid-state implementation is the biexciton cascade in a semiconductor quantum dot. While high entanglement fidelities have been demonstrated, the two photons, XX and X, are temporally correlated, t…[Phys. Rev. Lett. 137, 073603] Published Wed Aug 12, 2026</w:t>
      </w:r>
    </w:p>
    <w:p>
      <w:pPr>
        <w:spacing w:before="120" w:after="120"/>
      </w:pPr>
      <w:r>
        <w:rPr>
          <w:sz w:val="18"/>
        </w:rPr>
        <w:t>——————————————————————————————————————————————————————————————————————</w:t>
      </w:r>
    </w:p>
    <w:p>
      <w:pPr>
        <w:spacing w:before="160" w:after="40" w:line="240" w:lineRule="auto"/>
      </w:pPr>
      <w:r>
        <w:rPr>
          <w:b/>
        </w:rPr>
        <w:t xml:space="preserve">[605] </w:t>
      </w:r>
      <w:hyperlink r:id="rId1704">
        <w:r>
          <w:rPr>
            <w:color w:val="1155CC"/>
            <w:u w:val="single"/>
          </w:rPr>
          <w:t>${χ}_{bJ}(1P)$ 衰变中带电轻子味违规的搜索次数</w:t>
        </w:r>
      </w:hyperlink>
    </w:p>
    <w:p>
      <w:pPr>
        <w:spacing w:before="0" w:after="80"/>
      </w:pPr>
      <w:r>
        <w:rPr>
          <w:i/>
          <w:sz w:val="20"/>
        </w:rPr>
        <w:t>EN: Searches for Charged-Lepton-Flavor Violation in ${χ}_{bJ}(1P)$ Decays</w:t>
      </w:r>
    </w:p>
    <w:p>
      <w:pPr>
        <w:spacing w:before="0" w:after="120"/>
      </w:pPr>
      <w:r>
        <w:rPr>
          <w:b/>
        </w:rPr>
        <w:t xml:space="preserve">Source: </w:t>
      </w:r>
      <w:r>
        <w:t>Recent Articles in Phys. Rev. Lett.</w:t>
      </w:r>
      <w:r>
        <w:t xml:space="preserve">    </w:t>
      </w:r>
      <w:r>
        <w:rPr>
          <w:b/>
        </w:rPr>
        <w:t xml:space="preserve">Pub date: </w:t>
      </w:r>
      <w:r>
        <w:t>2026-08-12 10:00:00+00:00</w:t>
      </w:r>
      <w:r>
        <w:t xml:space="preserve">    </w:t>
      </w:r>
      <w:r>
        <w:rPr>
          <w:b/>
        </w:rPr>
        <w:t xml:space="preserve">DOI: </w:t>
      </w:r>
      <w:hyperlink r:id="rId1705">
        <w:r>
          <w:rPr>
            <w:color w:val="1155CC"/>
            <w:u w:val="single"/>
          </w:rPr>
          <w:t>10.1103/1rj5-2wvr</w:t>
        </w:r>
      </w:hyperlink>
    </w:p>
    <w:p>
      <w:pPr>
        <w:spacing w:before="0" w:after="120"/>
      </w:pPr>
      <w:r>
        <w:rPr>
          <w:b/>
        </w:rPr>
        <w:t xml:space="preserve">Notes: </w:t>
      </w:r>
      <w:r>
        <w:t>abstract_source=rss_description</w:t>
      </w:r>
    </w:p>
    <w:p>
      <w:pPr>
        <w:spacing w:before="0" w:after="80" w:lineRule="auto" w:line="276"/>
      </w:pPr>
      <w:r>
        <w:rPr>
          <w:b/>
        </w:rPr>
        <w:t xml:space="preserve">摘要（ZH）: </w:t>
      </w:r>
      <w:r>
        <w:t>作者：M. Abumusabh 等人。 （Belle 和 Belle II 合作）我们使用 Belle 探测器在 KEKB 的 ${e}^{+}{e}^{−}$ 碰撞中收集的 1.58 亿个 $\mathrm{ϒ}(2S)$ 衰变，报告了对一对带电轻子在 ${χ}_{bJ}(1P)$ ($J=0$、1 和 2) 衰变中的带电轻子味违规的首次搜索对撞机。没有观察到明显的信号……[物理。莱特牧师。 137, 071803] 2026 年 8 月 12 日星期三发布</w:t>
      </w:r>
    </w:p>
    <w:p>
      <w:pPr>
        <w:spacing w:before="0" w:after="200" w:lineRule="auto" w:line="276"/>
      </w:pPr>
      <w:r>
        <w:rPr>
          <w:b/>
        </w:rPr>
        <w:t xml:space="preserve">Abstract (EN): </w:t>
      </w:r>
      <w:r>
        <w:t>Author(s): M. Abumusabh et al. (Belle and Belle II Collaborations)We report the first searches for charged-lepton-flavor violation in decays of ${χ}_{bJ}(1P)$ ($J=0$, 1, and 2) to a pair of charged leptons using 158 million $\mathrm{ϒ}(2S)$ decays collected with the Belle detector in ${e}^{+}{e}^{−}$ collisions at the KEKB collider. No significant signal is observ…[Phys. Rev. Lett. 137, 071803] Published Wed Aug 12, 2026</w:t>
      </w:r>
    </w:p>
    <w:p>
      <w:pPr>
        <w:spacing w:before="120" w:after="120"/>
      </w:pPr>
      <w:r>
        <w:rPr>
          <w:sz w:val="18"/>
        </w:rPr>
        <w:t>——————————————————————————————————————————————————————————————————————</w:t>
      </w:r>
    </w:p>
    <w:p>
      <w:pPr>
        <w:spacing w:before="160" w:after="40" w:line="240" w:lineRule="auto"/>
      </w:pPr>
      <w:r>
        <w:rPr>
          <w:b/>
        </w:rPr>
        <w:t xml:space="preserve">[606] </w:t>
      </w:r>
      <w:hyperlink r:id="rId1706">
        <w:r>
          <w:rPr>
            <w:color w:val="1155CC"/>
            <w:u w:val="single"/>
          </w:rPr>
          <w:t>首次测量 ${η}_{c}→γγ$ 的绝对分支分数</w:t>
        </w:r>
      </w:hyperlink>
    </w:p>
    <w:p>
      <w:pPr>
        <w:spacing w:before="0" w:after="80"/>
      </w:pPr>
      <w:r>
        <w:rPr>
          <w:i/>
          <w:sz w:val="20"/>
        </w:rPr>
        <w:t>EN: First Measurement of the Absolute Branching Fraction of ${η}_{c}→γγ$</w:t>
      </w:r>
    </w:p>
    <w:p>
      <w:pPr>
        <w:spacing w:before="0" w:after="120"/>
      </w:pPr>
      <w:r>
        <w:rPr>
          <w:b/>
        </w:rPr>
        <w:t xml:space="preserve">Source: </w:t>
      </w:r>
      <w:r>
        <w:t>Recent Articles in Phys. Rev. Lett.</w:t>
      </w:r>
      <w:r>
        <w:t xml:space="preserve">    </w:t>
      </w:r>
      <w:r>
        <w:rPr>
          <w:b/>
        </w:rPr>
        <w:t xml:space="preserve">Pub date: </w:t>
      </w:r>
      <w:r>
        <w:t>2026-08-12 10:00:00+00:00</w:t>
      </w:r>
      <w:r>
        <w:t xml:space="preserve">    </w:t>
      </w:r>
      <w:r>
        <w:rPr>
          <w:b/>
        </w:rPr>
        <w:t xml:space="preserve">DOI: </w:t>
      </w:r>
      <w:hyperlink r:id="rId1707">
        <w:r>
          <w:rPr>
            <w:color w:val="1155CC"/>
            <w:u w:val="single"/>
          </w:rPr>
          <w:t>10.1103/whyk-ykjw</w:t>
        </w:r>
      </w:hyperlink>
    </w:p>
    <w:p>
      <w:pPr>
        <w:spacing w:before="0" w:after="120"/>
      </w:pPr>
      <w:r>
        <w:rPr>
          <w:b/>
        </w:rPr>
        <w:t xml:space="preserve">Notes: </w:t>
      </w:r>
      <w:r>
        <w:t>abstract_source=rss_description</w:t>
      </w:r>
    </w:p>
    <w:p>
      <w:pPr>
        <w:spacing w:before="0" w:after="80" w:lineRule="auto" w:line="276"/>
      </w:pPr>
      <w:r>
        <w:rPr>
          <w:b/>
        </w:rPr>
        <w:t xml:space="preserve">摘要（ZH）: </w:t>
      </w:r>
      <w:r>
        <w:t>作者：M. Ablikim 等人。 （BESIII 合作）我们在 BEPCII 进行的 BESIII 实验中采用标记和探针方法来精确测量衰变 ${η}_{c}→γγ$ 的绝对分支分数。从 $(2712.4±14.3)×{10}^{6}\text{ }\text{ }\text{ }ψ(3686)$ 事件的大初始样本开始，$0.16×{10}^{6}\text{ }\text{ }{η}_{…[Phys.莱特牧师。 137, 071802] 2026 年 8 月 12 日星期三发布</w:t>
      </w:r>
    </w:p>
    <w:p>
      <w:pPr>
        <w:spacing w:before="0" w:after="200" w:lineRule="auto" w:line="276"/>
      </w:pPr>
      <w:r>
        <w:rPr>
          <w:b/>
        </w:rPr>
        <w:t xml:space="preserve">Abstract (EN): </w:t>
      </w:r>
      <w:r>
        <w:t>Author(s): M. Ablikim et al. (BESIII Collaboration)We apply a tag-and-probe method to precisely measure the absolute branching fraction of the decay ${η}_{c}→γγ$ with the BESIII experiment at BEPCII. Starting with a large initial sample of $(2712.4±14.3)×{10}^{6}\text{ }\text{ }\text{ }ψ(3686)$ events, a sample of $0.16×{10}^{6}\text{ }\text{ }{η}_{…[Phys. Rev. Lett. 137, 071802] Published Wed Aug 12, 2026</w:t>
      </w:r>
    </w:p>
    <w:p>
      <w:pPr>
        <w:spacing w:before="120" w:after="120"/>
      </w:pPr>
      <w:r>
        <w:rPr>
          <w:sz w:val="18"/>
        </w:rPr>
        <w:t>——————————————————————————————————————————————————————————————————————</w:t>
      </w:r>
    </w:p>
    <w:p>
      <w:pPr>
        <w:spacing w:before="160" w:after="40" w:line="240" w:lineRule="auto"/>
      </w:pPr>
      <w:r>
        <w:rPr>
          <w:b/>
        </w:rPr>
        <w:t xml:space="preserve">[607] </w:t>
      </w:r>
      <w:hyperlink r:id="rId1708">
        <w:r>
          <w:rPr>
            <w:color w:val="1155CC"/>
            <w:u w:val="single"/>
          </w:rPr>
          <w:t>有效场论中的反问题</w:t>
        </w:r>
      </w:hyperlink>
    </w:p>
    <w:p>
      <w:pPr>
        <w:spacing w:before="0" w:after="80"/>
      </w:pPr>
      <w:r>
        <w:rPr>
          <w:i/>
          <w:sz w:val="20"/>
        </w:rPr>
        <w:t>EN: Inverse Problem in Effective Field Theory</w:t>
      </w:r>
    </w:p>
    <w:p>
      <w:pPr>
        <w:spacing w:before="0" w:after="120"/>
      </w:pPr>
      <w:r>
        <w:rPr>
          <w:b/>
        </w:rPr>
        <w:t xml:space="preserve">Source: </w:t>
      </w:r>
      <w:r>
        <w:t>Recent Articles in Phys. Rev. Lett.</w:t>
      </w:r>
      <w:r>
        <w:t xml:space="preserve">    </w:t>
      </w:r>
      <w:r>
        <w:rPr>
          <w:b/>
        </w:rPr>
        <w:t xml:space="preserve">Pub date: </w:t>
      </w:r>
      <w:r>
        <w:t>2026-08-12 10:00:00+00:00</w:t>
      </w:r>
      <w:r>
        <w:t xml:space="preserve">    </w:t>
      </w:r>
      <w:r>
        <w:rPr>
          <w:b/>
        </w:rPr>
        <w:t xml:space="preserve">DOI: </w:t>
      </w:r>
      <w:hyperlink r:id="rId1709">
        <w:r>
          <w:rPr>
            <w:color w:val="1155CC"/>
            <w:u w:val="single"/>
          </w:rPr>
          <w:t>10.1103/9gtg-yjmv</w:t>
        </w:r>
      </w:hyperlink>
    </w:p>
    <w:p>
      <w:pPr>
        <w:spacing w:before="0" w:after="120"/>
      </w:pPr>
      <w:r>
        <w:rPr>
          <w:b/>
        </w:rPr>
        <w:t xml:space="preserve">Notes: </w:t>
      </w:r>
      <w:r>
        <w:t>abstract_source=rss_description</w:t>
      </w:r>
    </w:p>
    <w:p>
      <w:pPr>
        <w:spacing w:before="0" w:after="80" w:lineRule="auto" w:line="276"/>
      </w:pPr>
      <w:r>
        <w:rPr>
          <w:b/>
        </w:rPr>
        <w:t xml:space="preserve">摘要（ZH）: </w:t>
      </w:r>
      <w:r>
        <w:t>作者：Francesco Calisto、Clifford Cheung、Grant N. Remmen、Francesco Sciotti 和 Michele Tarquini 我们证明，重粒子的树级谱可以直接从低能有效场理论的威尔逊系数中提取。当共振数量有限时，该过程是精确的，否则是近似的。我们的结果来自一个新的CL…[物理。莱特牧师。 137, 071601] 2026 年 8 月 12 日星期三发布</w:t>
      </w:r>
    </w:p>
    <w:p>
      <w:pPr>
        <w:spacing w:before="0" w:after="200" w:lineRule="auto" w:line="276"/>
      </w:pPr>
      <w:r>
        <w:rPr>
          <w:b/>
        </w:rPr>
        <w:t xml:space="preserve">Abstract (EN): </w:t>
      </w:r>
      <w:r>
        <w:t>Author(s): Francesco Calisto, Clifford Cheung, Grant N. Remmen, Francesco Sciotti, and Michele TarquiniWe show that the tree-level spectrum of heavy particles can be directly extracted from the Wilson coefficients of the corresponding effective field theory at low energies. This procedure is exact when the number of resonances is finite and otherwise approximate. Our results are derived from a new cl…[Phys. Rev. Lett. 137, 071601] Published Wed Aug 12, 2026</w:t>
      </w:r>
    </w:p>
    <w:p>
      <w:pPr>
        <w:spacing w:before="120" w:after="120"/>
      </w:pPr>
      <w:r>
        <w:rPr>
          <w:sz w:val="18"/>
        </w:rPr>
        <w:t>——————————————————————————————————————————————————————————————————————</w:t>
      </w:r>
    </w:p>
    <w:p>
      <w:pPr>
        <w:spacing w:before="160" w:after="40" w:line="240" w:lineRule="auto"/>
      </w:pPr>
      <w:r>
        <w:rPr>
          <w:b/>
        </w:rPr>
        <w:t xml:space="preserve">[608] </w:t>
      </w:r>
      <w:hyperlink r:id="rId1710">
        <w:r>
          <w:rPr>
            <w:color w:val="1155CC"/>
            <w:u w:val="single"/>
          </w:rPr>
          <w:t>亚铁磁体中偶极驱动的平均场临界 ${\mathrm{Eu}}_{2}{\mathrm{MnSi}}_{2}{\mathrm{O}}_{7}$</w:t>
        </w:r>
      </w:hyperlink>
    </w:p>
    <w:p>
      <w:pPr>
        <w:spacing w:before="0" w:after="80"/>
      </w:pPr>
      <w:r>
        <w:rPr>
          <w:i/>
          <w:sz w:val="20"/>
        </w:rPr>
        <w:t>EN: Dipolar-Driven Mean-Field Criticality in the Ferrimagnet ${\mathrm{Eu}}_{2}{\mathrm{MnSi}}_{2}{\mathrm{O}}_{7}$</w:t>
      </w:r>
    </w:p>
    <w:p>
      <w:pPr>
        <w:spacing w:before="0" w:after="120"/>
      </w:pPr>
      <w:r>
        <w:rPr>
          <w:b/>
        </w:rPr>
        <w:t xml:space="preserve">Source: </w:t>
      </w:r>
      <w:r>
        <w:t>Recent Articles in Phys. Rev. Lett.</w:t>
      </w:r>
      <w:r>
        <w:t xml:space="preserve">    </w:t>
      </w:r>
      <w:r>
        <w:rPr>
          <w:b/>
        </w:rPr>
        <w:t xml:space="preserve">Pub date: </w:t>
      </w:r>
      <w:r>
        <w:t>2026-08-12 10:00:00+00:00</w:t>
      </w:r>
      <w:r>
        <w:t xml:space="preserve">    </w:t>
      </w:r>
      <w:r>
        <w:rPr>
          <w:b/>
        </w:rPr>
        <w:t xml:space="preserve">DOI: </w:t>
      </w:r>
      <w:hyperlink r:id="rId1711">
        <w:r>
          <w:rPr>
            <w:color w:val="1155CC"/>
            <w:u w:val="single"/>
          </w:rPr>
          <w:t>10.1103/5ftk-7qyg</w:t>
        </w:r>
      </w:hyperlink>
    </w:p>
    <w:p>
      <w:pPr>
        <w:spacing w:before="0" w:after="120"/>
      </w:pPr>
      <w:r>
        <w:rPr>
          <w:b/>
        </w:rPr>
        <w:t xml:space="preserve">Notes: </w:t>
      </w:r>
      <w:r>
        <w:t>abstract_source=rss_description</w:t>
      </w:r>
    </w:p>
    <w:p>
      <w:pPr>
        <w:spacing w:before="0" w:after="80" w:lineRule="auto" w:line="276"/>
      </w:pPr>
      <w:r>
        <w:rPr>
          <w:b/>
        </w:rPr>
        <w:t xml:space="preserve">摘要（ZH）: </w:t>
      </w:r>
      <w:r>
        <w:t>作者：Masahiro Kawamata、Maxim Avdeev 和 Yusuke Nambu 我们报告了 ${\mathrm{Eu}}_{2}{\text{MnSi}}_{2}{\mathrm{O}}_{7}$ 中的平均场临界行为，这是一种仅自旋 ${\mathrm{Eu}}^{2+}$ 的黄长石型亚铁磁体，并且${\mathrm{Mn}}^{2+}$矩和轨道贡献可以忽略不计。磁化测量与中子粉末衍射相结合……[物理。莱特牧师。 137, 076703] 2026 年 8 月 12 日星期三发布</w:t>
      </w:r>
    </w:p>
    <w:p>
      <w:pPr>
        <w:spacing w:before="0" w:after="200" w:lineRule="auto" w:line="276"/>
      </w:pPr>
      <w:r>
        <w:rPr>
          <w:b/>
        </w:rPr>
        <w:t xml:space="preserve">Abstract (EN): </w:t>
      </w:r>
      <w:r>
        <w:t>Author(s): Masahiro Kawamata, Maxim Avdeev, and Yusuke NambuWe report mean-field critical behavior in ${\mathrm{Eu}}_{2}{\text{MnSi}}_{2}{\mathrm{O}}_{7}$, a melilite-type ferrimagnet with spin-only ${\mathrm{Eu}}^{2+}$ and ${\mathrm{Mn}}^{2+}$ moments and negligible orbital contributions. Magnetization measurements combined with neutron powder diffraction r…[Phys. Rev. Lett. 137, 076703] Published Wed Aug 12, 2026</w:t>
      </w:r>
    </w:p>
    <w:p>
      <w:pPr>
        <w:spacing w:before="120" w:after="120"/>
      </w:pPr>
      <w:r>
        <w:rPr>
          <w:sz w:val="18"/>
        </w:rPr>
        <w:t>——————————————————————————————————————————————————————————————————————</w:t>
      </w:r>
    </w:p>
    <w:p>
      <w:pPr>
        <w:spacing w:before="160" w:after="40" w:line="240" w:lineRule="auto"/>
      </w:pPr>
      <w:r>
        <w:rPr>
          <w:b/>
        </w:rPr>
        <w:t xml:space="preserve">[609] </w:t>
      </w:r>
      <w:hyperlink r:id="rId1712">
        <w:r>
          <w:rPr>
            <w:color w:val="1155CC"/>
            <w:u w:val="single"/>
          </w:rPr>
          <w:t>观察重变形锕系元素中高角动量的中子排列</w:t>
        </w:r>
      </w:hyperlink>
    </w:p>
    <w:p>
      <w:pPr>
        <w:spacing w:before="0" w:after="80"/>
      </w:pPr>
      <w:r>
        <w:rPr>
          <w:i/>
          <w:sz w:val="20"/>
        </w:rPr>
        <w:t>EN: Observing neutron alignment at high angular momenta in heavy deformed actinides</w:t>
      </w:r>
    </w:p>
    <w:p>
      <w:pPr>
        <w:spacing w:before="0" w:after="120"/>
      </w:pPr>
      <w:r>
        <w:rPr>
          <w:b/>
        </w:rPr>
        <w:t xml:space="preserve">Source: </w:t>
      </w:r>
      <w:r>
        <w:t>Recent Articles in Phys. Rev. C</w:t>
      </w:r>
      <w:r>
        <w:t xml:space="preserve">    </w:t>
      </w:r>
      <w:r>
        <w:rPr>
          <w:b/>
        </w:rPr>
        <w:t xml:space="preserve">Pub date: </w:t>
      </w:r>
      <w:r>
        <w:t>2026-08-12 10:00:00+00:00</w:t>
      </w:r>
      <w:r>
        <w:t xml:space="preserve">    </w:t>
      </w:r>
      <w:r>
        <w:rPr>
          <w:b/>
        </w:rPr>
        <w:t xml:space="preserve">DOI: </w:t>
      </w:r>
      <w:hyperlink r:id="rId1713">
        <w:r>
          <w:rPr>
            <w:color w:val="1155CC"/>
            <w:u w:val="single"/>
          </w:rPr>
          <w:t>10.1103/9md2-9scj</w:t>
        </w:r>
      </w:hyperlink>
    </w:p>
    <w:p>
      <w:pPr>
        <w:spacing w:before="0" w:after="120"/>
      </w:pPr>
      <w:r>
        <w:rPr>
          <w:b/>
        </w:rPr>
        <w:t xml:space="preserve">Notes: </w:t>
      </w:r>
      <w:r>
        <w:t>abstract_source=rss_description</w:t>
      </w:r>
    </w:p>
    <w:p>
      <w:pPr>
        <w:spacing w:before="0" w:after="80" w:lineRule="auto" w:line="276"/>
      </w:pPr>
      <w:r>
        <w:rPr>
          <w:b/>
        </w:rPr>
        <w:t xml:space="preserve">摘要（ZH）: </w:t>
      </w:r>
      <w:r>
        <w:t>作者：P. Chowdhury、T. L. Khoo、S. S. Hota、Y. Qiu、C. J. Lister、M. P. Carpenter、S. Frauendorf、R. V. F. Janssens、F. G. Kondev、T. Lauritsen 和 D. Seweryniak 重核结构中的一个突出难题在于变形超铀同位素的旋转响应。虽然 ${i}_{13/2}$ 质子对的旋转排列是普遍存在且易于理解的，但观察 ${j}_{15/2}$ 中子的类似排列却一直难以捉摸……[Phys. Rev. C 114, L021301] 2026 年 8 月 12 日星期三发布</w:t>
      </w:r>
    </w:p>
    <w:p>
      <w:pPr>
        <w:spacing w:before="0" w:after="200" w:lineRule="auto" w:line="276"/>
      </w:pPr>
      <w:r>
        <w:rPr>
          <w:b/>
        </w:rPr>
        <w:t xml:space="preserve">Abstract (EN): </w:t>
      </w:r>
      <w:r>
        <w:t>Author(s): P. Chowdhury, T. L. Khoo, S. S. Hota, Y. Qiu, C. J. Lister, M. P. Carpenter, S. Frauendorf, R. V. F. Janssens, F. G. Kondev, T. Lauritsen, and D. SeweryniakAn outstanding puzzle in the structure of very heavy nuclei lies in the rotation response of deformed transuranic isotopes. While the rotation alignment of pairs of ${i}_{13/2}$ protons is ubiquitous and well understood, observing the analogous alignment of the ${j}_{15/2}$ neutrons has been elusive…[Phys. Rev. C 114, L021301] Published Wed Aug 12, 2026</w:t>
      </w:r>
    </w:p>
    <w:p>
      <w:pPr>
        <w:spacing w:before="120" w:after="120"/>
      </w:pPr>
      <w:r>
        <w:rPr>
          <w:sz w:val="18"/>
        </w:rPr>
        <w:t>——————————————————————————————————————————————————————————————————————</w:t>
      </w:r>
    </w:p>
    <w:p>
      <w:pPr>
        <w:spacing w:before="160" w:after="40" w:line="240" w:lineRule="auto"/>
      </w:pPr>
      <w:r>
        <w:rPr>
          <w:b/>
        </w:rPr>
        <w:t xml:space="preserve">[610] </w:t>
      </w:r>
      <w:hyperlink r:id="rId1714">
        <w:r>
          <w:rPr>
            <w:color w:val="1155CC"/>
            <w:u w:val="single"/>
          </w:rPr>
          <w:t>用于量子互连的高性能量子存储器</w:t>
        </w:r>
      </w:hyperlink>
    </w:p>
    <w:p>
      <w:pPr>
        <w:spacing w:before="0" w:after="80"/>
      </w:pPr>
      <w:r>
        <w:rPr>
          <w:i/>
          <w:sz w:val="20"/>
        </w:rPr>
        <w:t>EN: High-Performance Quantum Memory for Quantum Interconnects</w:t>
      </w:r>
    </w:p>
    <w:p>
      <w:pPr>
        <w:spacing w:before="0" w:after="120"/>
      </w:pPr>
      <w:r>
        <w:rPr>
          <w:b/>
        </w:rPr>
        <w:t xml:space="preserve">Source: </w:t>
      </w:r>
      <w:r>
        <w:t>Recent Articles in Phys. Rev. Lett.</w:t>
      </w:r>
      <w:r>
        <w:t xml:space="preserve">    </w:t>
      </w:r>
      <w:r>
        <w:rPr>
          <w:b/>
        </w:rPr>
        <w:t xml:space="preserve">Pub date: </w:t>
      </w:r>
      <w:r>
        <w:t>2026-08-12 10:00:00+00:00</w:t>
      </w:r>
      <w:r>
        <w:t xml:space="preserve">    </w:t>
      </w:r>
      <w:r>
        <w:rPr>
          <w:b/>
        </w:rPr>
        <w:t xml:space="preserve">DOI: </w:t>
      </w:r>
      <w:hyperlink r:id="rId1715">
        <w:r>
          <w:rPr>
            <w:color w:val="1155CC"/>
            <w:u w:val="single"/>
          </w:rPr>
          <w:t>10.1103/k35f-7k9s</w:t>
        </w:r>
      </w:hyperlink>
    </w:p>
    <w:p>
      <w:pPr>
        <w:spacing w:before="0" w:after="120"/>
      </w:pPr>
      <w:r>
        <w:rPr>
          <w:b/>
        </w:rPr>
        <w:t xml:space="preserve">Notes: </w:t>
      </w:r>
      <w:r>
        <w:t>abstract_source=rss_description</w:t>
      </w:r>
    </w:p>
    <w:p>
      <w:pPr>
        <w:spacing w:before="0" w:after="80" w:lineRule="auto" w:line="276"/>
      </w:pPr>
      <w:r>
        <w:rPr>
          <w:b/>
        </w:rPr>
        <w:t xml:space="preserve">摘要（ZH）: </w:t>
      </w:r>
      <w:r>
        <w:t>作者：Hao-Xuan Luo、Chang Li、Jia-Ling Ren、Yuan Yuan、Yong-Li Wen、Jian-Feng Li、Yun-Fei Wang、Shan-Chao Zhang、Hui Yan 和 Shi-Liang Zhu 研究人员提出了一种评估量子存储器件性能的新方法，量子存储器件将成为未来量子互联网的关键组件。莱特牧师。 137, 070802] 2026 年 8 月 12 日星期三发布</w:t>
      </w:r>
    </w:p>
    <w:p>
      <w:pPr>
        <w:spacing w:before="0" w:after="200" w:lineRule="auto" w:line="276"/>
      </w:pPr>
      <w:r>
        <w:rPr>
          <w:b/>
        </w:rPr>
        <w:t xml:space="preserve">Abstract (EN): </w:t>
      </w:r>
      <w:r>
        <w:t>Author(s): Hao-Xuan Luo, Chang Li, Jia-Ling Ren, Yuan Yuan, Yong-Li Wen, Jian-Feng Li, Yun-Fei Wang, Shan-Chao Zhang, Hui Yan, and Shi-Liang ZhuResearchers propose a new way to evaluate the performance of quantum memory devices, which will be key components in a future quantum Internet.[Phys. Rev. Lett. 137, 070802] Published Wed Aug 12, 2026</w:t>
      </w:r>
    </w:p>
    <w:p>
      <w:pPr>
        <w:spacing w:before="120" w:after="120"/>
      </w:pPr>
      <w:r>
        <w:rPr>
          <w:sz w:val="18"/>
        </w:rPr>
        <w:t>——————————————————————————————————————————————————————————————————————</w:t>
      </w:r>
    </w:p>
    <w:p>
      <w:pPr>
        <w:spacing w:before="160" w:after="40" w:line="240" w:lineRule="auto"/>
      </w:pPr>
      <w:r>
        <w:rPr>
          <w:b/>
        </w:rPr>
        <w:t xml:space="preserve">[611] </w:t>
      </w:r>
      <w:hyperlink r:id="rId1716">
        <w:r>
          <w:rPr>
            <w:color w:val="1155CC"/>
            <w:u w:val="single"/>
          </w:rPr>
          <w:t>单光子状态表征的量子优势</w:t>
        </w:r>
      </w:hyperlink>
    </w:p>
    <w:p>
      <w:pPr>
        <w:spacing w:before="0" w:after="80"/>
      </w:pPr>
      <w:r>
        <w:rPr>
          <w:i/>
          <w:sz w:val="20"/>
        </w:rPr>
        <w:t>EN: Quantum Advantage for Single-Photon State Characterization</w:t>
      </w:r>
    </w:p>
    <w:p>
      <w:pPr>
        <w:spacing w:before="0" w:after="120"/>
      </w:pPr>
      <w:r>
        <w:rPr>
          <w:b/>
        </w:rPr>
        <w:t xml:space="preserve">Source: </w:t>
      </w:r>
      <w:r>
        <w:t>Recent Articles in Phys. Rev. Lett.</w:t>
      </w:r>
      <w:r>
        <w:t xml:space="preserve">    </w:t>
      </w:r>
      <w:r>
        <w:rPr>
          <w:b/>
        </w:rPr>
        <w:t xml:space="preserve">Pub date: </w:t>
      </w:r>
      <w:r>
        <w:t>2026-08-12 10:00:00+00:00</w:t>
      </w:r>
      <w:r>
        <w:t xml:space="preserve">    </w:t>
      </w:r>
      <w:r>
        <w:rPr>
          <w:b/>
        </w:rPr>
        <w:t xml:space="preserve">DOI: </w:t>
      </w:r>
      <w:hyperlink r:id="rId1717">
        <w:r>
          <w:rPr>
            <w:color w:val="1155CC"/>
            <w:u w:val="single"/>
          </w:rPr>
          <w:t>10.1103/g28d-jzgj</w:t>
        </w:r>
      </w:hyperlink>
    </w:p>
    <w:p>
      <w:pPr>
        <w:spacing w:before="0" w:after="120"/>
      </w:pPr>
      <w:r>
        <w:rPr>
          <w:b/>
        </w:rPr>
        <w:t xml:space="preserve">Notes: </w:t>
      </w:r>
      <w:r>
        <w:t>abstract_source=rss_description</w:t>
      </w:r>
    </w:p>
    <w:p>
      <w:pPr>
        <w:spacing w:before="0" w:after="80" w:lineRule="auto" w:line="276"/>
      </w:pPr>
      <w:r>
        <w:rPr>
          <w:b/>
        </w:rPr>
        <w:t xml:space="preserve">摘要（ZH）: </w:t>
      </w:r>
      <w:r>
        <w:t>作者：S. N. van den Hoven、M. C. Anguita、S. Marzban 和 J. J. Renema 我们提出了一种多光子干涉协议，该协议比成对的 Hong-Ou-Mandel 表征实验更有效地表征单光子内部模式的成对重叠。我们通过实验实现该协议来表征三个光子。我们表明我们的实现......[物理。莱特牧师。 137, 073604] 2026 年 8 月 12 日星期三发布</w:t>
      </w:r>
    </w:p>
    <w:p>
      <w:pPr>
        <w:spacing w:before="0" w:after="200" w:lineRule="auto" w:line="276"/>
      </w:pPr>
      <w:r>
        <w:rPr>
          <w:b/>
        </w:rPr>
        <w:t xml:space="preserve">Abstract (EN): </w:t>
      </w:r>
      <w:r>
        <w:t>Author(s): S. N. van den Hoven, M. C. Anguita, S. Marzban, and J. J. RenemaWe propose a multiphoton interference protocol that characterizes the pairwise overlaps of the internal modes of single photons more efficiently than pairwise Hong-Ou-Mandel characterization experiments. We experimentally implement this protocol to characterize three photons. We show that our implem…[Phys. Rev. Lett. 137, 073604] Published Wed Aug 12, 2026</w:t>
      </w:r>
    </w:p>
    <w:p>
      <w:pPr>
        <w:spacing w:before="120" w:after="120"/>
      </w:pPr>
      <w:r>
        <w:rPr>
          <w:sz w:val="18"/>
        </w:rPr>
        <w:t>——————————————————————————————————————————————————————————————————————</w:t>
      </w:r>
    </w:p>
    <w:p>
      <w:pPr>
        <w:spacing w:before="160" w:after="40" w:line="240" w:lineRule="auto"/>
      </w:pPr>
      <w:r>
        <w:rPr>
          <w:b/>
        </w:rPr>
        <w:t xml:space="preserve">[612] </w:t>
      </w:r>
      <w:hyperlink r:id="rId1718">
        <w:r>
          <w:rPr>
            <w:color w:val="1155CC"/>
            <w:u w:val="single"/>
          </w:rPr>
          <w:t>针对非稳定性的泡利弦指数加速采样</w:t>
        </w:r>
      </w:hyperlink>
    </w:p>
    <w:p>
      <w:pPr>
        <w:spacing w:before="0" w:after="80"/>
      </w:pPr>
      <w:r>
        <w:rPr>
          <w:i/>
          <w:sz w:val="20"/>
        </w:rPr>
        <w:t>EN: Exponentially Accelerated Sampling of Pauli Strings for Nonstabilizerness</w:t>
      </w:r>
    </w:p>
    <w:p>
      <w:pPr>
        <w:spacing w:before="0" w:after="120"/>
      </w:pPr>
      <w:r>
        <w:rPr>
          <w:b/>
        </w:rPr>
        <w:t xml:space="preserve">Source: </w:t>
      </w:r>
      <w:r>
        <w:t>Recent Articles in Phys. Rev. Lett.</w:t>
      </w:r>
      <w:r>
        <w:t xml:space="preserve">    </w:t>
      </w:r>
      <w:r>
        <w:rPr>
          <w:b/>
        </w:rPr>
        <w:t xml:space="preserve">Pub date: </w:t>
      </w:r>
      <w:r>
        <w:t>2026-08-12 10:00:00+00:00</w:t>
      </w:r>
      <w:r>
        <w:t xml:space="preserve">    </w:t>
      </w:r>
      <w:r>
        <w:rPr>
          <w:b/>
        </w:rPr>
        <w:t xml:space="preserve">DOI: </w:t>
      </w:r>
      <w:hyperlink r:id="rId1719">
        <w:r>
          <w:rPr>
            <w:color w:val="1155CC"/>
            <w:u w:val="single"/>
          </w:rPr>
          <w:t>10.1103/v3f2-ldr1</w:t>
        </w:r>
      </w:hyperlink>
    </w:p>
    <w:p>
      <w:pPr>
        <w:spacing w:before="0" w:after="120"/>
      </w:pPr>
      <w:r>
        <w:rPr>
          <w:b/>
        </w:rPr>
        <w:t xml:space="preserve">Notes: </w:t>
      </w:r>
      <w:r>
        <w:t>abstract_source=rss_description</w:t>
      </w:r>
    </w:p>
    <w:p>
      <w:pPr>
        <w:spacing w:before="0" w:after="80" w:lineRule="auto" w:line="276"/>
      </w:pPr>
      <w:r>
        <w:rPr>
          <w:b/>
        </w:rPr>
        <w:t xml:space="preserve">摘要（ZH）: </w:t>
      </w:r>
      <w:r>
        <w:t>作者：Zhenyu Shaw 和 Shinsei Ryu通过非稳定器量化的量子魔法，测量与稳定器结构的偏离，并成为潜在量子加速的基础。我们引入了一种高效的经典框架，用于计算通用 $N$ 量子位波函数的稳定器 Rényi 熵和稳定器无效性。该方法结合...[物理。莱特牧师。 137, 070402] 2026 年 8 月 12 日星期三发布</w:t>
      </w:r>
    </w:p>
    <w:p>
      <w:pPr>
        <w:spacing w:before="0" w:after="200" w:lineRule="auto" w:line="276"/>
      </w:pPr>
      <w:r>
        <w:rPr>
          <w:b/>
        </w:rPr>
        <w:t xml:space="preserve">Abstract (EN): </w:t>
      </w:r>
      <w:r>
        <w:t>Author(s): Zhenyu Xiao and Shinsei RyuQuantum magic, quantified by nonstabilizerness, measures departures from stabilizer structure and underlies potential quantum speedups. We introduce an efficient classical framework for computing stabilizer Rényi entropies and stabilizer nullity of generic $N$-qubit wave functions. The method combin…[Phys. Rev. Lett. 137, 070402] Published Wed Aug 12, 2026</w:t>
      </w:r>
    </w:p>
    <w:p>
      <w:pPr>
        <w:spacing w:before="120" w:after="120"/>
      </w:pPr>
      <w:r>
        <w:rPr>
          <w:sz w:val="18"/>
        </w:rPr>
        <w:t>——————————————————————————————————————————————————————————————————————</w:t>
      </w:r>
    </w:p>
    <w:p>
      <w:pPr>
        <w:spacing w:before="160" w:after="40" w:line="240" w:lineRule="auto"/>
      </w:pPr>
      <w:r>
        <w:rPr>
          <w:b/>
        </w:rPr>
        <w:t xml:space="preserve">[613] </w:t>
      </w:r>
      <w:hyperlink r:id="rId1720">
        <w:r>
          <w:rPr>
            <w:color w:val="1155CC"/>
            <w:u w:val="single"/>
          </w:rPr>
          <w:t>通过功提取完成状态转换的表征</w:t>
        </w:r>
      </w:hyperlink>
    </w:p>
    <w:p>
      <w:pPr>
        <w:spacing w:before="0" w:after="80"/>
      </w:pPr>
      <w:r>
        <w:rPr>
          <w:i/>
          <w:sz w:val="20"/>
        </w:rPr>
        <w:t>EN: Complete Characterization of State Conversions by Work Extraction</w:t>
      </w:r>
    </w:p>
    <w:p>
      <w:pPr>
        <w:spacing w:before="0" w:after="120"/>
      </w:pPr>
      <w:r>
        <w:rPr>
          <w:b/>
        </w:rPr>
        <w:t xml:space="preserve">Source: </w:t>
      </w:r>
      <w:r>
        <w:t>Recent Articles in Phys. Rev. Lett.</w:t>
      </w:r>
      <w:r>
        <w:t xml:space="preserve">    </w:t>
      </w:r>
      <w:r>
        <w:rPr>
          <w:b/>
        </w:rPr>
        <w:t xml:space="preserve">Pub date: </w:t>
      </w:r>
      <w:r>
        <w:t>2026-08-12 10:00:00+00:00</w:t>
      </w:r>
      <w:r>
        <w:t xml:space="preserve">    </w:t>
      </w:r>
      <w:r>
        <w:rPr>
          <w:b/>
        </w:rPr>
        <w:t xml:space="preserve">DOI: </w:t>
      </w:r>
      <w:hyperlink r:id="rId1721">
        <w:r>
          <w:rPr>
            <w:color w:val="1155CC"/>
            <w:u w:val="single"/>
          </w:rPr>
          <w:t>10.1103/4f1s-5q8b</w:t>
        </w:r>
      </w:hyperlink>
    </w:p>
    <w:p>
      <w:pPr>
        <w:spacing w:before="0" w:after="120"/>
      </w:pPr>
      <w:r>
        <w:rPr>
          <w:b/>
        </w:rPr>
        <w:t xml:space="preserve">Notes: </w:t>
      </w:r>
      <w:r>
        <w:t>abstract_source=rss_description</w:t>
      </w:r>
    </w:p>
    <w:p>
      <w:pPr>
        <w:spacing w:before="0" w:after="80" w:lineRule="auto" w:line="276"/>
      </w:pPr>
      <w:r>
        <w:rPr>
          <w:b/>
        </w:rPr>
        <w:t xml:space="preserve">摘要（ZH）: </w:t>
      </w:r>
      <w:r>
        <w:t>作者：Chung-Yun Hsieh 和 Manuel Gessner 我们引入了一种热力学功提取任务，该任务描述了量子系统的能量存储增强。这项任务引入了类似多数化的条件，为一般量子资源理论中的状态转换提供了必要且充分的表征。当应用于特定...[物理。莱特牧师。 137, 070403] 2026 年 8 月 12 日星期三发布</w:t>
      </w:r>
    </w:p>
    <w:p>
      <w:pPr>
        <w:spacing w:before="0" w:after="200" w:lineRule="auto" w:line="276"/>
      </w:pPr>
      <w:r>
        <w:rPr>
          <w:b/>
        </w:rPr>
        <w:t xml:space="preserve">Abstract (EN): </w:t>
      </w:r>
      <w:r>
        <w:t>Author(s): Chung-Yun Hsieh and Manuel GessnerWe introduce a thermodynamic work-extraction task that describes the energy storage enhancement of quantum systems. This task induces majorizationlike conditions that provide a necessary and sufficient characterization of state conversions in general quantum resource theories. When applied to specif…[Phys. Rev. Lett. 137, 070403] Published Wed Aug 12, 2026</w:t>
      </w:r>
    </w:p>
    <w:p>
      <w:pPr>
        <w:spacing w:before="120" w:after="120"/>
      </w:pPr>
      <w:r>
        <w:rPr>
          <w:sz w:val="18"/>
        </w:rPr>
        <w:t>——————————————————————————————————————————————————————————————————————</w:t>
      </w:r>
    </w:p>
    <w:p>
      <w:pPr>
        <w:spacing w:before="160" w:after="40" w:line="240" w:lineRule="auto"/>
      </w:pPr>
      <w:r>
        <w:rPr>
          <w:b/>
        </w:rPr>
        <w:t xml:space="preserve">[614] </w:t>
      </w:r>
      <w:hyperlink r:id="rId1722">
        <w:r>
          <w:rPr>
            <w:color w:val="1155CC"/>
            <w:u w:val="single"/>
          </w:rPr>
          <w:t>通过主动电容补偿进行拓扑表面电荷检测：4D 量子霍尔效应的途径</w:t>
        </w:r>
      </w:hyperlink>
    </w:p>
    <w:p>
      <w:pPr>
        <w:spacing w:before="0" w:after="80"/>
      </w:pPr>
      <w:r>
        <w:rPr>
          <w:i/>
          <w:sz w:val="20"/>
        </w:rPr>
        <w:t>EN: Topological Surface Charge Detection via Active Capacitive Compensation: A Pathway to the 4D Quantum Hall Effect</w:t>
      </w:r>
    </w:p>
    <w:p>
      <w:pPr>
        <w:spacing w:before="0" w:after="120"/>
      </w:pPr>
      <w:r>
        <w:rPr>
          <w:b/>
        </w:rPr>
        <w:t xml:space="preserve">Source: </w:t>
      </w:r>
      <w:r>
        <w:t>Recent Articles in Phys. Rev. Lett.</w:t>
      </w:r>
      <w:r>
        <w:t xml:space="preserve">    </w:t>
      </w:r>
      <w:r>
        <w:rPr>
          <w:b/>
        </w:rPr>
        <w:t xml:space="preserve">Pub date: </w:t>
      </w:r>
      <w:r>
        <w:t>2026-08-12 10:00:00+00:00</w:t>
      </w:r>
      <w:r>
        <w:t xml:space="preserve">    </w:t>
      </w:r>
      <w:r>
        <w:rPr>
          <w:b/>
        </w:rPr>
        <w:t xml:space="preserve">DOI: </w:t>
      </w:r>
      <w:hyperlink r:id="rId1723">
        <w:r>
          <w:rPr>
            <w:color w:val="1155CC"/>
            <w:u w:val="single"/>
          </w:rPr>
          <w:t>10.1103/wycz-5hvd</w:t>
        </w:r>
      </w:hyperlink>
    </w:p>
    <w:p>
      <w:pPr>
        <w:spacing w:before="0" w:after="120"/>
      </w:pPr>
      <w:r>
        <w:rPr>
          <w:b/>
        </w:rPr>
        <w:t xml:space="preserve">Notes: </w:t>
      </w:r>
      <w:r>
        <w:t>abstract_source=rss_description</w:t>
      </w:r>
    </w:p>
    <w:p>
      <w:pPr>
        <w:spacing w:before="0" w:after="80" w:lineRule="auto" w:line="276"/>
      </w:pPr>
      <w:r>
        <w:rPr>
          <w:b/>
        </w:rPr>
        <w:t xml:space="preserve">摘要（ZH）: </w:t>
      </w:r>
      <w:r>
        <w:t>作者：李元泽、王仁飞、张一凡、陈家豪、邓英东、谢进、寇旭峰、刘阳、梁天三维拓扑绝缘体 (TI) 中的拓扑磁电效应 (TME)，描述为$\mathrm{Δ}P=({e}^{2}/2h){N}_{\text{Ch}}^{(2)}\mathrm{Δ}B$，作为四维量子霍尔效应（4D QHE）的凝聚态实现。在双栅极轴子绝缘体装置中……[物理。莱特牧师。 137, 076602] 2026 年 8 月 12 日星期三发布</w:t>
      </w:r>
    </w:p>
    <w:p>
      <w:pPr>
        <w:spacing w:before="0" w:after="200" w:lineRule="auto" w:line="276"/>
      </w:pPr>
      <w:r>
        <w:rPr>
          <w:b/>
        </w:rPr>
        <w:t xml:space="preserve">Abstract (EN): </w:t>
      </w:r>
      <w:r>
        <w:t>Author(s): Yuanze Li, Renfei Wang, Yifan Zhang, Jiahao Chen, Yingdong Deng, Jin Xie, Xufeng Kou, Yang Liu, and Tian LiangThe topological magnetoelectric effect (TME) in three-dimensional topological insulators (TIs), described by $\mathrm{Δ}P=({e}^{2}/2h){N}_{\text{Ch}}^{(2)}\mathrm{Δ}B$, serves as a condensed-matter realization of the four-dimensional quantum Hall effect (4D QHE). In dual-gate axion insulator devices…[Phys. Rev. Lett. 137, 076602] Published Wed Aug 12, 2026</w:t>
      </w:r>
    </w:p>
    <w:p>
      <w:pPr>
        <w:spacing w:before="120" w:after="120"/>
      </w:pPr>
      <w:r>
        <w:rPr>
          <w:sz w:val="18"/>
        </w:rPr>
        <w:t>——————————————————————————————————————————————————————————————————————</w:t>
      </w:r>
    </w:p>
    <w:p>
      <w:pPr>
        <w:spacing w:before="160" w:after="40" w:line="240" w:lineRule="auto"/>
      </w:pPr>
      <w:r>
        <w:rPr>
          <w:b/>
        </w:rPr>
        <w:t xml:space="preserve">[615] </w:t>
      </w:r>
      <w:hyperlink r:id="rId1724">
        <w:r>
          <w:rPr>
            <w:color w:val="1155CC"/>
            <w:u w:val="single"/>
          </w:rPr>
          <w:t>高能氧-氧碰撞中 QCD 物质的平衡分数</w:t>
        </w:r>
      </w:hyperlink>
    </w:p>
    <w:p>
      <w:pPr>
        <w:spacing w:before="0" w:after="80"/>
      </w:pPr>
      <w:r>
        <w:rPr>
          <w:i/>
          <w:sz w:val="20"/>
        </w:rPr>
        <w:t>EN: Equilibrated fraction of QCD matter in high-energy oxygen-oxygen collisions</w:t>
      </w:r>
    </w:p>
    <w:p>
      <w:pPr>
        <w:spacing w:before="0" w:after="120"/>
      </w:pPr>
      <w:r>
        <w:rPr>
          <w:b/>
        </w:rPr>
        <w:t xml:space="preserve">Source: </w:t>
      </w:r>
      <w:r>
        <w:t>Recent Articles in Phys. Rev. C</w:t>
      </w:r>
      <w:r>
        <w:t xml:space="preserve">    </w:t>
      </w:r>
      <w:r>
        <w:rPr>
          <w:b/>
        </w:rPr>
        <w:t xml:space="preserve">Pub date: </w:t>
      </w:r>
      <w:r>
        <w:t>2026-08-12 10:00:00+00:00</w:t>
      </w:r>
      <w:r>
        <w:t xml:space="preserve">    </w:t>
      </w:r>
      <w:r>
        <w:rPr>
          <w:b/>
        </w:rPr>
        <w:t xml:space="preserve">DOI: </w:t>
      </w:r>
      <w:hyperlink r:id="rId1725">
        <w:r>
          <w:rPr>
            <w:color w:val="1155CC"/>
            <w:u w:val="single"/>
          </w:rPr>
          <w:t>10.1103/r39m-l6gz</w:t>
        </w:r>
      </w:hyperlink>
    </w:p>
    <w:p>
      <w:pPr>
        <w:spacing w:before="0" w:after="120"/>
      </w:pPr>
      <w:r>
        <w:rPr>
          <w:b/>
        </w:rPr>
        <w:t xml:space="preserve">Notes: </w:t>
      </w:r>
      <w:r>
        <w:t>abstract_source=rss_description</w:t>
      </w:r>
    </w:p>
    <w:p>
      <w:pPr>
        <w:spacing w:before="0" w:after="80" w:lineRule="auto" w:line="276"/>
      </w:pPr>
      <w:r>
        <w:rPr>
          <w:b/>
        </w:rPr>
        <w:t xml:space="preserve">摘要（ZH）: </w:t>
      </w:r>
      <w:r>
        <w:t>作者：Naoya Ito 和 Tetsufumi Hirano我们量化了在 $\sqrt{{s}_{NN}}=5.36$ TeV 处高能氧-氧 ($\mathrm{O}+\mathrm{O}$) 碰撞中产生的 QCD 物质达到局部平衡状态的程度。为此，我们采用了一种基于核心日冕图的新颖框架，该框架描述了 l…[Phys. Rev. C 114, 024906] 2026 年 8 月 12 日星期三发布</w:t>
      </w:r>
    </w:p>
    <w:p>
      <w:pPr>
        <w:spacing w:before="0" w:after="200" w:lineRule="auto" w:line="276"/>
      </w:pPr>
      <w:r>
        <w:rPr>
          <w:b/>
        </w:rPr>
        <w:t xml:space="preserve">Abstract (EN): </w:t>
      </w:r>
      <w:r>
        <w:t>Author(s): Naoya Ito and Tetsufumi HiranoWe quantify to what degree the QCD matter created in high-energy oxygen-oxygen ($\mathrm{O}+\mathrm{O}$) collisions at $\sqrt{{s}_{NN}}=5.36$ TeV reaches a locally equilibrated state. For this purpose, we employ a novel framework based on the core-corona picture that describes the dynamics of both l…[Phys. Rev. C 114, 024906] Published Wed Aug 12, 2026</w:t>
      </w:r>
    </w:p>
    <w:p>
      <w:pPr>
        <w:spacing w:before="120" w:after="120"/>
      </w:pPr>
      <w:r>
        <w:rPr>
          <w:sz w:val="18"/>
        </w:rPr>
        <w:t>——————————————————————————————————————————————————————————————————————</w:t>
      </w:r>
    </w:p>
    <w:p>
      <w:pPr>
        <w:spacing w:before="160" w:after="40" w:line="240" w:lineRule="auto"/>
      </w:pPr>
      <w:r>
        <w:rPr>
          <w:b/>
        </w:rPr>
        <w:t xml:space="preserve">[616] </w:t>
      </w:r>
      <w:hyperlink r:id="rId1726">
        <w:r>
          <w:rPr>
            <w:color w:val="1155CC"/>
            <w:u w:val="single"/>
          </w:rPr>
          <w:t>观察 $^{32}\mathrm{Si} {J}^{π}={5}^{−}$ 异构态中的主导 $0{f}_{7/2}$ 中子构型</w:t>
        </w:r>
      </w:hyperlink>
    </w:p>
    <w:p>
      <w:pPr>
        <w:spacing w:before="0" w:after="80"/>
      </w:pPr>
      <w:r>
        <w:rPr>
          <w:i/>
          <w:sz w:val="20"/>
        </w:rPr>
        <w:t>EN: Observation of a dominant $0{f}_{7/2}$ neutron configuration in the $^{32}\mathrm{Si} {J}^{π}={5}^{−}$ isomeric state</w:t>
      </w:r>
    </w:p>
    <w:p>
      <w:pPr>
        <w:spacing w:before="0" w:after="120"/>
      </w:pPr>
      <w:r>
        <w:rPr>
          <w:b/>
        </w:rPr>
        <w:t xml:space="preserve">Source: </w:t>
      </w:r>
      <w:r>
        <w:t>Recent Articles in Phys. Rev. C</w:t>
      </w:r>
      <w:r>
        <w:t xml:space="preserve">    </w:t>
      </w:r>
      <w:r>
        <w:rPr>
          <w:b/>
        </w:rPr>
        <w:t xml:space="preserve">Pub date: </w:t>
      </w:r>
      <w:r>
        <w:t>2026-08-12 10:00:00+00:00</w:t>
      </w:r>
      <w:r>
        <w:t xml:space="preserve">    </w:t>
      </w:r>
      <w:r>
        <w:rPr>
          <w:b/>
        </w:rPr>
        <w:t xml:space="preserve">DOI: </w:t>
      </w:r>
      <w:hyperlink r:id="rId1727">
        <w:r>
          <w:rPr>
            <w:color w:val="1155CC"/>
            <w:u w:val="single"/>
          </w:rPr>
          <w:t>10.1103/gw6d-9ccz</w:t>
        </w:r>
      </w:hyperlink>
    </w:p>
    <w:p>
      <w:pPr>
        <w:spacing w:before="0" w:after="120"/>
      </w:pPr>
      <w:r>
        <w:rPr>
          <w:b/>
        </w:rPr>
        <w:t xml:space="preserve">Notes: </w:t>
      </w:r>
      <w:r>
        <w:t>abstract_source=rss_description</w:t>
      </w:r>
    </w:p>
    <w:p>
      <w:pPr>
        <w:spacing w:before="0" w:after="80" w:lineRule="auto" w:line="276"/>
      </w:pPr>
      <w:r>
        <w:rPr>
          <w:b/>
        </w:rPr>
        <w:t xml:space="preserve">摘要（ZH）: </w:t>
      </w:r>
      <w:r>
        <w:t>作者：C. R. Hoffman、G. L. Wilson、J. Chen、B. P. Kay、T. L. Tang、S. R. Carmichael、M. Gott、S. Lesher、M. S. Martin、G. E. Morgan 和 J. Wu.An yrast，${J}^{π}={5}^{−}$，自旋陷阱异构体之前已在$^{32}\mathrm{Si}$。异构态主要通过受阻 $E3$ 跃迁 [$B$($E3$) = 0.0841(10) W.u.] 衰变，绕过附近的 $E2$ 衰变路径到达第一个激发的 ${3}^{−}$ 能级。单中子方面……[物理。 Rev. C 114, 024322] 2026 年 8 月 12 日星期三发布</w:t>
      </w:r>
    </w:p>
    <w:p>
      <w:pPr>
        <w:spacing w:before="0" w:after="200" w:lineRule="auto" w:line="276"/>
      </w:pPr>
      <w:r>
        <w:rPr>
          <w:b/>
        </w:rPr>
        <w:t xml:space="preserve">Abstract (EN): </w:t>
      </w:r>
      <w:r>
        <w:t>Author(s): C. R. Hoffman, G. L. Wilson, J. Chen, B. P. Kay, T. L. Tang, S. R. Carmichael, M. Gott, S. Lesher, M. S. Martin, G. E. Morgan, and J. Wu.An yrast, ${J}^{π}={5}^{−}$, spin-trap isomer has been previously identified in $^{32}\mathrm{Si}$. The isomeric state decays predominantly via a hindered $E3$ transition [$B$($E3$) = 0.0841(10) W.u.], bypassing a nearby $E2$ decay path to the first excited ${3}^{−}$ level. The single-neutron aspect…[Phys. Rev. C 114, 024322] Published Wed Aug 12, 2026</w:t>
      </w:r>
    </w:p>
    <w:p>
      <w:pPr>
        <w:spacing w:before="120" w:after="120"/>
      </w:pPr>
      <w:r>
        <w:rPr>
          <w:sz w:val="18"/>
        </w:rPr>
        <w:t>——————————————————————————————————————————————————————————————————————</w:t>
      </w:r>
    </w:p>
    <w:p>
      <w:pPr>
        <w:spacing w:before="160" w:after="40" w:line="240" w:lineRule="auto"/>
      </w:pPr>
      <w:r>
        <w:rPr>
          <w:b/>
        </w:rPr>
        <w:t xml:space="preserve">[617] </w:t>
      </w:r>
      <w:hyperlink r:id="rId1728">
        <w:r>
          <w:rPr>
            <w:color w:val="1155CC"/>
            <w:u w:val="single"/>
          </w:rPr>
          <w:t>$(d,α)$反应中$^{150}\mathrm{Pm}$的低位能级结构</w:t>
        </w:r>
      </w:hyperlink>
    </w:p>
    <w:p>
      <w:pPr>
        <w:spacing w:before="0" w:after="80"/>
      </w:pPr>
      <w:r>
        <w:rPr>
          <w:i/>
          <w:sz w:val="20"/>
        </w:rPr>
        <w:t>EN: Low-lying level structure of $^{150}\mathrm{Pm}$ from the $(d,α)$ reaction</w:t>
      </w:r>
    </w:p>
    <w:p>
      <w:pPr>
        <w:spacing w:before="0" w:after="120"/>
      </w:pPr>
      <w:r>
        <w:rPr>
          <w:b/>
        </w:rPr>
        <w:t xml:space="preserve">Source: </w:t>
      </w:r>
      <w:r>
        <w:t>Recent Articles in Phys. Rev. C</w:t>
      </w:r>
      <w:r>
        <w:t xml:space="preserve">    </w:t>
      </w:r>
      <w:r>
        <w:rPr>
          <w:b/>
        </w:rPr>
        <w:t xml:space="preserve">Pub date: </w:t>
      </w:r>
      <w:r>
        <w:t>2026-08-12 10:00:00+00:00</w:t>
      </w:r>
      <w:r>
        <w:t xml:space="preserve">    </w:t>
      </w:r>
      <w:r>
        <w:rPr>
          <w:b/>
        </w:rPr>
        <w:t xml:space="preserve">DOI: </w:t>
      </w:r>
      <w:hyperlink r:id="rId1729">
        <w:r>
          <w:rPr>
            <w:color w:val="1155CC"/>
            <w:u w:val="single"/>
          </w:rPr>
          <w:t>10.1103/6pk7-k3bk</w:t>
        </w:r>
      </w:hyperlink>
    </w:p>
    <w:p>
      <w:pPr>
        <w:spacing w:before="0" w:after="120"/>
      </w:pPr>
      <w:r>
        <w:rPr>
          <w:b/>
        </w:rPr>
        <w:t xml:space="preserve">Notes: </w:t>
      </w:r>
      <w:r>
        <w:t>abstract_source=rss_description</w:t>
      </w:r>
    </w:p>
    <w:p>
      <w:pPr>
        <w:spacing w:before="0" w:after="80" w:lineRule="auto" w:line="276"/>
      </w:pPr>
      <w:r>
        <w:rPr>
          <w:b/>
        </w:rPr>
        <w:t xml:space="preserve">摘要（ZH）: </w:t>
      </w:r>
      <w:r>
        <w:t>作者：D. Bucurescu、S. Pascu、R. Lică、D. Filipescu、R. Hertenberger、H.-F。 Wirth、T. Faestermann、M. Spieker、K. Nomura、A. Pal 和 T. Bhattacharjee 提出了 $N=89$ 奇奇核 $^{150}\mathrm{Pm}$ 与 $^{152}\mathrm{Sm}(d,α)$ 在 18 MeV 入射能量下反应的研究。已对该核中观察到的 48 个状态进行了测量角分布的扭曲波玻恩近似 (DWBA) 分析，最高可达 ${E}_{x}≈…[Phys. Rev. C 114, 024321] 2026 年 8 月 12 日星期三发布</w:t>
      </w:r>
    </w:p>
    <w:p>
      <w:pPr>
        <w:spacing w:before="0" w:after="200" w:lineRule="auto" w:line="276"/>
      </w:pPr>
      <w:r>
        <w:rPr>
          <w:b/>
        </w:rPr>
        <w:t xml:space="preserve">Abstract (EN): </w:t>
      </w:r>
      <w:r>
        <w:t>Author(s): D. Bucurescu, S. Pascu, R. Lică, D. Filipescu, R. Hertenberger, H.-F. Wirth, T. Faestermann, M. Spieker, K. Nomura, A. Pal, and T. BhattacharjeeA study of the $N=89$ odd-odd nucleus $^{150}\mathrm{Pm}$ with the $^{152}\mathrm{Sm}(d,α)$ reaction at 18 MeV incident energy is presented. A distorted-wave Born approximation (DWBA) analysis of measured angular distributions has been performed for 48 states observed in this nucleus up to ${E}_{x}≈…[Phys. Rev. C 114, 024321] Published Wed Aug 12, 2026</w:t>
      </w:r>
    </w:p>
    <w:p>
      <w:pPr>
        <w:spacing w:before="120" w:after="120"/>
      </w:pPr>
      <w:r>
        <w:rPr>
          <w:sz w:val="18"/>
        </w:rPr>
        <w:t>——————————————————————————————————————————————————————————————————————</w:t>
      </w:r>
    </w:p>
    <w:p>
      <w:pPr>
        <w:spacing w:before="160" w:after="40" w:line="240" w:lineRule="auto"/>
      </w:pPr>
      <w:r>
        <w:rPr>
          <w:b/>
        </w:rPr>
        <w:t xml:space="preserve">[618] </w:t>
      </w:r>
      <w:hyperlink r:id="rId1730">
        <w:r>
          <w:rPr>
            <w:color w:val="1155CC"/>
            <w:u w:val="single"/>
          </w:rPr>
          <w:t>$^{165}\mathrm{W}$ 和 $^{169}\mathrm{W}$ 中的异构态</w:t>
        </w:r>
      </w:hyperlink>
    </w:p>
    <w:p>
      <w:pPr>
        <w:spacing w:before="0" w:after="80"/>
      </w:pPr>
      <w:r>
        <w:rPr>
          <w:i/>
          <w:sz w:val="20"/>
        </w:rPr>
        <w:t>EN: Isomeric states in $^{165}\mathrm{W}$ and $^{169}\mathrm{W}$</w:t>
      </w:r>
    </w:p>
    <w:p>
      <w:pPr>
        <w:spacing w:before="0" w:after="120"/>
      </w:pPr>
      <w:r>
        <w:rPr>
          <w:b/>
        </w:rPr>
        <w:t xml:space="preserve">Source: </w:t>
      </w:r>
      <w:r>
        <w:t>Recent Articles in Phys. Rev. C</w:t>
      </w:r>
      <w:r>
        <w:t xml:space="preserve">    </w:t>
      </w:r>
      <w:r>
        <w:rPr>
          <w:b/>
        </w:rPr>
        <w:t xml:space="preserve">Pub date: </w:t>
      </w:r>
      <w:r>
        <w:t>2026-08-12 10:00:00+00:00</w:t>
      </w:r>
      <w:r>
        <w:t xml:space="preserve">    </w:t>
      </w:r>
      <w:r>
        <w:rPr>
          <w:b/>
        </w:rPr>
        <w:t xml:space="preserve">DOI: </w:t>
      </w:r>
      <w:hyperlink r:id="rId1731">
        <w:r>
          <w:rPr>
            <w:color w:val="1155CC"/>
            <w:u w:val="single"/>
          </w:rPr>
          <w:t>10.1103/mxx4-sxv2</w:t>
        </w:r>
      </w:hyperlink>
    </w:p>
    <w:p>
      <w:pPr>
        <w:spacing w:before="0" w:after="120"/>
      </w:pPr>
      <w:r>
        <w:rPr>
          <w:b/>
        </w:rPr>
        <w:t xml:space="preserve">Notes: </w:t>
      </w:r>
      <w:r>
        <w:t>abstract_source=rss_description</w:t>
      </w:r>
    </w:p>
    <w:p>
      <w:pPr>
        <w:spacing w:before="0" w:after="80" w:lineRule="auto" w:line="276"/>
      </w:pPr>
      <w:r>
        <w:rPr>
          <w:b/>
        </w:rPr>
        <w:t xml:space="preserve">摘要（ZH）: </w:t>
      </w:r>
      <w:r>
        <w:t>作者：H. Joukainen 等人。芬兰于韦斯屈莱大学加速器实验室采用聚变蒸发反应的实验中，在 $^{165}\mathrm{W}$ 和 $^{169}\mathrm{W}$ 原子核中观察到异构态的性质和到达基态的去激发路径。 $(13/{2}^{+})$ 异构体…[物理。 Rev. C 114, 024320] 2026 年 8 月 12 日星期三发布</w:t>
      </w:r>
    </w:p>
    <w:p>
      <w:pPr>
        <w:spacing w:before="0" w:after="200" w:lineRule="auto" w:line="276"/>
      </w:pPr>
      <w:r>
        <w:rPr>
          <w:b/>
        </w:rPr>
        <w:t xml:space="preserve">Abstract (EN): </w:t>
      </w:r>
      <w:r>
        <w:t>Author(s): H. Joukainen et al.Properties of isomeric states and the deexcitation paths to the ground state have been observed in $^{165}\mathrm{W}$ and $^{169}\mathrm{W}$ nuclei in experiments employing fusion-evaporation reactions at the Accelerator Laboratory of the University of Jyväskylä, Finland. The $(13/{2}^{+})$ isomeric…[Phys. Rev. C 114, 024320] Published Wed Aug 12, 2026</w:t>
      </w:r>
    </w:p>
    <w:p>
      <w:pPr>
        <w:spacing w:before="120" w:after="120"/>
      </w:pPr>
      <w:r>
        <w:rPr>
          <w:sz w:val="18"/>
        </w:rPr>
        <w:t>——————————————————————————————————————————————————————————————————————</w:t>
      </w:r>
    </w:p>
    <w:p>
      <w:pPr>
        <w:spacing w:before="160" w:after="40" w:line="240" w:lineRule="auto"/>
      </w:pPr>
      <w:r>
        <w:rPr>
          <w:b/>
        </w:rPr>
        <w:t xml:space="preserve">[619] </w:t>
      </w:r>
      <w:hyperlink r:id="rId1732">
        <w:r>
          <w:rPr>
            <w:color w:val="1155CC"/>
            <w:u w:val="single"/>
          </w:rPr>
          <w:t>机械晶格中平带集肤效应的观察</w:t>
        </w:r>
      </w:hyperlink>
    </w:p>
    <w:p>
      <w:pPr>
        <w:spacing w:before="0" w:after="80"/>
      </w:pPr>
      <w:r>
        <w:rPr>
          <w:i/>
          <w:sz w:val="20"/>
        </w:rPr>
        <w:t>EN: Observation of Flatband Skin Effect in a Mechanical Lattice</w:t>
      </w:r>
    </w:p>
    <w:p>
      <w:pPr>
        <w:spacing w:before="0" w:after="120"/>
      </w:pPr>
      <w:r>
        <w:rPr>
          <w:b/>
        </w:rPr>
        <w:t xml:space="preserve">Source: </w:t>
      </w:r>
      <w:r>
        <w:t>Recent Articles in Phys. Rev. Lett.</w:t>
      </w:r>
      <w:r>
        <w:t xml:space="preserve">    </w:t>
      </w:r>
      <w:r>
        <w:rPr>
          <w:b/>
        </w:rPr>
        <w:t xml:space="preserve">Pub date: </w:t>
      </w:r>
      <w:r>
        <w:t>2026-08-12 10:00:00+00:00</w:t>
      </w:r>
      <w:r>
        <w:t xml:space="preserve">    </w:t>
      </w:r>
      <w:r>
        <w:rPr>
          <w:b/>
        </w:rPr>
        <w:t xml:space="preserve">DOI: </w:t>
      </w:r>
      <w:hyperlink r:id="rId1733">
        <w:r>
          <w:rPr>
            <w:color w:val="1155CC"/>
            <w:u w:val="single"/>
          </w:rPr>
          <w:t>10.1103/h9t8-7mtc</w:t>
        </w:r>
      </w:hyperlink>
    </w:p>
    <w:p>
      <w:pPr>
        <w:spacing w:before="0" w:after="120"/>
      </w:pPr>
      <w:r>
        <w:rPr>
          <w:b/>
        </w:rPr>
        <w:t xml:space="preserve">Notes: </w:t>
      </w:r>
      <w:r>
        <w:t>abstract_source=rss_description</w:t>
      </w:r>
    </w:p>
    <w:p>
      <w:pPr>
        <w:spacing w:before="0" w:after="80" w:lineRule="auto" w:line="276"/>
      </w:pPr>
      <w:r>
        <w:rPr>
          <w:b/>
        </w:rPr>
        <w:t xml:space="preserve">摘要（ZH）: </w:t>
      </w:r>
      <w:r>
        <w:t>作者：Xulong Wang、Dongyi Wang、Congwei Lu、Ruo-Yang Zhang、Ching Hua Lee、Kun Ding 和guancong Ma 一维埃尔米特晶格中受对称性保护的理想平带由紧致局域态构成，这是一种波函数限制在小区域内的特殊局域态。在这封信中，我们证明非厄米趋肤效应可以出现在平带中。不像……[物理。莱特牧师。 137, 076601] 2026 年 8 月 12 日星期三发布</w:t>
      </w:r>
    </w:p>
    <w:p>
      <w:pPr>
        <w:spacing w:before="0" w:after="200" w:lineRule="auto" w:line="276"/>
      </w:pPr>
      <w:r>
        <w:rPr>
          <w:b/>
        </w:rPr>
        <w:t xml:space="preserve">Abstract (EN): </w:t>
      </w:r>
      <w:r>
        <w:t>Author(s): Xulong Wang, Dongyi Wang, Congwei Lu, Ruo-Yang Zhang, Ching Hua Lee, Kun Ding, and Guancong MaSymmetry-protected ideal flat bands in one-dimensional Hermitian lattices are populated by compact localized states—a special class of localization with wave functions confined within a small region. In this Letter, we demonstrate that the non-Hermitian skin effect can appear in a flat band. Unlike …[Phys. Rev. Lett. 137, 076601] Published Wed Aug 12, 2026</w:t>
      </w:r>
    </w:p>
    <w:p>
      <w:pPr>
        <w:spacing w:before="120" w:after="120"/>
      </w:pPr>
      <w:r>
        <w:rPr>
          <w:sz w:val="18"/>
        </w:rPr>
        <w:t>——————————————————————————————————————————————————————————————————————</w:t>
      </w:r>
    </w:p>
    <w:p>
      <w:pPr>
        <w:spacing w:before="160" w:after="40" w:line="240" w:lineRule="auto"/>
      </w:pPr>
      <w:r>
        <w:rPr>
          <w:b/>
        </w:rPr>
        <w:t xml:space="preserve">[620] </w:t>
      </w:r>
      <w:hyperlink r:id="rId1734">
        <w:r>
          <w:rPr>
            <w:color w:val="1155CC"/>
            <w:u w:val="single"/>
          </w:rPr>
          <w:t>量化和最小化非平衡相变中的耗散</w:t>
        </w:r>
      </w:hyperlink>
    </w:p>
    <w:p>
      <w:pPr>
        <w:spacing w:before="0" w:after="80"/>
      </w:pPr>
      <w:r>
        <w:rPr>
          <w:i/>
          <w:sz w:val="20"/>
        </w:rPr>
        <w:t>EN: Quantifying and Minimizing Dissipation in a Nonequilibrium Phase Transition</w:t>
      </w:r>
    </w:p>
    <w:p>
      <w:pPr>
        <w:spacing w:before="0" w:after="120"/>
      </w:pPr>
      <w:r>
        <w:rPr>
          <w:b/>
        </w:rPr>
        <w:t xml:space="preserve">Source: </w:t>
      </w:r>
      <w:r>
        <w:t>Recent Articles in Phys. Rev. Lett.</w:t>
      </w:r>
      <w:r>
        <w:t xml:space="preserve">    </w:t>
      </w:r>
      <w:r>
        <w:rPr>
          <w:b/>
        </w:rPr>
        <w:t xml:space="preserve">Pub date: </w:t>
      </w:r>
      <w:r>
        <w:t>2026-08-12 10:00:00+00:00</w:t>
      </w:r>
      <w:r>
        <w:t xml:space="preserve">    </w:t>
      </w:r>
      <w:r>
        <w:rPr>
          <w:b/>
        </w:rPr>
        <w:t xml:space="preserve">DOI: </w:t>
      </w:r>
      <w:hyperlink r:id="rId1735">
        <w:r>
          <w:rPr>
            <w:color w:val="1155CC"/>
            <w:u w:val="single"/>
          </w:rPr>
          <w:t>10.1103/z9nd-rprp</w:t>
        </w:r>
      </w:hyperlink>
    </w:p>
    <w:p>
      <w:pPr>
        <w:spacing w:before="0" w:after="120"/>
      </w:pPr>
      <w:r>
        <w:rPr>
          <w:b/>
        </w:rPr>
        <w:t xml:space="preserve">Notes: </w:t>
      </w:r>
      <w:r>
        <w:t>abstract_source=rss_description</w:t>
      </w:r>
    </w:p>
    <w:p>
      <w:pPr>
        <w:spacing w:before="0" w:after="80" w:lineRule="auto" w:line="276"/>
      </w:pPr>
      <w:r>
        <w:rPr>
          <w:b/>
        </w:rPr>
        <w:t xml:space="preserve">摘要（ZH）: </w:t>
      </w:r>
      <w:r>
        <w:t>作者：Yuejun Shen、Zhiqiao Jiang、Yunfan Huang、Brittany M. Cleary、Yixing Jiang、Grant M. Rotskoff 和 A​​aron M. Lindenberg 在有限时间连续相变中，随着系统自发对称性破缺，拓扑缺陷就会出现。 Kibble-Zurek 机制预测缺陷密度如何随淬火速率变化。在这样的过程中，当系统无法绝热时，也会出现耗散……[物理。莱特牧师。 137, 078101] 2026 年 8 月 12 日星期三发布</w:t>
      </w:r>
    </w:p>
    <w:p>
      <w:pPr>
        <w:spacing w:before="0" w:after="200" w:lineRule="auto" w:line="276"/>
      </w:pPr>
      <w:r>
        <w:rPr>
          <w:b/>
        </w:rPr>
        <w:t xml:space="preserve">Abstract (EN): </w:t>
      </w:r>
      <w:r>
        <w:t>Author(s): Yuejun Shen, Zhiqiao Jiang, Yunfan Huang, Brittany M. Cleary, Yixing Jiang, Grant M. Rotskoff, and Aaron M. LindenbergIn a finite-time continuous phase transition, topological defects emerge as the system undergoes spontaneous symmetry breaking. The Kibble-Zurek mechanism predicts how the defect density scales with the quench rate. During such processes, dissipation also arises as the system fails to adiabatically …[Phys. Rev. Lett. 137, 078101] Published Wed Aug 12, 2026</w:t>
      </w:r>
    </w:p>
    <w:p>
      <w:pPr>
        <w:spacing w:before="120" w:after="120"/>
      </w:pPr>
      <w:r>
        <w:rPr>
          <w:sz w:val="18"/>
        </w:rPr>
        <w:t>——————————————————————————————————————————————————————————————————————</w:t>
      </w:r>
    </w:p>
    <w:p>
      <w:pPr>
        <w:spacing w:before="160" w:after="40" w:line="240" w:lineRule="auto"/>
      </w:pPr>
      <w:r>
        <w:rPr>
          <w:b/>
        </w:rPr>
        <w:t xml:space="preserve">[621] </w:t>
      </w:r>
      <w:hyperlink r:id="rId1736">
        <w:r>
          <w:rPr>
            <w:color w:val="1155CC"/>
            <w:u w:val="single"/>
          </w:rPr>
          <w:t>范德华反铁磁体中磁场可调的排斥激子-激子相互作用 ${\mathrm{NiPS}}_{3}$</w:t>
        </w:r>
      </w:hyperlink>
    </w:p>
    <w:p>
      <w:pPr>
        <w:spacing w:before="0" w:after="80"/>
      </w:pPr>
      <w:r>
        <w:rPr>
          <w:i/>
          <w:sz w:val="20"/>
        </w:rPr>
        <w:t>EN: Magnetic-Field-Tunable Repulsive Exciton-Exciton Interaction in the van der Waals Antiferromagnet ${\mathrm{NiPS}}_{3}$</w:t>
      </w:r>
    </w:p>
    <w:p>
      <w:pPr>
        <w:spacing w:before="0" w:after="120"/>
      </w:pPr>
      <w:r>
        <w:rPr>
          <w:b/>
        </w:rPr>
        <w:t xml:space="preserve">Source: </w:t>
      </w:r>
      <w:r>
        <w:t>Recent Articles in Phys. Rev. Lett.</w:t>
      </w:r>
      <w:r>
        <w:t xml:space="preserve">    </w:t>
      </w:r>
      <w:r>
        <w:rPr>
          <w:b/>
        </w:rPr>
        <w:t xml:space="preserve">Pub date: </w:t>
      </w:r>
      <w:r>
        <w:t>2026-08-12 10:00:00+00:00</w:t>
      </w:r>
      <w:r>
        <w:t xml:space="preserve">    </w:t>
      </w:r>
      <w:r>
        <w:rPr>
          <w:b/>
        </w:rPr>
        <w:t xml:space="preserve">DOI: </w:t>
      </w:r>
      <w:hyperlink r:id="rId1737">
        <w:r>
          <w:rPr>
            <w:color w:val="1155CC"/>
            <w:u w:val="single"/>
          </w:rPr>
          <w:t>10.1103/jl7j-g835</w:t>
        </w:r>
      </w:hyperlink>
    </w:p>
    <w:p>
      <w:pPr>
        <w:spacing w:before="0" w:after="120"/>
      </w:pPr>
      <w:r>
        <w:rPr>
          <w:b/>
        </w:rPr>
        <w:t xml:space="preserve">Notes: </w:t>
      </w:r>
      <w:r>
        <w:t>abstract_source=rss_description</w:t>
      </w:r>
    </w:p>
    <w:p>
      <w:pPr>
        <w:spacing w:before="0" w:after="80" w:lineRule="auto" w:line="276"/>
      </w:pPr>
      <w:r>
        <w:rPr>
          <w:b/>
        </w:rPr>
        <w:t xml:space="preserve">摘要（ZH）: </w:t>
      </w:r>
      <w:r>
        <w:t>作者：Kaiyang Huang、Jaena Park、Zhuo Yang、Je-Geun Park、Atsuhiko Miyata、Yoshimitsu Kohama 和 Yasuhiro H. Matsuda二维范德华晶体中两个 1.5 eV 左右的超窄吸收峰被广泛认为源自自旋轨道纠缠三重态到单重态的转变${\mathrm{NiPS}}_{3}$，因其明显的 spi 而引起了相当大的关注……[Phys.莱特牧师。 137, 076903] 2026 年 8 月 12 日星期三发布</w:t>
      </w:r>
    </w:p>
    <w:p>
      <w:pPr>
        <w:spacing w:before="0" w:after="200" w:lineRule="auto" w:line="276"/>
      </w:pPr>
      <w:r>
        <w:rPr>
          <w:b/>
        </w:rPr>
        <w:t xml:space="preserve">Abstract (EN): </w:t>
      </w:r>
      <w:r>
        <w:t>Author(s): Kaiyang Huang, Jaena Park, Zhuo Yang, Je-Geun Park, Atsuhiko Miyata, Yoshimitsu Kohama, and Yasuhiro H. MatsudaTwo ultranarrow absorption peaks around 1.5 eV, which are widely believed to originate from a transition from a spin-orbital entangled triplet to a singlet state, in the two-dimensional van der Waals crystal ${\mathrm{NiPS}}_{3}$, have attracted considerable attention because of their pronounced spi…[Phys. Rev. Lett. 137, 076903] Published Wed Aug 12, 2026</w:t>
      </w:r>
    </w:p>
    <w:p>
      <w:pPr>
        <w:spacing w:before="120" w:after="120"/>
      </w:pPr>
      <w:r>
        <w:rPr>
          <w:sz w:val="18"/>
        </w:rPr>
        <w:t>——————————————————————————————————————————————————————————————————————</w:t>
      </w:r>
    </w:p>
    <w:p>
      <w:pPr>
        <w:spacing w:before="160" w:after="40" w:line="240" w:lineRule="auto"/>
      </w:pPr>
      <w:r>
        <w:rPr>
          <w:b/>
        </w:rPr>
        <w:t xml:space="preserve">[622] </w:t>
      </w:r>
      <w:hyperlink r:id="rId1738">
        <w:r>
          <w:rPr>
            <w:color w:val="1155CC"/>
            <w:u w:val="single"/>
          </w:rPr>
          <w:t>处女座、天炉座和蛇夫座星系团叠加分析中 $∼43$ GeV $γ$ 射线线信号的证据</w:t>
        </w:r>
      </w:hyperlink>
    </w:p>
    <w:p>
      <w:pPr>
        <w:spacing w:before="0" w:after="80"/>
      </w:pPr>
      <w:r>
        <w:rPr>
          <w:i/>
          <w:sz w:val="20"/>
        </w:rPr>
        <w:t>EN: Evidence for a $∼43$ GeV $γ$-ray Line Signal in a Stacking Analysis of the Virgo, Fornax, and Ophiuchus Galaxy Clusters</w:t>
      </w:r>
    </w:p>
    <w:p>
      <w:pPr>
        <w:spacing w:before="0" w:after="120"/>
      </w:pPr>
      <w:r>
        <w:rPr>
          <w:b/>
        </w:rPr>
        <w:t xml:space="preserve">Source: </w:t>
      </w:r>
      <w:r>
        <w:t>Recent Articles in Phys. Rev. Lett.</w:t>
      </w:r>
      <w:r>
        <w:t xml:space="preserve">    </w:t>
      </w:r>
      <w:r>
        <w:rPr>
          <w:b/>
        </w:rPr>
        <w:t xml:space="preserve">Pub date: </w:t>
      </w:r>
      <w:r>
        <w:t>2026-08-12 10:00:00+00:00</w:t>
      </w:r>
      <w:r>
        <w:t xml:space="preserve">    </w:t>
      </w:r>
      <w:r>
        <w:rPr>
          <w:b/>
        </w:rPr>
        <w:t xml:space="preserve">DOI: </w:t>
      </w:r>
      <w:hyperlink r:id="rId1739">
        <w:r>
          <w:rPr>
            <w:color w:val="1155CC"/>
            <w:u w:val="single"/>
          </w:rPr>
          <w:t>10.1103/lq5r-sjp7</w:t>
        </w:r>
      </w:hyperlink>
    </w:p>
    <w:p>
      <w:pPr>
        <w:spacing w:before="0" w:after="120"/>
      </w:pPr>
      <w:r>
        <w:rPr>
          <w:b/>
        </w:rPr>
        <w:t xml:space="preserve">Notes: </w:t>
      </w:r>
      <w:r>
        <w:t>abstract_source=rss_description</w:t>
      </w:r>
    </w:p>
    <w:p>
      <w:pPr>
        <w:spacing w:before="0" w:after="80" w:lineRule="auto" w:line="276"/>
      </w:pPr>
      <w:r>
        <w:rPr>
          <w:b/>
        </w:rPr>
        <w:t xml:space="preserve">摘要（ZH）: </w:t>
      </w:r>
      <w:r>
        <w:t>作者：范一中、沉兆强、梁云峰、李翔、段凯凯、夏子青、黄晓源、冯雷和袁强作为宇宙中最大的引力束缚天体，星系团为暗物质的存在提供了第一个证据，可能是间接暗物质搜索的合适目标。在各种信号中，GeV-TeV $γ$射线线已被视为确凿的信号……[Phys.莱特牧师。 137, 071003] 2026 年 8 月 12 日星期三发布</w:t>
      </w:r>
    </w:p>
    <w:p>
      <w:pPr>
        <w:spacing w:before="0" w:after="200" w:lineRule="auto" w:line="276"/>
      </w:pPr>
      <w:r>
        <w:rPr>
          <w:b/>
        </w:rPr>
        <w:t xml:space="preserve">Abstract (EN): </w:t>
      </w:r>
      <w:r>
        <w:t>Author(s): Yi-Zhong Fan, Zhao-Qiang Shen, Yun-Feng Liang, Xiang Li, Kai-Kai Duan, Zi-Qing Xia, Xiao-Yuan Huang, Lei Feng, and Qiang YuanAs the largest gravitationally bound objects in the Universe, galaxy clusters have provided the first piece of evidence for the presence of dark matter and may be suitable targets for indirect dark matter searches. Among various signals, the GeV-TeV $γ$-ray line has been taken as the smoking-gun sig…[Phys. Rev. Lett. 137, 071003] Published Wed Aug 12, 2026</w:t>
      </w:r>
    </w:p>
    <w:p>
      <w:pPr>
        <w:spacing w:before="120" w:after="120"/>
      </w:pPr>
      <w:r>
        <w:rPr>
          <w:sz w:val="18"/>
        </w:rPr>
        <w:t>——————————————————————————————————————————————————————————————————————</w:t>
      </w:r>
    </w:p>
    <w:p>
      <w:pPr>
        <w:spacing w:before="160" w:after="40" w:line="240" w:lineRule="auto"/>
      </w:pPr>
      <w:r>
        <w:rPr>
          <w:b/>
        </w:rPr>
        <w:t xml:space="preserve">[623] </w:t>
      </w:r>
      <w:hyperlink r:id="rId1740">
        <w:r>
          <w:rPr>
            <w:color w:val="1155CC"/>
            <w:u w:val="single"/>
          </w:rPr>
          <w:t>双无序自旋网络中的突现退相干动力学</w:t>
        </w:r>
      </w:hyperlink>
    </w:p>
    <w:p>
      <w:pPr>
        <w:spacing w:before="0" w:after="80"/>
      </w:pPr>
      <w:r>
        <w:rPr>
          <w:i/>
          <w:sz w:val="20"/>
        </w:rPr>
        <w:t>EN: Emergent Decoherence Dynamics in Doubly Disordered Spin Networks</w:t>
      </w:r>
    </w:p>
    <w:p>
      <w:pPr>
        <w:spacing w:before="0" w:after="120"/>
      </w:pPr>
      <w:r>
        <w:rPr>
          <w:b/>
        </w:rPr>
        <w:t xml:space="preserve">Source: </w:t>
      </w:r>
      <w:r>
        <w:t>Recent Articles in Phys. Rev. Lett.</w:t>
      </w:r>
      <w:r>
        <w:t xml:space="preserve">    </w:t>
      </w:r>
      <w:r>
        <w:rPr>
          <w:b/>
        </w:rPr>
        <w:t xml:space="preserve">Pub date: </w:t>
      </w:r>
      <w:r>
        <w:t>2026-08-12 10:00:00+00:00</w:t>
      </w:r>
      <w:r>
        <w:t xml:space="preserve">    </w:t>
      </w:r>
      <w:r>
        <w:rPr>
          <w:b/>
        </w:rPr>
        <w:t xml:space="preserve">DOI: </w:t>
      </w:r>
      <w:hyperlink r:id="rId1741">
        <w:r>
          <w:rPr>
            <w:color w:val="1155CC"/>
            <w:u w:val="single"/>
          </w:rPr>
          <w:t>10.1103/td3y-z9wj</w:t>
        </w:r>
      </w:hyperlink>
    </w:p>
    <w:p>
      <w:pPr>
        <w:spacing w:before="0" w:after="120"/>
      </w:pPr>
      <w:r>
        <w:rPr>
          <w:b/>
        </w:rPr>
        <w:t xml:space="preserve">Notes: </w:t>
      </w:r>
      <w:r>
        <w:t>abstract_source=rss_description</w:t>
      </w:r>
    </w:p>
    <w:p>
      <w:pPr>
        <w:spacing w:before="0" w:after="80" w:lineRule="auto" w:line="276"/>
      </w:pPr>
      <w:r>
        <w:rPr>
          <w:b/>
        </w:rPr>
        <w:t xml:space="preserve">摘要（ZH）: </w:t>
      </w:r>
      <w:r>
        <w:t>作者：Cooper M. Selco、Christian Bengs、Chaitali Shah、Zhuorui Zhang 和 Ashok Ajoy 阐明可逆量子多体动力学中不可逆宏观定律的出现仍然具有挑战性，特别是在无序介质中。在这里，在氮掺杂金刚石的双无序电子核自旋网络中，我们发现了 $^{13}\mathrm{…[Phys.莱特牧师。 137, 070803] 2026 年 8 月 12 日星期三发布</w:t>
      </w:r>
    </w:p>
    <w:p>
      <w:pPr>
        <w:spacing w:before="0" w:after="200" w:lineRule="auto" w:line="276"/>
      </w:pPr>
      <w:r>
        <w:rPr>
          <w:b/>
        </w:rPr>
        <w:t xml:space="preserve">Abstract (EN): </w:t>
      </w:r>
      <w:r>
        <w:t>Author(s): Cooper M. Selco, Christian Bengs, Chaitali Shah, Zhuorui Zhang, and Ashok AjoyElucidating the emergence of irreversible macroscopic laws from reversible quantum many-body dynamics remains challenging, particularly in disordered media. Here, in a doubly disordered electron-nuclear spin network in nitrogen-doped diamond, we uncover an emergent decoherence law for $^{13}\mathrm{…[Phys. Rev. Lett. 137, 070803] Published Wed Aug 12, 2026</w:t>
      </w:r>
    </w:p>
    <w:p>
      <w:pPr>
        <w:spacing w:before="120" w:after="120"/>
      </w:pPr>
      <w:r>
        <w:rPr>
          <w:sz w:val="18"/>
        </w:rPr>
        <w:t>——————————————————————————————————————————————————————————————————————</w:t>
      </w:r>
    </w:p>
    <w:p>
      <w:pPr>
        <w:spacing w:before="160" w:after="40" w:line="240" w:lineRule="auto"/>
      </w:pPr>
      <w:r>
        <w:rPr>
          <w:b/>
        </w:rPr>
        <w:t xml:space="preserve">[624] </w:t>
      </w:r>
      <w:hyperlink r:id="rId1742">
        <w:r>
          <w:rPr>
            <w:color w:val="1155CC"/>
            <w:u w:val="single"/>
          </w:rPr>
          <w:t>使用 Fayans 泛函在锕系区域中的八极变形特性</w:t>
        </w:r>
      </w:hyperlink>
    </w:p>
    <w:p>
      <w:pPr>
        <w:spacing w:before="0" w:after="80"/>
      </w:pPr>
      <w:r>
        <w:rPr>
          <w:i/>
          <w:sz w:val="20"/>
        </w:rPr>
        <w:t>EN: Octupole deformation properties in the actinides region using Fayans functionals</w:t>
      </w:r>
    </w:p>
    <w:p>
      <w:pPr>
        <w:spacing w:before="0" w:after="120"/>
      </w:pPr>
      <w:r>
        <w:rPr>
          <w:b/>
        </w:rPr>
        <w:t xml:space="preserve">Source: </w:t>
      </w:r>
      <w:r>
        <w:t>Recent Articles in Phys. Rev. C</w:t>
      </w:r>
      <w:r>
        <w:t xml:space="preserve">    </w:t>
      </w:r>
      <w:r>
        <w:rPr>
          <w:b/>
        </w:rPr>
        <w:t xml:space="preserve">Pub date: </w:t>
      </w:r>
      <w:r>
        <w:t>2026-08-12 10:00:00+00:00</w:t>
      </w:r>
      <w:r>
        <w:t xml:space="preserve">    </w:t>
      </w:r>
      <w:r>
        <w:rPr>
          <w:b/>
        </w:rPr>
        <w:t xml:space="preserve">DOI: </w:t>
      </w:r>
      <w:hyperlink r:id="rId1743">
        <w:r>
          <w:rPr>
            <w:color w:val="1155CC"/>
            <w:u w:val="single"/>
          </w:rPr>
          <w:t>10.1103/2fqw-qhtc</w:t>
        </w:r>
      </w:hyperlink>
    </w:p>
    <w:p>
      <w:pPr>
        <w:spacing w:before="0" w:after="120"/>
      </w:pPr>
      <w:r>
        <w:rPr>
          <w:b/>
        </w:rPr>
        <w:t xml:space="preserve">Notes: </w:t>
      </w:r>
      <w:r>
        <w:t>abstract_source=rss_description</w:t>
      </w:r>
    </w:p>
    <w:p>
      <w:pPr>
        <w:spacing w:before="0" w:after="80" w:lineRule="auto" w:line="276"/>
      </w:pPr>
      <w:r>
        <w:rPr>
          <w:b/>
        </w:rPr>
        <w:t xml:space="preserve">摘要（ZH）: </w:t>
      </w:r>
      <w:r>
        <w:t>作者：Gauthier Danneaux 和 Markus Kortelainen 在对核图锕系元素区域的重核和变形核进行的首次调查中，我们绘制了由 Fayans 能量密度泛函 (EDF) 预测的核基态特性，特别关注八极变形性。与早期的研究相比……[物理。 Rev. C 114, 024319] 2026 年 8 月 12 日星期三发布</w:t>
      </w:r>
    </w:p>
    <w:p>
      <w:pPr>
        <w:spacing w:before="0" w:after="200" w:lineRule="auto" w:line="276"/>
      </w:pPr>
      <w:r>
        <w:rPr>
          <w:b/>
        </w:rPr>
        <w:t xml:space="preserve">Abstract (EN): </w:t>
      </w:r>
      <w:r>
        <w:t>Author(s): Gauthier Danneaux and Markus KortelainenIn this first-of-its-kind survey conducted on heavy and deformed nuclei in the actinide region of the nuclear chart, we have charted nuclear ground state properties predicted by Fayans energy density functionals (EDFs), focusing in particularly on octupole deformability. Compared to earlier studies …[Phys. Rev. C 114, 024319] Published Wed Aug 12, 2026</w:t>
      </w:r>
    </w:p>
    <w:p>
      <w:pPr>
        <w:spacing w:before="120" w:after="120"/>
      </w:pPr>
      <w:r>
        <w:rPr>
          <w:sz w:val="18"/>
        </w:rPr>
        <w:t>——————————————————————————————————————————————————————————————————————</w:t>
      </w:r>
    </w:p>
    <w:p>
      <w:pPr>
        <w:spacing w:before="160" w:after="40" w:line="240" w:lineRule="auto"/>
      </w:pPr>
      <w:r>
        <w:rPr>
          <w:b/>
        </w:rPr>
        <w:t xml:space="preserve">[625] </w:t>
      </w:r>
      <w:hyperlink r:id="rId1744">
        <w:r>
          <w:rPr>
            <w:color w:val="1155CC"/>
            <w:u w:val="single"/>
          </w:rPr>
          <w:t>用于抗肿瘤应用的纳米颗粒的组装和拆卸：机制、策略和功能</w:t>
        </w:r>
      </w:hyperlink>
    </w:p>
    <w:p>
      <w:pPr>
        <w:spacing w:before="0" w:after="80"/>
      </w:pPr>
      <w:r>
        <w:rPr>
          <w:i/>
          <w:sz w:val="20"/>
        </w:rPr>
        <w:t>EN: Assembly and Disassembly of Nanoparticles for Antitumor Applications: Mechanisms, Strategies, and Functions</w:t>
      </w:r>
    </w:p>
    <w:p>
      <w:pPr>
        <w:spacing w:before="0" w:after="120"/>
      </w:pPr>
      <w:r>
        <w:rPr>
          <w:b/>
        </w:rPr>
        <w:t xml:space="preserve">Source: </w:t>
      </w:r>
      <w:r>
        <w:t>Wiley: Advanced Materials: Table of Contents</w:t>
      </w:r>
      <w:r>
        <w:t xml:space="preserve">    </w:t>
      </w:r>
      <w:r>
        <w:rPr>
          <w:b/>
        </w:rPr>
        <w:t xml:space="preserve">Pub date: </w:t>
      </w:r>
      <w:r>
        <w:t>2026-08-12 10:42:02+00:00</w:t>
      </w:r>
      <w:r>
        <w:t xml:space="preserve">    </w:t>
      </w:r>
      <w:r>
        <w:rPr>
          <w:b/>
        </w:rPr>
        <w:t xml:space="preserve">DOI: </w:t>
      </w:r>
      <w:hyperlink r:id="rId1745">
        <w:r>
          <w:rPr>
            <w:color w:val="1155CC"/>
            <w:u w:val="single"/>
          </w:rPr>
          <w:t>10.1002/adma.74607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纳米颗粒（NP）在肿瘤治疗、诊断成像和精准医学方面展现出巨大的潜力。它们的性能受到其组装和分解的调节，从而影响药物输送、治疗效果和生物安全性。然而，现有的综述仅限于单一的治疗方式、特定的组装策略或孤立的功能优化方法，并且没有系统地研究纳米颗粒的组装-分解过程及其生物学功能。因此，这篇综述首先讨论了纳米粒子组装和分解背后的驱动力，包括疏水性、静电、氢键和π-π相互作用。随后，总结了包括异位自组装和原位自组装在内的纳米颗粒组装策略，并研究了组装的纳米颗粒在延长血液循环停留时间、增强肿瘤积累、保护治疗药物和增强治疗效果方面的应用。随后讨论了主要的纳米粒子分解途径，包括键断裂、载体降解、配位解离、超分子解离和相变，强调它们在药物释放、细胞内运输和分子成像中的参与。最后，基于权衡的组装和拆卸讨论概述了临床转化的关键挑战，旨在指导更有效的基于 NP 的治疗系统的开发。</w:t>
      </w:r>
    </w:p>
    <w:p>
      <w:pPr>
        <w:spacing w:before="0" w:after="200" w:lineRule="auto" w:line="276"/>
      </w:pPr>
      <w:r>
        <w:rPr>
          <w:b/>
        </w:rPr>
        <w:t xml:space="preserve">Abstract (EN): </w:t>
      </w:r>
      <w:r>
        <w:t>Nanoparticles (NPs) demonstrate tremendous potential in tumor therapy, diagnostic imaging, and precision medicine. Their performance is regulated by their assembly and disassembly, which influence drug delivery, therapeutic efficacy, and biosafety. However, existing reviews are confined to single therapeutic modalities, specific assembly strategies, or isolated functional optimization approaches, and do not systematically examine of NP assembly‐disassembly processes and their biological functions. Accordingly, this review first discusses the driving forces behind NP assembly and disassembly, including hydrophobic, electrostatic, hydrogen bonding, and π–π interactions. Subsequently, the NP assembly strategies, covering ex situ and in situ self‐assembly, are summarized, and the applications by which assembled NP extend blood circulation residence time, enhance tumor accumulation, protect therapeutic cargo, and potentiate therapeutic efficacy are examined. The major NP disassembly pathways, including bond cleavage, carrier degradation, coordination dissociation, supramolecular dissociation, and phase transition, are subsequently discussed, highlighting their involvement in drug release, intracellular trafficking, and molecular imaging. Finally, a trade‐off‐based assembly and disassembly discussion outlines the key challenges for clinical translation, aiming to guide the development of more effective NP‐based therapeutic systems.</w:t>
      </w:r>
    </w:p>
    <w:p>
      <w:pPr>
        <w:spacing w:before="120" w:after="120"/>
      </w:pPr>
      <w:r>
        <w:rPr>
          <w:sz w:val="18"/>
        </w:rPr>
        <w:t>——————————————————————————————————————————————————————————————————————</w:t>
      </w:r>
    </w:p>
    <w:p>
      <w:pPr>
        <w:spacing w:before="160" w:after="40" w:line="240" w:lineRule="auto"/>
      </w:pPr>
      <w:r>
        <w:rPr>
          <w:b/>
        </w:rPr>
        <w:t xml:space="preserve">[626] </w:t>
      </w:r>
      <w:hyperlink r:id="rId1746">
        <w:r>
          <w:rPr>
            <w:color w:val="1155CC"/>
            <w:u w:val="single"/>
          </w:rPr>
          <w:t>硒化氢-二氧化硫络合物的光化学：硒亚硫酸和脱氢多硫族化合物的形成</w:t>
        </w:r>
      </w:hyperlink>
    </w:p>
    <w:p>
      <w:pPr>
        <w:spacing w:before="0" w:after="80"/>
      </w:pPr>
      <w:r>
        <w:rPr>
          <w:i/>
          <w:sz w:val="20"/>
        </w:rPr>
        <w:t>EN: Photochemistry of the Hydrogen Selenide‐Sulfur Dioxide Complex: Formation of Selenosulfurous Acid and the Dehydrogenated Polyinterchalcogen Compounds</w:t>
      </w:r>
    </w:p>
    <w:p>
      <w:pPr>
        <w:spacing w:before="0" w:after="120"/>
      </w:pPr>
      <w:r>
        <w:rPr>
          <w:b/>
        </w:rPr>
        <w:t xml:space="preserve">Source: </w:t>
      </w:r>
      <w:r>
        <w:t>Wiley: Angewandte Chemie International Edition: Table of Contents</w:t>
      </w:r>
      <w:r>
        <w:t xml:space="preserve">    </w:t>
      </w:r>
      <w:r>
        <w:rPr>
          <w:b/>
        </w:rPr>
        <w:t xml:space="preserve">Pub date: </w:t>
      </w:r>
      <w:r>
        <w:t>2026-08-12 16:14:30+00:00</w:t>
      </w:r>
      <w:r>
        <w:t xml:space="preserve">    </w:t>
      </w:r>
      <w:r>
        <w:rPr>
          <w:b/>
        </w:rPr>
        <w:t xml:space="preserve">DOI: </w:t>
      </w:r>
      <w:hyperlink r:id="rId1747">
        <w:r>
          <w:rPr>
            <w:color w:val="1155CC"/>
            <w:u w:val="single"/>
          </w:rPr>
          <w:t>10.1002/anie.3323932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 O、S 和 Se 原子组成的多硫族元素间化合物鲜为人知。在此，我们报道了三个O的合成</w:t>
      </w:r>
      <w:r>
        <w:rPr>
          <w:vertAlign w:val="subscript"/>
        </w:rPr>
        <w:t>2</w:t>
      </w:r>
      <w:r>
        <w:t>硒化氢 (H</w:t>
      </w:r>
      <w:r>
        <w:rPr>
          <w:vertAlign w:val="subscript"/>
        </w:rPr>
        <w:t>2</w:t>
      </w:r>
      <w:r>
        <w:t>Se) 和二氧化硫 (SO</w:t>
      </w:r>
      <w:r>
        <w:rPr>
          <w:vertAlign w:val="subscript"/>
        </w:rPr>
        <w:t>2</w:t>
      </w:r>
      <w:r>
        <w:t>）通过硒代亚硫酸（HSeS(O)OH）的中介作用。具体来说，H 之间的硫族键合 (Se•••S) 分子复合物的光激发</w:t>
      </w:r>
      <w:r>
        <w:rPr>
          <w:vertAlign w:val="subscript"/>
        </w:rPr>
        <w:t>2</w:t>
      </w:r>
      <w:r>
        <w:t>硒和SO</w:t>
      </w:r>
      <w:r>
        <w:rPr>
          <w:vertAlign w:val="subscript"/>
        </w:rPr>
        <w:t>2</w:t>
      </w:r>
      <w:r>
        <w:t>在 10 K 的 Ar 基体中，在 310 nm 处产生 HSeS(O)OH，作为亚硫酸的难以捉摸的重类似物 (H</w:t>
      </w:r>
      <w:r>
        <w:rPr>
          <w:vertAlign w:val="subscript"/>
        </w:rPr>
        <w:t>2</w:t>
      </w:r>
      <w:r>
        <w:t>SO</w:t>
      </w:r>
      <w:r>
        <w:rPr>
          <w:vertAlign w:val="subscript"/>
        </w:rPr>
        <w:t>3</w:t>
      </w:r>
      <w:r>
        <w:t>）。随后在 254 nm 处基质隔离的 HSeS(O)OH 发生光解，导致脱水（→ H</w:t>
      </w:r>
      <w:r>
        <w:rPr>
          <w:vertAlign w:val="subscript"/>
        </w:rPr>
        <w:t>2</w:t>
      </w:r>
      <w:r>
        <w:t>O + OSSe) 以及脱氢 (→ H</w:t>
      </w:r>
      <w:r>
        <w:rPr>
          <w:vertAlign w:val="subscript"/>
        </w:rPr>
        <w:t>2</w:t>
      </w:r>
      <w:r>
        <w:t>+</w:t>
      </w:r>
      <w:r>
        <w:t xml:space="preserve"> </w:t>
      </w:r>
      <w:r>
        <w:t>顺式</w:t>
      </w:r>
      <w:r>
        <w:t xml:space="preserve"> </w:t>
      </w:r>
      <w:r>
        <w:t>/</w:t>
      </w:r>
      <w:r>
        <w:t>反式</w:t>
      </w:r>
      <w:r>
        <w:t xml:space="preserve"> </w:t>
      </w:r>
      <w:r>
        <w:t>‐OSSeO) 反应。进一步光激发</w:t>
      </w:r>
      <w:r>
        <w:t xml:space="preserve"> </w:t>
      </w:r>
      <w:r>
        <w:t>顺式</w:t>
      </w:r>
      <w:r>
        <w:t xml:space="preserve"> </w:t>
      </w:r>
      <w:r>
        <w:t>/</w:t>
      </w:r>
      <w:r>
        <w:t>反式</w:t>
      </w:r>
      <w:r>
        <w:t xml:space="preserve"> </w:t>
      </w:r>
      <w:r>
        <w:t>‐OSSeO 导致重排</w:t>
      </w:r>
      <w:r>
        <w:t xml:space="preserve"> </w:t>
      </w:r>
      <w:r>
        <w:t>循环</w:t>
      </w:r>
      <w:r>
        <w:t xml:space="preserve"> </w:t>
      </w:r>
      <w:r>
        <w:t>‐OS(= O)Se 并解离为 Se•••SO</w:t>
      </w:r>
      <w:r>
        <w:rPr>
          <w:vertAlign w:val="subscript"/>
        </w:rPr>
        <w:t>2</w:t>
      </w:r>
      <w:r>
        <w:t>。 HSeS(O)OH 和 O 的表征</w:t>
      </w:r>
      <w:r>
        <w:rPr>
          <w:vertAlign w:val="subscript"/>
        </w:rPr>
        <w:t>2</w:t>
      </w:r>
      <w:r>
        <w:t>具有基质隔离红外和紫外-可见光谱的 SSe 异构体得到以下支持</w:t>
      </w:r>
    </w:p>
    <w:p>
      <w:pPr>
        <w:spacing w:before="0" w:after="200" w:lineRule="auto" w:line="276"/>
      </w:pPr>
      <w:r>
        <w:rPr>
          <w:b/>
        </w:rPr>
        <w:t xml:space="preserve">Abstract (EN): </w:t>
      </w:r>
      <w:r>
        <w:t>Polyinterchalcogen compounds consisting of the O, S, and Se atoms are barely known. Herein, we report the synthesis of three O</w:t>
      </w:r>
      <w:r>
        <w:rPr>
          <w:vertAlign w:val="subscript"/>
        </w:rPr>
        <w:t>2</w:t>
      </w:r>
      <w:r>
        <w:t>SSe isomers from photoreaction between hydrogen selenide (H</w:t>
      </w:r>
      <w:r>
        <w:rPr>
          <w:vertAlign w:val="subscript"/>
        </w:rPr>
        <w:t>2</w:t>
      </w:r>
      <w:r>
        <w:t>Se) and sulfur dioxide (SO</w:t>
      </w:r>
      <w:r>
        <w:rPr>
          <w:vertAlign w:val="subscript"/>
        </w:rPr>
        <w:t>2</w:t>
      </w:r>
      <w:r>
        <w:t>) via the intermediacy of selenosulfurous acid (HSeS(O)OH). Specifically, photoexcitation of the chalcogen‐bonded (Se•••S) molecular complex between H</w:t>
      </w:r>
      <w:r>
        <w:rPr>
          <w:vertAlign w:val="subscript"/>
        </w:rPr>
        <w:t>2</w:t>
      </w:r>
      <w:r>
        <w:t>Se and SO</w:t>
      </w:r>
      <w:r>
        <w:rPr>
          <w:vertAlign w:val="subscript"/>
        </w:rPr>
        <w:t>2</w:t>
      </w:r>
      <w:r>
        <w:t>at 310 nm in an Ar‐matrix at 10 K yields HSeS(O)OH as an elusive heavy analogue of sulfurous acid (H</w:t>
      </w:r>
      <w:r>
        <w:rPr>
          <w:vertAlign w:val="subscript"/>
        </w:rPr>
        <w:t>2</w:t>
      </w:r>
      <w:r>
        <w:t>SO</w:t>
      </w:r>
      <w:r>
        <w:rPr>
          <w:vertAlign w:val="subscript"/>
        </w:rPr>
        <w:t>3</w:t>
      </w:r>
      <w:r>
        <w:t>). Subsequent photolysis of the matrix‐isolated HSeS(O)OH at 254 nm results in dehydration (→ H</w:t>
      </w:r>
      <w:r>
        <w:rPr>
          <w:vertAlign w:val="subscript"/>
        </w:rPr>
        <w:t>2</w:t>
      </w:r>
      <w:r>
        <w:t>O + OSSe) and also dehydrogenation (→ H</w:t>
      </w:r>
      <w:r>
        <w:rPr>
          <w:vertAlign w:val="subscript"/>
        </w:rPr>
        <w:t>2</w:t>
      </w:r>
      <w:r>
        <w:t>+</w:t>
      </w:r>
      <w:r>
        <w:t xml:space="preserve"> </w:t>
      </w:r>
      <w:r>
        <w:t>cis</w:t>
      </w:r>
      <w:r>
        <w:t xml:space="preserve"> </w:t>
      </w:r>
      <w:r>
        <w:t>/</w:t>
      </w:r>
      <w:r>
        <w:t>trans</w:t>
      </w:r>
      <w:r>
        <w:t xml:space="preserve"> </w:t>
      </w:r>
      <w:r>
        <w:t>‐OSSeO) reactions. Further photoexcitation of</w:t>
      </w:r>
      <w:r>
        <w:t xml:space="preserve"> </w:t>
      </w:r>
      <w:r>
        <w:t>cis</w:t>
      </w:r>
      <w:r>
        <w:t xml:space="preserve"> </w:t>
      </w:r>
      <w:r>
        <w:t>/</w:t>
      </w:r>
      <w:r>
        <w:t>trans</w:t>
      </w:r>
      <w:r>
        <w:t xml:space="preserve"> </w:t>
      </w:r>
      <w:r>
        <w:t>‐OSSeO causes rearrangement to</w:t>
      </w:r>
      <w:r>
        <w:t xml:space="preserve"> </w:t>
      </w:r>
      <w:r>
        <w:t>cyc</w:t>
      </w:r>
      <w:r>
        <w:t xml:space="preserve"> </w:t>
      </w:r>
      <w:r>
        <w:t>‐OS(= O)Se alongside dissociation to Se•••SO</w:t>
      </w:r>
      <w:r>
        <w:rPr>
          <w:vertAlign w:val="subscript"/>
        </w:rPr>
        <w:t>2</w:t>
      </w:r>
      <w:r>
        <w:t>. Characterization of HSeS(O)OH and the O</w:t>
      </w:r>
      <w:r>
        <w:rPr>
          <w:vertAlign w:val="subscript"/>
        </w:rPr>
        <w:t>2</w:t>
      </w:r>
      <w:r>
        <w:t>SSe isomers with matrix‐isolation IR and UV‐vis spectroscopy is supported by</w:t>
      </w:r>
      <w:r>
        <w:rPr>
          <w:vertAlign w:val="subscript"/>
        </w:rPr>
        <w:t>18</w:t>
      </w:r>
      <w:r>
        <w:t>O‐isotope labeling experiments and high‐level quantum chemical calculations. This work advances the fundamental knowledge on chalcogen chemistry, and it also helps in understanding the atmospheric photochemistry of H</w:t>
      </w:r>
      <w:r>
        <w:rPr>
          <w:vertAlign w:val="subscript"/>
        </w:rPr>
        <w:t>2</w:t>
      </w:r>
      <w:r>
        <w:t>Se in the global selenium cycle.</w:t>
      </w:r>
    </w:p>
    <w:p>
      <w:pPr>
        <w:spacing w:before="120" w:after="120"/>
      </w:pPr>
      <w:r>
        <w:rPr>
          <w:sz w:val="18"/>
        </w:rPr>
        <w:t>——————————————————————————————————————————————————————————————————————</w:t>
      </w:r>
    </w:p>
    <w:p>
      <w:pPr>
        <w:spacing w:before="160" w:after="40" w:line="240" w:lineRule="auto"/>
      </w:pPr>
      <w:r>
        <w:rPr>
          <w:b/>
        </w:rPr>
        <w:t xml:space="preserve">[627] </w:t>
      </w:r>
      <w:hyperlink r:id="rId1748">
        <w:r>
          <w:rPr>
            <w:color w:val="1155CC"/>
            <w:u w:val="single"/>
          </w:rPr>
          <w:t>卡洛斯·克鲁兹</w:t>
        </w:r>
      </w:hyperlink>
    </w:p>
    <w:p>
      <w:pPr>
        <w:spacing w:before="0" w:after="80"/>
      </w:pPr>
      <w:r>
        <w:rPr>
          <w:i/>
          <w:sz w:val="20"/>
        </w:rPr>
        <w:t>EN: Carlos M. Cruz</w:t>
      </w:r>
    </w:p>
    <w:p>
      <w:pPr>
        <w:spacing w:before="0" w:after="120"/>
      </w:pPr>
      <w:r>
        <w:rPr>
          <w:b/>
        </w:rPr>
        <w:t xml:space="preserve">Source: </w:t>
      </w:r>
      <w:r>
        <w:t>Wiley: Angewandte Chemie International Edition: Table of Contents</w:t>
      </w:r>
      <w:r>
        <w:t xml:space="preserve">    </w:t>
      </w:r>
      <w:r>
        <w:rPr>
          <w:b/>
        </w:rPr>
        <w:t xml:space="preserve">Pub date: </w:t>
      </w:r>
      <w:r>
        <w:t>2026-08-12 16:19:21+00:00</w:t>
      </w:r>
      <w:r>
        <w:t xml:space="preserve">    </w:t>
      </w:r>
      <w:r>
        <w:rPr>
          <w:b/>
        </w:rPr>
        <w:t xml:space="preserve">DOI: </w:t>
      </w:r>
      <w:hyperlink r:id="rId1749">
        <w:r>
          <w:rPr>
            <w:color w:val="1155CC"/>
            <w:u w:val="single"/>
          </w:rPr>
          <w:t>10.1002/anie.6852524</w:t>
        </w:r>
      </w:hyperlink>
    </w:p>
    <w:p>
      <w:pPr>
        <w:spacing w:before="0" w:after="120"/>
      </w:pPr>
      <w:r>
        <w:rPr>
          <w:b/>
        </w:rPr>
        <w:t xml:space="preserve">Notes: </w:t>
      </w:r>
      <w:r>
        <w:t>abstract_source=pubmed</w:t>
      </w:r>
    </w:p>
    <w:p>
      <w:pPr>
        <w:spacing w:before="0" w:after="80" w:lineRule="auto" w:line="276"/>
      </w:pPr>
      <w:r>
        <w:rPr>
          <w:b/>
        </w:rPr>
        <w:t xml:space="preserve">摘要（ZH）: </w:t>
      </w:r>
      <w:r>
        <w:t>“我选择化学作为职业，因为它被认为是核心科学……我正在等待有人发现新碳同素异形体的那一天……”在卡洛斯·M·克鲁兹的介绍中了解更多关于……简介。</w:t>
      </w:r>
    </w:p>
    <w:p>
      <w:pPr>
        <w:spacing w:before="0" w:after="200" w:lineRule="auto" w:line="276"/>
      </w:pPr>
      <w:r>
        <w:rPr>
          <w:b/>
        </w:rPr>
        <w:t xml:space="preserve">Abstract (EN): </w:t>
      </w:r>
      <w:r>
        <w:t>"I chose chemistry as a career because it is considered to be the central science… I am waiting for the day when someone will discover a new carbon allotrope…" Find out more about Carlos M. Cruz in his Introducing… Profile.</w:t>
      </w:r>
    </w:p>
    <w:p>
      <w:pPr>
        <w:spacing w:before="120" w:after="120"/>
      </w:pPr>
      <w:r>
        <w:rPr>
          <w:sz w:val="18"/>
        </w:rPr>
        <w:t>——————————————————————————————————————————————————————————————————————</w:t>
      </w:r>
    </w:p>
    <w:p>
      <w:pPr>
        <w:spacing w:before="160" w:after="40" w:line="240" w:lineRule="auto"/>
      </w:pPr>
      <w:r>
        <w:rPr>
          <w:b/>
        </w:rPr>
        <w:t xml:space="preserve">[628] </w:t>
      </w:r>
      <w:hyperlink r:id="rId1750">
        <w:r>
          <w:rPr>
            <w:color w:val="1155CC"/>
            <w:u w:val="single"/>
          </w:rPr>
          <w:t>用于高性能复合磁电和双源能量收集的二维有机-无机杂化钙钛矿铁电体</w:t>
        </w:r>
      </w:hyperlink>
    </w:p>
    <w:p>
      <w:pPr>
        <w:spacing w:before="0" w:after="80"/>
      </w:pPr>
      <w:r>
        <w:rPr>
          <w:i/>
          <w:sz w:val="20"/>
        </w:rPr>
        <w:t>EN: A Two‐Dimensional Organic–Inorganic Hybrid Perovskite Ferroelectric for High‐Performance Composite Magnetoelectric and Dual‐Source Energy Harvesting</w:t>
      </w:r>
    </w:p>
    <w:p>
      <w:pPr>
        <w:spacing w:before="0" w:after="120"/>
      </w:pPr>
      <w:r>
        <w:rPr>
          <w:b/>
        </w:rPr>
        <w:t xml:space="preserve">Source: </w:t>
      </w:r>
      <w:r>
        <w:t>Wiley: Angewandte Chemie International Edition: Table of Contents</w:t>
      </w:r>
      <w:r>
        <w:t xml:space="preserve">    </w:t>
      </w:r>
      <w:r>
        <w:rPr>
          <w:b/>
        </w:rPr>
        <w:t xml:space="preserve">Pub date: </w:t>
      </w:r>
      <w:r>
        <w:t>2026-08-12 16:21:42+00:00</w:t>
      </w:r>
      <w:r>
        <w:t xml:space="preserve">    </w:t>
      </w:r>
      <w:r>
        <w:rPr>
          <w:b/>
        </w:rPr>
        <w:t xml:space="preserve">DOI: </w:t>
      </w:r>
      <w:hyperlink r:id="rId1751">
        <w:r>
          <w:rPr>
            <w:color w:val="1155CC"/>
            <w:u w:val="single"/>
          </w:rPr>
          <w:t>10.1002/anie.3755600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能够同时收集普遍存在的振动和磁场能量的磁机电（MME）发电机是自供电系统的有吸引力的候选者。然而，现有的无机陶瓷和聚合物材料从根本上受到横向压电性能、可制造性和机械柔顺性之间权衡的限制，从而限制了 MME 耦合的进一步发展。在这里，我们报告了一种新的 Ruddlesden-Popper (RP) 型分子铁电体，[DFCBA]</w:t>
      </w:r>
      <w:r>
        <w:rPr>
          <w:vertAlign w:val="subscript"/>
        </w:rPr>
        <w:t>2</w:t>
      </w:r>
      <w:r>
        <w:t>氯化镉</w:t>
      </w:r>
      <w:r>
        <w:rPr>
          <w:vertAlign w:val="subscript"/>
        </w:rPr>
        <w:t>4</w:t>
      </w:r>
      <w:r>
        <w:t>（</w:t>
      </w:r>
      <w:r>
        <w:rPr>
          <w:vertAlign w:val="subscript"/>
        </w:rPr>
        <w:t>1</w:t>
      </w:r>
      <w:r>
        <w:t>; DFCBA = 3,3-二氟环丁基铵），表现出较大的横向压电响应。由于其层状框架具有明显的结构各向异性，优先取向</w:t>
      </w:r>
      <w:r>
        <w:rPr>
          <w:vertAlign w:val="subscript"/>
        </w:rPr>
        <w:t>1</w:t>
      </w:r>
      <w:r>
        <w:t>@PVA 复合薄膜可以通过简单的旋涂在 Metglas 基材上轻松制造。基于该复合材料的悬臂式 MME 发电机可提供 450 V cm 的磁电 (ME) 电压系数</w:t>
      </w:r>
      <w:r>
        <w:t xml:space="preserve"> </w:t>
      </w:r>
      <w:r>
        <w:t>−1</w:t>
      </w:r>
      <w:r>
        <w:t xml:space="preserve"> </w:t>
      </w:r>
      <w:r>
        <w:t>大江</w:t>
      </w:r>
      <w:r>
        <w:t xml:space="preserve"> </w:t>
      </w:r>
      <w:r>
        <w:t>−1</w:t>
      </w:r>
      <w:r>
        <w:t xml:space="preserve"> </w:t>
      </w:r>
      <w:r>
        <w:t>几何优化后，频率约为 50 Hz，这是迄今为止报道的基于分子的 ME 复合材料的最高 ME 电压系数之一。该装置还能够同时收集磁场和振动能量，在双激励下表现出明显的能量叠加效应，并在实际应用中表现出稳定的电输出。</w:t>
      </w:r>
    </w:p>
    <w:p>
      <w:pPr>
        <w:spacing w:before="0" w:after="200" w:lineRule="auto" w:line="276"/>
      </w:pPr>
      <w:r>
        <w:rPr>
          <w:b/>
        </w:rPr>
        <w:t xml:space="preserve">Abstract (EN): </w:t>
      </w:r>
      <w:r>
        <w:t>Magneto‐mechano‐electric (MME) generators capable of simultaneously harvesting ubiquitous vibrational and magnetic‐field energy are attractive candidates for self‐powered systems. However, existing inorganic ceramic and polymeric materials are fundamentally constrained by a trade‐off among transverse piezoelectric performance, manufacturability, and mechanical compliance, thereby limiting further advances in MME coupling. Here, we report a new Ruddlesden–Popper (RP)‐type molecular ferroelectric, [DFCBA]</w:t>
      </w:r>
      <w:r>
        <w:rPr>
          <w:vertAlign w:val="subscript"/>
        </w:rPr>
        <w:t>2</w:t>
      </w:r>
      <w:r>
        <w:t>CdCl</w:t>
      </w:r>
      <w:r>
        <w:rPr>
          <w:vertAlign w:val="subscript"/>
        </w:rPr>
        <w:t>4</w:t>
      </w:r>
      <w:r>
        <w:t>(</w:t>
      </w:r>
      <w:r>
        <w:rPr>
          <w:vertAlign w:val="subscript"/>
        </w:rPr>
        <w:t>1</w:t>
      </w:r>
      <w:r>
        <w:t>; DFCBA = 3,3‐difluorocyclobutylammonium), which exhibits a large transverse piezoelectric response. Owing to the pronounced structural anisotropy of its layered framework, preferentially oriented</w:t>
      </w:r>
      <w:r>
        <w:rPr>
          <w:vertAlign w:val="subscript"/>
        </w:rPr>
        <w:t>1</w:t>
      </w:r>
      <w:r>
        <w:t>@PVA composite films can be readily fabricated on Metglas substrates by simple spin coating. A cantilever‐type MME generator based on this composite delivers a magnetoelectric (ME) voltage coefficient of 450 V cm</w:t>
      </w:r>
      <w:r>
        <w:t xml:space="preserve"> </w:t>
      </w:r>
      <w:r>
        <w:t>−1</w:t>
      </w:r>
      <w:r>
        <w:t xml:space="preserve"> </w:t>
      </w:r>
      <w:r>
        <w:t>Oe</w:t>
      </w:r>
      <w:r>
        <w:t xml:space="preserve"> </w:t>
      </w:r>
      <w:r>
        <w:t>−1</w:t>
      </w:r>
      <w:r>
        <w:t xml:space="preserve"> </w:t>
      </w:r>
      <w:r>
        <w:t>at approximately 50 Hz after geometric optimization, representing one of the highest ME voltage coefficients reported to date for molecule‐based ME composites. The device also enables the simultaneous harvesting of magnetic‐field and vibrational energy, exhibiting a pronounced energy‐superposition effect under dual excitation and stable electrical output under practical operating conditions. These findings establish RP‐type molecular ferroelectrics as a promising materials platform for high‐performance MME generators and open new opportunities for multi‐source energy harvesting and self‐powered Internet of Things technologies.</w:t>
      </w:r>
    </w:p>
    <w:p>
      <w:pPr>
        <w:spacing w:before="120" w:after="120"/>
      </w:pPr>
      <w:r>
        <w:rPr>
          <w:sz w:val="18"/>
        </w:rPr>
        <w:t>——————————————————————————————————————————————————————————————————————</w:t>
      </w:r>
    </w:p>
    <w:p>
      <w:pPr>
        <w:spacing w:before="160" w:after="40" w:line="240" w:lineRule="auto"/>
      </w:pPr>
      <w:r>
        <w:rPr>
          <w:b/>
        </w:rPr>
        <w:t xml:space="preserve">[629] </w:t>
      </w:r>
      <w:hyperlink r:id="rId1752">
        <w:r>
          <w:rPr>
            <w:color w:val="1155CC"/>
            <w:u w:val="single"/>
          </w:rPr>
          <w:t>穿越空间电荷转移发射器中不可逆控制发射的压力处理发光和结构演化</w:t>
        </w:r>
      </w:hyperlink>
    </w:p>
    <w:p>
      <w:pPr>
        <w:spacing w:before="0" w:after="80"/>
      </w:pPr>
      <w:r>
        <w:rPr>
          <w:i/>
          <w:sz w:val="20"/>
        </w:rPr>
        <w:t>EN: Pressure‐Treated Luminescent and Structural Evolution With Irreversible Control of Emission in Through‐Space Charge Transfer Emitter</w:t>
      </w:r>
    </w:p>
    <w:p>
      <w:pPr>
        <w:spacing w:before="0" w:after="120"/>
      </w:pPr>
      <w:r>
        <w:rPr>
          <w:b/>
        </w:rPr>
        <w:t xml:space="preserve">Source: </w:t>
      </w:r>
      <w:r>
        <w:t>Wiley: Angewandte Chemie International Edition: Table of Contents</w:t>
      </w:r>
      <w:r>
        <w:t xml:space="preserve">    </w:t>
      </w:r>
      <w:r>
        <w:rPr>
          <w:b/>
        </w:rPr>
        <w:t xml:space="preserve">Pub date: </w:t>
      </w:r>
      <w:r>
        <w:t>2026-08-12 16:21:46+00:00</w:t>
      </w:r>
      <w:r>
        <w:t xml:space="preserve">    </w:t>
      </w:r>
      <w:r>
        <w:rPr>
          <w:b/>
        </w:rPr>
        <w:t xml:space="preserve">DOI: </w:t>
      </w:r>
      <w:hyperlink r:id="rId1753">
        <w:r>
          <w:rPr>
            <w:color w:val="1155CC"/>
            <w:u w:val="single"/>
          </w:rPr>
          <w:t>10.1002/anie.9247211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空间电荷转移（TSCT）由于其可调谐和动态调节的发光特性，在固态发光体的开发中越来越受到重视。在这项工作中，设计并合成了一种具有空间隔离的供体-受体（D-A）结构的新型 TSCT 发射器，由于分子刚性和抑制的结构重组，它在 410 nm 处表现出高效的蓝紫色发射，具有窄的 37 nm FWHM 和最小的斯托克斯位移。 DMAC-CBO 晶体通过研磨诱导的非晶化表现出显着的机械致变色性，并且由于 D 和 A 单元之间的距离减小，在 14.0 GPa 范围内显示出 156 nm 红移的显着压致变色响应。因此，压力诱导的分子内和分子间相互作用的增强促进了准分子的形成，导致发射红移，并使主要发射态从局部激发（LE）态调制为准分子。令人印象深刻的是，在高压减压后，DMAC-CBO 保留了亚稳态相，导致由准分子产生的不可逆的位移和展宽的发光。这些发现不仅证明压力可以连续调节基于TSCT的材料的D和A单元之间的距离，而且有效地建立了基于TSCT的智能材料的结构-性能框架，具有可调谐和持续的发射，在数据存储、传感和光电子学方面提供了有前景的应用。</w:t>
      </w:r>
    </w:p>
    <w:p>
      <w:pPr>
        <w:spacing w:before="0" w:after="200" w:lineRule="auto" w:line="276"/>
      </w:pPr>
      <w:r>
        <w:rPr>
          <w:b/>
        </w:rPr>
        <w:t xml:space="preserve">Abstract (EN): </w:t>
      </w:r>
      <w:r>
        <w:t>Through‐space charge transfer (TSCT) is gaining prominence for developing solid‐state luminophores, owing to its tunable and dynamically regulable luminescence. In this work, a novel TSCT emitter with a spatially segregated donor–acceptor (D–A) architecture is designed and synthesized, which exhibits high‐efficiency blue‐violet emission at 410 nm with a narrow 37 nm FWHM and minimal Stokes shift due to molecular rigidity and suppressed structural reorganization. DMAC‐CBO crystal demonstrates remarkable mechanochromism through grinding‐induced amorphization and a pronounced piezochromic response showing a 156 nm redshift in the range of 14.0 GPa due to the decreased distance between D and A units. As a result, pressure‐induced the enhancement of intramolecular and intermolecular interactions promote excimer formation, leading to redshifted emission and enabling the modulation of the dominant emissive state from a local excited (LE) state to an excimer. Impressively, upon decompression from high pressure, DMAC‐CBO retains a metastable phase, resulting in irreversibly shifted and broadened luminescence derived from excimers. These findings not only demonstrate that pressure can continuously regulate the distance between D and A units of TSCT‐based materials, but also effectively establish a structure‐property framework for TSCT‐based smart materials with tunable and persistent emission, offering promising applications in data storage, sensing, and optoelectronics.</w:t>
      </w:r>
    </w:p>
    <w:p>
      <w:pPr>
        <w:spacing w:before="120" w:after="120"/>
      </w:pPr>
      <w:r>
        <w:rPr>
          <w:sz w:val="18"/>
        </w:rPr>
        <w:t>——————————————————————————————————————————————————————————————————————</w:t>
      </w:r>
    </w:p>
    <w:p>
      <w:pPr>
        <w:spacing w:before="160" w:after="40" w:line="240" w:lineRule="auto"/>
      </w:pPr>
      <w:r>
        <w:rPr>
          <w:b/>
        </w:rPr>
        <w:t xml:space="preserve">[630] </w:t>
      </w:r>
      <w:hyperlink r:id="rId1754">
        <w:r>
          <w:rPr>
            <w:color w:val="1155CC"/>
            <w:u w:val="single"/>
          </w:rPr>
          <w:t>构象适应性和异构化途径实现水溶性金属有机笼的多重刺激响应组装和相互转化</w:t>
        </w:r>
      </w:hyperlink>
    </w:p>
    <w:p>
      <w:pPr>
        <w:spacing w:before="0" w:after="80"/>
      </w:pPr>
      <w:r>
        <w:rPr>
          <w:i/>
          <w:sz w:val="20"/>
        </w:rPr>
        <w:t>EN: Conformational Adaptivity and Isomerization Pathway Enable Multi‐Stimuli‐Responsive Assembly and Interconversion of Water‐Soluble Metal–Organic Cages</w:t>
      </w:r>
    </w:p>
    <w:p>
      <w:pPr>
        <w:spacing w:before="0" w:after="120"/>
      </w:pPr>
      <w:r>
        <w:rPr>
          <w:b/>
        </w:rPr>
        <w:t xml:space="preserve">Source: </w:t>
      </w:r>
      <w:r>
        <w:t>Wiley: Angewandte Chemie International Edition: Table of Contents</w:t>
      </w:r>
      <w:r>
        <w:t xml:space="preserve">    </w:t>
      </w:r>
      <w:r>
        <w:rPr>
          <w:b/>
        </w:rPr>
        <w:t xml:space="preserve">Pub date: </w:t>
      </w:r>
      <w:r>
        <w:t>2026-08-12 16:22:36+00:00</w:t>
      </w:r>
      <w:r>
        <w:t xml:space="preserve">    </w:t>
      </w:r>
      <w:r>
        <w:rPr>
          <w:b/>
        </w:rPr>
        <w:t xml:space="preserve">DOI: </w:t>
      </w:r>
      <w:hyperlink r:id="rId1755">
        <w:r>
          <w:rPr>
            <w:color w:val="1155CC"/>
            <w:u w:val="single"/>
          </w:rPr>
          <w:t>10.1002/anie.9635291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水溶性、高核金属有机笼（MOC）的多刺激响应组装为自适应超分子系统提供了有吸引力的机会，但平衡结构定义与灵活性仍然是一个核心挑战。在这里，我们报告了一种适应性配体（</w:t>
      </w:r>
      <w:r>
        <w:t xml:space="preserve"> </w:t>
      </w:r>
      <w:r>
        <w:t>L2</w:t>
      </w:r>
      <w:r>
        <w:t xml:space="preserve"> </w:t>
      </w:r>
      <w:r>
        <w:t>）允许访问一系列M</w:t>
      </w:r>
      <w:r>
        <w:t xml:space="preserve"> </w:t>
      </w:r>
      <w:r>
        <w:t>3n</w:t>
      </w:r>
      <w:r>
        <w:t xml:space="preserve"> </w:t>
      </w:r>
      <w:r>
        <w:t>L</w:t>
      </w:r>
      <w:r>
        <w:t xml:space="preserve"> </w:t>
      </w:r>
      <w:r>
        <w:t>2n</w:t>
      </w:r>
      <w:r>
        <w:t xml:space="preserve"> </w:t>
      </w:r>
      <w:r>
        <w:t>单一协调框架内的笼子，包括八面体、管状和碗形 Pd</w:t>
      </w:r>
      <w:r>
        <w:rPr>
          <w:vertAlign w:val="subscript"/>
        </w:rPr>
        <w:t>6</w:t>
      </w:r>
      <w:r>
        <w:t>（</w:t>
      </w:r>
      <w:r>
        <w:t xml:space="preserve"> </w:t>
      </w:r>
      <w:r>
        <w:t>L2</w:t>
      </w:r>
      <w:r>
        <w:t xml:space="preserve"> </w:t>
      </w:r>
      <w:r>
        <w:t>）</w:t>
      </w:r>
      <w:r>
        <w:rPr>
          <w:vertAlign w:val="subscript"/>
        </w:rPr>
        <w:t>4</w:t>
      </w:r>
      <w:r>
        <w:t>笼子，以及 Pd</w:t>
      </w:r>
      <w:r>
        <w:rPr>
          <w:vertAlign w:val="subscript"/>
        </w:rPr>
        <w:t>12</w:t>
      </w:r>
      <w:r>
        <w:t>（</w:t>
      </w:r>
      <w:r>
        <w:t xml:space="preserve"> </w:t>
      </w:r>
      <w:r>
        <w:t>L2</w:t>
      </w:r>
      <w:r>
        <w:t xml:space="preserve"> </w:t>
      </w:r>
      <w:r>
        <w:t>）</w:t>
      </w:r>
      <w:r>
        <w:rPr>
          <w:vertAlign w:val="subscript"/>
        </w:rPr>
        <w:t>8</w:t>
      </w:r>
      <w:r>
        <w:t>二十面体。这些结构响应温度、浓度、溶剂环境和客体结合的变化而可逆地相互转换。相反，一个严格的类似物（</w:t>
      </w:r>
      <w:r>
        <w:t xml:space="preserve"> </w:t>
      </w:r>
      <w:r>
        <w:t>L1</w:t>
      </w:r>
      <w:r>
        <w:t xml:space="preserve"> </w:t>
      </w:r>
      <w:r>
        <w:t>) 产生单个 Pd</w:t>
      </w:r>
      <w:r>
        <w:rPr>
          <w:vertAlign w:val="subscript"/>
        </w:rPr>
        <w:t>6</w:t>
      </w:r>
      <w:r>
        <w:t>（</w:t>
      </w:r>
      <w:r>
        <w:t xml:space="preserve"> </w:t>
      </w:r>
      <w:r>
        <w:t>L1</w:t>
      </w:r>
      <w:r>
        <w:t xml:space="preserve"> </w:t>
      </w:r>
      <w:r>
        <w:t>）</w:t>
      </w:r>
      <w:r>
        <w:rPr>
          <w:vertAlign w:val="subscript"/>
        </w:rPr>
        <w:t>4</w:t>
      </w:r>
      <w:r>
        <w:t>八面体笼。机理研究与单晶 X 射线衍射分析相结合，揭示了不同核原子笼之间的相互转化主要通过完整框架内的笼异构化进行，而不是通过经典的逐步生长，为高阶结构提供了一条动力学有效的途径</w:t>
      </w:r>
    </w:p>
    <w:p>
      <w:pPr>
        <w:spacing w:before="0" w:after="200" w:lineRule="auto" w:line="276"/>
      </w:pPr>
      <w:r>
        <w:rPr>
          <w:b/>
        </w:rPr>
        <w:t xml:space="preserve">Abstract (EN): </w:t>
      </w:r>
      <w:r>
        <w:t>Multi‐stimuli‐responsive assembly of water‐soluble, high‐nuclearity metal–organic cages (MOCs) offers attractive opportunities for adaptive supramolecular systems, but balancing structural definition with flexibility remains a central challenge. Here, we report that an adaptive ligand (</w:t>
      </w:r>
      <w:r>
        <w:t xml:space="preserve"> </w:t>
      </w:r>
      <w:r>
        <w:t>L2</w:t>
      </w:r>
      <w:r>
        <w:t xml:space="preserve"> </w:t>
      </w:r>
      <w:r>
        <w:t>) enables access to a series of M</w:t>
      </w:r>
      <w:r>
        <w:t xml:space="preserve"> </w:t>
      </w:r>
      <w:r>
        <w:t>3n</w:t>
      </w:r>
      <w:r>
        <w:t xml:space="preserve"> </w:t>
      </w:r>
      <w:r>
        <w:t>L</w:t>
      </w:r>
      <w:r>
        <w:t xml:space="preserve"> </w:t>
      </w:r>
      <w:r>
        <w:t>2n</w:t>
      </w:r>
      <w:r>
        <w:t xml:space="preserve"> </w:t>
      </w:r>
      <w:r>
        <w:t>cages within a single coordination framework, including octahedral, tubular, and bowl‐shaped Pd</w:t>
      </w:r>
      <w:r>
        <w:rPr>
          <w:vertAlign w:val="subscript"/>
        </w:rPr>
        <w:t>6</w:t>
      </w:r>
      <w:r>
        <w:t>(</w:t>
      </w:r>
      <w:r>
        <w:t xml:space="preserve"> </w:t>
      </w:r>
      <w:r>
        <w:t>L2</w:t>
      </w:r>
      <w:r>
        <w:t xml:space="preserve"> </w:t>
      </w:r>
      <w:r>
        <w:t>)</w:t>
      </w:r>
      <w:r>
        <w:rPr>
          <w:vertAlign w:val="subscript"/>
        </w:rPr>
        <w:t>4</w:t>
      </w:r>
      <w:r>
        <w:t>cages, as well as a Pd</w:t>
      </w:r>
      <w:r>
        <w:rPr>
          <w:vertAlign w:val="subscript"/>
        </w:rPr>
        <w:t>12</w:t>
      </w:r>
      <w:r>
        <w:t>(</w:t>
      </w:r>
      <w:r>
        <w:t xml:space="preserve"> </w:t>
      </w:r>
      <w:r>
        <w:t>L2</w:t>
      </w:r>
      <w:r>
        <w:t xml:space="preserve"> </w:t>
      </w:r>
      <w:r>
        <w:t>)</w:t>
      </w:r>
      <w:r>
        <w:rPr>
          <w:vertAlign w:val="subscript"/>
        </w:rPr>
        <w:t>8</w:t>
      </w:r>
      <w:r>
        <w:t>icosahedron. These architectures reversibly interconvert in response to changes in temperature, concentration, solvent environment, and guest binding. In contrast, a rigid analogue (</w:t>
      </w:r>
      <w:r>
        <w:t xml:space="preserve"> </w:t>
      </w:r>
      <w:r>
        <w:t>L1</w:t>
      </w:r>
      <w:r>
        <w:t xml:space="preserve"> </w:t>
      </w:r>
      <w:r>
        <w:t>) yields a single Pd</w:t>
      </w:r>
      <w:r>
        <w:rPr>
          <w:vertAlign w:val="subscript"/>
        </w:rPr>
        <w:t>6</w:t>
      </w:r>
      <w:r>
        <w:t>(</w:t>
      </w:r>
      <w:r>
        <w:t xml:space="preserve"> </w:t>
      </w:r>
      <w:r>
        <w:t>L1</w:t>
      </w:r>
      <w:r>
        <w:t xml:space="preserve"> </w:t>
      </w:r>
      <w:r>
        <w:t>)</w:t>
      </w:r>
      <w:r>
        <w:rPr>
          <w:vertAlign w:val="subscript"/>
        </w:rPr>
        <w:t>4</w:t>
      </w:r>
      <w:r>
        <w:t>octahedral cage. Mechanistic studies, combined with single‐crystal X‐ray diffraction analysis, reveal that interconversion between cages of different nuclearities proceeds primarily via cage isomerization within intact frameworks rather than through classical stepwise growth, providing a kinetically efficient route to higher‐order structural complexity and organization. These results establish the integration of conformational adaptivity with cage isomerization pathways as a general design principle for multi‐stimuli‐responsive supramolecular systems in water.</w:t>
      </w:r>
    </w:p>
    <w:p>
      <w:pPr>
        <w:spacing w:before="120" w:after="120"/>
      </w:pPr>
      <w:r>
        <w:rPr>
          <w:sz w:val="18"/>
        </w:rPr>
        <w:t>——————————————————————————————————————————————————————————————————————</w:t>
      </w:r>
    </w:p>
    <w:p>
      <w:pPr>
        <w:spacing w:before="160" w:after="40" w:line="240" w:lineRule="auto"/>
      </w:pPr>
      <w:r>
        <w:rPr>
          <w:b/>
        </w:rPr>
        <w:t xml:space="preserve">[631] </w:t>
      </w:r>
      <w:hyperlink r:id="rId1756">
        <w:r>
          <w:rPr>
            <w:color w:val="1155CC"/>
            <w:u w:val="single"/>
          </w:rPr>
          <w:t>MOF 的调制器工程：最大限度地减少缺陷以促进分子筛 C3F8 纯化</w:t>
        </w:r>
      </w:hyperlink>
    </w:p>
    <w:p>
      <w:pPr>
        <w:spacing w:before="0" w:after="80"/>
      </w:pPr>
      <w:r>
        <w:rPr>
          <w:i/>
          <w:sz w:val="20"/>
        </w:rPr>
        <w:t>EN: Modulator Engineering of a MOF: Minimizing Defects to Boost Molecular‐Sieving C3F8 Purification</w:t>
      </w:r>
    </w:p>
    <w:p>
      <w:pPr>
        <w:spacing w:before="0" w:after="120"/>
      </w:pPr>
      <w:r>
        <w:rPr>
          <w:b/>
        </w:rPr>
        <w:t xml:space="preserve">Source: </w:t>
      </w:r>
      <w:r>
        <w:t>Wiley: Angewandte Chemie International Edition: Table of Contents</w:t>
      </w:r>
      <w:r>
        <w:t xml:space="preserve">    </w:t>
      </w:r>
      <w:r>
        <w:rPr>
          <w:b/>
        </w:rPr>
        <w:t xml:space="preserve">Pub date: </w:t>
      </w:r>
      <w:r>
        <w:t>2026-08-12 16:24:21+00:00</w:t>
      </w:r>
      <w:r>
        <w:t xml:space="preserve">    </w:t>
      </w:r>
      <w:r>
        <w:rPr>
          <w:b/>
        </w:rPr>
        <w:t xml:space="preserve">DOI: </w:t>
      </w:r>
      <w:hyperlink r:id="rId1757">
        <w:r>
          <w:rPr>
            <w:color w:val="1155CC"/>
            <w:u w:val="single"/>
          </w:rPr>
          <w:t>10.1002/anie.1953802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全氟丙烷的纯化（C</w:t>
      </w:r>
      <w:r>
        <w:rPr>
          <w:vertAlign w:val="subscript"/>
        </w:rPr>
        <w:t>3</w:t>
      </w:r>
      <w:r>
        <w:t>F</w:t>
      </w:r>
      <w:r>
        <w:rPr>
          <w:vertAlign w:val="subscript"/>
        </w:rPr>
        <w:t>8</w:t>
      </w:r>
      <w:r>
        <w:t>）通过分子筛分是非常理想的，但不理想的结晶和结构缺陷会影响筛分效率。在这项研究中，开发了一种甲酸调制策略来制造具有高结晶度和最小化缺陷的 MOF-801，从而实现理想的分子筛 C</w:t>
      </w:r>
      <w:r>
        <w:rPr>
          <w:vertAlign w:val="subscript"/>
        </w:rPr>
        <w:t>3</w:t>
      </w:r>
      <w:r>
        <w:t>F</w:t>
      </w:r>
      <w:r>
        <w:rPr>
          <w:vertAlign w:val="subscript"/>
        </w:rPr>
        <w:t>6</w:t>
      </w:r>
      <w:r>
        <w:t>/C</w:t>
      </w:r>
      <w:r>
        <w:rPr>
          <w:vertAlign w:val="subscript"/>
        </w:rPr>
        <w:t>3</w:t>
      </w:r>
      <w:r>
        <w:t>F</w:t>
      </w:r>
      <w:r>
        <w:rPr>
          <w:vertAlign w:val="subscript"/>
        </w:rPr>
        <w:t>8</w:t>
      </w:r>
      <w:r>
        <w:t>C 的分离可忽略不计</w:t>
      </w:r>
      <w:r>
        <w:rPr>
          <w:vertAlign w:val="subscript"/>
        </w:rPr>
        <w:t>3</w:t>
      </w:r>
      <w:r>
        <w:t>F</w:t>
      </w:r>
      <w:r>
        <w:rPr>
          <w:vertAlign w:val="subscript"/>
        </w:rPr>
        <w:t>8</w:t>
      </w:r>
      <w:r>
        <w:t>共吸附。令人满意的是，优化的无缺陷 ND-MOF-801 对 C 表现出很强的亲和力</w:t>
      </w:r>
      <w:r>
        <w:rPr>
          <w:vertAlign w:val="subscript"/>
        </w:rPr>
        <w:t>3</w:t>
      </w:r>
      <w:r>
        <w:t>F</w:t>
      </w:r>
      <w:r>
        <w:rPr>
          <w:vertAlign w:val="subscript"/>
        </w:rPr>
        <w:t>6</w:t>
      </w:r>
      <w:r>
        <w:t>（62.4 厘米</w:t>
      </w:r>
      <w:r>
        <w:rPr>
          <w:vertAlign w:val="subscript"/>
        </w:rPr>
        <w:t>3</w:t>
      </w:r>
      <w:r>
        <w:t>克</w:t>
      </w:r>
      <w:r>
        <w:t xml:space="preserve"> </w:t>
      </w:r>
      <w:r>
        <w:t>−1</w:t>
      </w:r>
      <w:r>
        <w:t xml:space="preserve"> </w:t>
      </w:r>
      <w:r>
        <w:t>1 bar），但 C 创历史新低</w:t>
      </w:r>
      <w:r>
        <w:rPr>
          <w:vertAlign w:val="subscript"/>
        </w:rPr>
        <w:t>3</w:t>
      </w:r>
      <w:r>
        <w:t>F</w:t>
      </w:r>
      <w:r>
        <w:rPr>
          <w:vertAlign w:val="subscript"/>
        </w:rPr>
        <w:t>8</w:t>
      </w:r>
      <w:r>
        <w:t>吸收能力0.26厘米</w:t>
      </w:r>
      <w:r>
        <w:rPr>
          <w:vertAlign w:val="subscript"/>
        </w:rPr>
        <w:t>3</w:t>
      </w:r>
      <w:r>
        <w:t>克</w:t>
      </w:r>
      <w:r>
        <w:t xml:space="preserve"> </w:t>
      </w:r>
      <w:r>
        <w:t>−1</w:t>
      </w:r>
      <w:r>
        <w:t xml:space="preserve"> </w:t>
      </w:r>
      <w:r>
        <w:t>由于严格的尺寸排除，提供了前所未有的C</w:t>
      </w:r>
      <w:r>
        <w:rPr>
          <w:vertAlign w:val="subscript"/>
        </w:rPr>
        <w:t>3</w:t>
      </w:r>
      <w:r>
        <w:t>F</w:t>
      </w:r>
      <w:r>
        <w:rPr>
          <w:vertAlign w:val="subscript"/>
        </w:rPr>
        <w:t>6</w:t>
      </w:r>
      <w:r>
        <w:t>/C</w:t>
      </w:r>
      <w:r>
        <w:rPr>
          <w:vertAlign w:val="subscript"/>
        </w:rPr>
        <w:t>3</w:t>
      </w:r>
      <w:r>
        <w:t>F</w:t>
      </w:r>
      <w:r>
        <w:rPr>
          <w:vertAlign w:val="subscript"/>
        </w:rPr>
        <w:t>8</w:t>
      </w:r>
      <w:r>
        <w:t>摄取比率为240。同时，它选择性地捕获C</w:t>
      </w:r>
      <w:r>
        <w:rPr>
          <w:vertAlign w:val="subscript"/>
        </w:rPr>
        <w:t>2</w:t>
      </w:r>
      <w:r>
        <w:t>F</w:t>
      </w:r>
    </w:p>
    <w:p>
      <w:pPr>
        <w:spacing w:before="0" w:after="200" w:lineRule="auto" w:line="276"/>
      </w:pPr>
      <w:r>
        <w:rPr>
          <w:b/>
        </w:rPr>
        <w:t xml:space="preserve">Abstract (EN): </w:t>
      </w:r>
      <w:r>
        <w:t>Purification of perfluoropropane (C</w:t>
      </w:r>
      <w:r>
        <w:rPr>
          <w:vertAlign w:val="subscript"/>
        </w:rPr>
        <w:t>3</w:t>
      </w:r>
      <w:r>
        <w:t>F</w:t>
      </w:r>
      <w:r>
        <w:rPr>
          <w:vertAlign w:val="subscript"/>
        </w:rPr>
        <w:t>8</w:t>
      </w:r>
      <w:r>
        <w:t>) by molecular sieving is highly desired, but nonideal crystallization and structural defects compromise sieving efficiency. In this study, a formic acid modulation strategy was developed to fabricate MOF‐801 with high crystallinity and minimized defects, enabling ideal molecular‐sieving C</w:t>
      </w:r>
      <w:r>
        <w:rPr>
          <w:vertAlign w:val="subscript"/>
        </w:rPr>
        <w:t>3</w:t>
      </w:r>
      <w:r>
        <w:t>F</w:t>
      </w:r>
      <w:r>
        <w:rPr>
          <w:vertAlign w:val="subscript"/>
        </w:rPr>
        <w:t>6</w:t>
      </w:r>
      <w:r>
        <w:t>/C</w:t>
      </w:r>
      <w:r>
        <w:rPr>
          <w:vertAlign w:val="subscript"/>
        </w:rPr>
        <w:t>3</w:t>
      </w:r>
      <w:r>
        <w:t>F</w:t>
      </w:r>
      <w:r>
        <w:rPr>
          <w:vertAlign w:val="subscript"/>
        </w:rPr>
        <w:t>8</w:t>
      </w:r>
      <w:r>
        <w:t>separation with negligible C</w:t>
      </w:r>
      <w:r>
        <w:rPr>
          <w:vertAlign w:val="subscript"/>
        </w:rPr>
        <w:t>3</w:t>
      </w:r>
      <w:r>
        <w:t>F</w:t>
      </w:r>
      <w:r>
        <w:rPr>
          <w:vertAlign w:val="subscript"/>
        </w:rPr>
        <w:t>8</w:t>
      </w:r>
      <w:r>
        <w:t>co‐adsorption. Satisfactorily, the optimized non‐defect ND‐MOF‐801 exhibits strong affinity for C</w:t>
      </w:r>
      <w:r>
        <w:rPr>
          <w:vertAlign w:val="subscript"/>
        </w:rPr>
        <w:t>3</w:t>
      </w:r>
      <w:r>
        <w:t>F</w:t>
      </w:r>
      <w:r>
        <w:rPr>
          <w:vertAlign w:val="subscript"/>
        </w:rPr>
        <w:t>6</w:t>
      </w:r>
      <w:r>
        <w:t>(62.4 cm</w:t>
      </w:r>
      <w:r>
        <w:rPr>
          <w:vertAlign w:val="subscript"/>
        </w:rPr>
        <w:t>3</w:t>
      </w:r>
      <w:r>
        <w:t>g</w:t>
      </w:r>
      <w:r>
        <w:t xml:space="preserve"> </w:t>
      </w:r>
      <w:r>
        <w:t>−1</w:t>
      </w:r>
      <w:r>
        <w:t xml:space="preserve"> </w:t>
      </w:r>
      <w:r>
        <w:t>at 1 bar) but a record‐low C</w:t>
      </w:r>
      <w:r>
        <w:rPr>
          <w:vertAlign w:val="subscript"/>
        </w:rPr>
        <w:t>3</w:t>
      </w:r>
      <w:r>
        <w:t>F</w:t>
      </w:r>
      <w:r>
        <w:rPr>
          <w:vertAlign w:val="subscript"/>
        </w:rPr>
        <w:t>8</w:t>
      </w:r>
      <w:r>
        <w:t>uptake capacity of 0.26 cm</w:t>
      </w:r>
      <w:r>
        <w:rPr>
          <w:vertAlign w:val="subscript"/>
        </w:rPr>
        <w:t>3</w:t>
      </w:r>
      <w:r>
        <w:t>g</w:t>
      </w:r>
      <w:r>
        <w:t xml:space="preserve"> </w:t>
      </w:r>
      <w:r>
        <w:t>−1</w:t>
      </w:r>
      <w:r>
        <w:t xml:space="preserve"> </w:t>
      </w:r>
      <w:r>
        <w:t>due to rigorous size exclusion, affording an unprecedented C</w:t>
      </w:r>
      <w:r>
        <w:rPr>
          <w:vertAlign w:val="subscript"/>
        </w:rPr>
        <w:t>3</w:t>
      </w:r>
      <w:r>
        <w:t>F</w:t>
      </w:r>
      <w:r>
        <w:rPr>
          <w:vertAlign w:val="subscript"/>
        </w:rPr>
        <w:t>6</w:t>
      </w:r>
      <w:r>
        <w:t>/C</w:t>
      </w:r>
      <w:r>
        <w:rPr>
          <w:vertAlign w:val="subscript"/>
        </w:rPr>
        <w:t>3</w:t>
      </w:r>
      <w:r>
        <w:t>F</w:t>
      </w:r>
      <w:r>
        <w:rPr>
          <w:vertAlign w:val="subscript"/>
        </w:rPr>
        <w:t>8</w:t>
      </w:r>
      <w:r>
        <w:t>uptake ratio of 240. Meanwhile, it selectively captures C</w:t>
      </w:r>
      <w:r>
        <w:rPr>
          <w:vertAlign w:val="subscript"/>
        </w:rPr>
        <w:t>2</w:t>
      </w:r>
      <w:r>
        <w:t>F</w:t>
      </w:r>
      <w:r>
        <w:rPr>
          <w:vertAlign w:val="subscript"/>
        </w:rPr>
        <w:t>6</w:t>
      </w:r>
      <w:r>
        <w:t>(48.2 cm</w:t>
      </w:r>
      <w:r>
        <w:rPr>
          <w:vertAlign w:val="subscript"/>
        </w:rPr>
        <w:t>3</w:t>
      </w:r>
      <w:r>
        <w:t>g</w:t>
      </w:r>
      <w:r>
        <w:t xml:space="preserve"> </w:t>
      </w:r>
      <w:r>
        <w:t>−1</w:t>
      </w:r>
      <w:r>
        <w:t xml:space="preserve"> </w:t>
      </w:r>
      <w:r>
        <w:t>) and CF</w:t>
      </w:r>
      <w:r>
        <w:rPr>
          <w:vertAlign w:val="subscript"/>
        </w:rPr>
        <w:t>4</w:t>
      </w:r>
      <w:r>
        <w:t>(23.3 cm</w:t>
      </w:r>
      <w:r>
        <w:rPr>
          <w:vertAlign w:val="subscript"/>
        </w:rPr>
        <w:t>3</w:t>
      </w:r>
      <w:r>
        <w:t>g</w:t>
      </w:r>
      <w:r>
        <w:t xml:space="preserve"> </w:t>
      </w:r>
      <w:r>
        <w:t>−1</w:t>
      </w:r>
      <w:r>
        <w:t xml:space="preserve"> </w:t>
      </w:r>
      <w:r>
        <w:t>) over C</w:t>
      </w:r>
      <w:r>
        <w:rPr>
          <w:vertAlign w:val="subscript"/>
        </w:rPr>
        <w:t>3</w:t>
      </w:r>
      <w:r>
        <w:t>F</w:t>
      </w:r>
      <w:r>
        <w:rPr>
          <w:vertAlign w:val="subscript"/>
        </w:rPr>
        <w:t>8</w:t>
      </w:r>
      <w:r>
        <w:t>, achieving the first reported sieving separation of the ternary CF</w:t>
      </w:r>
      <w:r>
        <w:rPr>
          <w:vertAlign w:val="subscript"/>
        </w:rPr>
        <w:t>4</w:t>
      </w:r>
      <w:r>
        <w:t>/C</w:t>
      </w:r>
      <w:r>
        <w:rPr>
          <w:vertAlign w:val="subscript"/>
        </w:rPr>
        <w:t>2</w:t>
      </w:r>
      <w:r>
        <w:t>F</w:t>
      </w:r>
      <w:r>
        <w:rPr>
          <w:vertAlign w:val="subscript"/>
        </w:rPr>
        <w:t>6</w:t>
      </w:r>
      <w:r>
        <w:t>/C</w:t>
      </w:r>
      <w:r>
        <w:rPr>
          <w:vertAlign w:val="subscript"/>
        </w:rPr>
        <w:t>3</w:t>
      </w:r>
      <w:r>
        <w:t>F</w:t>
      </w:r>
      <w:r>
        <w:rPr>
          <w:vertAlign w:val="subscript"/>
        </w:rPr>
        <w:t>8</w:t>
      </w:r>
      <w:r>
        <w:t>mixture. Dynamic breakthrough experiments confirm the efficient separation of both binary C</w:t>
      </w:r>
      <w:r>
        <w:rPr>
          <w:vertAlign w:val="subscript"/>
        </w:rPr>
        <w:t>3</w:t>
      </w:r>
      <w:r>
        <w:t>F</w:t>
      </w:r>
      <w:r>
        <w:rPr>
          <w:vertAlign w:val="subscript"/>
        </w:rPr>
        <w:t>6</w:t>
      </w:r>
      <w:r>
        <w:t>/C</w:t>
      </w:r>
      <w:r>
        <w:rPr>
          <w:vertAlign w:val="subscript"/>
        </w:rPr>
        <w:t>3</w:t>
      </w:r>
      <w:r>
        <w:t>F</w:t>
      </w:r>
      <w:r>
        <w:rPr>
          <w:vertAlign w:val="subscript"/>
        </w:rPr>
        <w:t>8</w:t>
      </w:r>
      <w:r>
        <w:t>and ternary CF</w:t>
      </w:r>
      <w:r>
        <w:rPr>
          <w:vertAlign w:val="subscript"/>
        </w:rPr>
        <w:t>4</w:t>
      </w:r>
      <w:r>
        <w:t>/C</w:t>
      </w:r>
      <w:r>
        <w:rPr>
          <w:vertAlign w:val="subscript"/>
        </w:rPr>
        <w:t>2</w:t>
      </w:r>
      <w:r>
        <w:t>F</w:t>
      </w:r>
      <w:r>
        <w:rPr>
          <w:vertAlign w:val="subscript"/>
        </w:rPr>
        <w:t>6</w:t>
      </w:r>
      <w:r>
        <w:t>/C</w:t>
      </w:r>
      <w:r>
        <w:rPr>
          <w:vertAlign w:val="subscript"/>
        </w:rPr>
        <w:t>3</w:t>
      </w:r>
      <w:r>
        <w:t>F</w:t>
      </w:r>
      <w:r>
        <w:rPr>
          <w:vertAlign w:val="subscript"/>
        </w:rPr>
        <w:t>8</w:t>
      </w:r>
      <w:r>
        <w:t>mixtures, enabling one‐step purification of C</w:t>
      </w:r>
      <w:r>
        <w:rPr>
          <w:vertAlign w:val="subscript"/>
        </w:rPr>
        <w:t>3</w:t>
      </w:r>
      <w:r>
        <w:t>F</w:t>
      </w:r>
      <w:r>
        <w:rPr>
          <w:vertAlign w:val="subscript"/>
        </w:rPr>
        <w:t>8</w:t>
      </w:r>
      <w:r>
        <w:t>with ultra‐high purity (&amp;gt;99.999%). Notably, ND‐MOF‐801 can be easily scaled up to 100 g via a facile reflux method without loss of the superior sieving performance. Collectively, this work not only delivers a practical adsorbent for high‑purity C</w:t>
      </w:r>
      <w:r>
        <w:rPr>
          <w:vertAlign w:val="subscript"/>
        </w:rPr>
        <w:t>3</w:t>
      </w:r>
      <w:r>
        <w:t>F</w:t>
      </w:r>
      <w:r>
        <w:rPr>
          <w:vertAlign w:val="subscript"/>
        </w:rPr>
        <w:t>8</w:t>
      </w:r>
      <w:r>
        <w:t>production, but also highlights formic acid modulation as a versatile approach to engineer defect‑minimized, high‑crystallinity frameworks for ideal molecular sieving.</w:t>
      </w:r>
    </w:p>
    <w:p>
      <w:pPr>
        <w:spacing w:before="120" w:after="120"/>
      </w:pPr>
      <w:r>
        <w:rPr>
          <w:sz w:val="18"/>
        </w:rPr>
        <w:t>——————————————————————————————————————————————————————————————————————</w:t>
      </w:r>
    </w:p>
    <w:p>
      <w:pPr>
        <w:spacing w:before="160" w:after="40" w:line="240" w:lineRule="auto"/>
      </w:pPr>
      <w:r>
        <w:rPr>
          <w:b/>
        </w:rPr>
        <w:t xml:space="preserve">[632] </w:t>
      </w:r>
      <w:hyperlink r:id="rId1758">
        <w:r>
          <w:rPr>
            <w:color w:val="1155CC"/>
            <w:u w:val="single"/>
          </w:rPr>
          <w:t>使用超离液簇进行亲水性聚糖的细胞内递送</w:t>
        </w:r>
      </w:hyperlink>
    </w:p>
    <w:p>
      <w:pPr>
        <w:spacing w:before="0" w:after="80"/>
      </w:pPr>
      <w:r>
        <w:rPr>
          <w:i/>
          <w:sz w:val="20"/>
        </w:rPr>
        <w:t>EN: Intracellular Delivery of Hydrophilic Glycans Using Superchaotropic Clusters</w:t>
      </w:r>
    </w:p>
    <w:p>
      <w:pPr>
        <w:spacing w:before="0" w:after="120"/>
      </w:pPr>
      <w:r>
        <w:rPr>
          <w:b/>
        </w:rPr>
        <w:t xml:space="preserve">Source: </w:t>
      </w:r>
      <w:r>
        <w:t>Wiley: Angewandte Chemie International Edition: Table of Contents</w:t>
      </w:r>
      <w:r>
        <w:t xml:space="preserve">    </w:t>
      </w:r>
      <w:r>
        <w:rPr>
          <w:b/>
        </w:rPr>
        <w:t xml:space="preserve">Pub date: </w:t>
      </w:r>
      <w:r>
        <w:t>2026-08-12 16:25:14+00:00</w:t>
      </w:r>
      <w:r>
        <w:t xml:space="preserve">    </w:t>
      </w:r>
      <w:r>
        <w:rPr>
          <w:b/>
        </w:rPr>
        <w:t xml:space="preserve">DOI: </w:t>
      </w:r>
      <w:hyperlink r:id="rId1759">
        <w:r>
          <w:rPr>
            <w:color w:val="1155CC"/>
            <w:u w:val="single"/>
          </w:rPr>
          <w:t>10.1002/anie.7747854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聚糖的细胞内递送是一个重大挑战。聚糖递送通常通过全乙酰化来实现，需要使用细胞毒性载体溶剂 DMSO 或复杂的纳米级递送装置来穿过细胞膜。在这里，我们部署超离液硼簇来解锁叠氮聚糖和海藻糖的无溶剂细胞内递送。集群B</w:t>
      </w:r>
      <w:r>
        <w:rPr>
          <w:vertAlign w:val="subscript"/>
        </w:rPr>
        <w:t>12</w:t>
      </w:r>
      <w:r>
        <w:t>溴</w:t>
      </w:r>
      <w:r>
        <w:rPr>
          <w:vertAlign w:val="subscript"/>
        </w:rPr>
        <w:t>12</w:t>
      </w:r>
      <w:r>
        <w:t>2–</w:t>
      </w:r>
      <w:r>
        <w:t xml:space="preserve"> </w:t>
      </w:r>
      <w:r>
        <w:t>将聚糖递送至悬浮细胞和贴壁细胞中，实现糖蛋白、细胞表面聚糖以及糖基化 RNA 的成功代谢寡糖标记和生物共轭。这种方法为应对聚糖细胞内递送的挑战提供了实用且操作简单的解决方案，并消除了溶剂的细胞毒性影响。</w:t>
      </w:r>
    </w:p>
    <w:p>
      <w:pPr>
        <w:spacing w:before="0" w:after="200" w:lineRule="auto" w:line="276"/>
      </w:pPr>
      <w:r>
        <w:rPr>
          <w:b/>
        </w:rPr>
        <w:t xml:space="preserve">Abstract (EN): </w:t>
      </w:r>
      <w:r>
        <w:t>The intracellular delivery of glycans is a significant challenge. Glycan delivery is typically achieved by per‐acetylation necessitating the use of the cytotoxic carrier solvent DMSO, or complex nanoscale delivery devices, to transit across the cell membrane. Here we deploy superchaotropic boron clusters to unlock solvent‐free intracellular delivery of azido‐glycans, as well as trehalose. The cluster B</w:t>
      </w:r>
      <w:r>
        <w:rPr>
          <w:vertAlign w:val="subscript"/>
        </w:rPr>
        <w:t>12</w:t>
      </w:r>
      <w:r>
        <w:t>Br</w:t>
      </w:r>
      <w:r>
        <w:rPr>
          <w:vertAlign w:val="subscript"/>
        </w:rPr>
        <w:t>12</w:t>
      </w:r>
      <w:r>
        <w:t>2–</w:t>
      </w:r>
      <w:r>
        <w:t xml:space="preserve"> </w:t>
      </w:r>
      <w:r>
        <w:t>delivered glycans into suspension and adherent cells, enabling successful metabolic oligosaccharide labelling and bioconjugation of glycoproteins, cell surface glycans, and also glycosylated‐RNA. This approach offers a practical and operationally simple solution to the challenge of glycan intracellular delivery and removes the cytotoxic impact of solvents.</w:t>
      </w:r>
    </w:p>
    <w:p>
      <w:pPr>
        <w:spacing w:before="120" w:after="120"/>
      </w:pPr>
      <w:r>
        <w:rPr>
          <w:sz w:val="18"/>
        </w:rPr>
        <w:t>——————————————————————————————————————————————————————————————————————</w:t>
      </w:r>
    </w:p>
    <w:p>
      <w:pPr>
        <w:spacing w:before="160" w:after="40" w:line="240" w:lineRule="auto"/>
      </w:pPr>
      <w:r>
        <w:rPr>
          <w:b/>
        </w:rPr>
        <w:t xml:space="preserve">[633] </w:t>
      </w:r>
      <w:hyperlink r:id="rId1760">
        <w:r>
          <w:rPr>
            <w:color w:val="1155CC"/>
            <w:u w:val="single"/>
          </w:rPr>
          <w:t>氯化物驱动的界面限制促进高盐环境中的自适应定向电子转移</w:t>
        </w:r>
      </w:hyperlink>
    </w:p>
    <w:p>
      <w:pPr>
        <w:spacing w:before="0" w:after="80"/>
      </w:pPr>
      <w:r>
        <w:rPr>
          <w:i/>
          <w:sz w:val="20"/>
        </w:rPr>
        <w:t>EN: Chloride‐Driven Interfacial Confinement Facilitates Adaptive Directional Electron Transfer in Hypersaline Environments</w:t>
      </w:r>
    </w:p>
    <w:p>
      <w:pPr>
        <w:spacing w:before="0" w:after="120"/>
      </w:pPr>
      <w:r>
        <w:rPr>
          <w:b/>
        </w:rPr>
        <w:t xml:space="preserve">Source: </w:t>
      </w:r>
      <w:r>
        <w:t>Wiley: Angewandte Chemie International Edition: Table of Contents</w:t>
      </w:r>
      <w:r>
        <w:t xml:space="preserve">    </w:t>
      </w:r>
      <w:r>
        <w:rPr>
          <w:b/>
        </w:rPr>
        <w:t xml:space="preserve">Pub date: </w:t>
      </w:r>
      <w:r>
        <w:t>2026-08-12 16:27:39+00:00</w:t>
      </w:r>
      <w:r>
        <w:t xml:space="preserve">    </w:t>
      </w:r>
      <w:r>
        <w:rPr>
          <w:b/>
        </w:rPr>
        <w:t xml:space="preserve">DOI: </w:t>
      </w:r>
      <w:hyperlink r:id="rId1761">
        <w:r>
          <w:rPr>
            <w:color w:val="1155CC"/>
            <w:u w:val="single"/>
          </w:rPr>
          <w:t>10.1002/anie.7193318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氯离子（Cl</w:t>
      </w:r>
      <w:r>
        <w:t xml:space="preserve"> </w:t>
      </w:r>
      <w:r>
        <w:t>-</w:t>
      </w:r>
      <w:r>
        <w:t>）通常被认为是高盐废水处理中的抑制物质，它们会导致活性位点屏蔽、自由基清除和催化剂失活。与这一既定观点相反，我们证明 Cl</w:t>
      </w:r>
      <w:r>
        <w:t xml:space="preserve"> </w:t>
      </w:r>
      <w:r>
        <w:t>-</w:t>
      </w:r>
      <w:r>
        <w:t>可以从被动抑制剂转变为主动界面调节物种。我们证明 Cl 不是抑制反应性，而是</w:t>
      </w:r>
      <w:r>
        <w:t xml:space="preserve"> </w:t>
      </w:r>
      <w:r>
        <w:t>-</w:t>
      </w:r>
      <w:r>
        <w:t>可以重新配置受限的固液界面，以调节电荷转移动力学并促进质量传输，建立新的催化途径。在此，我们报告了 Cl</w:t>
      </w:r>
      <w:r>
        <w:t xml:space="preserve"> </w:t>
      </w:r>
      <w:r>
        <w:t>-</w:t>
      </w:r>
      <w:r>
        <w:t>‐驱动的定向协调策略，结合了 Cl</w:t>
      </w:r>
      <w:r>
        <w:t xml:space="preserve"> </w:t>
      </w:r>
      <w:r>
        <w:t>-</w:t>
      </w:r>
      <w:r>
        <w:t>物种与催化剂界面和氧化剂构建自适应电子转移通道（AETC）。多尺度实验、密度泛函理论 (DFT) 计算和分子动力学模拟表明 Cl</w:t>
      </w:r>
      <w:r>
        <w:t xml:space="preserve"> </w:t>
      </w:r>
      <w:r>
        <w:t>-</w:t>
      </w:r>
      <w:r>
        <w:t>驱动的配位改变了内部电子相互作用，调节与氧化剂的轨道杂化，并调整界面氢键网络。该 AETC 减轻了传质限制​​并抑制催化失活，从而加速降解动力学并保持长期稳定性。总的来说，这项工作挑战了 Cl 的传统观念。</w:t>
      </w:r>
      <w:r>
        <w:t xml:space="preserve"> </w:t>
      </w:r>
      <w:r>
        <w:t>-</w:t>
      </w:r>
      <w:r>
        <w:t>, d</w:t>
      </w:r>
    </w:p>
    <w:p>
      <w:pPr>
        <w:spacing w:before="0" w:after="200" w:lineRule="auto" w:line="276"/>
      </w:pPr>
      <w:r>
        <w:rPr>
          <w:b/>
        </w:rPr>
        <w:t xml:space="preserve">Abstract (EN): </w:t>
      </w:r>
      <w:r>
        <w:t>Chloride ions (Cl</w:t>
      </w:r>
      <w:r>
        <w:t xml:space="preserve"> </w:t>
      </w:r>
      <w:r>
        <w:t>−</w:t>
      </w:r>
      <w:r>
        <w:t>) are conventionally regarded as inhibitory species in hypersaline wastewater treatment, where they cause active‐site shielding, radical scavenging, and catalyst deactivation. Contrary to this established view, we demonstrate that Cl</w:t>
      </w:r>
      <w:r>
        <w:t xml:space="preserve"> </w:t>
      </w:r>
      <w:r>
        <w:t>−</w:t>
      </w:r>
      <w:r>
        <w:t>can transform from a passive inhibitor into an active interfacial regulatory species. We show that rather than suppressing reactivity, Cl</w:t>
      </w:r>
      <w:r>
        <w:t xml:space="preserve"> </w:t>
      </w:r>
      <w:r>
        <w:t>−</w:t>
      </w:r>
      <w:r>
        <w:t>can reconfigure the confined solid‐liquid interface to modulate charge‐transfer kinetics and facilitate mass transport, establishing a new catalytic pathway. Herein, we report a Cl</w:t>
      </w:r>
      <w:r>
        <w:t xml:space="preserve"> </w:t>
      </w:r>
      <w:r>
        <w:t>−</w:t>
      </w:r>
      <w:r>
        <w:t>‐driven directional coordination strategy that combines the Cl</w:t>
      </w:r>
      <w:r>
        <w:t xml:space="preserve"> </w:t>
      </w:r>
      <w:r>
        <w:t>−</w:t>
      </w:r>
      <w:r>
        <w:t>species with the catalyst interface and oxidant to construct an adaptive electron transfer channel (AETC). Multi‐scale experiments, density functional theory (DFT) calculations, and molecular dynamics simulations reveal that the Cl</w:t>
      </w:r>
      <w:r>
        <w:t xml:space="preserve"> </w:t>
      </w:r>
      <w:r>
        <w:t>−</w:t>
      </w:r>
      <w:r>
        <w:t>‐driven coordination changes internal electronic interactions, modulates orbital hybridization with the oxidant, and adjusts the interfacial hydrogen‐bonding network. This AETC alleviates mass‐transfer constraints and suppresses catalytic deactivation, enabling accelerated degradation kinetics alongside long‐term stability. Overall, this work challenges the traditional perception of Cl</w:t>
      </w:r>
      <w:r>
        <w:t xml:space="preserve"> </w:t>
      </w:r>
      <w:r>
        <w:t>−</w:t>
      </w:r>
      <w:r>
        <w:t>, demonstrating that Cl</w:t>
      </w:r>
      <w:r>
        <w:t xml:space="preserve"> </w:t>
      </w:r>
      <w:r>
        <w:t>−</w:t>
      </w:r>
      <w:r>
        <w:t>can drive constructive interfacial functions in extreme ionic environments.</w:t>
      </w:r>
    </w:p>
    <w:p>
      <w:pPr>
        <w:spacing w:before="120" w:after="120"/>
      </w:pPr>
      <w:r>
        <w:rPr>
          <w:sz w:val="18"/>
        </w:rPr>
        <w:t>——————————————————————————————————————————————————————————————————————</w:t>
      </w:r>
    </w:p>
    <w:p>
      <w:pPr>
        <w:spacing w:before="160" w:after="40" w:line="240" w:lineRule="auto"/>
      </w:pPr>
      <w:r>
        <w:rPr>
          <w:b/>
        </w:rPr>
        <w:t xml:space="preserve">[634] </w:t>
      </w:r>
      <w:hyperlink r:id="rId1762">
        <w:r>
          <w:rPr>
            <w:color w:val="1155CC"/>
            <w:u w:val="single"/>
          </w:rPr>
          <w:t>跳尾微生物萜烯合酶样基因的进化、功能和机制特征</w:t>
        </w:r>
      </w:hyperlink>
    </w:p>
    <w:p>
      <w:pPr>
        <w:spacing w:before="0" w:after="80"/>
      </w:pPr>
      <w:r>
        <w:rPr>
          <w:i/>
          <w:sz w:val="20"/>
        </w:rPr>
        <w:t>EN: Evolutionary, Functional and Mechanistic Characterisation of Microbial Terpene Synthase‐Like Genes From Springtails</w:t>
      </w:r>
    </w:p>
    <w:p>
      <w:pPr>
        <w:spacing w:before="0" w:after="120"/>
      </w:pPr>
      <w:r>
        <w:rPr>
          <w:b/>
        </w:rPr>
        <w:t xml:space="preserve">Source: </w:t>
      </w:r>
      <w:r>
        <w:t>Wiley: Angewandte Chemie International Edition: Table of Contents</w:t>
      </w:r>
      <w:r>
        <w:t xml:space="preserve">    </w:t>
      </w:r>
      <w:r>
        <w:rPr>
          <w:b/>
        </w:rPr>
        <w:t xml:space="preserve">Pub date: </w:t>
      </w:r>
      <w:r>
        <w:t>2026-08-12 16:28:30+00:00</w:t>
      </w:r>
      <w:r>
        <w:t xml:space="preserve">    </w:t>
      </w:r>
      <w:r>
        <w:rPr>
          <w:b/>
        </w:rPr>
        <w:t xml:space="preserve">DOI: </w:t>
      </w:r>
      <w:hyperlink r:id="rId1763">
        <w:r>
          <w:rPr>
            <w:color w:val="1155CC"/>
            <w:u w:val="single"/>
          </w:rPr>
          <w:t>10.1002/anie.2037917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尽管之前对跳虫中萜烯的起源存在疑问，但对 26 种跳虫基因组的深入生物信息学分析令人惊讶地揭示了许多编码微生物型萜烯合酶的基因的存在。五种候选酶来自</w:t>
      </w:r>
      <w:r>
        <w:t xml:space="preserve"> </w:t>
      </w:r>
      <w:r>
        <w:t>曲叶鳅</w:t>
      </w:r>
      <w:r>
        <w:t xml:space="preserve"> </w:t>
      </w:r>
      <w:r>
        <w:t>选择代表系统发育树的不同分支进行研究，其中四个在体外孵化中具有活性，其酶依赖性底物选择性范围从法尼基（FPP）到香叶基法呢基焦磷酸（GFPP），在所有情况下均形成多种产物。获得的酶产物包括新的大环倍半萜烯，它是由萜烯合酶产生的倍半萜烯的对映体。</w:t>
      </w:r>
      <w:r>
        <w:t xml:space="preserve"> </w:t>
      </w:r>
      <w:r>
        <w:t>白玉藻</w:t>
      </w:r>
      <w:r>
        <w:t xml:space="preserve"> </w:t>
      </w:r>
      <w:r>
        <w:t>不寻常的二萜紫菜烯醚代表了一种新颖的骨架，强化了跳虫作为萜烯的有趣来源。广泛的同位素标记实验揭示了几个不寻常的机制方面，例如除了一种鳞化合物（germacrene D）之外形成了一系列对映体纯产物，以及 ScTC2 紫荆烯醚生物合成中的重质子化步骤的意外立体化学过程。总而言之，这项研究为未来跳虫（一种古老的节肢动物谱系）萜烯生物合成的研究奠定了基础。</w:t>
      </w:r>
    </w:p>
    <w:p>
      <w:pPr>
        <w:spacing w:before="0" w:after="200" w:lineRule="auto" w:line="276"/>
      </w:pPr>
      <w:r>
        <w:rPr>
          <w:b/>
        </w:rPr>
        <w:t xml:space="preserve">Abstract (EN): </w:t>
      </w:r>
      <w:r>
        <w:t>Despite previous doubts about the origin of terpenes in springtails, a deep bioinformatic analysis of the genomes of 26 springtails surprisingly revealed the presence of many genes coding for microbial‐type terpene synthases. Five candidate enzymes from</w:t>
      </w:r>
      <w:r>
        <w:t xml:space="preserve"> </w:t>
      </w:r>
      <w:r>
        <w:t>Sinella curviseta</w:t>
      </w:r>
      <w:r>
        <w:t xml:space="preserve"> </w:t>
      </w:r>
      <w:r>
        <w:t>representing different branches of a phylogenetic tree were selected for investigation, four of which were active in in vitro incubations with an enzyme‐dependent substrate selectivity ranging from farnesyl (FPP) to geranylfarnesyl pyrophosphate (GFPP), with formation of multiple products in all cases. The obtained enzyme products included the new macrocycle sestersinellene, the enantiomer of a sesterterpene produced by a terpene synthase from</w:t>
      </w:r>
      <w:r>
        <w:t xml:space="preserve"> </w:t>
      </w:r>
      <w:r>
        <w:t>Leucosceptrum canum</w:t>
      </w:r>
      <w:r>
        <w:t xml:space="preserve"> </w:t>
      </w:r>
      <w:r>
        <w:t>and the unusual diterpene sinellene ether representing a novel skeleton, reinforcing springtails as an interesting source of terpenes. Extensive isotopic labelling experiments revealed several unusual mechanistic aspects such as the formation of a series of enantiomerically pure products besides one scalemic compound (germacrene D), as well as an unexpected stereochemical course for a reprotonation step in sinellene ether biosynthesis by ScTC2. Taken together, this study lays the foundation for future research on terpene biosynthesis in Collembola, an ancient lineage of arthropods.</w:t>
      </w:r>
    </w:p>
    <w:p>
      <w:pPr>
        <w:spacing w:before="120" w:after="120"/>
      </w:pPr>
      <w:r>
        <w:rPr>
          <w:sz w:val="18"/>
        </w:rPr>
        <w:t>——————————————————————————————————————————————————————————————————————</w:t>
      </w:r>
    </w:p>
    <w:p>
      <w:pPr>
        <w:spacing w:before="160" w:after="40" w:line="240" w:lineRule="auto"/>
      </w:pPr>
      <w:r>
        <w:rPr>
          <w:b/>
        </w:rPr>
        <w:t xml:space="preserve">[635] </w:t>
      </w:r>
      <w:hyperlink r:id="rId1764">
        <w:r>
          <w:rPr>
            <w:color w:val="1155CC"/>
            <w:u w:val="single"/>
          </w:rPr>
          <w:t>1,2-二羰基化合物催化不对称烯丙基化和 Mukaiyama 羟醛反应的统一策略</w:t>
        </w:r>
      </w:hyperlink>
    </w:p>
    <w:p>
      <w:pPr>
        <w:spacing w:before="0" w:after="80"/>
      </w:pPr>
      <w:r>
        <w:rPr>
          <w:i/>
          <w:sz w:val="20"/>
        </w:rPr>
        <w:t>EN: A Unified Strategy for Catalytic Asymmetric Allylation and Mukaiyama Aldol Reactions of 1,2‐Dicarbonyl Compounds</w:t>
      </w:r>
    </w:p>
    <w:p>
      <w:pPr>
        <w:spacing w:before="0" w:after="120"/>
      </w:pPr>
      <w:r>
        <w:rPr>
          <w:b/>
        </w:rPr>
        <w:t xml:space="preserve">Source: </w:t>
      </w:r>
      <w:r>
        <w:t>Wiley: Angewandte Chemie International Edition: Table of Contents</w:t>
      </w:r>
      <w:r>
        <w:t xml:space="preserve">    </w:t>
      </w:r>
      <w:r>
        <w:rPr>
          <w:b/>
        </w:rPr>
        <w:t xml:space="preserve">Pub date: </w:t>
      </w:r>
      <w:r>
        <w:t>2026-08-12 16:30:10+00:00</w:t>
      </w:r>
      <w:r>
        <w:t xml:space="preserve">    </w:t>
      </w:r>
      <w:r>
        <w:rPr>
          <w:b/>
        </w:rPr>
        <w:t xml:space="preserve">DOI: </w:t>
      </w:r>
      <w:hyperlink r:id="rId1765">
        <w:r>
          <w:rPr>
            <w:color w:val="1155CC"/>
            <w:u w:val="single"/>
          </w:rPr>
          <w:t>10.1002/anie.6933953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由于酮的反应性低且对映面分化差，酮的不对称碳-碳键形成对分子设计提出了基本而艰巨的挑战。尽管 1,2-二羰基化合物的使用提供了一种强大的策略，但使用 1,2-二酮的简洁的不对称方法仍然不发达。在这里，我们报告了一个基于手性恶唑硼烷鎓离子（COBI）催化的统一催化平台，用于1,2-二羰基化合物的不对称烯丙基化和Mukaiyama羟醛反应，包括第一个1,2-二酮的不对称烯丙基化。该催化剂表现出区分两个羰基的显着能力，以高产率（高达 &gt;99%）和高选择性（高达 &gt;99% ee、&gt;20:1 r.r.、&gt;20:1 r.r.）提供手性叔高烯丙醇和 β-羟基酯。该方法的合成实用性通过将产品精心制作成包括二氢吡喃、内酯和1,2-二醇在内的多种支架，以及轻松合成生物活性靶标（例如（+）-柠檬苹果酸二甲酯和（+）-曲霉素PZ）来证明。密度泛函理论 (DFT) 计算提供了对高选择性反应途径的机理洞察。</w:t>
      </w:r>
    </w:p>
    <w:p>
      <w:pPr>
        <w:spacing w:before="0" w:after="200" w:lineRule="auto" w:line="276"/>
      </w:pPr>
      <w:r>
        <w:rPr>
          <w:b/>
        </w:rPr>
        <w:t xml:space="preserve">Abstract (EN): </w:t>
      </w:r>
      <w:r>
        <w:t>Asymmetric carbon–carbon bond formation to ketones presents a fundamental yet formidable challenge in molecular design, due to their low reactivity and poor enantiofacial differentiation. Although the use of 1,2‐dicarbonyl compounds offers a powerful strategy, concise asymmetric approaches using 1,2‐diketones remain underdeveloped. Here, we report a unified catalytic platform based on chiral oxazaborolidinium ion (COBI) catalysis for the asymmetric allylation and Mukaiyama aldol reactions of 1,2‐dicarbonyl compounds, including the first asymmetric allylation of 1,2‐diketones. The catalysts exhibit remarkable abilities to distinguish between the two carbonyl groups, affording chiral tertiary homoallylic alcohols and β‐hydroxy esters in high yield (up to &amp;gt;99%) with high selectivities (up to &amp;gt;99% ee, &amp;gt;20:1 d.r., &amp;gt;20:1 r.r.). The synthetic utility of this method was demonstrated through elaboration of the products into diverse scaffolds including dihydropyran, lactones, and 1,2‐diols, as well as facile syntheses of bioactive targets such as (+)‐dimethyl citramalate and (+)‐aspergillin PZ. Mechanistic insight into reaction pathways underlying the high selectivity is provided by density functional theory (DFT) calculations.</w:t>
      </w:r>
    </w:p>
    <w:p>
      <w:pPr>
        <w:spacing w:before="120" w:after="120"/>
      </w:pPr>
      <w:r>
        <w:rPr>
          <w:sz w:val="18"/>
        </w:rPr>
        <w:t>——————————————————————————————————————————————————————————————————————</w:t>
      </w:r>
    </w:p>
    <w:p>
      <w:pPr>
        <w:spacing w:before="160" w:after="40" w:line="240" w:lineRule="auto"/>
      </w:pPr>
      <w:r>
        <w:rPr>
          <w:b/>
        </w:rPr>
        <w:t xml:space="preserve">[636] </w:t>
      </w:r>
      <w:hyperlink r:id="rId1766">
        <w:r>
          <w:rPr>
            <w:color w:val="1155CC"/>
            <w:u w:val="single"/>
          </w:rPr>
          <w:t>手性诱导选择性电合成过氧化氢和串联绿色化学合成</w:t>
        </w:r>
      </w:hyperlink>
    </w:p>
    <w:p>
      <w:pPr>
        <w:spacing w:before="0" w:after="80"/>
      </w:pPr>
      <w:r>
        <w:rPr>
          <w:i/>
          <w:sz w:val="20"/>
        </w:rPr>
        <w:t>EN: Chirality‐Induced Selective Electrosynthesis Hydrogen Peroxide and Tandem Green Chemical Synthesis</w:t>
      </w:r>
    </w:p>
    <w:p>
      <w:pPr>
        <w:spacing w:before="0" w:after="120"/>
      </w:pPr>
      <w:r>
        <w:rPr>
          <w:b/>
        </w:rPr>
        <w:t xml:space="preserve">Source: </w:t>
      </w:r>
      <w:r>
        <w:t>Wiley: Angewandte Chemie International Edition: Table of Contents</w:t>
      </w:r>
      <w:r>
        <w:t xml:space="preserve">    </w:t>
      </w:r>
      <w:r>
        <w:rPr>
          <w:b/>
        </w:rPr>
        <w:t xml:space="preserve">Pub date: </w:t>
      </w:r>
      <w:r>
        <w:t>2026-08-12 16:33:27+00:00</w:t>
      </w:r>
      <w:r>
        <w:t xml:space="preserve">    </w:t>
      </w:r>
      <w:r>
        <w:rPr>
          <w:b/>
        </w:rPr>
        <w:t xml:space="preserve">DOI: </w:t>
      </w:r>
      <w:hyperlink r:id="rId1767">
        <w:r>
          <w:rPr>
            <w:color w:val="1155CC"/>
            <w:u w:val="single"/>
          </w:rPr>
          <w:t>10.1002/anie.7494092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双电子氧还原反应（2e</w:t>
      </w:r>
      <w:r>
        <w:t xml:space="preserve"> </w:t>
      </w:r>
      <w:r>
        <w:t>-</w:t>
      </w:r>
      <w:r>
        <w:t>‐ORR) 朝向过氧化氢 (H</w:t>
      </w:r>
      <w:r>
        <w:rPr>
          <w:vertAlign w:val="subscript"/>
        </w:rPr>
        <w:t>2</w:t>
      </w:r>
      <w:r>
        <w:t>氧</w:t>
      </w:r>
      <w:r>
        <w:rPr>
          <w:vertAlign w:val="subscript"/>
        </w:rPr>
        <w:t>2</w:t>
      </w:r>
      <w:r>
        <w:t>) 遭受缓慢的 O─O 保存和自旋禁止三重态 O</w:t>
      </w:r>
      <w:r>
        <w:rPr>
          <w:vertAlign w:val="subscript"/>
        </w:rPr>
        <w:t>2</w:t>
      </w:r>
      <w:r>
        <w:t>‐到单线态 H</w:t>
      </w:r>
      <w:r>
        <w:rPr>
          <w:vertAlign w:val="subscript"/>
        </w:rPr>
        <w:t>2</w:t>
      </w:r>
      <w:r>
        <w:t>氧</w:t>
      </w:r>
      <w:r>
        <w:rPr>
          <w:vertAlign w:val="subscript"/>
        </w:rPr>
        <w:t>2</w:t>
      </w:r>
      <w:r>
        <w:t>过渡。在此，我们通过利用固有手性 Salen 共价有机框架 (C-Salen-COFs-Zn) 中的手性诱导自旋选择性 (CISS) 效应解决了这一关键挑战，如 2e</w:t>
      </w:r>
      <w:r>
        <w:t xml:space="preserve"> </w:t>
      </w:r>
      <w:r>
        <w:t>-</w:t>
      </w:r>
      <w:r>
        <w:t>‐ORR 电催化剂。 CISS 效应赋予 C-Salen-COFs-Zn 均匀的表面电子自旋极化，从而三线态 O</w:t>
      </w:r>
      <w:r>
        <w:rPr>
          <w:vertAlign w:val="subscript"/>
        </w:rPr>
        <w:t>2</w:t>
      </w:r>
      <w:r>
        <w:t>带有两个平行自旋电子很容易接受相反自旋电子，减轻自旋禁禁跃迁，促进H的产生</w:t>
      </w:r>
      <w:r>
        <w:rPr>
          <w:vertAlign w:val="subscript"/>
        </w:rPr>
        <w:t>2</w:t>
      </w:r>
      <w:r>
        <w:t>氧</w:t>
      </w:r>
      <w:r>
        <w:rPr>
          <w:vertAlign w:val="subscript"/>
        </w:rPr>
        <w:t>2</w:t>
      </w:r>
      <w:r>
        <w:t>。 C-Salen-COF-Zn 表现出优异的自旋选择性，CISS 诱导的自旋极化效率超过 90%，与非手性对应物相比具有卓越的电催化性能。 C-Salen-COF-Zn 的 H 含量达到 87.0%</w:t>
      </w:r>
      <w:r>
        <w:rPr>
          <w:vertAlign w:val="subscript"/>
        </w:rPr>
        <w:t>2</w:t>
      </w:r>
      <w:r>
        <w:t>氧</w:t>
      </w:r>
      <w:r>
        <w:rPr>
          <w:vertAlign w:val="subscript"/>
        </w:rPr>
        <w:t>2</w:t>
      </w:r>
      <w:r>
        <w:t>选择性，297.7 mmol g</w:t>
      </w:r>
      <w:r>
        <w:t xml:space="preserve"> </w:t>
      </w:r>
      <w:r>
        <w:t>−1</w:t>
      </w:r>
      <w:r>
        <w:t xml:space="preserve"> </w:t>
      </w:r>
      <w:r>
        <w:t>小时</w:t>
      </w:r>
      <w:r>
        <w:t xml:space="preserve"> </w:t>
      </w:r>
      <w:r>
        <w:t>−1</w:t>
      </w:r>
      <w:r>
        <w:t xml:space="preserve"> </w:t>
      </w:r>
      <w:r>
        <w:t>0.2 V 时的生产率与 RHE 和法拉第 ef 的比较</w:t>
      </w:r>
    </w:p>
    <w:p>
      <w:pPr>
        <w:spacing w:before="0" w:after="200" w:lineRule="auto" w:line="276"/>
      </w:pPr>
      <w:r>
        <w:rPr>
          <w:b/>
        </w:rPr>
        <w:t xml:space="preserve">Abstract (EN): </w:t>
      </w:r>
      <w:r>
        <w:t>Two‐electron oxygen reduction reaction (2e</w:t>
      </w:r>
      <w:r>
        <w:t xml:space="preserve"> </w:t>
      </w:r>
      <w:r>
        <w:t>−</w:t>
      </w:r>
      <w:r>
        <w:t>‐ORR) toward hydrogen peroxide (H</w:t>
      </w:r>
      <w:r>
        <w:rPr>
          <w:vertAlign w:val="subscript"/>
        </w:rPr>
        <w:t>2</w:t>
      </w:r>
      <w:r>
        <w:t>O</w:t>
      </w:r>
      <w:r>
        <w:rPr>
          <w:vertAlign w:val="subscript"/>
        </w:rPr>
        <w:t>2</w:t>
      </w:r>
      <w:r>
        <w:t>) suffers from sluggish O─O preservation and spin‐forbidden triplet O</w:t>
      </w:r>
      <w:r>
        <w:rPr>
          <w:vertAlign w:val="subscript"/>
        </w:rPr>
        <w:t>2</w:t>
      </w:r>
      <w:r>
        <w:t>‐to‐singlet H</w:t>
      </w:r>
      <w:r>
        <w:rPr>
          <w:vertAlign w:val="subscript"/>
        </w:rPr>
        <w:t>2</w:t>
      </w:r>
      <w:r>
        <w:t>O</w:t>
      </w:r>
      <w:r>
        <w:rPr>
          <w:vertAlign w:val="subscript"/>
        </w:rPr>
        <w:t>2</w:t>
      </w:r>
      <w:r>
        <w:t>transition. Herein, we resolve this pivotal challenge by leveraging the chirality‐induced spin selectivity (CISS) effect in inherently chiral Salen covalent organic frameworks (C‐Salen‐COFs‐Zn) as 2e</w:t>
      </w:r>
      <w:r>
        <w:t xml:space="preserve"> </w:t>
      </w:r>
      <w:r>
        <w:t>−</w:t>
      </w:r>
      <w:r>
        <w:t>‐ORR electrocatalysts. The CISS effect imparts uniform surface electron spin polarization to the C‐Salen‐COFs‐Zn, whereby triplet O</w:t>
      </w:r>
      <w:r>
        <w:rPr>
          <w:vertAlign w:val="subscript"/>
        </w:rPr>
        <w:t>2</w:t>
      </w:r>
      <w:r>
        <w:t>bearing two parallel‐spin electrons readily accepts opposite‐spin electrons, alleviating the spin‐forbidden transition to promote the generation of H</w:t>
      </w:r>
      <w:r>
        <w:rPr>
          <w:vertAlign w:val="subscript"/>
        </w:rPr>
        <w:t>2</w:t>
      </w:r>
      <w:r>
        <w:t>O</w:t>
      </w:r>
      <w:r>
        <w:rPr>
          <w:vertAlign w:val="subscript"/>
        </w:rPr>
        <w:t>2</w:t>
      </w:r>
      <w:r>
        <w:t>. The C‐Salen‐COF‐Zn exhibits exceptional spin selectivity with CISS‐induced spin polarization efficiency exceeding 90%, delivering superior electrocatalytic performance to its achiral counterpart. C‐Salen‐COF‐Zn achieves 87.0% H</w:t>
      </w:r>
      <w:r>
        <w:rPr>
          <w:vertAlign w:val="subscript"/>
        </w:rPr>
        <w:t>2</w:t>
      </w:r>
      <w:r>
        <w:t>O</w:t>
      </w:r>
      <w:r>
        <w:rPr>
          <w:vertAlign w:val="subscript"/>
        </w:rPr>
        <w:t>2</w:t>
      </w:r>
      <w:r>
        <w:t>selectivity, 297.7 mmol g</w:t>
      </w:r>
      <w:r>
        <w:t xml:space="preserve"> </w:t>
      </w:r>
      <w:r>
        <w:t>−1</w:t>
      </w:r>
      <w:r>
        <w:t xml:space="preserve"> </w:t>
      </w:r>
      <w:r>
        <w:t>h</w:t>
      </w:r>
      <w:r>
        <w:t xml:space="preserve"> </w:t>
      </w:r>
      <w:r>
        <w:t>−1</w:t>
      </w:r>
      <w:r>
        <w:t xml:space="preserve"> </w:t>
      </w:r>
      <w:r>
        <w:t>production rates at 0.2 V versus RHE, and Faradaic efficiencies up to 93.7% at 0.6 V versus RHE in H‐type cell. Flow‐cell system achieves 1169.7 and 1207.6 mmol g</w:t>
      </w:r>
      <w:r>
        <w:t xml:space="preserve"> </w:t>
      </w:r>
      <w:r>
        <w:t>−1</w:t>
      </w:r>
      <w:r>
        <w:t xml:space="preserve"> </w:t>
      </w:r>
      <w:r>
        <w:t>h</w:t>
      </w:r>
      <w:r>
        <w:t xml:space="preserve"> </w:t>
      </w:r>
      <w:r>
        <w:t>−1</w:t>
      </w:r>
      <w:r>
        <w:t xml:space="preserve"> </w:t>
      </w:r>
      <w:r>
        <w:t>H</w:t>
      </w:r>
      <w:r>
        <w:rPr>
          <w:vertAlign w:val="subscript"/>
        </w:rPr>
        <w:t>2</w:t>
      </w:r>
      <w:r>
        <w:t>O</w:t>
      </w:r>
      <w:r>
        <w:rPr>
          <w:vertAlign w:val="subscript"/>
        </w:rPr>
        <w:t>2</w:t>
      </w:r>
      <w:r>
        <w:t>yield for C‐Salen‐COF‐Zn. Comprehensive mechanistic studies reveal that C‐Salen‐COF‐Zn preferentially adopts a Pauling‐type adsorption mode, favoring •O</w:t>
      </w:r>
      <w:r>
        <w:rPr>
          <w:vertAlign w:val="subscript"/>
        </w:rPr>
        <w:t>2</w:t>
      </w:r>
      <w:r>
        <w:t>−</w:t>
      </w:r>
      <w:r>
        <w:t>formation by partially filling the π* antibonding orbitals, preserving the O─O bond. The spin‐selective C‐Salen‐COF‐Zn was integrated into a closed‐loop cascade system for on‐demand H</w:t>
      </w:r>
      <w:r>
        <w:rPr>
          <w:vertAlign w:val="subscript"/>
        </w:rPr>
        <w:t>2</w:t>
      </w:r>
      <w:r>
        <w:t>O</w:t>
      </w:r>
      <w:r>
        <w:rPr>
          <w:vertAlign w:val="subscript"/>
        </w:rPr>
        <w:t>2</w:t>
      </w:r>
      <w:r>
        <w:t>generation and utilization, delivering 72% sodium perborate, 56% sodium peroxycarbonate, 82.7% lignin‐to‐benzoic acid conversions, and electro‐Fenton degradation in advanced oxidation processes.</w:t>
      </w:r>
    </w:p>
    <w:p>
      <w:pPr>
        <w:spacing w:before="120" w:after="120"/>
      </w:pPr>
      <w:r>
        <w:rPr>
          <w:sz w:val="18"/>
        </w:rPr>
        <w:t>——————————————————————————————————————————————————————————————————————</w:t>
      </w:r>
    </w:p>
    <w:p>
      <w:pPr>
        <w:spacing w:before="160" w:after="40" w:line="240" w:lineRule="auto"/>
      </w:pPr>
      <w:r>
        <w:rPr>
          <w:b/>
        </w:rPr>
        <w:t xml:space="preserve">[637] </w:t>
      </w:r>
      <w:hyperlink r:id="rId1768">
        <w:r>
          <w:rPr>
            <w:color w:val="1155CC"/>
            <w:u w:val="single"/>
          </w:rPr>
          <w:t>用于光动力和光激活联合化疗的解锁铱 (III) 配合物</w:t>
        </w:r>
      </w:hyperlink>
    </w:p>
    <w:p>
      <w:pPr>
        <w:spacing w:before="0" w:after="80"/>
      </w:pPr>
      <w:r>
        <w:rPr>
          <w:i/>
          <w:sz w:val="20"/>
        </w:rPr>
        <w:t>EN: Uncaging Iridium(III) Complexes for Combined Photodynamic and Photoactivated Chemotherapy</w:t>
      </w:r>
    </w:p>
    <w:p>
      <w:pPr>
        <w:spacing w:before="0" w:after="120"/>
      </w:pPr>
      <w:r>
        <w:rPr>
          <w:b/>
        </w:rPr>
        <w:t xml:space="preserve">Source: </w:t>
      </w:r>
      <w:r>
        <w:t>Wiley: Angewandte Chemie International Edition: Table of Contents</w:t>
      </w:r>
      <w:r>
        <w:t xml:space="preserve">    </w:t>
      </w:r>
      <w:r>
        <w:rPr>
          <w:b/>
        </w:rPr>
        <w:t xml:space="preserve">Pub date: </w:t>
      </w:r>
      <w:r>
        <w:t>2026-08-12 16:34:25+00:00</w:t>
      </w:r>
      <w:r>
        <w:t xml:space="preserve">    </w:t>
      </w:r>
      <w:r>
        <w:rPr>
          <w:b/>
        </w:rPr>
        <w:t xml:space="preserve">DOI: </w:t>
      </w:r>
      <w:hyperlink r:id="rId1769">
        <w:r>
          <w:rPr>
            <w:color w:val="1155CC"/>
            <w:u w:val="single"/>
          </w:rPr>
          <w:t>10.1002/anie.9954997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无机光化疗能够精确控制抗癌药物的空间和时间激活，为降低全身毒性提供了一种有前景的策略。通式为 [Ir(L)(ppy)(terpy)]PF 的两种铱(III)配合物</w:t>
      </w:r>
      <w:r>
        <w:rPr>
          <w:vertAlign w:val="subscript"/>
        </w:rPr>
        <w:t>6</w:t>
      </w:r>
      <w:r>
        <w:t>与 L =</w:t>
      </w:r>
      <w:r>
        <w:t xml:space="preserve"> </w:t>
      </w:r>
      <w:r>
        <w:t>氮</w:t>
      </w:r>
      <w:r>
        <w:t xml:space="preserve"> </w:t>
      </w:r>
      <w:r>
        <w:t>‐乙酰基‐</w:t>
      </w:r>
      <w:r>
        <w:t xml:space="preserve"> </w:t>
      </w:r>
      <w:r>
        <w:t>L</w:t>
      </w:r>
      <w:r>
        <w:t xml:space="preserve"> </w:t>
      </w:r>
      <w:r>
        <w:t>‐半胱氨酸甲酯（cys）或</w:t>
      </w:r>
      <w:r>
        <w:t xml:space="preserve"> </w:t>
      </w:r>
      <w:r>
        <w:t>氮</w:t>
      </w:r>
      <w:r>
        <w:t xml:space="preserve"> </w:t>
      </w:r>
      <w:r>
        <w:t>‐乙酰基‐</w:t>
      </w:r>
      <w:r>
        <w:t xml:space="preserve"> </w:t>
      </w:r>
      <w:r>
        <w:t>L</w:t>
      </w:r>
      <w:r>
        <w:t xml:space="preserve"> </w:t>
      </w:r>
      <w:r>
        <w:t>‐硒代半胱氨酸甲酯（sec），被开发为具有硫和硒基“笼蔽”基团的光激活前药。两种配合物在黑暗中都很稳定，但在可见光激活时会发生光诱导的键断裂，遵循由配位硫属元素决定的不同光化学途径。对于半胱氨酸配合物，最初依赖氧形成亚磺基中间体，随后发生 Ir─S 键断裂。相比之下，硒配合物首先由于Se─C键断裂而释放出脱氢丙氨酸，形成前所未有的亚硒酸盐中间体[Ir(SeO)</w:t>
      </w:r>
      <w:r>
        <w:rPr>
          <w:vertAlign w:val="subscript"/>
        </w:rPr>
        <w:t>3</w:t>
      </w:r>
      <w:r>
        <w:t>)(ppy)(terpy)]，通过单晶X射线衍射对其进行了表征。光活化导致高单线态氧产生量子产率 (40%–48%)，与 II 型光动力疗法 (PDT) 机制一致。两种配合物都表现出最小的暗毒性（EC</w:t>
      </w:r>
      <w:r>
        <w:rPr>
          <w:vertAlign w:val="subscript"/>
        </w:rPr>
        <w:t>50</w:t>
      </w:r>
      <w:r>
        <w:t>&gt; 150 μM），但在蓝光和绿光光活化作用下对 A549 细胞具有有效的光细胞毒性</w:t>
      </w:r>
    </w:p>
    <w:p>
      <w:pPr>
        <w:spacing w:before="0" w:after="200" w:lineRule="auto" w:line="276"/>
      </w:pPr>
      <w:r>
        <w:rPr>
          <w:b/>
        </w:rPr>
        <w:t xml:space="preserve">Abstract (EN): </w:t>
      </w:r>
      <w:r>
        <w:t>Inorganic photochemotherapy enables precise spatial and temporal control over anticancer drug activation, offering a promising strategy to reduce systemic toxicity. Two iridium(III) complexes of general formula [Ir(L)(ppy)(terpy)]PF</w:t>
      </w:r>
      <w:r>
        <w:rPr>
          <w:vertAlign w:val="subscript"/>
        </w:rPr>
        <w:t>6</w:t>
      </w:r>
      <w:r>
        <w:t>with L =</w:t>
      </w:r>
      <w:r>
        <w:t xml:space="preserve"> </w:t>
      </w:r>
      <w:r>
        <w:t>N</w:t>
      </w:r>
      <w:r>
        <w:t xml:space="preserve"> </w:t>
      </w:r>
      <w:r>
        <w:t>‐acetyl‐</w:t>
      </w:r>
      <w:r>
        <w:t xml:space="preserve"> </w:t>
      </w:r>
      <w:r>
        <w:t>L</w:t>
      </w:r>
      <w:r>
        <w:t xml:space="preserve"> </w:t>
      </w:r>
      <w:r>
        <w:t>‐cysteinato methyl ester (cys) or</w:t>
      </w:r>
      <w:r>
        <w:t xml:space="preserve"> </w:t>
      </w:r>
      <w:r>
        <w:t>N</w:t>
      </w:r>
      <w:r>
        <w:t xml:space="preserve"> </w:t>
      </w:r>
      <w:r>
        <w:t>‐acetyl‐</w:t>
      </w:r>
      <w:r>
        <w:t xml:space="preserve"> </w:t>
      </w:r>
      <w:r>
        <w:t>L</w:t>
      </w:r>
      <w:r>
        <w:t xml:space="preserve"> </w:t>
      </w:r>
      <w:r>
        <w:t>‐selenocysteinato methyl ester (sec), were developed as light‐activatable prodrugs with sulfur‐ and selenium‐based “caging” groups. Both complexes are stable in the dark but undergo light induced bond cleavage upon visible light activation, following distinct photochemical pathways dictated by the coordinated chalcogen. For the cys complex, an initial oxygen‐dependent formation of a sulfinato intermediate is followed by Ir─S bond cleavage. In contrast, the selenium complex first releases dehydroalanine due to Se─C bond cleavage, forming an unprecedented selenite intermediate [Ir(SeO</w:t>
      </w:r>
      <w:r>
        <w:rPr>
          <w:vertAlign w:val="subscript"/>
        </w:rPr>
        <w:t>3</w:t>
      </w:r>
      <w:r>
        <w:t>)(ppy)(terpy)], which was characterized by single crystal x‐ray diffraction. The photoactivation leads to high singlet oxygen production quantum yields (40%–48%), consistent with a type II photodynamic therapy (PDT) mechanism. Both complexes exhibit minimal dark toxicity (EC</w:t>
      </w:r>
      <w:r>
        <w:rPr>
          <w:vertAlign w:val="subscript"/>
        </w:rPr>
        <w:t>50</w:t>
      </w:r>
      <w:r>
        <w:t>&amp;gt; 150 µM) but potent photocytotoxicity in A549 cells under blue and green light photoactivation (460 and 520 nm). This new class of photocaged iridium(III) pro‐sensitizer shows promise for combined PACT/PDT applications and demonstrates how chalcogen coordination modulates the photoreactivity and therapeutic efficacy of metal complexes.</w:t>
      </w:r>
    </w:p>
    <w:p>
      <w:pPr>
        <w:spacing w:before="120" w:after="120"/>
      </w:pPr>
      <w:r>
        <w:rPr>
          <w:sz w:val="18"/>
        </w:rPr>
        <w:t>——————————————————————————————————————————————————————————————————————</w:t>
      </w:r>
    </w:p>
    <w:p>
      <w:pPr>
        <w:spacing w:before="160" w:after="40" w:line="240" w:lineRule="auto"/>
      </w:pPr>
      <w:r>
        <w:rPr>
          <w:b/>
        </w:rPr>
        <w:t xml:space="preserve">[638] </w:t>
      </w:r>
      <w:hyperlink r:id="rId1770">
        <w:r>
          <w:rPr>
            <w:color w:val="1155CC"/>
            <w:u w:val="single"/>
          </w:rPr>
          <w:t>延长 PNP 钳形配体的链长可触发金铜纳米团簇在有氧氧化中的催化活性</w:t>
        </w:r>
      </w:hyperlink>
    </w:p>
    <w:p>
      <w:pPr>
        <w:spacing w:before="0" w:after="80"/>
      </w:pPr>
      <w:r>
        <w:rPr>
          <w:i/>
          <w:sz w:val="20"/>
        </w:rPr>
        <w:t>EN: Extending Chain Length of PNP Pincer Ligands Triggers Catalytic Activity of Gold–Copper Nanoclusters in Aerobic Oxidations</w:t>
      </w:r>
    </w:p>
    <w:p>
      <w:pPr>
        <w:spacing w:before="0" w:after="120"/>
      </w:pPr>
      <w:r>
        <w:rPr>
          <w:b/>
        </w:rPr>
        <w:t xml:space="preserve">Source: </w:t>
      </w:r>
      <w:r>
        <w:t>Wiley: Angewandte Chemie International Edition: Table of Contents</w:t>
      </w:r>
      <w:r>
        <w:t xml:space="preserve">    </w:t>
      </w:r>
      <w:r>
        <w:rPr>
          <w:b/>
        </w:rPr>
        <w:t xml:space="preserve">Pub date: </w:t>
      </w:r>
      <w:r>
        <w:t>2026-08-12 16:35:57+00:00</w:t>
      </w:r>
      <w:r>
        <w:t xml:space="preserve">    </w:t>
      </w:r>
      <w:r>
        <w:rPr>
          <w:b/>
        </w:rPr>
        <w:t xml:space="preserve">DOI: </w:t>
      </w:r>
      <w:hyperlink r:id="rId1771">
        <w:r>
          <w:rPr>
            <w:color w:val="1155CC"/>
            <w:u w:val="single"/>
          </w:rPr>
          <w:t>10.1002/anie.3126258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配体保护的原子精确金属纳米团簇的结构异构现象构成了在原子水平上揭示纳米催化剂结构-活性关系的理想模型，而有目的地设计和合成催化活性金属纳米团簇结构异构体仍然是一个核心挑战。在此，我们开发了一种通过改变 PNP 钳配体的链长来构建异构金属纳米团簇的通用策略。一对金属纳米团簇结构异构体</w:t>
      </w:r>
      <w:r>
        <w:t xml:space="preserve"> </w:t>
      </w:r>
      <w:r>
        <w:t>2C-Au</w:t>
      </w:r>
      <w:r>
        <w:rPr>
          <w:vertAlign w:val="subscript"/>
        </w:rPr>
        <w:t>10</w:t>
      </w:r>
      <w:r>
        <w:t>铜</w:t>
      </w:r>
      <w:r>
        <w:rPr>
          <w:vertAlign w:val="subscript"/>
        </w:rPr>
        <w:t>6</w:t>
      </w:r>
      <w:r>
        <w:t xml:space="preserve"> </w:t>
      </w:r>
      <w:r>
        <w:t>和</w:t>
      </w:r>
      <w:r>
        <w:t xml:space="preserve"> </w:t>
      </w:r>
      <w:r>
        <w:t>3C-Au</w:t>
      </w:r>
      <w:r>
        <w:rPr>
          <w:vertAlign w:val="subscript"/>
        </w:rPr>
        <w:t>10</w:t>
      </w:r>
      <w:r>
        <w:t>铜</w:t>
      </w:r>
      <w:r>
        <w:rPr>
          <w:vertAlign w:val="subscript"/>
        </w:rPr>
        <w:t>6</w:t>
      </w:r>
      <w:r>
        <w:t xml:space="preserve"> </w:t>
      </w:r>
      <w:r>
        <w:t>已成功合成并进行晶体学表征。基于其精确结构，在原子水平上揭示了源自内核中一个原子 Au/Cu 穿梭和由此产生的表面配体排列的结构异构现象。结构异构导致电子转移和表面活化能力显着不同</w:t>
      </w:r>
      <w:r>
        <w:t xml:space="preserve"> </w:t>
      </w:r>
      <w:r>
        <w:t>2C-Au</w:t>
      </w:r>
      <w:r>
        <w:rPr>
          <w:vertAlign w:val="subscript"/>
        </w:rPr>
        <w:t>10</w:t>
      </w:r>
      <w:r>
        <w:t>铜</w:t>
      </w:r>
      <w:r>
        <w:rPr>
          <w:vertAlign w:val="subscript"/>
        </w:rPr>
        <w:t>6</w:t>
      </w:r>
      <w:r>
        <w:t xml:space="preserve"> </w:t>
      </w:r>
      <w:r>
        <w:t>和</w:t>
      </w:r>
      <w:r>
        <w:t xml:space="preserve"> </w:t>
      </w:r>
      <w:r>
        <w:t>3C-Au</w:t>
      </w:r>
      <w:r>
        <w:rPr>
          <w:vertAlign w:val="subscript"/>
        </w:rPr>
        <w:t>10</w:t>
      </w:r>
      <w:r>
        <w:t>铜</w:t>
      </w:r>
      <w:r>
        <w:rPr>
          <w:vertAlign w:val="subscript"/>
        </w:rPr>
        <w:t>6</w:t>
      </w:r>
    </w:p>
    <w:p>
      <w:pPr>
        <w:spacing w:before="0" w:after="200" w:lineRule="auto" w:line="276"/>
      </w:pPr>
      <w:r>
        <w:rPr>
          <w:b/>
        </w:rPr>
        <w:t xml:space="preserve">Abstract (EN): </w:t>
      </w:r>
      <w:r>
        <w:t>Structural isomerism of organic ligand‐protected atomically precise metal nanoclusters constitutes an ideal model for revealing the structure–activity relationship of nano‐catalysts at the atomic level, while purposefully designing and synthesizing catalytically active metal nanocluster structural isomers remains a central challenge. Herein, we developed a generalizable strategy toward the construction of isomeric metal nanoclusters by varying the chain length of PNP pincer ligands. A pair of metal nanocluster structural isomers</w:t>
      </w:r>
      <w:r>
        <w:t xml:space="preserve"> </w:t>
      </w:r>
      <w:r>
        <w:t>2C‐Au</w:t>
      </w:r>
      <w:r>
        <w:rPr>
          <w:vertAlign w:val="subscript"/>
        </w:rPr>
        <w:t>10</w:t>
      </w:r>
      <w:r>
        <w:t>Cu</w:t>
      </w:r>
      <w:r>
        <w:rPr>
          <w:vertAlign w:val="subscript"/>
        </w:rPr>
        <w:t>6</w:t>
      </w:r>
      <w:r>
        <w:t xml:space="preserve"> </w:t>
      </w:r>
      <w:r>
        <w:t>and</w:t>
      </w:r>
      <w:r>
        <w:t xml:space="preserve"> </w:t>
      </w:r>
      <w:r>
        <w:t>3C‐Au</w:t>
      </w:r>
      <w:r>
        <w:rPr>
          <w:vertAlign w:val="subscript"/>
        </w:rPr>
        <w:t>10</w:t>
      </w:r>
      <w:r>
        <w:t>Cu</w:t>
      </w:r>
      <w:r>
        <w:rPr>
          <w:vertAlign w:val="subscript"/>
        </w:rPr>
        <w:t>6</w:t>
      </w:r>
      <w:r>
        <w:t xml:space="preserve"> </w:t>
      </w:r>
      <w:r>
        <w:t>has been successfully synthesized and crystallographically characterized. The structural isomerism phenomenon originating from one atomic Au/Cu shuttle in the kernel and the resulted surface ligand arrangement was uncovered at the atomic level based on their precise structures. The structural isomerism leads to the significantly different electron transfer and surface activation ability of</w:t>
      </w:r>
      <w:r>
        <w:t xml:space="preserve"> </w:t>
      </w:r>
      <w:r>
        <w:t>2C‐Au</w:t>
      </w:r>
      <w:r>
        <w:rPr>
          <w:vertAlign w:val="subscript"/>
        </w:rPr>
        <w:t>10</w:t>
      </w:r>
      <w:r>
        <w:t>Cu</w:t>
      </w:r>
      <w:r>
        <w:rPr>
          <w:vertAlign w:val="subscript"/>
        </w:rPr>
        <w:t>6</w:t>
      </w:r>
      <w:r>
        <w:t xml:space="preserve"> </w:t>
      </w:r>
      <w:r>
        <w:t>and</w:t>
      </w:r>
      <w:r>
        <w:t xml:space="preserve"> </w:t>
      </w:r>
      <w:r>
        <w:t>3C‐Au</w:t>
      </w:r>
      <w:r>
        <w:rPr>
          <w:vertAlign w:val="subscript"/>
        </w:rPr>
        <w:t>10</w:t>
      </w:r>
      <w:r>
        <w:t>Cu</w:t>
      </w:r>
      <w:r>
        <w:rPr>
          <w:vertAlign w:val="subscript"/>
        </w:rPr>
        <w:t>6</w:t>
      </w:r>
      <w:r>
        <w:t xml:space="preserve"> </w:t>
      </w:r>
      <w:r>
        <w:t>, thus triggering the superior activity of</w:t>
      </w:r>
      <w:r>
        <w:t xml:space="preserve"> </w:t>
      </w:r>
      <w:r>
        <w:t>3C‐Au</w:t>
      </w:r>
      <w:r>
        <w:rPr>
          <w:vertAlign w:val="subscript"/>
        </w:rPr>
        <w:t>10</w:t>
      </w:r>
      <w:r>
        <w:t>Cu</w:t>
      </w:r>
      <w:r>
        <w:rPr>
          <w:vertAlign w:val="subscript"/>
        </w:rPr>
        <w:t>6</w:t>
      </w:r>
      <w:r>
        <w:t xml:space="preserve"> </w:t>
      </w:r>
      <w:r>
        <w:t>in catalyzing aerobic oxidations. This work would be enlightening for precisely regulating the metal kernel and surface structures of metal nanoclusters for efficient catalysis, and also be inspiring for the rational design of metal nanocluster structural isomers.</w:t>
      </w:r>
    </w:p>
    <w:p>
      <w:pPr>
        <w:spacing w:before="120" w:after="120"/>
      </w:pPr>
      <w:r>
        <w:rPr>
          <w:sz w:val="18"/>
        </w:rPr>
        <w:t>——————————————————————————————————————————————————————————————————————</w:t>
      </w:r>
    </w:p>
    <w:p>
      <w:pPr>
        <w:spacing w:before="160" w:after="40" w:line="240" w:lineRule="auto"/>
      </w:pPr>
      <w:r>
        <w:rPr>
          <w:b/>
        </w:rPr>
        <w:t xml:space="preserve">[639] </w:t>
      </w:r>
      <w:hyperlink r:id="rId1772">
        <w:r>
          <w:rPr>
            <w:color w:val="1155CC"/>
            <w:u w:val="single"/>
          </w:rPr>
          <w:t>体内单囊泡电化学能够监测囊泡多巴胺动力学和药理学救援</w:t>
        </w:r>
      </w:hyperlink>
    </w:p>
    <w:p>
      <w:pPr>
        <w:spacing w:before="0" w:after="80"/>
      </w:pPr>
      <w:r>
        <w:rPr>
          <w:i/>
          <w:sz w:val="20"/>
        </w:rPr>
        <w:t>EN: An In Vivo Single‐Vesicle Electrochemistry Enables Monitoring Vesicular Dopamine Dynamics and Pharmacological Rescue</w:t>
      </w:r>
    </w:p>
    <w:p>
      <w:pPr>
        <w:spacing w:before="0" w:after="120"/>
      </w:pPr>
      <w:r>
        <w:rPr>
          <w:b/>
        </w:rPr>
        <w:t xml:space="preserve">Source: </w:t>
      </w:r>
      <w:r>
        <w:t>Wiley: Angewandte Chemie International Edition: Table of Contents</w:t>
      </w:r>
      <w:r>
        <w:t xml:space="preserve">    </w:t>
      </w:r>
      <w:r>
        <w:rPr>
          <w:b/>
        </w:rPr>
        <w:t xml:space="preserve">Pub date: </w:t>
      </w:r>
      <w:r>
        <w:t>2026-08-12 16:41:57+00:00</w:t>
      </w:r>
      <w:r>
        <w:t xml:space="preserve">    </w:t>
      </w:r>
      <w:r>
        <w:rPr>
          <w:b/>
        </w:rPr>
        <w:t xml:space="preserve">DOI: </w:t>
      </w:r>
      <w:hyperlink r:id="rId1773">
        <w:r>
          <w:rPr>
            <w:color w:val="1155CC"/>
            <w:u w:val="single"/>
          </w:rPr>
          <w:t>10.1002/anie.6461178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完整活脊椎动物神经系统中神经递质储存和胞吐动力学的直接单囊泡解析定量仍然难以实现。在这里，我们在麻醉的活体斑马鱼幼虫中建立了一个体内单囊泡电化学平台，能够量化完整神经系统中囊泡多巴胺（DA）的负载和量子释放动力学。通过结合细胞内囊泡冲击电化学细胞术和单细胞安培测定法，我们以单囊泡分辨率直接测量腹侧间脑多巴胺能神经元体中的囊泡货物和胞吐释放。使用 DA 升高药物的药理学验证证实了该方法的敏感性和稳健性。将该平台应用于化学诱导的帕金森病模型，结果显示囊泡 DA 含量显着减少，释放模式改变，胞吐动力学受损。雷沙吉兰治疗部分恢复了囊泡 DA 的储存和释放动力学，使其达到生理水平，表明囊泡功能具有保护性调节作用。这种体内电化学方法提供了一个单一囊泡解析的分析平台，可以直接在完整的神经系统中剖析囊泡异质性和功能障碍，从而将单囊泡化学与体内神经生物学联系起来，并为神经变性和治疗干预的机制研究开辟新途径。</w:t>
      </w:r>
    </w:p>
    <w:p>
      <w:pPr>
        <w:spacing w:before="0" w:after="200" w:lineRule="auto" w:line="276"/>
      </w:pPr>
      <w:r>
        <w:rPr>
          <w:b/>
        </w:rPr>
        <w:t xml:space="preserve">Abstract (EN): </w:t>
      </w:r>
      <w:r>
        <w:t>Direct single vesicle‐resolved quantification of neurotransmitter storage and exocytotic dynamics in an intact living vertebrate nervous system has remained elusive. Here, we establish an in vivo single‐vesicle electrochemistry platform in anesthetized living zebrafish larvae, enabling quantification of vesicular dopamine (DA) loading and quantal release dynamics in the intact neural system. By combining intracellular vesicle impact electrochemical cytometry and single‐cell amperometry, we directly measure vesicular cargo and exocytotic release in dopaminergic neuron soma of the ventral diencephalon at single‐vesicle resolution. Pharmacological validation with a DA elevation drug confirmed the sensitivity and robustness of the approach. Application of this platform to a chemical‐induced Parkinsonian model revealed pronounced reductions in vesicular DA content, altered release patterns, and impaired exocytotic dynamics. Rasagiline treatment partially restored vesicular DA storage and release dynamics toward physiological levels, suggesting a protective modulation of vesicle function. This in vivo electrochemical method offers a single vesicle‐resolved analytical platform for dissecting vesicular heterogeneity and dysfunction directly in intact neural systems, thereby bridging single‐vesicle chemistry with in vivo neurobiology and opening new avenues for mechanistic studies of neurodegeneration and therapeutic intervention.</w:t>
      </w:r>
    </w:p>
    <w:p>
      <w:pPr>
        <w:spacing w:before="120" w:after="120"/>
      </w:pPr>
      <w:r>
        <w:rPr>
          <w:sz w:val="18"/>
        </w:rPr>
        <w:t>——————————————————————————————————————————————————————————————————————</w:t>
      </w:r>
    </w:p>
    <w:p>
      <w:pPr>
        <w:spacing w:before="160" w:after="40" w:line="240" w:lineRule="auto"/>
      </w:pPr>
      <w:r>
        <w:rPr>
          <w:b/>
        </w:rPr>
        <w:t xml:space="preserve">[640] </w:t>
      </w:r>
      <w:hyperlink r:id="rId1774">
        <w:r>
          <w:rPr>
            <w:color w:val="1155CC"/>
            <w:u w:val="single"/>
          </w:rPr>
          <w:t>多晶型三(对甲苯基)锑中的短Sb···Sb接触：有机锑(III)固态化学的标志？</w:t>
        </w:r>
      </w:hyperlink>
    </w:p>
    <w:p>
      <w:pPr>
        <w:spacing w:before="0" w:after="80"/>
      </w:pPr>
      <w:r>
        <w:rPr>
          <w:i/>
          <w:sz w:val="20"/>
        </w:rPr>
        <w:t>EN: Short Sb···Sb Contacts in Polymorphic Tris(p‐Tolyl)Antimony: A Hallmark of Organoantimony(III) Solid‐State Chemistry?</w:t>
      </w:r>
    </w:p>
    <w:p>
      <w:pPr>
        <w:spacing w:before="0" w:after="120"/>
      </w:pPr>
      <w:r>
        <w:rPr>
          <w:b/>
        </w:rPr>
        <w:t xml:space="preserve">Source: </w:t>
      </w:r>
      <w:r>
        <w:t>Wiley: Angewandte Chemie International Edition: Table of Contents</w:t>
      </w:r>
      <w:r>
        <w:t xml:space="preserve">    </w:t>
      </w:r>
      <w:r>
        <w:rPr>
          <w:b/>
        </w:rPr>
        <w:t xml:space="preserve">Pub date: </w:t>
      </w:r>
      <w:r>
        <w:t>2026-08-12 16:42:05+00:00</w:t>
      </w:r>
      <w:r>
        <w:t xml:space="preserve">    </w:t>
      </w:r>
      <w:r>
        <w:rPr>
          <w:b/>
        </w:rPr>
        <w:t xml:space="preserve">DOI: </w:t>
      </w:r>
      <w:hyperlink r:id="rId1775">
        <w:r>
          <w:rPr>
            <w:color w:val="1155CC"/>
            <w:u w:val="single"/>
          </w:rPr>
          <w:t>10.1002/anie.5894899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发现 tris 的多晶型物（</w:t>
      </w:r>
      <w:r>
        <w:t xml:space="preserve"> </w:t>
      </w:r>
      <w:r>
        <w:t>p-</w:t>
      </w:r>
      <w:r>
        <w:t>甲苯基）锑（III）揭示了通过短而有吸引力的Sb∙∙∙Sb接触连接的固态超分子二聚体，基于理论计算和剑桥结构数据库（CSD）的系统筛选，这可能是三价有机锑（III）化合物的固态和超分子化学的一个被忽视的标志。而之前报道的 tris(</w:t>
      </w:r>
      <w:r>
        <w:t xml:space="preserve"> </w:t>
      </w:r>
      <w:r>
        <w:t>p-</w:t>
      </w:r>
      <w:r>
        <w:t>已知甲苯基）锑（III）表现出苯基拥抱基序，类似于砷或磷类似物，新的多晶型物表现出超分子二聚体，其特征是直接 Sb∙∙∙Sb 接触比范德华半径之和短，并通过约 100% 的显着二聚体解离能稳定。 −26 kJ 摩尔</w:t>
      </w:r>
      <w:r>
        <w:t xml:space="preserve"> </w:t>
      </w:r>
      <w:r>
        <w:t>−1</w:t>
      </w:r>
      <w:r>
        <w:t xml:space="preserve"> </w:t>
      </w:r>
      <w:r>
        <w:t>通过周期性密度泛函计算建立。理论分析表明接触是吸引和色散主导的，CSD 概述表明这种直接的 Sb·Sb 接触并不是这种多态形式所独有的 tris(</w:t>
      </w:r>
      <w:r>
        <w:t xml:space="preserve"> </w:t>
      </w:r>
      <w:r>
        <w:t>p-</w:t>
      </w:r>
      <w:r>
        <w:t>甲苯基）锑（III），但似乎是固态三价有机锑的更普遍特征。具体来说，CSD 表明，在许多有机锑结构中都发现了基于短 Sb·Sb 接触的二聚体，包括该系列的一些最简单的代表，例如三苯基锑和三甲基锑，其中</w:t>
      </w:r>
    </w:p>
    <w:p>
      <w:pPr>
        <w:spacing w:before="0" w:after="200" w:lineRule="auto" w:line="276"/>
      </w:pPr>
      <w:r>
        <w:rPr>
          <w:b/>
        </w:rPr>
        <w:t xml:space="preserve">Abstract (EN): </w:t>
      </w:r>
      <w:r>
        <w:t>Discovery of a polymorph of tris(</w:t>
      </w:r>
      <w:r>
        <w:t xml:space="preserve"> </w:t>
      </w:r>
      <w:r>
        <w:t>p‐</w:t>
      </w:r>
      <w:r>
        <w:t xml:space="preserve"> </w:t>
      </w:r>
      <w:r>
        <w:t>tolyl)antimony(III) reveals solid‐state supramolecular dimers connected through short, attractive Sb∙∙∙Sb contacts that, based on theoretical calculations and a systematic screen of the Cambridge Structural Database (CSD), could be an overlooked hallmark of the solid‐state and supramolecular chemistry of trivalent organoantimony(III) compounds. While the previously reported crystal structure of tris(</w:t>
      </w:r>
      <w:r>
        <w:t xml:space="preserve"> </w:t>
      </w:r>
      <w:r>
        <w:t>p‐</w:t>
      </w:r>
      <w:r>
        <w:t xml:space="preserve"> </w:t>
      </w:r>
      <w:r>
        <w:t>tolyl)antimony(III) is known to exhibit phenyl embrace motifs, resembling the arsenic or phosphorus analogs, the new polymorph exhibits supramolecular dimers characterized by direct Sb∙∙∙Sb contacts shorter than the sum of the van der Waals radii, and stabilized by a significant dimer dissociation energy of ca. −26 kJ mol</w:t>
      </w:r>
      <w:r>
        <w:t xml:space="preserve"> </w:t>
      </w:r>
      <w:r>
        <w:t>−1</w:t>
      </w:r>
      <w:r>
        <w:t xml:space="preserve"> </w:t>
      </w:r>
      <w:r>
        <w:t>established by periodic density‐functional calculations. Theoretical analysis indicates that the contacts are attractive and dispersion‐dominated, with an overview of the CSD showing that such direct Sb···Sb contacts are not unique to this polymorphic form of tris(</w:t>
      </w:r>
      <w:r>
        <w:t xml:space="preserve"> </w:t>
      </w:r>
      <w:r>
        <w:t>p‐</w:t>
      </w:r>
      <w:r>
        <w:t xml:space="preserve"> </w:t>
      </w:r>
      <w:r>
        <w:t>tolyl)antimony(III) but appear to be a more general feature of trivalent organoantimony in the solid state. Specifically, the CSD shows that dimers based on short Sb···Sb contacts are found across a number of organoantimony structures, including some of the simplest representatives of the series, such as triphenyl‐ and trimethylantimony, for which the dimer interaction energy is herein calculated to be ca. −13 kJ mol</w:t>
      </w:r>
      <w:r>
        <w:t xml:space="preserve"> </w:t>
      </w:r>
      <w:r>
        <w:t>−1</w:t>
      </w:r>
      <w:r>
        <w:t xml:space="preserve"> </w:t>
      </w:r>
      <w:r>
        <w:t>.</w:t>
      </w:r>
    </w:p>
    <w:p>
      <w:pPr>
        <w:spacing w:before="120" w:after="120"/>
      </w:pPr>
      <w:r>
        <w:rPr>
          <w:sz w:val="18"/>
        </w:rPr>
        <w:t>——————————————————————————————————————————————————————————————————————</w:t>
      </w:r>
    </w:p>
    <w:p>
      <w:pPr>
        <w:spacing w:before="160" w:after="40" w:line="240" w:lineRule="auto"/>
      </w:pPr>
      <w:r>
        <w:rPr>
          <w:b/>
        </w:rPr>
        <w:t xml:space="preserve">[641] </w:t>
      </w:r>
      <w:hyperlink r:id="rId1776">
        <w:r>
          <w:rPr>
            <w:color w:val="1155CC"/>
            <w:u w:val="single"/>
          </w:rPr>
          <w:t>金属配位动力学控制 α-KG/Fe 依赖性卤化酶 SyrB2 中的选择性卤化</w:t>
        </w:r>
      </w:hyperlink>
    </w:p>
    <w:p>
      <w:pPr>
        <w:spacing w:before="0" w:after="80"/>
      </w:pPr>
      <w:r>
        <w:rPr>
          <w:i/>
          <w:sz w:val="20"/>
        </w:rPr>
        <w:t>EN: Metal Coordination Dynamics Governs Selective Halogenation in α‐KG/Fe‐Dependent Halogenase SyrB2</w:t>
      </w:r>
    </w:p>
    <w:p>
      <w:pPr>
        <w:spacing w:before="0" w:after="120"/>
      </w:pPr>
      <w:r>
        <w:rPr>
          <w:b/>
        </w:rPr>
        <w:t xml:space="preserve">Source: </w:t>
      </w:r>
      <w:r>
        <w:t>Wiley: Angewandte Chemie International Edition: Table of Contents</w:t>
      </w:r>
      <w:r>
        <w:t xml:space="preserve">    </w:t>
      </w:r>
      <w:r>
        <w:rPr>
          <w:b/>
        </w:rPr>
        <w:t xml:space="preserve">Pub date: </w:t>
      </w:r>
      <w:r>
        <w:t>2026-08-12 16:42:10+00:00</w:t>
      </w:r>
      <w:r>
        <w:t xml:space="preserve">    </w:t>
      </w:r>
      <w:r>
        <w:rPr>
          <w:b/>
        </w:rPr>
        <w:t xml:space="preserve">DOI: </w:t>
      </w:r>
      <w:hyperlink r:id="rId1777">
        <w:r>
          <w:rPr>
            <w:color w:val="1155CC"/>
            <w:u w:val="single"/>
          </w:rPr>
          <w:t>10.1002/anie.3915501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α-酮戊二酸 (α-KG) 依赖性非血红素铁酶可催化天然产物生物合成所必需的多种氧化转化。然而，α-KG/Fe 依赖性卤化酶在绕过热力学有利的羟基化途径的同时实现选择性卤化的机制仍然是激烈争论的主题。在这项研究中，我们通过广泛的计算和晶体学研究阐明了 SyrB2 的卤化​​机制。我们的工作表明，金属配位动力学在控制 SyrB2 中的选择性 C─H 键激活和氯化方面发挥着关键作用。 Fe(IV)-oxo 物质从赤道构象到轴向构象的转变使得氢原子能够从底物 C─H 键转移。随后 Fe(III)-OH 中间体重新异构化为赤道构象对于促进选择性氯化同时最大限度地减少竞争性羟基化至关重要。所提出的机制得到了多项实验观察的支持，包括穆斯堡尔谱、核共振振动谱（NRVS）、</w:t>
      </w:r>
      <w:r>
        <w:rPr>
          <w:vertAlign w:val="subscript"/>
        </w:rPr>
        <w:t>2</w:t>
      </w:r>
      <w:r>
        <w:t>H-HYSCORE 光谱以及与各种底物反应的动力学分析。</w:t>
      </w:r>
    </w:p>
    <w:p>
      <w:pPr>
        <w:spacing w:before="0" w:after="200" w:lineRule="auto" w:line="276"/>
      </w:pPr>
      <w:r>
        <w:rPr>
          <w:b/>
        </w:rPr>
        <w:t xml:space="preserve">Abstract (EN): </w:t>
      </w:r>
      <w:r>
        <w:t>α‐Ketoglutarate (α‐KG)‐dependent nonheme iron enzymes catalyze a diverse array of oxidative transformations essential for natural product biosynthesis. However, the mechanism by which α‐KG/Fe‐dependent halogenases achieve selective halogenation while circumventing the thermodynamically favored hydroxylation pathway remains a subject of intense debate. In this study, we elucidate the halogenation mechanism in SyrB2 through extensive computational and crystallographic investigations. Our work reveals that metal coordination dynamics plays a pivotal role in controlling selective C─H bond activation and chlorination in SyrB2. The transformation of the Fe(IV)‐oxo species from an equatorial to an axial conformation enables hydrogen atom transfer from the substrate C─H bond. Subsequent re‐isomerization of the Fe(III)‐OH intermediate to the equatorial conformation is critical for promoting selective chlorination while minimizing competitive hydroxylation. The proposed mechanism is supported by multiple experimental observations, including Mössbauer spectroscopy, nuclear resonance vibrational spectroscopy (NRVS),</w:t>
      </w:r>
      <w:r>
        <w:rPr>
          <w:vertAlign w:val="subscript"/>
        </w:rPr>
        <w:t>2</w:t>
      </w:r>
      <w:r>
        <w:t>H‐HYSCORE spectroscopy, and kinetic analysis of reactions with various substrates.</w:t>
      </w:r>
    </w:p>
    <w:p>
      <w:pPr>
        <w:spacing w:before="120" w:after="120"/>
      </w:pPr>
      <w:r>
        <w:rPr>
          <w:sz w:val="18"/>
        </w:rPr>
        <w:t>——————————————————————————————————————————————————————————————————————</w:t>
      </w:r>
    </w:p>
    <w:p>
      <w:pPr>
        <w:spacing w:before="160" w:after="40" w:line="240" w:lineRule="auto"/>
      </w:pPr>
      <w:r>
        <w:rPr>
          <w:b/>
        </w:rPr>
        <w:t xml:space="preserve">[642] </w:t>
      </w:r>
      <w:hyperlink r:id="rId1778">
        <w:r>
          <w:rPr>
            <w:color w:val="1155CC"/>
            <w:u w:val="single"/>
          </w:rPr>
          <w:t>灵活人机界面的感知反馈映射策略</w:t>
        </w:r>
      </w:hyperlink>
    </w:p>
    <w:p>
      <w:pPr>
        <w:spacing w:before="0" w:after="80"/>
      </w:pPr>
      <w:r>
        <w:rPr>
          <w:i/>
          <w:sz w:val="20"/>
        </w:rPr>
        <w:t>EN: Perception‐Feedback Mapping Strategies for Flexible Human–Machine Interfaces</w:t>
      </w:r>
    </w:p>
    <w:p>
      <w:pPr>
        <w:spacing w:before="0" w:after="120"/>
      </w:pPr>
      <w:r>
        <w:rPr>
          <w:b/>
        </w:rPr>
        <w:t xml:space="preserve">Source: </w:t>
      </w:r>
      <w:r>
        <w:t>Wiley: Advanced Materials: Table of Contents</w:t>
      </w:r>
      <w:r>
        <w:t xml:space="preserve">    </w:t>
      </w:r>
      <w:r>
        <w:rPr>
          <w:b/>
        </w:rPr>
        <w:t xml:space="preserve">Pub date: </w:t>
      </w:r>
      <w:r>
        <w:t>2026-08-12 16:43:32+00:00</w:t>
      </w:r>
      <w:r>
        <w:t xml:space="preserve">    </w:t>
      </w:r>
      <w:r>
        <w:rPr>
          <w:b/>
        </w:rPr>
        <w:t xml:space="preserve">DOI: </w:t>
      </w:r>
      <w:hyperlink r:id="rId1779">
        <w:r>
          <w:rPr>
            <w:color w:val="1155CC"/>
            <w:u w:val="single"/>
          </w:rPr>
          <w:t>10.1002/adma.74589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随着材料科学、结构设计、设备制造和系统集成的进步，柔性人机界面（HMI）领域一直在快速发展。先进灵活的传感和反馈设备的发展显着扩展了这些系统的感知方式、反馈能力和功能范围。然而，灵活HMI的更广泛部署不仅取决于传感/反馈组件的设备性能，还取决于将传感信号转换为反馈模块的命令输出的控制策略。这篇综述重点介绍了灵活 HMI 的感知反馈映射策略的最新进展。简要介绍了代表性的传感和反馈模块以及常见的系统级物理架构，作为分析传感输入和反馈输出之间关系的基础。然后，基于从感知到反馈侧的信号流原理，提出了一个系统框架，将感知反馈映射策略分为基于命令的映射、连续映射和闭环控制。对这三类映射策略进行了全面的讨论，包括其操作原理、系统实现和实际应用。最后，我们讨论了当前的挑战和未来的方向，以实现更强大、更通用和集成的灵活 HMI 系统。</w:t>
      </w:r>
    </w:p>
    <w:p>
      <w:pPr>
        <w:spacing w:before="0" w:after="200" w:lineRule="auto" w:line="276"/>
      </w:pPr>
      <w:r>
        <w:rPr>
          <w:b/>
        </w:rPr>
        <w:t xml:space="preserve">Abstract (EN): </w:t>
      </w:r>
      <w:r>
        <w:t>The field of flexible human–machine interfaces (HMIs) has been evolving rapidly with progress in materials science, structural design, device fabrication, and system integration. Developments of advanced flexible sensing and feedback devices have remarkably expanded the perceptual modalities, feedback capabilities, and functional scope of these systems. However, the broader deployment of flexible HMIs depends not only on the device performance of sensing/feedback components, but also on the control strategy that translates sensed signals into command outputs for feedback modules. This review highlights recent progress in such perception‐feedback mapping strategies for flexible HMIs. Representative sensing and feedback modules, together with common system‐level physical architectures, are briefly introduced as a basis for analyzing the relationship between sensed inputs and feedback outputs. A systematic framework is then proposed based on the principle of signal flow from the perception to the feedback side, allowing perception‐feedback mapping strategies to be classified into command‐based mapping, continuous mapping, and closed‐loop control. Comprehensive discussions on these three categories of mapping strategies are presented, covering their operating principles, system implementation, and practical applications. Finally, we discuss current challenges and future directions toward more robust, generalizable, and integrated flexible HMI systems.</w:t>
      </w:r>
    </w:p>
    <w:p>
      <w:pPr>
        <w:spacing w:before="120" w:after="120"/>
      </w:pPr>
      <w:r>
        <w:rPr>
          <w:sz w:val="18"/>
        </w:rPr>
        <w:t>——————————————————————————————————————————————————————————————————————</w:t>
      </w:r>
    </w:p>
    <w:p>
      <w:pPr>
        <w:spacing w:before="160" w:after="40" w:line="240" w:lineRule="auto"/>
      </w:pPr>
      <w:r>
        <w:rPr>
          <w:b/>
        </w:rPr>
        <w:t xml:space="preserve">[643] </w:t>
      </w:r>
      <w:hyperlink r:id="rId1780">
        <w:r>
          <w:rPr>
            <w:color w:val="1155CC"/>
            <w:u w:val="single"/>
          </w:rPr>
          <w:t>将组蛋白 H3-H4 四级结构缩小为 Foldamer 模拟物可产生高亲和力和细胞渗透性的 ASF1 配体</w:t>
        </w:r>
      </w:hyperlink>
    </w:p>
    <w:p>
      <w:pPr>
        <w:spacing w:before="0" w:after="80"/>
      </w:pPr>
      <w:r>
        <w:rPr>
          <w:i/>
          <w:sz w:val="20"/>
        </w:rPr>
        <w:t>EN: Downsizing the Histone H3–H4 Quaternary Structure Into Foldamer Mimetics Yields High‐Affinity and Cell‐Permeable Ligands of ASF1</w:t>
      </w:r>
    </w:p>
    <w:p>
      <w:pPr>
        <w:spacing w:before="0" w:after="120"/>
      </w:pPr>
      <w:r>
        <w:rPr>
          <w:b/>
        </w:rPr>
        <w:t xml:space="preserve">Source: </w:t>
      </w:r>
      <w:r>
        <w:t>Wiley: Angewandte Chemie International Edition: Table of Contents</w:t>
      </w:r>
      <w:r>
        <w:t xml:space="preserve">    </w:t>
      </w:r>
      <w:r>
        <w:rPr>
          <w:b/>
        </w:rPr>
        <w:t xml:space="preserve">Pub date: </w:t>
      </w:r>
      <w:r>
        <w:t>2026-08-12 16:45:59+00:00</w:t>
      </w:r>
      <w:r>
        <w:t xml:space="preserve">    </w:t>
      </w:r>
      <w:r>
        <w:rPr>
          <w:b/>
        </w:rPr>
        <w:t xml:space="preserve">DOI: </w:t>
      </w:r>
      <w:hyperlink r:id="rId1781">
        <w:r>
          <w:rPr>
            <w:color w:val="1155CC"/>
            <w:u w:val="single"/>
          </w:rPr>
          <w:t>10.1002/anie.4112426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用小而明确的分子支架模拟复杂的蛋白质-蛋白质界面仍然是化学生物学中的主要挑战。在这里，我们报告了一种基于折叠体的缩小策略，该策略将组蛋白 H3-H4 二聚体的四级结构压缩成紧凑的肽-低聚尿素杂合体，作为组蛋白伴侣抗沉默功能 1 (ASF1) 的高亲和力配体。在多个高分辨率共晶结构的指导下，我们设计了一系列折叠体模拟物，可以准确地再现 H3 α 螺旋和 H4 β 链表位。连接子几何结构、β链拟态、形式电荷和选择性主链 N-甲基化的系统优化产生了具有纳摩尔亲和力、增强的蛋白水解抗性和强大的胞质渗透性的高度稳定的配体。值得注意的是，优化的构建体及其 N 甲基化类似物以高保真度重现了 ASF1 上天然 H3-H4 二聚体的结合模式，并与细胞提取物中的内源 ASF1 结合，证明了有效的细胞内靶标识别。总之，这些结果表明肽-低聚脲折叠体可以重现蛋白质四级结构表面的结构特征，结合高亲和力、高稳定性和细胞渗透性。</w:t>
      </w:r>
    </w:p>
    <w:p>
      <w:pPr>
        <w:spacing w:before="0" w:after="200" w:lineRule="auto" w:line="276"/>
      </w:pPr>
      <w:r>
        <w:rPr>
          <w:b/>
        </w:rPr>
        <w:t xml:space="preserve">Abstract (EN): </w:t>
      </w:r>
      <w:r>
        <w:t>Mimicking complex protein–protein interfaces with small, well‐defined molecular scaffolds remains a major challenge in chemical biology. Here, we report a foldamer‐based downsizing strategy that compresses the quaternary architecture of the histone H3–H4 dimer into compact peptide‐oligourea hybrids acting as high‐affinity ligands of the histone chaperone Anti‐Silencing Function 1 (ASF1). Guided by multiple high‐resolution co‐crystal structures, we designed a series of foldamer mimetics that accurately reproduce both the H3 α‐helix and the H4 β‐strand epitopes. Systematic optimization of linker geometry, β‐strand mimicry, formal charge, and selective backbone N‐methylation yielded highly stable ligands with nanomolar affinities, enhanced proteolytic resistance, and robust cytosolic penetration. Notably, the optimized constructs and their N‐methylated analogues recapitulate the binding mode of the native H3–H4 dimer on ASF1 with high fidelity and engage endogenous ASF1 in cell extracts, demonstrating effective intracellular target recognition. Together, these results show that peptide‐oligourea foldamers can reproduce the structural features of a protein quaternary structure surface, combining high affinity, high stability and cell permeability.</w:t>
      </w:r>
    </w:p>
    <w:p>
      <w:pPr>
        <w:spacing w:before="120" w:after="120"/>
      </w:pPr>
      <w:r>
        <w:rPr>
          <w:sz w:val="18"/>
        </w:rPr>
        <w:t>——————————————————————————————————————————————————————————————————————</w:t>
      </w:r>
    </w:p>
    <w:p>
      <w:pPr>
        <w:spacing w:before="160" w:after="40" w:line="240" w:lineRule="auto"/>
      </w:pPr>
      <w:r>
        <w:rPr>
          <w:b/>
        </w:rPr>
        <w:t xml:space="preserve">[644] </w:t>
      </w:r>
      <w:hyperlink r:id="rId1782">
        <w:r>
          <w:rPr>
            <w:color w:val="1155CC"/>
            <w:u w:val="single"/>
          </w:rPr>
          <w:t>高塔姆·戈什</w:t>
        </w:r>
      </w:hyperlink>
    </w:p>
    <w:p>
      <w:pPr>
        <w:spacing w:before="0" w:after="80"/>
      </w:pPr>
      <w:r>
        <w:rPr>
          <w:i/>
          <w:sz w:val="20"/>
        </w:rPr>
        <w:t>EN: Goutam Ghosh</w:t>
      </w:r>
    </w:p>
    <w:p>
      <w:pPr>
        <w:spacing w:before="0" w:after="120"/>
      </w:pPr>
      <w:r>
        <w:rPr>
          <w:b/>
        </w:rPr>
        <w:t xml:space="preserve">Source: </w:t>
      </w:r>
      <w:r>
        <w:t>Wiley: Angewandte Chemie International Edition: Table of Contents</w:t>
      </w:r>
      <w:r>
        <w:t xml:space="preserve">    </w:t>
      </w:r>
      <w:r>
        <w:rPr>
          <w:b/>
        </w:rPr>
        <w:t xml:space="preserve">Pub date: </w:t>
      </w:r>
      <w:r>
        <w:t>2026-08-12 16:47:48+00:00</w:t>
      </w:r>
      <w:r>
        <w:t xml:space="preserve">    </w:t>
      </w:r>
      <w:r>
        <w:rPr>
          <w:b/>
        </w:rPr>
        <w:t xml:space="preserve">DOI: </w:t>
      </w:r>
      <w:hyperlink r:id="rId1783">
        <w:r>
          <w:rPr>
            <w:color w:val="1155CC"/>
            <w:u w:val="single"/>
          </w:rPr>
          <w:t>10.1002/anie.5875916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[645] </w:t>
      </w:r>
      <w:hyperlink r:id="rId1784">
        <w:r>
          <w:rPr>
            <w:color w:val="1155CC"/>
            <w:u w:val="single"/>
          </w:rPr>
          <w:t>具有开壳配体的金簇：超原子介导的磁相互作用</w:t>
        </w:r>
      </w:hyperlink>
    </w:p>
    <w:p>
      <w:pPr>
        <w:spacing w:before="0" w:after="80"/>
      </w:pPr>
      <w:r>
        <w:rPr>
          <w:i/>
          <w:sz w:val="20"/>
        </w:rPr>
        <w:t>EN: Gold Clusters With Open‐Shell Ligands: Superatom Mediated Magnetic Interaction</w:t>
      </w:r>
    </w:p>
    <w:p>
      <w:pPr>
        <w:spacing w:before="0" w:after="120"/>
      </w:pPr>
      <w:r>
        <w:rPr>
          <w:b/>
        </w:rPr>
        <w:t xml:space="preserve">Source: </w:t>
      </w:r>
      <w:r>
        <w:t>Wiley: Angewandte Chemie International Edition: Table of Contents</w:t>
      </w:r>
      <w:r>
        <w:t xml:space="preserve">    </w:t>
      </w:r>
      <w:r>
        <w:rPr>
          <w:b/>
        </w:rPr>
        <w:t xml:space="preserve">Pub date: </w:t>
      </w:r>
      <w:r>
        <w:t>2026-08-12 16:50:51+00:00</w:t>
      </w:r>
      <w:r>
        <w:t xml:space="preserve">    </w:t>
      </w:r>
      <w:r>
        <w:rPr>
          <w:b/>
        </w:rPr>
        <w:t xml:space="preserve">DOI: </w:t>
      </w:r>
      <w:hyperlink r:id="rId1785">
        <w:r>
          <w:rPr>
            <w:color w:val="1155CC"/>
            <w:u w:val="single"/>
          </w:rPr>
          <w:t>10.1002/anie.3543072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了解涉及超原子轨道的金簇内的磁性相互作用对于推进具有磁性功能的纳米级材料的开发至关重要。在本研究中，我们报道了 Ir 掺杂 Au 的合成</w:t>
      </w:r>
      <w:r>
        <w:rPr>
          <w:vertAlign w:val="subscript"/>
        </w:rPr>
        <w:t>12</w:t>
      </w:r>
      <w:r>
        <w:t>(Ir@Au</w:t>
      </w:r>
      <w:r>
        <w:rPr>
          <w:vertAlign w:val="subscript"/>
        </w:rPr>
        <w:t>12</w:t>
      </w:r>
      <w:r>
        <w:t>）用两个相反极的开壳 verdazyl 自由基功能化的二十面体簇，以及对其电子、磁性和光物理性质的研究。 Ir@Au 的光致发光</w:t>
      </w:r>
      <w:r>
        <w:rPr>
          <w:vertAlign w:val="subscript"/>
        </w:rPr>
        <w:t>12</w:t>
      </w:r>
      <w:r>
        <w:t>通过引入 verdazyl 配体，簇核被彻底猝灭。超快时间分辨吸收光谱揭示了 Ir@Au 的电子转移</w:t>
      </w:r>
      <w:r>
        <w:rPr>
          <w:vertAlign w:val="subscript"/>
        </w:rPr>
        <w:t>12</w:t>
      </w:r>
      <w:r>
        <w:t>核处于三重激发态，与 verdazyl 配体相连。 EPR研究揭示了与Au和Ir核的超精细耦合，表明verdazyl自由基在Ir@Au上适度离域的自旋密度</w:t>
      </w:r>
      <w:r>
        <w:rPr>
          <w:vertAlign w:val="subscript"/>
        </w:rPr>
        <w:t>12</w:t>
      </w:r>
      <w:r>
        <w:t>核心。这些结果提供了有机自由基和 Ir@Au 之间电子相互作用的直接证据</w:t>
      </w:r>
      <w:r>
        <w:rPr>
          <w:vertAlign w:val="subscript"/>
        </w:rPr>
        <w:t>12</w:t>
      </w:r>
      <w:r>
        <w:t>超原子核心。此外，变温 EPR 研究表明，由 Ir@Au 介导的两个 verdazyl 自由基配体之间存在弱磁通讯</w:t>
      </w:r>
      <w:r>
        <w:rPr>
          <w:vertAlign w:val="subscript"/>
        </w:rPr>
        <w:t>12</w:t>
      </w:r>
      <w:r>
        <w:t>超原子核心。这些发现将建立超原子-有机自由基杂化物作为新的碳</w:t>
      </w:r>
    </w:p>
    <w:p>
      <w:pPr>
        <w:spacing w:before="0" w:after="200" w:lineRule="auto" w:line="276"/>
      </w:pPr>
      <w:r>
        <w:rPr>
          <w:b/>
        </w:rPr>
        <w:t xml:space="preserve">Abstract (EN): </w:t>
      </w:r>
      <w:r>
        <w:t>Understanding the magnetic interactions within gold clusters that involve superatomic orbitals is critically important in advancing the development of nanoscale materials with magnetic functionality. In this study, we report on the synthesis of Ir‐doped Au</w:t>
      </w:r>
      <w:r>
        <w:rPr>
          <w:vertAlign w:val="subscript"/>
        </w:rPr>
        <w:t>12</w:t>
      </w:r>
      <w:r>
        <w:t>(Ir@Au</w:t>
      </w:r>
      <w:r>
        <w:rPr>
          <w:vertAlign w:val="subscript"/>
        </w:rPr>
        <w:t>12</w:t>
      </w:r>
      <w:r>
        <w:t>) icosahedral clusters functionalized with two open‐shell verdazyl radicals at opposite poles, along with an investigation into their electronic, magnetic, and photophysical properties. The photoluminescence from the Ir@Au</w:t>
      </w:r>
      <w:r>
        <w:rPr>
          <w:vertAlign w:val="subscript"/>
        </w:rPr>
        <w:t>12</w:t>
      </w:r>
      <w:r>
        <w:t>cluster core is drastically quenched by the introduction of verdazyl ligands. The ultrafast time‐resolved absorption spectroscopy reveals the electron transfer from the Ir@Au</w:t>
      </w:r>
      <w:r>
        <w:rPr>
          <w:vertAlign w:val="subscript"/>
        </w:rPr>
        <w:t>12</w:t>
      </w:r>
      <w:r>
        <w:t>core in the triplet excited state to the verdazyl ligand. The EPR study discloses the hyperfine coupling with the Au and Ir nuclei, indicating the spin density of the verdazyl radical moderately delocalized over the Ir@Au</w:t>
      </w:r>
      <w:r>
        <w:rPr>
          <w:vertAlign w:val="subscript"/>
        </w:rPr>
        <w:t>12</w:t>
      </w:r>
      <w:r>
        <w:t>core. These results provide direct evidence of electronic interaction between the organic radicals and Ir@Au</w:t>
      </w:r>
      <w:r>
        <w:rPr>
          <w:vertAlign w:val="subscript"/>
        </w:rPr>
        <w:t>12</w:t>
      </w:r>
      <w:r>
        <w:t>superatomic core. Furthermore, the variable temperature EPR study suggests weak magnetic communication between the two verdazyl radical ligands mediated by the Ir@Au</w:t>
      </w:r>
      <w:r>
        <w:rPr>
          <w:vertAlign w:val="subscript"/>
        </w:rPr>
        <w:t>12</w:t>
      </w:r>
      <w:r>
        <w:t>superatomic core. These findings will establish superatom–organic radical hybrids as a new class of multi‐spin systems and provide a design strategy for photofunctional and magnetic nanomaterials based on atomically precise metal clusters.</w:t>
      </w:r>
    </w:p>
    <w:p>
      <w:pPr>
        <w:spacing w:before="120" w:after="120"/>
      </w:pPr>
      <w:r>
        <w:rPr>
          <w:sz w:val="18"/>
        </w:rPr>
        <w:t>——————————————————————————————————————————————————————————————————————</w:t>
      </w:r>
    </w:p>
    <w:p>
      <w:pPr>
        <w:spacing w:before="160" w:after="40" w:line="240" w:lineRule="auto"/>
      </w:pPr>
      <w:r>
        <w:rPr>
          <w:b/>
        </w:rPr>
        <w:t xml:space="preserve">[646] </w:t>
      </w:r>
      <w:hyperlink r:id="rId1786">
        <w:r>
          <w:rPr>
            <w:color w:val="1155CC"/>
            <w:u w:val="single"/>
          </w:rPr>
          <w:t>通过醇介导的自转换策略直接合成明确的环氧化物封端的遥爪聚合物</w:t>
        </w:r>
      </w:hyperlink>
    </w:p>
    <w:p>
      <w:pPr>
        <w:spacing w:before="0" w:after="80"/>
      </w:pPr>
      <w:r>
        <w:rPr>
          <w:i/>
          <w:sz w:val="20"/>
        </w:rPr>
        <w:t>EN: Direct Synthesis of Well‐Defined Epoxide‐Terminated Telechelic Polymers via an Alcohol‐Mediated Self‐Switching Strategy</w:t>
      </w:r>
    </w:p>
    <w:p>
      <w:pPr>
        <w:spacing w:before="0" w:after="120"/>
      </w:pPr>
      <w:r>
        <w:rPr>
          <w:b/>
        </w:rPr>
        <w:t xml:space="preserve">Source: </w:t>
      </w:r>
      <w:r>
        <w:t>Wiley: Angewandte Chemie International Edition: Table of Contents</w:t>
      </w:r>
      <w:r>
        <w:t xml:space="preserve">    </w:t>
      </w:r>
      <w:r>
        <w:rPr>
          <w:b/>
        </w:rPr>
        <w:t xml:space="preserve">Pub date: </w:t>
      </w:r>
      <w:r>
        <w:t>2026-08-12 16:55:26+00:00</w:t>
      </w:r>
      <w:r>
        <w:t xml:space="preserve">    </w:t>
      </w:r>
      <w:r>
        <w:rPr>
          <w:b/>
        </w:rPr>
        <w:t xml:space="preserve">DOI: </w:t>
      </w:r>
      <w:hyperlink r:id="rId1787">
        <w:r>
          <w:rPr>
            <w:color w:val="1155CC"/>
            <w:u w:val="single"/>
          </w:rPr>
          <w:t>10.1002/anie.4383253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明确的遥爪聚合物的一步合成代表了一种极具吸引力的方法，为传统的逐步合成方案提供了有效的替代方案。然而，由于链增长和端基官能化的竞争性质，实现这种控制仍然具有挑战性，这通常会导致不受控制的链端结构和广泛的分散性。在这里，我们报告了一种醇介导的自转换策略，其中在单一反应系统中消耗一种单体组分后，主要的链端反应从链增长转变为端基官能化。使用多位点单体环氧氯丙烷作为与环状酸酐的开环交替共聚的模型，我们获得了具有窄分散性的明确的环氧基封端遥爪聚酯（</w:t>
      </w:r>
      <w:r>
        <w:t xml:space="preserve"> </w:t>
      </w:r>
      <w:r>
        <w:t>Đ</w:t>
      </w:r>
      <w:r>
        <w:t xml:space="preserve"> </w:t>
      </w:r>
      <w:r>
        <w:t>∼ 1.1)、高端基保真度(&gt;99%)以及酒精介导条件下的可控线性、三臂和四臂结构。机理研究表明，通过氢键相互作用实现单体活化和稳定生命物质，结合环酸酐的零级动力学，促进快速传播，同时抑制过早官能化。随后β-氯醇活性链端的分子内环化，以及质子转移诱导的β-氯醇休眠链端的脱氯化氢，共同确保定量环氧化物端基的形成。这些结果阐明</w:t>
      </w:r>
    </w:p>
    <w:p>
      <w:pPr>
        <w:spacing w:before="0" w:after="200" w:lineRule="auto" w:line="276"/>
      </w:pPr>
      <w:r>
        <w:rPr>
          <w:b/>
        </w:rPr>
        <w:t xml:space="preserve">Abstract (EN): </w:t>
      </w:r>
      <w:r>
        <w:t>The one‐step synthesis of well‐defined telechelic polymers represents a highly attractive approach, providing an efficient alternative to conventional stepwise synthetic protocols. However, achieving such control remains challenging due to the competitive nature of chain propagation and end‐group functionalization, which often leads to uncontrolled chain‐end structures and broad dispersities. Here, we report an alcohol‐mediated self‐switching strategy, in which the dominant chain‐end reaction shifts from propagation to end‐group functionalization upon consumption of one monomer component within a single reaction system. Using epichlorohydrin, a multisite monomer, as a model for the ring‐opening alternating copolymerization with cyclic anhydrides, we obtained well‐defined epoxide‐terminated telechelic polyesters with narrow dispersities (</w:t>
      </w:r>
      <w:r>
        <w:t xml:space="preserve"> </w:t>
      </w:r>
      <w:r>
        <w:t>Đ</w:t>
      </w:r>
      <w:r>
        <w:t xml:space="preserve"> </w:t>
      </w:r>
      <w:r>
        <w:t>∼ 1.1), high end‐group fidelity (&amp;gt;99%), and controllable linear, three‐arm, and four‐arm architectures under alcohol‐mediated conditions. Mechanistic studies reveal that monomer activation and stabilization of the living species through hydrogen‐bonding interactions, combined with the zero‐order kinetics of cyclic anhydride, facilitate rapid propagation while suppressing premature functionalization. Subsequent intramolecular cyclization of β‐chlorohydrin living chain ends, along with proton‐transfer‐induced dehydrochlorination of β‐chlorohydrin dormant chain ends, collectively ensure quantitative epoxide end‐group formation. These results elucidate the catalyst‐like roles of alcohol and establish self‐switching of competing chain‐end reactions as a practical strategy for the direct synthesis of well‐defined telechelic polymers.</w:t>
      </w:r>
    </w:p>
    <w:p>
      <w:pPr>
        <w:spacing w:before="120" w:after="120"/>
      </w:pPr>
      <w:r>
        <w:rPr>
          <w:sz w:val="18"/>
        </w:rPr>
        <w:t>——————————————————————————————————————————————————————————————————————</w:t>
      </w:r>
    </w:p>
    <w:p>
      <w:pPr>
        <w:spacing w:before="160" w:after="40" w:line="240" w:lineRule="auto"/>
      </w:pPr>
      <w:r>
        <w:rPr>
          <w:b/>
        </w:rPr>
        <w:t xml:space="preserve">[647] </w:t>
      </w:r>
      <w:hyperlink r:id="rId1788">
        <w:r>
          <w:rPr>
            <w:color w:val="1155CC"/>
            <w:u w:val="single"/>
          </w:rPr>
          <w:t>掺杂剂定制的矩阵：有机室温磷光主客体系统及其他系统的晶体工程策略</w:t>
        </w:r>
      </w:hyperlink>
    </w:p>
    <w:p>
      <w:pPr>
        <w:spacing w:before="0" w:after="80"/>
      </w:pPr>
      <w:r>
        <w:rPr>
          <w:i/>
          <w:sz w:val="20"/>
        </w:rPr>
        <w:t>EN: Dopant‐Tailored Matrices: A Crystal Engineering Strategy for Organic Room‐Temperature Phosphorescent Host–Guest Systems and Beyond</w:t>
      </w:r>
    </w:p>
    <w:p>
      <w:pPr>
        <w:spacing w:before="0" w:after="120"/>
      </w:pPr>
      <w:r>
        <w:rPr>
          <w:b/>
        </w:rPr>
        <w:t xml:space="preserve">Source: </w:t>
      </w:r>
      <w:r>
        <w:t>Wiley: Angewandte Chemie International Edition: Table of Contents</w:t>
      </w:r>
      <w:r>
        <w:t xml:space="preserve">    </w:t>
      </w:r>
      <w:r>
        <w:rPr>
          <w:b/>
        </w:rPr>
        <w:t xml:space="preserve">Pub date: </w:t>
      </w:r>
      <w:r>
        <w:t>2026-08-12 16:56:08+00:00</w:t>
      </w:r>
      <w:r>
        <w:t xml:space="preserve">    </w:t>
      </w:r>
      <w:r>
        <w:rPr>
          <w:b/>
        </w:rPr>
        <w:t xml:space="preserve">DOI: </w:t>
      </w:r>
      <w:hyperlink r:id="rId1789">
        <w:r>
          <w:rPr>
            <w:color w:val="1155CC"/>
            <w:u w:val="single"/>
          </w:rPr>
          <w:t>10.1002/anie.8252460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子晶体的主客体掺杂是调节光电特性的有效策略，但在不引入由掺杂剂引起的紊乱引起的有害影响的情况下实现精确的主掺杂剂相容性和有益的协同作用仍然具有挑战性。在这里，引入了一种新的晶体工程策略，其中主矩阵经过合理设计，以适应预定类别的掺杂剂并促进有利的主客体相互作用。这种定制的掺杂剂矩阵概念通过使用基于咔唑的矩阵和基于苯并吲哚的掺杂剂（一种典型的RTP系统）的掺杂剂诱导的有机室温磷光（RTP）得到了证明。在咔唑单元的人字形堆积促进与掺杂剂的协同结构相互作用这一假设的指导下，首先开发了一种多尺度理论方法来阐明在原始咔唑基晶体中稳定该基序的分子间相互作用。这些见解使得能够设计和合成展示目标封装排列的新主机架构。最终，所得的单晶主客体材料表现出长寿命的有机RTP，磷光寿命为数百毫秒。这项工作可以将掺杂剂定制晶体工程建立为设计具有定制光电特性的功能性掺杂有机半导体晶体的潜在新范例。</w:t>
      </w:r>
    </w:p>
    <w:p>
      <w:pPr>
        <w:spacing w:before="0" w:after="200" w:lineRule="auto" w:line="276"/>
      </w:pPr>
      <w:r>
        <w:rPr>
          <w:b/>
        </w:rPr>
        <w:t xml:space="preserve">Abstract (EN): </w:t>
      </w:r>
      <w:r>
        <w:t>Host–guest doping of molecular crystals is a powerful strategy to tune optoelectronic properties, yet achieving precise host–dopant compatibility and beneficial synergy without introducing detrimental effects caused by dopant‐induced disorders remains challenging. Here, a new crystal engineering strategy is introduced in which host matrices are rationally designed to accommodate a predefined class of dopants and promote favorable host–guest interactions. This tailored‐dopant matrix concept is demonstrated for dopant‐induced organic room‐temperature phosphorescence (RTP) using carbazole‐based matrices and benzoindole‐based dopants, a prototypical RTP system. Guided by the hypothesis that a herringbone packing of carbazole units promotes synergistic structural interactions with the dopant, a multiscale theoretical methodology is first developed to elucidate the intermolecular interactions stabilizing this motif in pristine carbazole‐based crystals. These insights enable the design and synthesis of new host architectures exhibiting the targeted packing arrangement. Ultimately, the resulting single‐crystalline host–guest materials exhibit long‐lived organic RTP, with phosphorescence lifetimes of several hundred milliseconds. This work could establish dopant‐tailored crystal engineering as a potential new paradigm for designing functional doped organic semiconductor crystals with tailored optoelectronic properties.</w:t>
      </w:r>
    </w:p>
    <w:p>
      <w:pPr>
        <w:spacing w:before="120" w:after="120"/>
      </w:pPr>
      <w:r>
        <w:rPr>
          <w:sz w:val="18"/>
        </w:rPr>
        <w:t>——————————————————————————————————————————————————————————————————————</w:t>
      </w:r>
    </w:p>
    <w:p>
      <w:pPr>
        <w:spacing w:before="160" w:after="40" w:line="240" w:lineRule="auto"/>
      </w:pPr>
      <w:r>
        <w:rPr>
          <w:b/>
        </w:rPr>
        <w:t xml:space="preserve">[648] </w:t>
      </w:r>
      <w:hyperlink r:id="rId1790">
        <w:r>
          <w:rPr>
            <w:color w:val="1155CC"/>
            <w:u w:val="single"/>
          </w:rPr>
          <w:t>视黄酸衍生的可电离脂质使脾脏选择性抗原表达用于 mRNA 癌症疫苗接种</w:t>
        </w:r>
      </w:hyperlink>
    </w:p>
    <w:p>
      <w:pPr>
        <w:spacing w:before="0" w:after="80"/>
      </w:pPr>
      <w:r>
        <w:rPr>
          <w:i/>
          <w:sz w:val="20"/>
        </w:rPr>
        <w:t>EN: Retinoic‐Acid‐Derived Ionizable Lipids Enable Spleen‐Selective Antigen Expression for mRNA Cancer Vaccination</w:t>
      </w:r>
    </w:p>
    <w:p>
      <w:pPr>
        <w:spacing w:before="0" w:after="120"/>
      </w:pPr>
      <w:r>
        <w:rPr>
          <w:b/>
        </w:rPr>
        <w:t xml:space="preserve">Source: </w:t>
      </w:r>
      <w:r>
        <w:t>Wiley: Angewandte Chemie International Edition: Table of Contents</w:t>
      </w:r>
      <w:r>
        <w:t xml:space="preserve">    </w:t>
      </w:r>
      <w:r>
        <w:rPr>
          <w:b/>
        </w:rPr>
        <w:t xml:space="preserve">Pub date: </w:t>
      </w:r>
      <w:r>
        <w:t>2026-08-12 16:58:55+00:00</w:t>
      </w:r>
      <w:r>
        <w:t xml:space="preserve">    </w:t>
      </w:r>
      <w:r>
        <w:rPr>
          <w:b/>
        </w:rPr>
        <w:t xml:space="preserve">DOI: </w:t>
      </w:r>
      <w:hyperlink r:id="rId1791">
        <w:r>
          <w:rPr>
            <w:color w:val="1155CC"/>
            <w:u w:val="single"/>
          </w:rPr>
          <w:t>10.1002/anie.3823572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有效的 mRNA 癌症疫苗接种需要淋巴抗原呈递细胞中高效的抗原表达，而不是高总抗原输出。在这里，我们报道了一种受视黄酸启发的可电离脂质平台，用于脾选择性功能 mRNA 表达。可电离支架、连接体结构和类维生素A衍生的疏水结构域的系统变化产生了由视黄酸衍生的可电离脂质（RAIL）的40个成员的模块化库。体外和体内配对筛选确定 AT4-13CRA LNP 作为主要制剂，其脾脏与肝脏报告基因表达比最高，脾脏表达比测试的 Dlin-MC3/18PA 选择性器官靶向 (SORT) 制剂高约 15.1 倍。报告基因表达增强并不能仅用总细胞摄取来解释，还伴有溶酶体 mRNA 保留减少和 TNF-α/NF-κB 相关激活减弱。血清电晕蛋白质组学揭示了免疫球蛋白重链和 J 链相关谱与含 18PA SORT LNP 的载脂蛋白相关谱不同。在 Ai9 报告小鼠和 OVA mRNA 疫苗接种模型中，AT4-13CRA LNP 促进脾巨噬细胞和树突状细胞的功能表达，增强抗原特异性 CD8</w:t>
      </w:r>
      <w:r>
        <w:t xml:space="preserve"> </w:t>
      </w:r>
      <w:r>
        <w:t>+</w:t>
      </w:r>
      <w:r>
        <w:t xml:space="preserve"> </w:t>
      </w:r>
      <w:r>
        <w:t>T 细胞和抗体反应，并改善针对 B16F10-OVA 肿瘤攻击的预防性保护。这些发现确立了类视黄醇衍生的疏水域工程作为脾选择性、炎症的化学定义途径。</w:t>
      </w:r>
    </w:p>
    <w:p>
      <w:pPr>
        <w:spacing w:before="0" w:after="200" w:lineRule="auto" w:line="276"/>
      </w:pPr>
      <w:r>
        <w:rPr>
          <w:b/>
        </w:rPr>
        <w:t xml:space="preserve">Abstract (EN): </w:t>
      </w:r>
      <w:r>
        <w:t>Effective mRNA cancer vaccination requires productive antigen expression in lymphoid antigen‐presenting cells rather than high total antigen output. Here, we report a retinoic‐acid‐inspired ionizable lipid platform for spleen‐selective functional mRNA expression. Systematic variation of the ionizable scaffold, linker architecture, and retinoid‐derived hydrophobic domain generated a modular 40‐member library of retinoic‐acid‐derived ionizable lipids (RAILs). Paired in vitro and in vivo screening identified AT4‐13CRA LNPs as the lead formulation, with the highest spleen‐to‐liver reporter‐expression ratio and approximately 15.1‐fold higher splenic expression than the tested Dlin‐MC3/18PA selective organ targeting (SORT) formulation. Enhanced reporter expression was not explained by total cellular uptake alone and was accompanied by reduced lysosomal mRNA retention and attenuated TNF‐α/NF‐κB‐associated activation. Serum‐corona proteomics revealed an immunoglobulin heavy‐chain‐ and J‐chain‐associated profile distinct from the apolipoprotein‐associated profile of 18PA‐containing SORT LNPs. In Ai9 reporter mice and an OVA mRNA vaccination model, AT4‐13CRA LNPs promoted functional expression in splenic macrophages and dendritic cells, enhanced antigen‐specific CD8</w:t>
      </w:r>
      <w:r>
        <w:t xml:space="preserve"> </w:t>
      </w:r>
      <w:r>
        <w:t>+</w:t>
      </w:r>
      <w:r>
        <w:t xml:space="preserve"> </w:t>
      </w:r>
      <w:r>
        <w:t>T‐cell and antibody responses, and improved prophylactic protection against B16F10‐OVA tumor challenge. These findings establish retinoid‐derived hydrophobic‐domain engineering as a chemically defined route to spleen‐selective, inflammation‐restrained, antigen‐presenting‐cell‐centered mRNA cancer vaccination.</w:t>
      </w:r>
    </w:p>
    <w:p>
      <w:pPr>
        <w:spacing w:before="120" w:after="120"/>
      </w:pPr>
      <w:r>
        <w:rPr>
          <w:sz w:val="18"/>
        </w:rPr>
        <w:t>——————————————————————————————————————————————————————————————————————</w:t>
      </w:r>
    </w:p>
    <w:p>
      <w:pPr>
        <w:spacing w:before="160" w:after="40" w:line="240" w:lineRule="auto"/>
      </w:pPr>
      <w:r>
        <w:rPr>
          <w:b/>
        </w:rPr>
        <w:t xml:space="preserve">[649] </w:t>
      </w:r>
      <w:hyperlink r:id="rId1792">
        <w:r>
          <w:rPr>
            <w:color w:val="1155CC"/>
            <w:u w:val="single"/>
          </w:rPr>
          <w:t>供体乙醇酸醌型聚合物可实现快速 N 型有机电化学晶体管</w:t>
        </w:r>
      </w:hyperlink>
    </w:p>
    <w:p>
      <w:pPr>
        <w:spacing w:before="0" w:after="80"/>
      </w:pPr>
      <w:r>
        <w:rPr>
          <w:i/>
          <w:sz w:val="20"/>
        </w:rPr>
        <w:t>EN: Donor‐Glycolated Quinoidal Polymers Enable Fast N‐Type Organic Electrochemical Transistors</w:t>
      </w:r>
    </w:p>
    <w:p>
      <w:pPr>
        <w:spacing w:before="0" w:after="120"/>
      </w:pPr>
      <w:r>
        <w:rPr>
          <w:b/>
        </w:rPr>
        <w:t xml:space="preserve">Source: </w:t>
      </w:r>
      <w:r>
        <w:t>Wiley: Angewandte Chemie International Edition: Table of Contents</w:t>
      </w:r>
      <w:r>
        <w:t xml:space="preserve">    </w:t>
      </w:r>
      <w:r>
        <w:rPr>
          <w:b/>
        </w:rPr>
        <w:t xml:space="preserve">Pub date: </w:t>
      </w:r>
      <w:r>
        <w:t>2026-08-12 17:07:41+00:00</w:t>
      </w:r>
      <w:r>
        <w:t xml:space="preserve">    </w:t>
      </w:r>
      <w:r>
        <w:rPr>
          <w:b/>
        </w:rPr>
        <w:t xml:space="preserve">DOI: </w:t>
      </w:r>
      <w:hyperlink r:id="rId1793">
        <w:r>
          <w:rPr>
            <w:color w:val="1155CC"/>
            <w:u w:val="single"/>
          </w:rPr>
          <w:t>10.1002/anie.4114731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快速、稳定的 n 型有机混合离子电子导体仍然稀缺。我们报告了一种供体乙醇酸化、醌型设计，可促进有效的 n 掺杂，并在空间上将亲水性侧链与 n 掺杂位点分开，以保留电子通路。所得聚合物 PQ-gT 由乙醇化联噻吩供体和醌型联呋喃二酮受体合成，表现出高混合传导性，品质因数为</w:t>
      </w:r>
      <w:r>
        <w:t xml:space="preserve"> </w:t>
      </w:r>
      <w:r>
        <w:t>微克</w:t>
      </w:r>
      <w:r>
        <w:t xml:space="preserve"> </w:t>
      </w:r>
      <w:r>
        <w:t>* = 10.9 F 厘米</w:t>
      </w:r>
      <w:r>
        <w:t xml:space="preserve"> </w:t>
      </w:r>
      <w:r>
        <w:t>−1</w:t>
      </w:r>
      <w:r>
        <w:t xml:space="preserve"> </w:t>
      </w:r>
      <w:r>
        <w:t>V</w:t>
      </w:r>
      <w:r>
        <w:t xml:space="preserve"> </w:t>
      </w:r>
      <w:r>
        <w:t>−1</w:t>
      </w:r>
      <w:r>
        <w:t xml:space="preserve"> </w:t>
      </w:r>
      <w:r>
        <w:t>s</w:t>
      </w:r>
      <w:r>
        <w:t xml:space="preserve"> </w:t>
      </w:r>
      <w:r>
        <w:t>−1</w:t>
      </w:r>
      <w:r>
        <w:t xml:space="preserve"> </w:t>
      </w:r>
      <w:r>
        <w:t>。在平面积累模式有机电化学晶体管（OECT）中，它表现出近对称的亚毫秒瞬态，开关时间为</w:t>
      </w:r>
      <w:r>
        <w:t xml:space="preserve"> </w:t>
      </w:r>
      <w:r>
        <w:t>τ</w:t>
      </w:r>
      <w:r>
        <w:t xml:space="preserve"> </w:t>
      </w:r>
      <w:r>
        <w:t>上</w:t>
      </w:r>
      <w:r>
        <w:t xml:space="preserve"> </w:t>
      </w:r>
      <w:r>
        <w:t>/</w:t>
      </w:r>
      <w:r>
        <w:t>τ</w:t>
      </w:r>
      <w:r>
        <w:t xml:space="preserve"> </w:t>
      </w:r>
      <w:r>
        <w:t>关闭</w:t>
      </w:r>
      <w:r>
        <w:t xml:space="preserve"> </w:t>
      </w:r>
      <w:r>
        <w:t>= 0.5/0.2 毫秒。这些值代表此类设备架构的最快操作。用二烷氧基联噻唑进行部分供体替代可调节堆积并抑制肿胀、升高</w:t>
      </w:r>
      <w:r>
        <w:t xml:space="preserve"> </w:t>
      </w:r>
      <w:r>
        <w:t>微克</w:t>
      </w:r>
      <w:r>
        <w:t xml:space="preserve"> </w:t>
      </w:r>
      <w:r>
        <w:t>* 至 21.5 F 厘米</w:t>
      </w:r>
      <w:r>
        <w:t xml:space="preserve"> </w:t>
      </w:r>
      <w:r>
        <w:t>−1</w:t>
      </w:r>
      <w:r>
        <w:t xml:space="preserve"> </w:t>
      </w:r>
      <w:r>
        <w:t>V</w:t>
      </w:r>
      <w:r>
        <w:t xml:space="preserve"> </w:t>
      </w:r>
      <w:r>
        <w:t>−1</w:t>
      </w:r>
      <w:r>
        <w:t xml:space="preserve"> </w:t>
      </w:r>
      <w:r>
        <w:t>s</w:t>
      </w:r>
      <w:r>
        <w:t xml:space="preserve"> </w:t>
      </w:r>
      <w:r>
        <w:t>−1</w:t>
      </w:r>
      <w:r>
        <w:t xml:space="preserve"> </w:t>
      </w:r>
      <w:r>
        <w:t>25% 的替代率，尽管切换速度较慢。在垂直 OECT 中，PQ-gT 支持平衡双极操作，开关时间约为 1 ms，并支持单一材料互补逆变器（增益 ≈ 40 V V）</w:t>
      </w:r>
      <w:r>
        <w:t xml:space="preserve"> </w:t>
      </w:r>
      <w:r>
        <w:t>−1</w:t>
      </w:r>
    </w:p>
    <w:p>
      <w:pPr>
        <w:spacing w:before="0" w:after="200" w:lineRule="auto" w:line="276"/>
      </w:pPr>
      <w:r>
        <w:rPr>
          <w:b/>
        </w:rPr>
        <w:t xml:space="preserve">Abstract (EN): </w:t>
      </w:r>
      <w:r>
        <w:t>Fast, stable n‐type organic mixed ionic‐electronic conductors remain scarce. We report a donor glycolated, quinoidal design that facilitates efficient n‐doping and spatially separates hydrophilic side chains from n‐doping sites to preserve electronic pathways. The resulting polymer PQ‐gT, synthesized from a glycolated bithiophene donor and a quinoidal bifuran‐dione acceptor, exhibits high mixed conduction with a figure of merit of</w:t>
      </w:r>
      <w:r>
        <w:t xml:space="preserve"> </w:t>
      </w:r>
      <w:r>
        <w:t>µC</w:t>
      </w:r>
      <w:r>
        <w:t xml:space="preserve"> </w:t>
      </w:r>
      <w:r>
        <w:t>* = 10.9 F cm</w:t>
      </w:r>
      <w:r>
        <w:t xml:space="preserve"> </w:t>
      </w:r>
      <w:r>
        <w:t>−1</w:t>
      </w:r>
      <w:r>
        <w:t xml:space="preserve"> </w:t>
      </w:r>
      <w:r>
        <w:t>V</w:t>
      </w:r>
      <w:r>
        <w:t xml:space="preserve"> </w:t>
      </w:r>
      <w:r>
        <w:t>−1</w:t>
      </w:r>
      <w:r>
        <w:t xml:space="preserve"> </w:t>
      </w:r>
      <w:r>
        <w:t>s</w:t>
      </w:r>
      <w:r>
        <w:t xml:space="preserve"> </w:t>
      </w:r>
      <w:r>
        <w:t>−1</w:t>
      </w:r>
      <w:r>
        <w:t xml:space="preserve"> </w:t>
      </w:r>
      <w:r>
        <w:t>. In planar accumulation‐mode organic electrochemical transistors (OECTs), it exhibits nearly symmetric sub‐millisecond transients with switching on‐ and off‐times of</w:t>
      </w:r>
      <w:r>
        <w:t xml:space="preserve"> </w:t>
      </w:r>
      <w:r>
        <w:t>τ</w:t>
      </w:r>
      <w:r>
        <w:t xml:space="preserve"> </w:t>
      </w:r>
      <w:r>
        <w:t>on</w:t>
      </w:r>
      <w:r>
        <w:t xml:space="preserve"> </w:t>
      </w:r>
      <w:r>
        <w:t>/</w:t>
      </w:r>
      <w:r>
        <w:t>τ</w:t>
      </w:r>
      <w:r>
        <w:t xml:space="preserve"> </w:t>
      </w:r>
      <w:r>
        <w:t>off</w:t>
      </w:r>
      <w:r>
        <w:t xml:space="preserve"> </w:t>
      </w:r>
      <w:r>
        <w:t>= 0.5/0.2 ms. These values represent the fastest operation for this type of device architecture. Partial donor replacement with dialkoxybithiazole tunes packing and suppresses swelling, raising</w:t>
      </w:r>
      <w:r>
        <w:t xml:space="preserve"> </w:t>
      </w:r>
      <w:r>
        <w:t>µC</w:t>
      </w:r>
      <w:r>
        <w:t xml:space="preserve"> </w:t>
      </w:r>
      <w:r>
        <w:t>* to 21.5 F cm</w:t>
      </w:r>
      <w:r>
        <w:t xml:space="preserve"> </w:t>
      </w:r>
      <w:r>
        <w:t>−1</w:t>
      </w:r>
      <w:r>
        <w:t xml:space="preserve"> </w:t>
      </w:r>
      <w:r>
        <w:t>V</w:t>
      </w:r>
      <w:r>
        <w:t xml:space="preserve"> </w:t>
      </w:r>
      <w:r>
        <w:t>−1</w:t>
      </w:r>
      <w:r>
        <w:t xml:space="preserve"> </w:t>
      </w:r>
      <w:r>
        <w:t>s</w:t>
      </w:r>
      <w:r>
        <w:t xml:space="preserve"> </w:t>
      </w:r>
      <w:r>
        <w:t>−1</w:t>
      </w:r>
      <w:r>
        <w:t xml:space="preserve"> </w:t>
      </w:r>
      <w:r>
        <w:t>at 25% substitution, albeit with slower switching. In vertical OECTs, PQ‐gT supports balanced ambipolar operation with ∼1 ms switching and enables a single‐material complementary inverter (gain ≈ 40 V V</w:t>
      </w:r>
      <w:r>
        <w:t xml:space="preserve"> </w:t>
      </w:r>
      <w:r>
        <w:t>−1</w:t>
      </w:r>
      <w:r>
        <w:t xml:space="preserve"> </w:t>
      </w:r>
      <w:r>
        <w:t>at V</w:t>
      </w:r>
      <w:r>
        <w:t xml:space="preserve"> </w:t>
      </w:r>
      <w:r>
        <w:t>IN</w:t>
      </w:r>
      <w:r>
        <w:t xml:space="preserve"> </w:t>
      </w:r>
      <w:r>
        <w:t>&amp;lt; 100 mV) that is stable over 10 000 cycles and functional up to 200 Hz. This donor‐glycolated quinoidal strategy furnishes intrinsically fast, aqueous‐stable n‐type organic mixed ionic‐electronic conductors for bioelectronic circuits.</w:t>
      </w:r>
    </w:p>
    <w:p>
      <w:pPr>
        <w:spacing w:before="120" w:after="120"/>
      </w:pPr>
      <w:r>
        <w:rPr>
          <w:sz w:val="18"/>
        </w:rPr>
        <w:t>——————————————————————————————————————————————————————————————————————</w:t>
      </w:r>
    </w:p>
    <w:p>
      <w:pPr>
        <w:spacing w:before="160" w:after="40" w:line="240" w:lineRule="auto"/>
      </w:pPr>
      <w:r>
        <w:rPr>
          <w:b/>
        </w:rPr>
        <w:t xml:space="preserve">[650] </w:t>
      </w:r>
      <w:hyperlink r:id="rId1794">
        <w:r>
          <w:rPr>
            <w:color w:val="1155CC"/>
            <w:u w:val="single"/>
          </w:rPr>
          <w:t>基于大环的电荷转移共晶：从主客体识别到多功能固态材料</w:t>
        </w:r>
      </w:hyperlink>
    </w:p>
    <w:p>
      <w:pPr>
        <w:spacing w:before="0" w:after="80"/>
      </w:pPr>
      <w:r>
        <w:rPr>
          <w:i/>
          <w:sz w:val="20"/>
        </w:rPr>
        <w:t>EN: Macrocycle‐Based Charge‐Transfer Cocrystals: From Host–Guest Recognition to Multifunctional Solid‐State Materials</w:t>
      </w:r>
    </w:p>
    <w:p>
      <w:pPr>
        <w:spacing w:before="0" w:after="120"/>
      </w:pPr>
      <w:r>
        <w:rPr>
          <w:b/>
        </w:rPr>
        <w:t xml:space="preserve">Source: </w:t>
      </w:r>
      <w:r>
        <w:t>Wiley: Angewandte Chemie International Edition: Table of Contents</w:t>
      </w:r>
      <w:r>
        <w:t xml:space="preserve">    </w:t>
      </w:r>
      <w:r>
        <w:rPr>
          <w:b/>
        </w:rPr>
        <w:t xml:space="preserve">Pub date: </w:t>
      </w:r>
      <w:r>
        <w:t>2026-08-12 17:10:19+00:00</w:t>
      </w:r>
      <w:r>
        <w:t xml:space="preserve">    </w:t>
      </w:r>
      <w:r>
        <w:rPr>
          <w:b/>
        </w:rPr>
        <w:t xml:space="preserve">DOI: </w:t>
      </w:r>
      <w:hyperlink r:id="rId1795">
        <w:r>
          <w:rPr>
            <w:color w:val="1155CC"/>
            <w:u w:val="single"/>
          </w:rPr>
          <w:t>10.1002/anie.5451795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基于大环的电荷转移（CT）共晶最近作为一类独特的自适应超分子固体出现，它连接了分子识别和固态功能材料。与传统的 CT 组件不同，这些系统将主客体化学与分子间供体-受体相互作用相结合，从而能够同时调节分子堆积、电子耦合和激发态过程。空腔限制络合和外壁CT组装的共存，加上主客体相互作用的动态性质，为构建结构和功能可以通过外部输入持续调节的刺激响应材料提供了独特的机会。在这篇综述中，我们讨论了基于大环的 CT 共晶体的设计和构建的基本原理，并强调了自适应主客体识别如何控制 CT 相互作用和新兴的固态特性。系统总结了气色传感、分子分离、光热转换、发光调制和多功能集成系统的最新进展，特别强调竞争和合作的结构调控机制。最后，我们概述了可编程、多组分和面向应用的 CT 材料的当前挑战和未来方向。通过建立超分子结构、CT 行为和功能输出之间的联系，本综述旨在为下一代自适应分子的开发提供概念框架</w:t>
      </w:r>
    </w:p>
    <w:p>
      <w:pPr>
        <w:spacing w:before="0" w:after="200" w:lineRule="auto" w:line="276"/>
      </w:pPr>
      <w:r>
        <w:rPr>
          <w:b/>
        </w:rPr>
        <w:t xml:space="preserve">Abstract (EN): </w:t>
      </w:r>
      <w:r>
        <w:t>Macrocycle‐based charge‐transfer (CT) cocrystals have recently emerged as a distinctive class of adaptive supramolecular solids that bridge molecular recognition and solid‐state functional materials. Unlike conventional CT assemblies, these systems combine host–guest chemistry with intermolecular donor–acceptor interactions, enabling simultaneous regulation of molecular packing, electronic coupling, and excited‐state processes. The coexistence of cavity‐confined complexation and exo‐wall CT assembly, together with the dynamic nature of host–guest interactions, provides unique opportunities for constructing stimuli‐responsive materials whose structures and functions can be continuously modulated by external inputs. In this Review, we discuss the fundamental principles underlying the design and construction of macrocycle‐based CT cocrystals and highlight how adaptive host–guest recognition governs CT interactions and emergent solid‐state properties. Recent advances in vapochromic sensing, molecular separation, photothermal conversion, luminescence modulation, and multifunctional integrated systems are systematically summarized, with particular emphasis on competitive and cooperative structural regulation mechanisms. Finally, we outline current challenges and future directions toward programmable, multicomponent, and application‐oriented CT materials. By establishing connections between supramolecular structure, CT behavior, and functional output, this Review aims to provide a conceptual framework for the development of next‐generation adaptive molecular solids.</w:t>
      </w:r>
    </w:p>
    <w:p>
      <w:pPr>
        <w:spacing w:before="120" w:after="120"/>
      </w:pPr>
      <w:r>
        <w:rPr>
          <w:sz w:val="18"/>
        </w:rPr>
        <w:t>——————————————————————————————————————————————————————————————————————</w:t>
      </w:r>
    </w:p>
    <w:p>
      <w:pPr>
        <w:spacing w:before="160" w:after="40" w:line="240" w:lineRule="auto"/>
      </w:pPr>
      <w:r>
        <w:rPr>
          <w:b/>
        </w:rPr>
        <w:t xml:space="preserve">[651] </w:t>
      </w:r>
      <w:hyperlink r:id="rId1796">
        <w:r>
          <w:rPr>
            <w:color w:val="1155CC"/>
            <w:u w:val="single"/>
          </w:rPr>
          <w:t>作者更正：核小体抑制cGAS的结构机制</w:t>
        </w:r>
      </w:hyperlink>
    </w:p>
    <w:p>
      <w:pPr>
        <w:spacing w:before="0" w:after="80"/>
      </w:pPr>
      <w:r>
        <w:rPr>
          <w:i/>
          <w:sz w:val="20"/>
        </w:rPr>
        <w:t>EN: Author Correction: Structural mechanism of cGAS inhibition by the nucleosome</w:t>
      </w:r>
    </w:p>
    <w:p>
      <w:pPr>
        <w:spacing w:before="0" w:after="120"/>
      </w:pPr>
      <w:r>
        <w:rPr>
          <w:b/>
        </w:rPr>
        <w:t xml:space="preserve">Source: </w:t>
      </w:r>
      <w:r>
        <w:t>Nature</w:t>
      </w:r>
      <w:r>
        <w:t xml:space="preserve">    </w:t>
      </w:r>
      <w:r>
        <w:rPr>
          <w:b/>
        </w:rPr>
        <w:t xml:space="preserve">Pub date: </w:t>
      </w:r>
      <w:r>
        <w:t>2026-08-13 00:00:00+00:00</w:t>
      </w:r>
      <w:r>
        <w:t xml:space="preserve">    </w:t>
      </w:r>
      <w:r>
        <w:rPr>
          <w:b/>
        </w:rPr>
        <w:t xml:space="preserve">DOI: </w:t>
      </w:r>
      <w:hyperlink r:id="rId1797">
        <w:r>
          <w:rPr>
            <w:color w:val="1155CC"/>
            <w:u w:val="single"/>
          </w:rPr>
          <w:t>10.1038/s41586-026-10959-w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[652] </w:t>
      </w:r>
      <w:hyperlink r:id="rId1798">
        <w:r>
          <w:rPr>
            <w:color w:val="1155CC"/>
            <w:u w:val="single"/>
          </w:rPr>
          <w:t>作者更正：来自巴西的白垩纪鸟类揭示了鸟类头骨和大脑的进化</w:t>
        </w:r>
      </w:hyperlink>
    </w:p>
    <w:p>
      <w:pPr>
        <w:spacing w:before="0" w:after="80"/>
      </w:pPr>
      <w:r>
        <w:rPr>
          <w:i/>
          <w:sz w:val="20"/>
        </w:rPr>
        <w:t>EN: Author Correction: Cretaceous bird from Brazil informs the evolution of the avian skull and brain</w:t>
      </w:r>
    </w:p>
    <w:p>
      <w:pPr>
        <w:spacing w:before="0" w:after="120"/>
      </w:pPr>
      <w:r>
        <w:rPr>
          <w:b/>
        </w:rPr>
        <w:t xml:space="preserve">Source: </w:t>
      </w:r>
      <w:r>
        <w:t>Nature</w:t>
      </w:r>
      <w:r>
        <w:t xml:space="preserve">    </w:t>
      </w:r>
      <w:r>
        <w:rPr>
          <w:b/>
        </w:rPr>
        <w:t xml:space="preserve">Pub date: </w:t>
      </w:r>
      <w:r>
        <w:t>2026-08-13 00:00:00+00:00</w:t>
      </w:r>
      <w:r>
        <w:t xml:space="preserve">    </w:t>
      </w:r>
      <w:r>
        <w:rPr>
          <w:b/>
        </w:rPr>
        <w:t xml:space="preserve">DOI: </w:t>
      </w:r>
      <w:hyperlink r:id="rId1799">
        <w:r>
          <w:rPr>
            <w:color w:val="1155CC"/>
            <w:u w:val="single"/>
          </w:rPr>
          <w:t>10.1038/s41586-026-10960-3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[653] </w:t>
      </w:r>
      <w:hyperlink r:id="rId1800">
        <w:r>
          <w:rPr>
            <w:color w:val="1155CC"/>
            <w:u w:val="single"/>
          </w:rPr>
          <w:t>Anthropic的隐形水印能否遏制“AI失范”？研究人员仍持怀疑态度</w:t>
        </w:r>
      </w:hyperlink>
    </w:p>
    <w:p>
      <w:pPr>
        <w:spacing w:before="0" w:after="80"/>
      </w:pPr>
      <w:r>
        <w:rPr>
          <w:i/>
          <w:sz w:val="20"/>
        </w:rPr>
        <w:t>EN: Can Anthropic’s invisible watermarks curb ‘AI slop’? Researchers remain sceptical</w:t>
      </w:r>
    </w:p>
    <w:p>
      <w:pPr>
        <w:spacing w:before="0" w:after="120"/>
      </w:pPr>
      <w:r>
        <w:rPr>
          <w:b/>
        </w:rPr>
        <w:t xml:space="preserve">Source: </w:t>
      </w:r>
      <w:r>
        <w:t>Nature</w:t>
      </w:r>
      <w:r>
        <w:t xml:space="preserve">    </w:t>
      </w:r>
      <w:r>
        <w:rPr>
          <w:b/>
        </w:rPr>
        <w:t xml:space="preserve">Pub date: </w:t>
      </w:r>
      <w:r>
        <w:t>2026-08-13 00:00:00+00:00</w:t>
      </w:r>
      <w:r>
        <w:t xml:space="preserve">    </w:t>
      </w:r>
      <w:r>
        <w:rPr>
          <w:b/>
        </w:rPr>
        <w:t xml:space="preserve">DOI: </w:t>
      </w:r>
      <w:hyperlink r:id="rId1801">
        <w:r>
          <w:rPr>
            <w:color w:val="1155CC"/>
            <w:u w:val="single"/>
          </w:rPr>
          <w:t>10.1038/d41586-026-02503-7</w:t>
        </w:r>
      </w:hyperlink>
    </w:p>
    <w:p>
      <w:pPr>
        <w:spacing w:before="0" w:after="120"/>
      </w:pPr>
      <w:r>
        <w:rPr>
          <w:b/>
        </w:rPr>
        <w:t xml:space="preserve">Notes: </w:t>
      </w:r>
      <w:r>
        <w:t>abstract_source=rss_nature</w:t>
      </w:r>
    </w:p>
    <w:p>
      <w:pPr>
        <w:spacing w:before="0" w:after="80" w:lineRule="auto" w:line="276"/>
      </w:pPr>
      <w:r>
        <w:rPr>
          <w:b/>
        </w:rPr>
        <w:t xml:space="preserve">摘要（ZH）: </w:t>
      </w:r>
      <w:r>
        <w:t>随着 Anthropic 响应欧盟人工智能法规，新的克劳德模型将为人工智能生成的文本和图像添加水印和标记。</w:t>
      </w:r>
    </w:p>
    <w:p>
      <w:pPr>
        <w:spacing w:before="0" w:after="200" w:lineRule="auto" w:line="276"/>
      </w:pPr>
      <w:r>
        <w:rPr>
          <w:b/>
        </w:rPr>
        <w:t xml:space="preserve">Abstract (EN): </w:t>
      </w:r>
      <w:r>
        <w:t>New Claude models will watermark text and tag images as AI-generated, as Anthropic responds to EU AI regulations.</w:t>
      </w:r>
    </w:p>
    <w:p>
      <w:pPr>
        <w:spacing w:before="120" w:after="120"/>
      </w:pPr>
      <w:r>
        <w:rPr>
          <w:sz w:val="18"/>
        </w:rPr>
        <w:t>——————————————————————————————————————————————————————————————————————</w:t>
      </w:r>
    </w:p>
    <w:p>
      <w:pPr>
        <w:spacing w:before="160" w:after="40" w:line="240" w:lineRule="auto"/>
      </w:pPr>
      <w:r>
        <w:rPr>
          <w:b/>
        </w:rPr>
        <w:t xml:space="preserve">[654] </w:t>
      </w:r>
      <w:hyperlink r:id="rId1802">
        <w:r>
          <w:rPr>
            <w:color w:val="1155CC"/>
            <w:u w:val="single"/>
          </w:rPr>
          <w:t>钴-紫精供体-受体组装中分子间铁磁交换的光诱导开启</w:t>
        </w:r>
      </w:hyperlink>
    </w:p>
    <w:p>
      <w:pPr>
        <w:spacing w:before="0" w:after="80"/>
      </w:pPr>
      <w:r>
        <w:rPr>
          <w:i/>
          <w:sz w:val="20"/>
        </w:rPr>
        <w:t>EN: Photoinduced Switching-on of Intermolecular Ferromagnetic Exchange in a Cobalt–Viologen Donor–Acceptor Assembly</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03">
        <w:r>
          <w:rPr>
            <w:color w:val="1155CC"/>
            <w:u w:val="single"/>
          </w:rPr>
          <w:t>10.1021/jacs.6c10589</w:t>
        </w:r>
      </w:hyperlink>
    </w:p>
    <w:p>
      <w:pPr>
        <w:spacing w:before="0" w:after="120"/>
      </w:pPr>
      <w:r>
        <w:rPr>
          <w:b/>
        </w:rPr>
        <w:t xml:space="preserve">Notes: </w:t>
      </w:r>
      <w:r>
        <w:t>abstract_source=crossref</w:t>
      </w:r>
    </w:p>
    <w:p>
      <w:pPr>
        <w:spacing w:before="0" w:after="80" w:lineRule="auto" w:line="276"/>
      </w:pPr>
      <w:r>
        <w:rPr>
          <w:b/>
        </w:rPr>
        <w:t xml:space="preserve">摘要（ZH）: </w:t>
      </w:r>
      <w:r>
        <w:t>摘要 各向异性分子固体的晶体工程将光致电荷转移转化为可切换的磁交换，为光学可寻址交换相关磁态提供了一条途径。在这里，我们展示了(MV)[Co(pdms)2](MeOH)2(MeCN)，一种结合了Co(II)单分子磁体(SMM)单元的供体-受体(D-A)晶体，将光生电荷重新分布转化为分子间磁交换的可逆转换(MV =甲基紫精，H2pdms = 1,2-双(甲磺酰氨基)苯)。单晶、电化学和自然跃迁轨道分析表明，MV2+ 仍然是受体，而 [Co(pdms)2]2– 在预组织但电荷局域的一维锯齿形 D-A 阵列中充当供体，为光诱导分子间电荷转移提供了一条贯穿空间的路径。在 365 nm 照射下，该 D-A 晶格形成亚稳态电荷转移/自由基光态，可将其从弱耦合 Co(II)-SMM 组件可逆地切换为单链磁体交换相关状态，如增强的 χmT 响应、Weiss 温度从 -0.9 K 变化到 +29.3 K 以及持续高达 6 K 的磁滞现象所证明。动态磁测量进一步揭示了交换相关弛豫有效相关能量为 Δψ/kB = 53 K，对应于 Jeff = 5.9 K 的光致铁磁交换。这些结果建立了预组织 D-A 固体作为耦合光致电荷重新分布与局部磁各向异性的平台，以实现光学可切换交换相关性</w:t>
      </w:r>
    </w:p>
    <w:p>
      <w:pPr>
        <w:spacing w:before="0" w:after="200" w:lineRule="auto" w:line="276"/>
      </w:pPr>
      <w:r>
        <w:rPr>
          <w:b/>
        </w:rPr>
        <w:t xml:space="preserve">Abstract (EN): </w:t>
      </w:r>
      <w:r>
        <w:t>Crystal engineering of anisotropic molecular solids that translate photoinduced charge transfer into switchable magnetic exchange offers a route to optically addressable exchange-correlated magnetic states. Here, we show that (MV)[Co(pdms)2](MeOH)2(MeCN), a donor–acceptor (D–A) crystal incorporating Co(II) single-molecule magnet (SMM) units, converts photoinduced charge redistribution into reversible switching of intermolecular magnetic exchange (MV = methyl viologen, H2pdms = 1,2-bis(methanesulfonamido)benzene). Single-crystal, electrochemical, and natural transition orbital analyses establish that MV2+ remains the acceptor, whereas [Co(pdms)2]2– serves as the donor in a preorganized yet charge-localized one-dimensional zigzag D–A array that provides a through-space pathway for photoinduced intermolecular charge transfer. Upon 365 nm irradiation, this D–A lattice forms a metastable charge-transfer/radical photostate that reversibly switches it from a weakly coupled Co(II)-SMM assembly into a single-chain-magnet-like exchange-correlated state, as evidenced by the enhanced χmT response, the Weiss temperature change from −0.9 to +29.3 K, and magnetic hysteresis persisting up to 6 K. Dynamic magnetic measurements further reveal exchange-correlated relaxation with an effective correlation energy of Δξ/kB = 53 K, corresponding to a photoinduced ferromagnetic exchange of Jeff = 5.9 K. These results establish preorganized D–A solids as a platform for coupling photoinduced charge redistribution with local magnetic anisotropy to access optically switchable exchange-correlated molecular magnetic states</w:t>
      </w:r>
    </w:p>
    <w:p>
      <w:pPr>
        <w:spacing w:before="120" w:after="120"/>
      </w:pPr>
      <w:r>
        <w:rPr>
          <w:sz w:val="18"/>
        </w:rPr>
        <w:t>——————————————————————————————————————————————————————————————————————</w:t>
      </w:r>
    </w:p>
    <w:p>
      <w:pPr>
        <w:spacing w:before="160" w:after="40" w:line="240" w:lineRule="auto"/>
      </w:pPr>
      <w:r>
        <w:rPr>
          <w:b/>
        </w:rPr>
        <w:t xml:space="preserve">[655] </w:t>
      </w:r>
      <w:hyperlink r:id="rId1804">
        <w:r>
          <w:rPr>
            <w:color w:val="1155CC"/>
            <w:u w:val="single"/>
          </w:rPr>
          <w:t>人工智能还没有准备好进行自我研究</w:t>
        </w:r>
      </w:hyperlink>
    </w:p>
    <w:p>
      <w:pPr>
        <w:spacing w:before="0" w:after="80"/>
      </w:pPr>
      <w:r>
        <w:rPr>
          <w:i/>
          <w:sz w:val="20"/>
        </w:rPr>
        <w:t>EN: AI isn’t ready to research itself</w:t>
      </w:r>
    </w:p>
    <w:p>
      <w:pPr>
        <w:spacing w:before="0" w:after="120"/>
      </w:pPr>
      <w:r>
        <w:rPr>
          <w:b/>
        </w:rPr>
        <w:t xml:space="preserve">Source: </w:t>
      </w:r>
      <w:r>
        <w:t>Nature</w:t>
      </w:r>
      <w:r>
        <w:t xml:space="preserve">    </w:t>
      </w:r>
      <w:r>
        <w:rPr>
          <w:b/>
        </w:rPr>
        <w:t xml:space="preserve">Pub date: </w:t>
      </w:r>
      <w:r>
        <w:t>2026-08-13 00:00:00+00:00</w:t>
      </w:r>
      <w:r>
        <w:t xml:space="preserve">    </w:t>
      </w:r>
      <w:r>
        <w:rPr>
          <w:b/>
        </w:rPr>
        <w:t xml:space="preserve">DOI: </w:t>
      </w:r>
      <w:hyperlink r:id="rId1805">
        <w:r>
          <w:rPr>
            <w:color w:val="1155CC"/>
            <w:u w:val="single"/>
          </w:rPr>
          <w:t>10.1038/d41586-026-02494-5</w:t>
        </w:r>
      </w:hyperlink>
    </w:p>
    <w:p>
      <w:pPr>
        <w:spacing w:before="0" w:after="120"/>
      </w:pPr>
      <w:r>
        <w:rPr>
          <w:b/>
        </w:rPr>
        <w:t xml:space="preserve">Notes: </w:t>
      </w:r>
      <w:r>
        <w:t>abstract_source=rss_nature</w:t>
      </w:r>
    </w:p>
    <w:p>
      <w:pPr>
        <w:spacing w:before="0" w:after="80" w:lineRule="auto" w:line="276"/>
      </w:pPr>
      <w:r>
        <w:rPr>
          <w:b/>
        </w:rPr>
        <w:t xml:space="preserve">摘要（ZH）: </w:t>
      </w:r>
      <w:r>
        <w:t>一个代理系统成功地从两篇计算机科学论文中开发出概念——但原始作者并不买账。</w:t>
      </w:r>
    </w:p>
    <w:p>
      <w:pPr>
        <w:spacing w:before="0" w:after="200" w:lineRule="auto" w:line="276"/>
      </w:pPr>
      <w:r>
        <w:rPr>
          <w:b/>
        </w:rPr>
        <w:t xml:space="preserve">Abstract (EN): </w:t>
      </w:r>
      <w:r>
        <w:t>An agentic system successfully developed concepts from two computer-science papers — but the original authors were not impressed.</w:t>
      </w:r>
    </w:p>
    <w:p>
      <w:pPr>
        <w:spacing w:before="120" w:after="120"/>
      </w:pPr>
      <w:r>
        <w:rPr>
          <w:sz w:val="18"/>
        </w:rPr>
        <w:t>——————————————————————————————————————————————————————————————————————</w:t>
      </w:r>
    </w:p>
    <w:p>
      <w:pPr>
        <w:spacing w:before="160" w:after="40" w:line="240" w:lineRule="auto"/>
      </w:pPr>
      <w:r>
        <w:rPr>
          <w:b/>
        </w:rPr>
        <w:t xml:space="preserve">[656] </w:t>
      </w:r>
      <w:hyperlink r:id="rId1806">
        <w:r>
          <w:rPr>
            <w:color w:val="1155CC"/>
            <w:u w:val="single"/>
          </w:rPr>
          <w:t>为什么中国应该重新评估如何奖励年轻科学家</w:t>
        </w:r>
      </w:hyperlink>
    </w:p>
    <w:p>
      <w:pPr>
        <w:spacing w:before="0" w:after="80"/>
      </w:pPr>
      <w:r>
        <w:rPr>
          <w:i/>
          <w:sz w:val="20"/>
        </w:rPr>
        <w:t>EN: Why China should reassess how it rewards young scientists</w:t>
      </w:r>
    </w:p>
    <w:p>
      <w:pPr>
        <w:spacing w:before="0" w:after="120"/>
      </w:pPr>
      <w:r>
        <w:rPr>
          <w:b/>
        </w:rPr>
        <w:t xml:space="preserve">Source: </w:t>
      </w:r>
      <w:r>
        <w:t>Nature</w:t>
      </w:r>
      <w:r>
        <w:t xml:space="preserve">    </w:t>
      </w:r>
      <w:r>
        <w:rPr>
          <w:b/>
        </w:rPr>
        <w:t xml:space="preserve">Pub date: </w:t>
      </w:r>
      <w:r>
        <w:t>2026-08-13 00:00:00+00:00</w:t>
      </w:r>
      <w:r>
        <w:t xml:space="preserve">    </w:t>
      </w:r>
      <w:r>
        <w:rPr>
          <w:b/>
        </w:rPr>
        <w:t xml:space="preserve">DOI: </w:t>
      </w:r>
      <w:hyperlink r:id="rId1807">
        <w:r>
          <w:rPr>
            <w:color w:val="1155CC"/>
            <w:u w:val="single"/>
          </w:rPr>
          <w:t>10.1038/d41586-026-02525-1</w:t>
        </w:r>
      </w:hyperlink>
    </w:p>
    <w:p>
      <w:pPr>
        <w:spacing w:before="0" w:after="120"/>
      </w:pPr>
      <w:r>
        <w:rPr>
          <w:b/>
        </w:rPr>
        <w:t xml:space="preserve">Notes: </w:t>
      </w:r>
      <w:r>
        <w:t>abstract_source=rss_nature</w:t>
      </w:r>
    </w:p>
    <w:p>
      <w:pPr>
        <w:spacing w:before="0" w:after="80" w:lineRule="auto" w:line="276"/>
      </w:pPr>
      <w:r>
        <w:rPr>
          <w:b/>
        </w:rPr>
        <w:t xml:space="preserve">摘要（ZH）: </w:t>
      </w:r>
      <w:r>
        <w:t>人才计划帮助推动中国走在全球科学的前沿。但该体系过分强调享有声望的头衔作为确保职业前景的手段，给年轻研究人员带来了压力。</w:t>
      </w:r>
    </w:p>
    <w:p>
      <w:pPr>
        <w:spacing w:before="0" w:after="200" w:lineRule="auto" w:line="276"/>
      </w:pPr>
      <w:r>
        <w:rPr>
          <w:b/>
        </w:rPr>
        <w:t xml:space="preserve">Abstract (EN): </w:t>
      </w:r>
      <w:r>
        <w:t>Talent schemes helped to propel China to the forefront of global science. But the system places undue emphasis on prestigious titles as a means to secure career prospects, putting pressure on young researchers.</w:t>
      </w:r>
    </w:p>
    <w:p>
      <w:pPr>
        <w:spacing w:before="120" w:after="120"/>
      </w:pPr>
      <w:r>
        <w:rPr>
          <w:sz w:val="18"/>
        </w:rPr>
        <w:t>——————————————————————————————————————————————————————————————————————</w:t>
      </w:r>
    </w:p>
    <w:p>
      <w:pPr>
        <w:spacing w:before="160" w:after="40" w:line="240" w:lineRule="auto"/>
      </w:pPr>
      <w:r>
        <w:rPr>
          <w:b/>
        </w:rPr>
        <w:t xml:space="preserve">[657] </w:t>
      </w:r>
      <w:hyperlink r:id="rId1808">
        <w:r>
          <w:rPr>
            <w:color w:val="1155CC"/>
            <w:u w:val="single"/>
          </w:rPr>
          <w:t>mRNA 流感疫苗会比常规季节性疫苗效果更好吗？科学怎么说</w:t>
        </w:r>
      </w:hyperlink>
    </w:p>
    <w:p>
      <w:pPr>
        <w:spacing w:before="0" w:after="80"/>
      </w:pPr>
      <w:r>
        <w:rPr>
          <w:i/>
          <w:sz w:val="20"/>
        </w:rPr>
        <w:t>EN: Will the mRNA flu shot work better than a regular seasonal one? What the science says</w:t>
      </w:r>
    </w:p>
    <w:p>
      <w:pPr>
        <w:spacing w:before="0" w:after="120"/>
      </w:pPr>
      <w:r>
        <w:rPr>
          <w:b/>
        </w:rPr>
        <w:t xml:space="preserve">Source: </w:t>
      </w:r>
      <w:r>
        <w:t>Nature</w:t>
      </w:r>
      <w:r>
        <w:t xml:space="preserve">    </w:t>
      </w:r>
      <w:r>
        <w:rPr>
          <w:b/>
        </w:rPr>
        <w:t xml:space="preserve">Pub date: </w:t>
      </w:r>
      <w:r>
        <w:t>2026-08-13 00:00:00+00:00</w:t>
      </w:r>
      <w:r>
        <w:t xml:space="preserve">    </w:t>
      </w:r>
      <w:r>
        <w:rPr>
          <w:b/>
        </w:rPr>
        <w:t xml:space="preserve">DOI: </w:t>
      </w:r>
      <w:hyperlink r:id="rId1809">
        <w:r>
          <w:rPr>
            <w:color w:val="1155CC"/>
            <w:u w:val="single"/>
          </w:rPr>
          <w:t>10.1038/d41586-026-02502-8</w:t>
        </w:r>
      </w:hyperlink>
    </w:p>
    <w:p>
      <w:pPr>
        <w:spacing w:before="0" w:after="120"/>
      </w:pPr>
      <w:r>
        <w:rPr>
          <w:b/>
        </w:rPr>
        <w:t xml:space="preserve">Notes: </w:t>
      </w:r>
      <w:r>
        <w:t>abstract_source=rss_nature</w:t>
      </w:r>
    </w:p>
    <w:p>
      <w:pPr>
        <w:spacing w:before="0" w:after="80" w:lineRule="auto" w:line="276"/>
      </w:pPr>
      <w:r>
        <w:rPr>
          <w:b/>
        </w:rPr>
        <w:t xml:space="preserve">摘要（ZH）: </w:t>
      </w:r>
      <w:r>
        <w:t>Moderna 新批准的疫苗可以让制造商更快地应对不断变化的流感毒株。</w:t>
      </w:r>
    </w:p>
    <w:p>
      <w:pPr>
        <w:spacing w:before="0" w:after="200" w:lineRule="auto" w:line="276"/>
      </w:pPr>
      <w:r>
        <w:rPr>
          <w:b/>
        </w:rPr>
        <w:t xml:space="preserve">Abstract (EN): </w:t>
      </w:r>
      <w:r>
        <w:t>Moderna’s newly approved vaccine could allow manufacturers to respond more rapidly to changing influenza strains.</w:t>
      </w:r>
    </w:p>
    <w:p>
      <w:pPr>
        <w:spacing w:before="120" w:after="120"/>
      </w:pPr>
      <w:r>
        <w:rPr>
          <w:sz w:val="18"/>
        </w:rPr>
        <w:t>——————————————————————————————————————————————————————————————————————</w:t>
      </w:r>
    </w:p>
    <w:p>
      <w:pPr>
        <w:spacing w:before="160" w:after="40" w:line="240" w:lineRule="auto"/>
      </w:pPr>
      <w:r>
        <w:rPr>
          <w:b/>
        </w:rPr>
        <w:t xml:space="preserve">[658] </w:t>
      </w:r>
      <w:hyperlink r:id="rId1810">
        <w:r>
          <w:rPr>
            <w:color w:val="1155CC"/>
            <w:u w:val="single"/>
          </w:rPr>
          <w:t>用于协同铜凋亡-免疫治疗的可编程多功能微型机器人</w:t>
        </w:r>
      </w:hyperlink>
    </w:p>
    <w:p>
      <w:pPr>
        <w:spacing w:before="0" w:after="80"/>
      </w:pPr>
      <w:r>
        <w:rPr>
          <w:i/>
          <w:sz w:val="20"/>
        </w:rPr>
        <w:t>EN: Programmable multifunctional microrobots for synergistic cuproptosis-immunotherapy</w:t>
      </w:r>
    </w:p>
    <w:p>
      <w:pPr>
        <w:spacing w:before="0" w:after="120"/>
      </w:pPr>
      <w:r>
        <w:rPr>
          <w:b/>
        </w:rPr>
        <w:t xml:space="preserve">Source: </w:t>
      </w:r>
      <w:r>
        <w:t>National Science Review Advance Access</w:t>
      </w:r>
      <w:r>
        <w:t xml:space="preserve">    </w:t>
      </w:r>
      <w:r>
        <w:rPr>
          <w:b/>
        </w:rPr>
        <w:t xml:space="preserve">Pub date: </w:t>
      </w:r>
      <w:r>
        <w:t>2026-08-13 00:00:00+00:00</w:t>
      </w:r>
      <w:r>
        <w:t xml:space="preserve">    </w:t>
      </w:r>
      <w:r>
        <w:rPr>
          <w:b/>
        </w:rPr>
        <w:t xml:space="preserve">DOI: </w:t>
      </w:r>
      <w:hyperlink r:id="rId1811">
        <w:r>
          <w:rPr>
            <w:color w:val="1155CC"/>
            <w:u w:val="single"/>
          </w:rPr>
          <w:t>10.1093/nsr/nwag491</w:t>
        </w:r>
      </w:hyperlink>
    </w:p>
    <w:p>
      <w:pPr>
        <w:spacing w:before="0" w:after="120"/>
      </w:pPr>
      <w:r>
        <w:rPr>
          <w:b/>
        </w:rPr>
        <w:t xml:space="preserve">Notes: </w:t>
      </w:r>
      <w:r>
        <w:t>abstract_source=rss_oup</w:t>
      </w:r>
    </w:p>
    <w:p>
      <w:pPr>
        <w:spacing w:before="0" w:after="80" w:lineRule="auto" w:line="276"/>
      </w:pPr>
      <w:r>
        <w:rPr>
          <w:b/>
        </w:rPr>
        <w:t xml:space="preserve">摘要（ZH）: </w:t>
      </w:r>
      <w:r>
        <w:t>口腔微型机器人作为药物载体在提高结直肠癌（CRC）的治疗效果方面显示出巨大的前景。然而，现有平台经常缺乏执行复杂的多阶段给药方案所需的可编程时间精度。在这里，我们报告了一种可编程时间响应微型机器人（PTRM），它在外部磁力引导下自主导航穿过胃酸屏障，在原位肿瘤部位执行顺序药物释放程序。 PTRM 采用逻辑门控架构设计，具有空间特定的外壳，用于胃抗性屏蔽和独特的肠道 pH 触发激活。该系统的内部“计时器”由其双明胶核心内的交联密度的精确调节控制，从而能够微调双相释放动力学。第一阶段执行艾司洛醇的程序性释放以诱导肿瘤细胞铜凋亡，通过招募浸润免疫细胞成功启动肿瘤微环境（TME）。经过精确调整的 5.5 小时间隔后，第 2 阶段触发 PD-1 抑制剂的释放以激活这些细胞，从而放大免疫原性细胞死亡 (ICD)。这种精心策划的序贯细胞毒性在原位 CRC 小鼠模型中实现了 76% 的缓解率。此外，PTRM 架构具有高度可扩展性，可容纳多达六核配置以进行多相释放，从而建立一个多功能机器人平台，用于针对顽固性癌症的复杂组合治疗策略。</w:t>
      </w:r>
    </w:p>
    <w:p>
      <w:pPr>
        <w:spacing w:before="0" w:after="200" w:lineRule="auto" w:line="276"/>
      </w:pPr>
      <w:r>
        <w:rPr>
          <w:b/>
        </w:rPr>
        <w:t xml:space="preserve">Abstract (EN): </w:t>
      </w:r>
      <w:r>
        <w:t>Oral microrobots as drug carriers have shown great promise in enhancing the therapeutic efficacy of colorectal cancer (CRC). However, existing platforms frequently lack the programmable temporal precision required to execute complex, multi-stage dosing regimens. Here, we report a programmable temporal-responsive microrobot (PTRM) that autonomously navigates across the gastric acid barrier under external magnetic guidance to execute a sequential drug-release program at orthotopic tumor sites. The PTRM is engineered with a logic-gated architecture, featuring a spatially specific shell for gastric-resistant shielding and exclusive intestinal pH-triggered activation. The system’s internal ‘timer’ is governed by the precise modulation of crosslinking densities within its dual gelatin cores, enabling finely-tuned biphasic release kinetics. Phase 1 executes the programmed release of elesclomol to induce tumor cell cuproptosis, successfully priming the tumor microenvironment (TME) by recruiting infiltrating immune cells. Following a precisely tuned 5.5 h interval, Phase 2 triggers the release of PD-1 inhibitors to activate these cells, thereby amplifying immunogenic cell death (ICD). This orchestrated sequential cytotoxicity achieved a 76% remission rate in an orthotopic CRC mouse model. Furthermore, the PTRM architecture is highly scalable, accommodating up to six-core configurations for multi-phase release—establishing a versatile robotic platform for complex combinatorial therapeutic strategies against recalcitrant cancers.</w:t>
      </w:r>
    </w:p>
    <w:p>
      <w:pPr>
        <w:spacing w:before="120" w:after="120"/>
      </w:pPr>
      <w:r>
        <w:rPr>
          <w:sz w:val="18"/>
        </w:rPr>
        <w:t>——————————————————————————————————————————————————————————————————————</w:t>
      </w:r>
    </w:p>
    <w:p>
      <w:pPr>
        <w:spacing w:before="160" w:after="40" w:line="240" w:lineRule="auto"/>
      </w:pPr>
      <w:r>
        <w:rPr>
          <w:b/>
        </w:rPr>
        <w:t xml:space="preserve">[659] </w:t>
      </w:r>
      <w:hyperlink r:id="rId1812">
        <w:r>
          <w:rPr>
            <w:color w:val="1155CC"/>
            <w:u w:val="single"/>
          </w:rPr>
          <w:t>用于细胞蛋白质递送的蛋白质修饰</w:t>
        </w:r>
      </w:hyperlink>
    </w:p>
    <w:p>
      <w:pPr>
        <w:spacing w:before="0" w:after="80"/>
      </w:pPr>
      <w:r>
        <w:rPr>
          <w:i/>
          <w:sz w:val="20"/>
        </w:rPr>
        <w:t>EN: Protein Modifications for Cellular Protein Delivery</w:t>
      </w:r>
    </w:p>
    <w:p>
      <w:pPr>
        <w:spacing w:before="0" w:after="120"/>
      </w:pPr>
      <w:r>
        <w:rPr>
          <w:b/>
        </w:rPr>
        <w:t xml:space="preserve">Source: </w:t>
      </w:r>
      <w:r>
        <w:t>Chemical Reviews: Latest Articles (ACS Publications)</w:t>
      </w:r>
      <w:r>
        <w:t xml:space="preserve">    </w:t>
      </w:r>
      <w:r>
        <w:rPr>
          <w:b/>
        </w:rPr>
        <w:t xml:space="preserve">Pub date: </w:t>
      </w:r>
      <w:r>
        <w:t>2026-08-13 00:00:00+00:00</w:t>
      </w:r>
      <w:r>
        <w:t xml:space="preserve">    </w:t>
      </w:r>
      <w:r>
        <w:rPr>
          <w:b/>
        </w:rPr>
        <w:t xml:space="preserve">DOI: </w:t>
      </w:r>
      <w:hyperlink r:id="rId1813">
        <w:r>
          <w:rPr>
            <w:color w:val="1155CC"/>
            <w:u w:val="single"/>
          </w:rPr>
          <w:t>10.1021/acs.chemrev.6c00267</w:t>
        </w:r>
      </w:hyperlink>
    </w:p>
    <w:p>
      <w:pPr>
        <w:spacing w:before="0" w:after="120"/>
      </w:pPr>
      <w:r>
        <w:rPr>
          <w:b/>
        </w:rPr>
        <w:t xml:space="preserve">Notes: </w:t>
      </w:r>
      <w:r>
        <w:t>abstract_source=crossref</w:t>
      </w:r>
    </w:p>
    <w:p>
      <w:pPr>
        <w:spacing w:before="0" w:after="80" w:lineRule="auto" w:line="276"/>
      </w:pPr>
      <w:r>
        <w:rPr>
          <w:b/>
        </w:rPr>
        <w:t xml:space="preserve">摘要（ZH）: </w:t>
      </w:r>
      <w:r>
        <w:t>摘要 功能蛋白的细胞内递送正在成为一种以高空间和时间精度询问和控制细胞通路的强大策略。化学生物学的最新进展现在能够通过精确的化学和生化修饰来设计细胞渗透性蛋白质，使该领域更接近实现细胞内靶向生物制剂作为“新型药物”。通过克服基因操作的局限性，研究人员为基础研究和医学创造了解决方案。在这篇综述中，我们概述了驱动细胞内蛋白质递送的关键动机。我们重点介绍了蛋白质进入的中心机制范式、影响蛋白质递送的重要参数，并总结了评估成功递送的分析工具。我们概述了不同的化学和生物化学概念方法，这些方法导致了实现功能性蛋白质转运的突破性研究。最后，我们讨论了正在进行的工作，强调了未来蛋白质递送研究面临的挑战。</w:t>
      </w:r>
    </w:p>
    <w:p>
      <w:pPr>
        <w:spacing w:before="0" w:after="200" w:lineRule="auto" w:line="276"/>
      </w:pPr>
      <w:r>
        <w:rPr>
          <w:b/>
        </w:rPr>
        <w:t xml:space="preserve">Abstract (EN): </w:t>
      </w:r>
      <w:r>
        <w:t>Intracellular delivery of functional proteins is emerging as a powerful strategy to interrogate and control cellular pathways with high spatial and temporal precision. Recent advances in chemical biology now enable the design of cell-permeable proteins through precise chemical and biochemical modification, bringing the field closer to achieving intracellularly targeted biologics as a “new class of drugs”. By overcoming the limitations of genetic manipulation, researchers create solutions for basic research and medicine. In this review, we outline the key motivations that drive intracellular protein delivery. We highlight central mechanistic paradigms for protein entry, important parameters influencing protein delivery, and summarize analytical tools to assess successful delivery. We outline different chemical and biochemical conceptional approaches that resulted in breakthrough studies to achieve functional protein transport. Finally, we discuss ongoing efforts, highlighting the challenges for future research on protein delivery.</w:t>
      </w:r>
    </w:p>
    <w:p>
      <w:pPr>
        <w:spacing w:before="120" w:after="120"/>
      </w:pPr>
      <w:r>
        <w:rPr>
          <w:sz w:val="18"/>
        </w:rPr>
        <w:t>——————————————————————————————————————————————————————————————————————</w:t>
      </w:r>
    </w:p>
    <w:p>
      <w:pPr>
        <w:spacing w:before="160" w:after="40" w:line="240" w:lineRule="auto"/>
      </w:pPr>
      <w:r>
        <w:rPr>
          <w:b/>
        </w:rPr>
        <w:t xml:space="preserve">[660] </w:t>
      </w:r>
      <w:hyperlink r:id="rId1814">
        <w:r>
          <w:rPr>
            <w:color w:val="1155CC"/>
            <w:u w:val="single"/>
          </w:rPr>
          <w:t>打破 50% 效率上限：高效单线态氧电合成的串联电化学循环</w:t>
        </w:r>
      </w:hyperlink>
    </w:p>
    <w:p>
      <w:pPr>
        <w:spacing w:before="0" w:after="80"/>
      </w:pPr>
      <w:r>
        <w:rPr>
          <w:i/>
          <w:sz w:val="20"/>
        </w:rPr>
        <w:t>EN: Breaking the 50% Efficiency Ceiling: A Tandem Electrochemical Cycle for Efficient Singlet Oxygen Electrosynthesis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15">
        <w:r>
          <w:rPr>
            <w:color w:val="1155CC"/>
            <w:u w:val="single"/>
          </w:rPr>
          <w:t>10.1021/jacs.6c05962</w:t>
        </w:r>
      </w:hyperlink>
    </w:p>
    <w:p>
      <w:pPr>
        <w:spacing w:before="0" w:after="120"/>
      </w:pPr>
      <w:r>
        <w:rPr>
          <w:b/>
        </w:rPr>
        <w:t xml:space="preserve">Notes: </w:t>
      </w:r>
      <w:r>
        <w:t>abstract_source=crossref</w:t>
      </w:r>
    </w:p>
    <w:p>
      <w:pPr>
        <w:spacing w:before="0" w:after="80" w:lineRule="auto" w:line="276"/>
      </w:pPr>
      <w:r>
        <w:rPr>
          <w:b/>
        </w:rPr>
        <w:t xml:space="preserve">摘要（ZH）: </w:t>
      </w:r>
      <w:r>
        <w:t>摘要 利用双氧 (O2) 进行电合成单线态氧 (1O2) 为药品制造中的增值氧合反应提供了一条可持续的途径。然而，传统的电化学生成依赖于 O2 的单电子还原为超氧化物 (O2•–)，然后两个 O2•– 歧化，仅产生一个 1O2 分子，这将最大电子到 1O2 的效率限制在 50%。在这里，我们使用在紧凑的流通式反应器中实施的电化学串联策略克服了这一限制，其中O2·–在改进的多孔钛泡沫阴极上选择性地产生，并快速输送到钛支撑的铂单原子阳极氧化成1O2。这种设计抑制了非生产性途径，使电子转化为 1O2 的效率超过 93%。该系统实现了 510 μmol L–1 min–1 的高 1O2 生产率，以 96.2% 的选择性促进膦氧化，并以 44.5% 的产率电化学半合成青蒿素。这项工作为高效、连续的 1O2 电合成建立了一个通用平台，为可持续氧化制造开辟了途径。</w:t>
      </w:r>
    </w:p>
    <w:p>
      <w:pPr>
        <w:spacing w:before="0" w:after="200" w:lineRule="auto" w:line="276"/>
      </w:pPr>
      <w:r>
        <w:rPr>
          <w:b/>
        </w:rPr>
        <w:t xml:space="preserve">Abstract (EN): </w:t>
      </w:r>
      <w:r>
        <w:t>Singlet oxygen (1O2) electrosynthesis from dioxygen (O2) offers a sustainable route to value-added oxygenation reactions in pharmaceutical manufacturing. Conventional electrochemical generation, however, relies on the one-electron reduction of O2 to superoxide (O2•–) followed by disproportionation of two O2•– producing only one molecule of 1O2, which limited to a maximum electron-to-1O2 efficiency at 50%. Here, we overcome this constraint using an electrochemical tandem strategy implemented in a compact flow-through reactor, wherein O2•– is selectively generated at a modified porous titanium foam cathode and rapidly transported to a titanium-supported platinum single-atom anode for oxidation to 1O2. This design suppresses unproductive pathways, enabling an electron-to-1O2 efficiency exceeding 93%. The system achieves a high 1O2 production rate of 510 μmol L–1 min–1, facilitating phosphine oxygenation with 96.2% selectivity and the electrochemical semisynthesis of artemisinin in 44.5% yield. This work establishes a general platform for efficient, continuous 1O2 electrosynthesis, opening avenues for sustainable oxidative manufacturing.</w:t>
      </w:r>
    </w:p>
    <w:p>
      <w:pPr>
        <w:spacing w:before="120" w:after="120"/>
      </w:pPr>
      <w:r>
        <w:rPr>
          <w:sz w:val="18"/>
        </w:rPr>
        <w:t>——————————————————————————————————————————————————————————————————————</w:t>
      </w:r>
    </w:p>
    <w:p>
      <w:pPr>
        <w:spacing w:before="160" w:after="40" w:line="240" w:lineRule="auto"/>
      </w:pPr>
      <w:r>
        <w:rPr>
          <w:b/>
        </w:rPr>
        <w:t xml:space="preserve">[661] </w:t>
      </w:r>
      <w:hyperlink r:id="rId1816">
        <w:r>
          <w:rPr>
            <w:color w:val="1155CC"/>
            <w:u w:val="single"/>
          </w:rPr>
          <w:t>通过纳米限制网络中离子调节分子离合器的机械化学触发构象重排序</w:t>
        </w:r>
      </w:hyperlink>
    </w:p>
    <w:p>
      <w:pPr>
        <w:spacing w:before="0" w:after="80"/>
      </w:pPr>
      <w:r>
        <w:rPr>
          <w:i/>
          <w:sz w:val="20"/>
        </w:rPr>
        <w:t>EN: Mechanochemically Triggered Conformational Reordering via Ion-Regulated Molecular Clutches in Nanoconfined Networks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17">
        <w:r>
          <w:rPr>
            <w:color w:val="1155CC"/>
            <w:u w:val="single"/>
          </w:rPr>
          <w:t>10.1021/jacs.6c09192</w:t>
        </w:r>
      </w:hyperlink>
    </w:p>
    <w:p>
      <w:pPr>
        <w:spacing w:before="0" w:after="120"/>
      </w:pPr>
      <w:r>
        <w:rPr>
          <w:b/>
        </w:rPr>
        <w:t xml:space="preserve">Notes: </w:t>
      </w:r>
      <w:r>
        <w:t>abstract_source=crossref</w:t>
      </w:r>
    </w:p>
    <w:p>
      <w:pPr>
        <w:spacing w:before="0" w:after="80" w:lineRule="auto" w:line="276"/>
      </w:pPr>
      <w:r>
        <w:rPr>
          <w:b/>
        </w:rPr>
        <w:t xml:space="preserve">摘要（ZH）: </w:t>
      </w:r>
      <w:r>
        <w:t>摘要 调和分子运动性与结构刚性仍然是软物质力学中的一个基本热力学悖论，因为传统的静态纳米限制通常会限制链动力学并不可避免地导致脆性破坏。在这里，我们展示了 1.5 nm 2D 硅酸盐画廊内的离子调节动态限制策略，克服了这种经典的权衡。我们揭示了内在的钠离子（Na+）在有机-无机界面上起到动态“分子离合器”的作用。这些受限离子不是充当静态间隔物，而是重塑界面热力学景观，从而在极端机械刺激下实现快速协调重构。这种多尺度转变通过分子内压平和形成高度有序的牺牲相来消散极端的冲击能量，在极端的90%压缩应变下，在纳米限制通道内实现理论上计算的~85%的局部有序度，同时在相同的宏观变形极限下保持~19%的实验体有序度（其特征是高度对齐的过渡态取向角为18.3°）。因此，该超分子网络在 95% 应变下维持 380 MPa 的压应力，而没有发生灾难性碎片，体积能量耗散为 68.68 J cm–3，能量转换效率为 ∼87.8%。这项研究强调了纳米约束离子介导的机械化学作为具有极端能量耗散能力的下一代材料的多功能设计策略的潜力。</w:t>
      </w:r>
    </w:p>
    <w:p>
      <w:pPr>
        <w:spacing w:before="0" w:after="200" w:lineRule="auto" w:line="276"/>
      </w:pPr>
      <w:r>
        <w:rPr>
          <w:b/>
        </w:rPr>
        <w:t xml:space="preserve">Abstract (EN): </w:t>
      </w:r>
      <w:r>
        <w:t>Reconciling molecular mobility with structural rigidity remains a fundamental thermodynamic paradox in soft matter mechanics, as traditional static nanoconfinement typically restricts chain dynamics and inevitably leads to brittle failure. Here, we demonstrate an ion-regulated dynamic confinement strategy within 1.5 nm 2D silicate galleries that overcomes this classical trade-off. We reveal that intrinsic sodium ions (Na+) function as dynamic “molecular clutches” at the organic–inorganic interface. Rather than acting as static spacers, these confined ions reshape the interfacial thermodynamic landscape, enabling rapid coordination reconfiguration under extreme mechanical stimuli. This multiscale transformation dissipates extreme impact energy via intramolecular flattening and the formation of a highly ordered sacrificial phase, achieving a theoretically computed local ordering of ∼85% within the nanoconfined galleries under an extreme 90% compressive strain, while maintaining an experimental bulk ordering of ∼19% at the same macroscopic deformation limit (characterized by a highly aligned transition-state orientation angle of 18.3°). Consequently, this supramolecular network sustains a compressive stress of 380 MPa at a 95% strain without catastrophic fragmentation, delivering a volumetric energy dissipation of 68.68 J cm–3 with an energy conversion efficiency of ∼87.8%. This study highlights the potential of nanoconfined ion-mediated mechanochemistry as a versatile design strategy for next-generation materials capable of extreme energy dissipation.</w:t>
      </w:r>
    </w:p>
    <w:p>
      <w:pPr>
        <w:spacing w:before="120" w:after="120"/>
      </w:pPr>
      <w:r>
        <w:rPr>
          <w:sz w:val="18"/>
        </w:rPr>
        <w:t>——————————————————————————————————————————————————————————————————————</w:t>
      </w:r>
    </w:p>
    <w:p>
      <w:pPr>
        <w:spacing w:before="160" w:after="40" w:line="240" w:lineRule="auto"/>
      </w:pPr>
      <w:r>
        <w:rPr>
          <w:b/>
        </w:rPr>
        <w:t xml:space="preserve">[662] </w:t>
      </w:r>
      <w:hyperlink r:id="rId1818">
        <w:r>
          <w:rPr>
            <w:color w:val="1155CC"/>
            <w:u w:val="single"/>
          </w:rPr>
          <w:t>阴离子的特定元素供体编号</w:t>
        </w:r>
      </w:hyperlink>
    </w:p>
    <w:p>
      <w:pPr>
        <w:spacing w:before="0" w:after="80"/>
      </w:pPr>
      <w:r>
        <w:rPr>
          <w:i/>
          <w:sz w:val="20"/>
        </w:rPr>
        <w:t>EN: Element-Specific Donor Numbers for Anions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19">
        <w:r>
          <w:rPr>
            <w:color w:val="1155CC"/>
            <w:u w:val="single"/>
          </w:rPr>
          <w:t>10.1021/jacs.6c06567</w:t>
        </w:r>
      </w:hyperlink>
    </w:p>
    <w:p>
      <w:pPr>
        <w:spacing w:before="0" w:after="120"/>
      </w:pPr>
      <w:r>
        <w:rPr>
          <w:b/>
        </w:rPr>
        <w:t xml:space="preserve">Notes: </w:t>
      </w:r>
      <w:r>
        <w:t>abstract_source=crossref</w:t>
      </w:r>
    </w:p>
    <w:p>
      <w:pPr>
        <w:spacing w:before="0" w:after="80" w:lineRule="auto" w:line="276"/>
      </w:pPr>
      <w:r>
        <w:rPr>
          <w:b/>
        </w:rPr>
        <w:t xml:space="preserve">摘要（ZH）: </w:t>
      </w:r>
      <w:r>
        <w:t>摘要 阴离子与阳离子/分子的相互作用在化学和生物学中至关重要：在电池电解质、合成、大气过程和蛋白质变性中。选择最佳阴离子是一项巨大的挑战，因为阴离子相互作用多种多样且复杂。需要描述符来定量捕获阴离子与阳离子和分子相互作用的能力。然而，只有少量实验性阴离子相互作用描述符存在，并且都具有类似的局限性。在这里，我们展示了核心级阴离子电子结合能 EB（核心，阴离子）可用于为阴离子相互作用的每个关键供体元素（O、N、F、Cl、Br、I、S）、元素特定供体编号（DNE-XPS）生成新的原子级描述符。 DNE-XPS 描述符是固有的，可捕获独立于任何探针、抗衡阳离子或溶剂的阴离子相互作用能力。 DNE-XPS 描述符也可以解释为 EB（核心，阴离子），因此 DNE-XPS 与特定供体原子核处的静电势成正比。实验核心级 X 射线光电子能谱 (XPS) 用于测量 EB（核心，阴离子），从而测量 DNE-XPS。此外，使用单独阴离子 SMD（溶剂化模型密度）计算可以轻松且低成本地生成 DNE-XPS 描述符，这是当前阴离子描述符的重大进步，大大减少并可能消除实验阴离子表征的需要。这项工作将极大地促进阴离子的选择，特别是对于能够通过多重差异形成相互作用的复杂阴离子</w:t>
      </w:r>
    </w:p>
    <w:p>
      <w:pPr>
        <w:spacing w:before="0" w:after="200" w:lineRule="auto" w:line="276"/>
      </w:pPr>
      <w:r>
        <w:rPr>
          <w:b/>
        </w:rPr>
        <w:t xml:space="preserve">Abstract (EN): </w:t>
      </w:r>
      <w:r>
        <w:t>Anion interactions with cations/molecules are crucial across chemistry and biology: in battery electrolytes, synthesis, atmospheric processes, and protein denaturation. Selecting the optimum anion represents an immense challenge, as anion interactions are diverse and complex. Descriptors are needed that quantitatively capture the ability of anions to interact with cations and molecules. However, only a small number of experimental anion interaction descriptors exist, all with similar limitations. Here we show that core-level anion electron binding energies, EB(core,anion), can be used to produce a new atomic-level descriptor for each of the key donor elements for anion interactions (O, N, F, Cl, Br, I, S), the element-specific donor number (DNE-XPS). DNE-XPS descriptors are intrinsic, capturing the anion interaction abilities independent of any probe, countercation, or solvent. DNE-XPS descriptors are also interpretable, as EB(core,anion) and therefore DNE-XPS are proportional to the electrostatic potential at the specific donor atom nucleus. Experimental core-level X-ray photoelectron spectroscopy (XPS) is used to measure EB(core,anion) and therefore DNE-XPS. Furthermore, DNE-XPS descriptors are produced easily and at low cost using lone-anion-SMD (solvation model density) calculations, a significant advance on the current anion descriptors, greatly reducing and potentially removing the need for experimental anion characterization. This work will greatly facilitate anion selection, especially for complex anions capable of forming interactions through multiple different atoms. We envisage our calculation method enabling the production of a very large database of DNE-XPS for each key element, ideal for use as machine learning training data sets.</w:t>
      </w:r>
    </w:p>
    <w:p>
      <w:pPr>
        <w:spacing w:before="120" w:after="120"/>
      </w:pPr>
      <w:r>
        <w:rPr>
          <w:sz w:val="18"/>
        </w:rPr>
        <w:t>——————————————————————————————————————————————————————————————————————</w:t>
      </w:r>
    </w:p>
    <w:p>
      <w:pPr>
        <w:spacing w:before="160" w:after="40" w:line="240" w:lineRule="auto"/>
      </w:pPr>
      <w:r>
        <w:rPr>
          <w:b/>
        </w:rPr>
        <w:t xml:space="preserve">[663] </w:t>
      </w:r>
      <w:hyperlink r:id="rId1820">
        <w:r>
          <w:rPr>
            <w:color w:val="1155CC"/>
            <w:u w:val="single"/>
          </w:rPr>
          <w:t>酮直接转化为 2 H-色炔，实现炔-烯反应并合成进入宁奇类天然产物</w:t>
        </w:r>
      </w:hyperlink>
    </w:p>
    <w:p>
      <w:pPr>
        <w:spacing w:before="0" w:after="80"/>
      </w:pPr>
      <w:r>
        <w:rPr>
          <w:i/>
          <w:sz w:val="20"/>
        </w:rPr>
        <w:t>EN: Direct Ketone-to-2 H -Chromyne Conversion Enabling Alkyne-Ene Reactions and Synthetic Entry into the Nyingchinoid Natural Products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21">
        <w:r>
          <w:rPr>
            <w:color w:val="1155CC"/>
            <w:u w:val="single"/>
          </w:rPr>
          <w:t>10.1021/jacs.6c05940</w:t>
        </w:r>
      </w:hyperlink>
    </w:p>
    <w:p>
      <w:pPr>
        <w:spacing w:before="0" w:after="120"/>
      </w:pPr>
      <w:r>
        <w:rPr>
          <w:b/>
        </w:rPr>
        <w:t xml:space="preserve">Notes: </w:t>
      </w:r>
      <w:r>
        <w:t>abstract_source=crossref</w:t>
      </w:r>
    </w:p>
    <w:p>
      <w:pPr>
        <w:spacing w:before="0" w:after="80" w:lineRule="auto" w:line="276"/>
      </w:pPr>
      <w:r>
        <w:rPr>
          <w:b/>
        </w:rPr>
        <w:t xml:space="preserve">摘要（ZH）: </w:t>
      </w:r>
      <w:r>
        <w:t>摘要 环己炔是高度紧张的中间体，与芳香族对应物苯炔相比，其研究很大程度上尚未得到充分研究。已知的生成环己炔的策略包括获得具有特定官能度的前体，例如甲硅烷基烯基三氟甲磺酸酯、烯基卤化物、烯基拟卤化物、二氮丙啶、卡宾前体或二酰基过氧化物等。最终，这些起始材料的逐步积累和环己炔的瞬态性质导致它们的合成用途仅限于特定类别的反应，包括环加成和亲核捕获。在这类紧张环炔中，氧杂环己炔的研究甚至还不够充分，而且其生成策略也明显较少。在这里，我们证明 2H-色炔可以直接从酮获得，酮是最丰富且易于安装的官能团之一。原位形成的 2H-色炔经历随后的炔-烯反应，这是这种紧张中间体前所未有的反应模式。机理研究揭示了苯基三氟甲酰亚胺作为三氟甲磺酸试剂和碱清除剂的双功能作用。获得的环五苯色烯产物可映射到多种天然产物，包括尚未合成的nyingchinoid C。为了证明该方法的实用性，我们将开发的色炔-烯反应应用于 nyingchinoid C 的简明全合成。本文中提出的工作强调了生成应变环状炔烃的替代策略并扩展了其合成效用。</w:t>
      </w:r>
    </w:p>
    <w:p>
      <w:pPr>
        <w:spacing w:before="0" w:after="200" w:lineRule="auto" w:line="276"/>
      </w:pPr>
      <w:r>
        <w:rPr>
          <w:b/>
        </w:rPr>
        <w:t xml:space="preserve">Abstract (EN): </w:t>
      </w:r>
      <w:r>
        <w:t>Cyclohexynes are highly strained intermediates that are largely underexplored compared with benzynes, their aromatic counterparts. Known strategies toward generating cyclohexynes include accessing precursors with specific functionalities such as silyl alkenyl triflates, alkenyl halides, alkenyl pseudohalides, diazirines, carbene precursors, or diacyl peroxides, among others. Ultimately, the stepwise buildup of these starting materials and the transient nature of cyclohexynes have led to their synthetic utility being limited to specific classes of reactions, including cycloadditions and nucleophilic trapping. Within this class of strained cycloalkynes, oxacyclohexynes are even more understudied and significantly fewer strategies for their generation exist. Here, we show that 2H-chromynes can be directly accessed from ketones, one of the most abundant and easy-to-install functional groups. The in situ formed 2H-chromynes undergo a subsequent alkyne-ene reaction, an unprecedented mode of reactivity for this strained intermediate. Mechanistic investigations reveal the bifunctional role of phenyl triflimide as both a triflating reagent and a base scavenger. The cyclopentachromene products obtained map onto multiple natural products, including nyingchinoid C, which has yet to be synthesized. To demonstrate the utility of this method, we applied the developed chromyne-ene reaction to a concise total synthesis of nyingchinoid C. The work presented herein highlights an alternative strategy toward generating strained cyclic alkynes and expands their synthetic utility.</w:t>
      </w:r>
    </w:p>
    <w:p>
      <w:pPr>
        <w:spacing w:before="120" w:after="120"/>
      </w:pPr>
      <w:r>
        <w:rPr>
          <w:sz w:val="18"/>
        </w:rPr>
        <w:t>——————————————————————————————————————————————————————————————————————</w:t>
      </w:r>
    </w:p>
    <w:p>
      <w:pPr>
        <w:spacing w:before="160" w:after="40" w:line="240" w:lineRule="auto"/>
      </w:pPr>
      <w:r>
        <w:rPr>
          <w:b/>
        </w:rPr>
        <w:t xml:space="preserve">[664] </w:t>
      </w:r>
      <w:hyperlink r:id="rId1822">
        <w:r>
          <w:rPr>
            <w:color w:val="1155CC"/>
            <w:u w:val="single"/>
          </w:rPr>
          <w:t>第一个水化壳的完整性：蛋白质稳定性的关键</w:t>
        </w:r>
      </w:hyperlink>
    </w:p>
    <w:p>
      <w:pPr>
        <w:spacing w:before="0" w:after="80"/>
      </w:pPr>
      <w:r>
        <w:rPr>
          <w:i/>
          <w:sz w:val="20"/>
        </w:rPr>
        <w:t>EN: First Hydration Shell Integrity: Key to Protein Stability</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23">
        <w:r>
          <w:rPr>
            <w:color w:val="1155CC"/>
            <w:u w:val="single"/>
          </w:rPr>
          <w:t>10.1021/jacs.6c09682</w:t>
        </w:r>
      </w:hyperlink>
    </w:p>
    <w:p>
      <w:pPr>
        <w:spacing w:before="0" w:after="120"/>
      </w:pPr>
      <w:r>
        <w:rPr>
          <w:b/>
        </w:rPr>
        <w:t xml:space="preserve">Notes: </w:t>
      </w:r>
      <w:r>
        <w:t>abstract_source=crossref</w:t>
      </w:r>
    </w:p>
    <w:p>
      <w:pPr>
        <w:spacing w:before="0" w:after="80" w:lineRule="auto" w:line="276"/>
      </w:pPr>
      <w:r>
        <w:rPr>
          <w:b/>
        </w:rPr>
        <w:t xml:space="preserve">摘要（ZH）: </w:t>
      </w:r>
      <w:r>
        <w:t>摘要 蛋白质稳定剂和变性剂可用于阐明水合的基本原理，这对于生物功能和生物技术至关重要。尽管经过数十年的研究，此类稳定剂和变性剂的现有分子模型尚未得到充分验证，因为很少有实验方法可以在环境条件下原位检测水合壳内的水结构。在这里，我们设计了一个分子模型，该模型通过将手性选择性振动和频率发生光谱应用于溶剂化蛋白质来指导。我们发现尿素破坏了第一个水合壳，削弱了蛋白质的氢键。相反，三甲胺 N-氧化物驻留在壳外，并通过加强第一水合壳内的水氢键来稳定蛋白质。在混合物中，三甲胺 N-氧化物将尿素驱出壳，中和尿素的不稳定作用。我们得出的结论是，蛋白质稳定性与第一水合壳的完整性直接相关。这些见解对于理解溶剂对生物催化和异质细胞环境的影响具有广泛的意义。</w:t>
      </w:r>
    </w:p>
    <w:p>
      <w:pPr>
        <w:spacing w:before="0" w:after="200" w:lineRule="auto" w:line="276"/>
      </w:pPr>
      <w:r>
        <w:rPr>
          <w:b/>
        </w:rPr>
        <w:t xml:space="preserve">Abstract (EN): </w:t>
      </w:r>
      <w:r>
        <w:t>Protein stabilizers and denaturants can be used to elucidate the fundamental principles of hydration, which is crucial for biological functions and biotechnology. Despite decades of work, existing molecular models of such stabilizers and denaturants have not yet been fully validated because few experimental methods can detect water structures within the hydration shell in situ under ambient conditions. Here, we devise a molecular model guided by the application of chiral-selective vibrational sum frequency generation spectroscopy to a solvated protein. We show that urea disrupts the first hydration shell, weakening the protein’s hydrogen bonds. Conversely, trimethylamine N-oxide resides outside the shell and stabilizes the protein by strengthening water hydrogen bonds within the first hydration shell. In mixtures, trimethylamine N-oxide drives urea out of the shell, neutralizing urea’s destabilizing effect. We conclude that protein stability directly correlates with first hydration shell integrity. These insights have broad implications for understanding solvent effects on biocatalysis and heterogeneous cellular environments.</w:t>
      </w:r>
    </w:p>
    <w:p>
      <w:pPr>
        <w:spacing w:before="120" w:after="120"/>
      </w:pPr>
      <w:r>
        <w:rPr>
          <w:sz w:val="18"/>
        </w:rPr>
        <w:t>——————————————————————————————————————————————————————————————————————</w:t>
      </w:r>
    </w:p>
    <w:p>
      <w:pPr>
        <w:spacing w:before="160" w:after="40" w:line="240" w:lineRule="auto"/>
      </w:pPr>
      <w:r>
        <w:rPr>
          <w:b/>
        </w:rPr>
        <w:t xml:space="preserve">[665] </w:t>
      </w:r>
      <w:hyperlink r:id="rId1824">
        <w:r>
          <w:rPr>
            <w:color w:val="1155CC"/>
            <w:u w:val="single"/>
          </w:rPr>
          <w:t>结合与蚀刻：金纳米颗粒上的 N-杂环卡宾配体</w:t>
        </w:r>
      </w:hyperlink>
    </w:p>
    <w:p>
      <w:pPr>
        <w:spacing w:before="0" w:after="80"/>
      </w:pPr>
      <w:r>
        <w:rPr>
          <w:i/>
          <w:sz w:val="20"/>
        </w:rPr>
        <w:t>EN: Binding vs Etching: N-Heterocyclic Carbene Ligands on Gold Nanoparticles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25">
        <w:r>
          <w:rPr>
            <w:color w:val="1155CC"/>
            <w:u w:val="single"/>
          </w:rPr>
          <w:t>10.1021/jacs.6c06954</w:t>
        </w:r>
      </w:hyperlink>
    </w:p>
    <w:p>
      <w:pPr>
        <w:spacing w:before="0" w:after="120"/>
      </w:pPr>
      <w:r>
        <w:rPr>
          <w:b/>
        </w:rPr>
        <w:t xml:space="preserve">Notes: </w:t>
      </w:r>
      <w:r>
        <w:t>abstract_source=crossref</w:t>
      </w:r>
    </w:p>
    <w:p>
      <w:pPr>
        <w:spacing w:before="0" w:after="80" w:lineRule="auto" w:line="276"/>
      </w:pPr>
      <w:r>
        <w:rPr>
          <w:b/>
        </w:rPr>
        <w:t xml:space="preserve">摘要（ZH）: </w:t>
      </w:r>
      <w:r>
        <w:t>摘要 金上的硫醇是典型的自组装单层，为固体表面提供分子级界面控制。 Au-S 键相当牢固，但不稳定。金表面上的 N-杂环卡宾 (NHC) 配体的 Au-C 键比 Au-S 键更强且通常更惰性，并且已知 NHC 可以取代金上的硫醇配体，这表明 NHC 可能提供比金上的硫醇更化学稳定的自组装单分子层。在此，我们描述了两种尺寸的金纳米颗粒的取代动力学，这些纳米颗粒最初涂有硫醇配体，具有一系列 NHC 配体，具有一系列给电子和吸电子取代基。通过 7 天的实验判断，吸电子最多的 NHC 取代基会蚀刻金纳米粒子，产生双-NHC-Au(I) 产物，而供电子最多的取代基会形成稳定的自组装单分子层。计算模型表明 NHC 的 pKa 可以很好地预测 Au-C 键强度，从而预测结合与蚀刻的结果。因此，为了在溶液中的金上创建稳定的自组装单层，必须考虑 NHC 配体的电子性质。</w:t>
      </w:r>
    </w:p>
    <w:p>
      <w:pPr>
        <w:spacing w:before="0" w:after="200" w:lineRule="auto" w:line="276"/>
      </w:pPr>
      <w:r>
        <w:rPr>
          <w:b/>
        </w:rPr>
        <w:t xml:space="preserve">Abstract (EN): </w:t>
      </w:r>
      <w:r>
        <w:t>Thiols on gold are the quintessential self-assembled monolayer, providing molecule-level interfacial control to solid surfaces. The Au–S bond is reasonably strong but labile. The Au–C bonds from N-heterocyclic carbene (NHC) ligands on gold surfaces are stronger and generally more inert than Au–S bonds, and it is known that NHCs can displace thiol ligands on gold, suggesting that NHCs might provide more chemically stable self-assembled monolayers than thiols on gold. Herein, we describe the substitution kinetics of two sizes of gold nanoparticles, originally coated with thiol ligands, with a family of NHC ligands that feature a series of electron-donating and -withdrawing substituents. It is found that the most electron-withdrawing NHC substituents led to etching of the gold nanoparticles to yield bis-NHC-Au(I) products, while the most electron-donating substituents led to stable self-assembled monolayers, as judged by experiments over a 7-day period. Computational modeling suggests that the pKa of the NHC is a good predictor of the Au–C bond strength and hence the outcome of binding versus etching. Thus, the electronic nature of the NHC ligand must be taken into account for the creation of stable self-assembled monolayers on gold in solution.</w:t>
      </w:r>
    </w:p>
    <w:p>
      <w:pPr>
        <w:spacing w:before="120" w:after="120"/>
      </w:pPr>
      <w:r>
        <w:rPr>
          <w:sz w:val="18"/>
        </w:rPr>
        <w:t>——————————————————————————————————————————————————————————————————————</w:t>
      </w:r>
    </w:p>
    <w:p>
      <w:pPr>
        <w:spacing w:before="160" w:after="40" w:line="240" w:lineRule="auto"/>
      </w:pPr>
      <w:r>
        <w:rPr>
          <w:b/>
        </w:rPr>
        <w:t xml:space="preserve">[666] </w:t>
      </w:r>
      <w:hyperlink r:id="rId1826">
        <w:r>
          <w:rPr>
            <w:color w:val="1155CC"/>
            <w:u w:val="single"/>
          </w:rPr>
          <w:t>脂质纳米颗粒的动力学编程热响应聚乙二醇脱落可改善 mRNA 递送</w:t>
        </w:r>
      </w:hyperlink>
    </w:p>
    <w:p>
      <w:pPr>
        <w:spacing w:before="0" w:after="80"/>
      </w:pPr>
      <w:r>
        <w:rPr>
          <w:i/>
          <w:sz w:val="20"/>
        </w:rPr>
        <w:t>EN: Kinetically Programmed Thermoresponsive Polyethylene Glycol Shedding from Lipid Nanoparticles Improves mRNA Delivery</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27">
        <w:r>
          <w:rPr>
            <w:color w:val="1155CC"/>
            <w:u w:val="single"/>
          </w:rPr>
          <w:t>10.1021/jacs.6c09907</w:t>
        </w:r>
      </w:hyperlink>
    </w:p>
    <w:p>
      <w:pPr>
        <w:spacing w:before="0" w:after="120"/>
      </w:pPr>
      <w:r>
        <w:rPr>
          <w:b/>
        </w:rPr>
        <w:t xml:space="preserve">Notes: </w:t>
      </w:r>
      <w:r>
        <w:t>abstract_source=crossref</w:t>
      </w:r>
    </w:p>
    <w:p>
      <w:pPr>
        <w:spacing w:before="0" w:after="80" w:lineRule="auto" w:line="276"/>
      </w:pPr>
      <w:r>
        <w:rPr>
          <w:b/>
        </w:rPr>
        <w:t xml:space="preserve">摘要（ZH）: </w:t>
      </w:r>
      <w:r>
        <w:t>摘要 聚乙二醇 (PEG) 可以稳定纳米粒子并促进跨越生物屏障的运输，但同一 PEG 层会抑制细胞摄取，这种权衡称为 PEG 困境。目前的策略试图通过使 PEG 脱落响应病理生化线索来克服这一限制，但它们对异质微环境的依赖限制了可预测性和跨途径适用性。在这里，我们报告了一种基于 PEG-脂质缀合物的热响应 PEG 脱落策略，该缀合物具有在生理温度下裂解的氧降冰片二烯接头。通过改变接头结构，可以在药理学相关的时间尺度上调节 PEG 脱落动力学，使 mRNA-脂质纳米颗粒能够经历从空间屏蔽状态到细胞相互作用状态的表面转变。在吸入给药中，粘液穿过后 PEG 快速脱落恢复了细胞摄取并显着增强了肺部 mRNA 表达，从而抑制了肺部转移。在全身给药中，中间的 PEG 脱落保留了密集聚乙二醇化的循环益处，同时实现随后的细胞内递送，从而改善肿瘤表达和抗肿瘤功效。这些结果确立了 PEG 脱落的动力学编程作为跨不同递送途径动态调节纳米粒子生物界面的设计原理。</w:t>
      </w:r>
    </w:p>
    <w:p>
      <w:pPr>
        <w:spacing w:before="0" w:after="200" w:lineRule="auto" w:line="276"/>
      </w:pPr>
      <w:r>
        <w:rPr>
          <w:b/>
        </w:rPr>
        <w:t xml:space="preserve">Abstract (EN): </w:t>
      </w:r>
      <w:r>
        <w:t>Polyethylene glycol (PEG) can stabilize nanoparticles and facilitate transport across biological barriers, yet the same PEG layer suppresses cellular uptake─a trade-off known as the PEG dilemma. Current strategies seek to overcome this limitation by enabling PEG shedding in response to pathological biochemical cues, but their dependence on heterogeneous microenvironments limits predictability and cross-route applicability. Here, we report a thermoresponsive PEG shedding strategy based on PEG–lipid conjugates with oxanorbornadiene linkers that cleave at physiological temperature. By varying the linker structure, PEG shedding kinetics can be modulated over pharmacologically relevant time scales, enabling mRNA-lipid nanoparticles to undergo surface transitions from sterically shielded to cell-interactive states. In inhaled delivery, rapid PEG shedding after mucus traversal restored cellular uptake and markedly enhanced pulmonary mRNA expression, resulting in inhibition of pulmonary metastases. In systemic administration, intermediate PEG shedding preserved the circulation benefit of dense PEGylation while enabling subsequent intracellular delivery, leading to improved tumor expression and antitumor efficacy. These results establish kinetic programming of PEG shedding as a design principle for dynamically regulating nanoparticle biointerfaces across distinct delivery routes.</w:t>
      </w:r>
    </w:p>
    <w:p>
      <w:pPr>
        <w:spacing w:before="120" w:after="120"/>
      </w:pPr>
      <w:r>
        <w:rPr>
          <w:sz w:val="18"/>
        </w:rPr>
        <w:t>——————————————————————————————————————————————————————————————————————</w:t>
      </w:r>
    </w:p>
    <w:p>
      <w:pPr>
        <w:spacing w:before="160" w:after="40" w:line="240" w:lineRule="auto"/>
      </w:pPr>
      <w:r>
        <w:rPr>
          <w:b/>
        </w:rPr>
        <w:t xml:space="preserve">[667] </w:t>
      </w:r>
      <w:hyperlink r:id="rId1828">
        <w:r>
          <w:rPr>
            <w:color w:val="1155CC"/>
            <w:u w:val="single"/>
          </w:rPr>
          <w:t>合成利福霉素的分离策略</w:t>
        </w:r>
      </w:hyperlink>
    </w:p>
    <w:p>
      <w:pPr>
        <w:spacing w:before="0" w:after="80"/>
      </w:pPr>
      <w:r>
        <w:rPr>
          <w:i/>
          <w:sz w:val="20"/>
        </w:rPr>
        <w:t>EN: A Pull-Apart Strategy for Synthetic Rifamycins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29">
        <w:r>
          <w:rPr>
            <w:color w:val="1155CC"/>
            <w:u w:val="single"/>
          </w:rPr>
          <w:t>10.1021/jacs.6c07977</w:t>
        </w:r>
      </w:hyperlink>
    </w:p>
    <w:p>
      <w:pPr>
        <w:spacing w:before="0" w:after="120"/>
      </w:pPr>
      <w:r>
        <w:rPr>
          <w:b/>
        </w:rPr>
        <w:t xml:space="preserve">Notes: </w:t>
      </w:r>
      <w:r>
        <w:t>abstract_source=crossref</w:t>
      </w:r>
    </w:p>
    <w:p>
      <w:pPr>
        <w:spacing w:before="0" w:after="80" w:lineRule="auto" w:line="276"/>
      </w:pPr>
      <w:r>
        <w:rPr>
          <w:b/>
        </w:rPr>
        <w:t xml:space="preserve">摘要（ZH）: </w:t>
      </w:r>
      <w:r>
        <w:t>摘要 已经开发出一种制备利福霉素类似物的实用合成策略，能够获得第一种在关键烯醇醚-缩酮键上进行修饰并具有抗菌活性的化合物。利用解构策略，可以分离利福霉素 ansa 链并选择性地修饰以揭示 O6 处的羟基，从而为结构多样化提供了手柄。与此同时，萘醌核心的合成，以聚丙酸酯前体的仿生氧化环化为重点，提供了完整的 C1-C13 片段。这些片段的重聚提供了一种新的利福霉素类似物，表示为 rifalene M，其中具有合成挑战性的烯醇醚基序被简单的烯丙键取代，并保留了抗菌活性。</w:t>
      </w:r>
    </w:p>
    <w:p>
      <w:pPr>
        <w:spacing w:before="0" w:after="200" w:lineRule="auto" w:line="276"/>
      </w:pPr>
      <w:r>
        <w:rPr>
          <w:b/>
        </w:rPr>
        <w:t xml:space="preserve">Abstract (EN): </w:t>
      </w:r>
      <w:r>
        <w:t>A practical synthetic strategy for the preparation of rifamycin analogues has been developed, enabling access to the first compound modified at the critical enol ether–ketal linkage with demonstrated antimicrobial activity. Leveraging a deconstruction strategy, the rifamycin ansa chain can be isolated and selectively modified to reveal a hydroxyl group at O6, providing a handle for structural diversification. In parallel, a synthesis of the naphthoquinone core, highlighted by a biomimetic oxidative cyclization of a polypropionate precursor, furnished the complete C1–C13 fragment. Reunion of these fragments provided a new rifamycin analog, denoted rifalene M, in which the synthetically challenging enol ether motif is replaced with a simple allylic linkage and retains antimicrobial activity.</w:t>
      </w:r>
    </w:p>
    <w:p>
      <w:pPr>
        <w:spacing w:before="120" w:after="120"/>
      </w:pPr>
      <w:r>
        <w:rPr>
          <w:sz w:val="18"/>
        </w:rPr>
        <w:t>——————————————————————————————————————————————————————————————————————</w:t>
      </w:r>
    </w:p>
    <w:p>
      <w:pPr>
        <w:spacing w:before="160" w:after="40" w:line="240" w:lineRule="auto"/>
      </w:pPr>
      <w:r>
        <w:rPr>
          <w:b/>
        </w:rPr>
        <w:t xml:space="preserve">[668] </w:t>
      </w:r>
      <w:hyperlink r:id="rId1830">
        <w:r>
          <w:rPr>
            <w:color w:val="1155CC"/>
            <w:u w:val="single"/>
          </w:rPr>
          <w:t>钙钛矿量子点驱动光氧化还原反应的单催化剂操作光致发光光谱</w:t>
        </w:r>
      </w:hyperlink>
    </w:p>
    <w:p>
      <w:pPr>
        <w:spacing w:before="0" w:after="80"/>
      </w:pPr>
      <w:r>
        <w:rPr>
          <w:i/>
          <w:sz w:val="20"/>
        </w:rPr>
        <w:t>EN: Single-catalyst operando photoluminescence spectroscopy of perovskite quantum-dot-driven photoredox reactions</w:t>
      </w:r>
    </w:p>
    <w:p>
      <w:pPr>
        <w:spacing w:before="0" w:after="120"/>
      </w:pPr>
      <w:r>
        <w:rPr>
          <w:b/>
        </w:rPr>
        <w:t xml:space="preserve">Source: </w:t>
      </w:r>
      <w:r>
        <w:t>Chem</w:t>
      </w:r>
      <w:r>
        <w:t xml:space="preserve">    </w:t>
      </w:r>
      <w:r>
        <w:rPr>
          <w:b/>
        </w:rPr>
        <w:t xml:space="preserve">Pub date: </w:t>
      </w:r>
      <w:r>
        <w:t>2026-08-13 00:00:00+00:00</w:t>
      </w:r>
      <w:r>
        <w:t xml:space="preserve">    </w:t>
      </w:r>
      <w:r>
        <w:rPr>
          <w:b/>
        </w:rPr>
        <w:t xml:space="preserve">DOI: </w:t>
      </w:r>
      <w:hyperlink r:id="rId1831">
        <w:r>
          <w:rPr>
            <w:color w:val="1155CC"/>
            <w:u w:val="single"/>
          </w:rPr>
          <w:t>10.1016/j.chempr.2026.103199</w:t>
        </w:r>
      </w:hyperlink>
    </w:p>
    <w:p>
      <w:pPr>
        <w:spacing w:before="0" w:after="120"/>
      </w:pPr>
      <w:r>
        <w:rPr>
          <w:b/>
        </w:rPr>
        <w:t xml:space="preserve">Notes: </w:t>
      </w:r>
      <w:r>
        <w:t>abstract_source=rss_cell</w:t>
      </w:r>
    </w:p>
    <w:p>
      <w:pPr>
        <w:spacing w:before="0" w:after="80" w:lineRule="auto" w:line="276"/>
      </w:pPr>
      <w:r>
        <w:rPr>
          <w:b/>
        </w:rPr>
        <w:t xml:space="preserve">摘要（ZH）: </w:t>
      </w:r>
      <w:r>
        <w:t>在活性操作期间对单个催化剂进行光谱测量仍然很困难，并且通常需要专门的反应条件。这项工作提出了卤化铅钙钛矿量子点的单催化剂操作研究，这是一种具有出色的电子和化学可调性的新兴光催化剂平台。通过单粒子光致发光光谱固定并直接询问单个量子点，克服了传统的反应物浓度限制。因此，可以在真实的反应条件下表征充电/放电动力学、颗粒间异质性、活性波动和催化剂降解。</w:t>
      </w:r>
    </w:p>
    <w:p>
      <w:pPr>
        <w:spacing w:before="0" w:after="200" w:lineRule="auto" w:line="276"/>
      </w:pPr>
      <w:r>
        <w:rPr>
          <w:b/>
        </w:rPr>
        <w:t xml:space="preserve">Abstract (EN): </w:t>
      </w:r>
      <w:r>
        <w:t>Spectroscopic measurements on individual catalysts during active operation remain difficult and typically necessitate specialized reaction conditions. This work presents a single-catalyst operando study of lead halide perovskite quantum dots, an emerging photocatalyst platform with exceptional electronic and chemical tunability. Traditional reactant concentration limits are overcome by immobilizing and directly interrogating individual QDs via single-particle photoluminescence spectroscopy. Thus, charging/discharging dynamics, particle-to-particle heterogeneities, activity fluctuations, and catalyst degradation can be characterized under authentic reaction conditions.</w:t>
      </w:r>
    </w:p>
    <w:p>
      <w:pPr>
        <w:spacing w:before="120" w:after="120"/>
      </w:pPr>
      <w:r>
        <w:rPr>
          <w:sz w:val="18"/>
        </w:rPr>
        <w:t>——————————————————————————————————————————————————————————————————————</w:t>
      </w:r>
    </w:p>
    <w:p>
      <w:pPr>
        <w:spacing w:before="160" w:after="40" w:line="240" w:lineRule="auto"/>
      </w:pPr>
      <w:r>
        <w:rPr>
          <w:b/>
        </w:rPr>
        <w:t xml:space="preserve">[669] </w:t>
      </w:r>
      <w:hyperlink r:id="rId1832">
        <w:r>
          <w:rPr>
            <w:color w:val="1155CC"/>
            <w:u w:val="single"/>
          </w:rPr>
          <w:t>氢过氧化黄素和半醌：结构和仿生活性</w:t>
        </w:r>
      </w:hyperlink>
    </w:p>
    <w:p>
      <w:pPr>
        <w:spacing w:before="0" w:after="80"/>
      </w:pPr>
      <w:r>
        <w:rPr>
          <w:i/>
          <w:sz w:val="20"/>
        </w:rPr>
        <w:t>EN: Flavin Hydroperoxide and Semiquinone: Structures and Biomimetic Activity</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33">
        <w:r>
          <w:rPr>
            <w:color w:val="1155CC"/>
            <w:u w:val="single"/>
          </w:rPr>
          <w:t>10.1021/jacs.6c11146</w:t>
        </w:r>
      </w:hyperlink>
    </w:p>
    <w:p>
      <w:pPr>
        <w:spacing w:before="0" w:after="120"/>
      </w:pPr>
      <w:r>
        <w:rPr>
          <w:b/>
        </w:rPr>
        <w:t xml:space="preserve">Notes: </w:t>
      </w:r>
      <w:r>
        <w:t>abstract_source=crossref</w:t>
      </w:r>
    </w:p>
    <w:p>
      <w:pPr>
        <w:spacing w:before="0" w:after="80" w:lineRule="auto" w:line="276"/>
      </w:pPr>
      <w:r>
        <w:rPr>
          <w:b/>
        </w:rPr>
        <w:t xml:space="preserve">摘要（ZH）: </w:t>
      </w:r>
      <w:r>
        <w:t>摘要 黄素是独特的天然氧化还原辅助因子，可以在氧化状态、自由基半还原状态和完全还原状态之间切换。在自然界中，这些氧化还原态之间的相互作用是由周围的黄素酶精心策划的，并释放出无数独特的化学转化。黄素最典型的特性之一是通过还原的辅因子激活空气中的分子氧，该过程通过半还原的半醌自由基进行并产生黄素氢过氧化物，这是黄素介导的氧化的关键物质。虽然黄素半醌和氢过氧化物是许多天然和仿生催化过程的核心，但它们都是瞬态活性物质，因此迄今为止都回避了分子水平的结构表征，包括单晶衍射。我们缩小了这一差距，并公开了两种分离的关键中间体的固态结构，将它们的反应性与酶促转化联系起来。四氢咔唑是许多生物活性天然产物的核心结构，其仿生氧化是使用黄素氢过氧化物以高产率实现的。通过将黄素半醌嵌入催化循环中，实现了相同底物的正交活化。总共访问了七个不同的产品类别，所有这些产品的结构都类似于天然产品中的结构。我们的研究结果清楚地将分离的黄素物种的反应性与经过充分研究的黄素酶联系起来。我们希望这些结果能够促进黄素催化剂作为氧化剂在实验室和实验室的应用。</w:t>
      </w:r>
    </w:p>
    <w:p>
      <w:pPr>
        <w:spacing w:before="0" w:after="200" w:lineRule="auto" w:line="276"/>
      </w:pPr>
      <w:r>
        <w:rPr>
          <w:b/>
        </w:rPr>
        <w:t xml:space="preserve">Abstract (EN): </w:t>
      </w:r>
      <w:r>
        <w:t>Flavins are unique natural redox cofactors that can switch between an oxidized, a radical half-reduced, and a fully reduced state. In nature, the interplay between these redox states is orchestrated by the surrounding flavoenzymes and unlocks a myriad of unique chemical transformations. One of the most archetypical flavin properties is the activation of molecular oxygen from air by the reduced cofactor, which proceeds via the half-reduced semiquinone radical and leads to a flavin hydroperoxide, the key species in flavin-mediated oxygenations. While central to many natural and biomimetic catalytic processes, both flavin semiquinone and hydroperoxide are transient reactive species and, therefore, have so far evaded structural characterization at the molecular level, including single-crystal diffraction. We close this gap and disclose solid-state structures of both isolated key intermediates, linking their reactivity to enzymatic transformations. The biomimetic oxygenation of tetrahydrocarbazoles, which constitute the core structure of many biologically active natural products, was achieved in high yields using a flavin hydroperoxide. Orthogonal activation of the same substrates was achieved by embedding the flavin semiquinone in a catalytic cycle. A total of seven distinct product classes were accessed, all resembling structures occurring in natural products. Our findings clearly link the reactivity of isolated flavin species to well-studied flavoenzymes. We expect these results to promote the application of flavin catalysts as oxygenation agents at both laboratory and industrial scales.</w:t>
      </w:r>
    </w:p>
    <w:p>
      <w:pPr>
        <w:spacing w:before="120" w:after="120"/>
      </w:pPr>
      <w:r>
        <w:rPr>
          <w:sz w:val="18"/>
        </w:rPr>
        <w:t>——————————————————————————————————————————————————————————————————————</w:t>
      </w:r>
    </w:p>
    <w:p>
      <w:pPr>
        <w:spacing w:before="160" w:after="40" w:line="240" w:lineRule="auto"/>
      </w:pPr>
      <w:r>
        <w:rPr>
          <w:b/>
        </w:rPr>
        <w:t xml:space="preserve">[670] </w:t>
      </w:r>
      <w:hyperlink r:id="rId1834">
        <w:r>
          <w:rPr>
            <w:color w:val="1155CC"/>
            <w:u w:val="single"/>
          </w:rPr>
          <w:t>用于提供小分子治疗的金属有机框架 (MOF)</w:t>
        </w:r>
      </w:hyperlink>
    </w:p>
    <w:p>
      <w:pPr>
        <w:spacing w:before="0" w:after="80"/>
      </w:pPr>
      <w:r>
        <w:rPr>
          <w:i/>
          <w:sz w:val="20"/>
        </w:rPr>
        <w:t>EN: Metal–Organic Frameworks (MOFs) for the Delivery of Small-Molecule Therapeutics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35">
        <w:r>
          <w:rPr>
            <w:color w:val="1155CC"/>
            <w:u w:val="single"/>
          </w:rPr>
          <w:t>10.1021/jacs.6c06915</w:t>
        </w:r>
      </w:hyperlink>
    </w:p>
    <w:p>
      <w:pPr>
        <w:spacing w:before="0" w:after="120"/>
      </w:pPr>
      <w:r>
        <w:rPr>
          <w:b/>
        </w:rPr>
        <w:t xml:space="preserve">Notes: </w:t>
      </w:r>
      <w:r>
        <w:t>abstract_source=crossref</w:t>
      </w:r>
    </w:p>
    <w:p>
      <w:pPr>
        <w:spacing w:before="0" w:after="80" w:lineRule="auto" w:line="276"/>
      </w:pPr>
      <w:r>
        <w:rPr>
          <w:b/>
        </w:rPr>
        <w:t xml:space="preserve">摘要（ZH）: </w:t>
      </w:r>
      <w:r>
        <w:t>摘要 作为尖端多孔材料，金属有机框架（MOF）的性能由其金属节点和有机连接体以及这些亚基的组装模式决定。这使得MOFs对小分子药物的负载能力可以通过合理调整其结构和理化性质来轻松定制。此外，在 MOF 中引入额外的官能团可以实现小分子药物的刺激响应释放，从而使 MOF 成为小分子药物递送的有希望的候选者。以此视角，我们总结了基于MOF的小分子药物递送载体构建的进展，并分析了各种小分子药物负载策略的优点和局限性。我们还介绍了药物释放机制及其在多种人类疾病靶向治疗中的应用。该观点特别阐述了如何根据小分子药物固有的理化性质和具体的生物医学应用来选择相应的载药策略，以利于临床转化。</w:t>
      </w:r>
    </w:p>
    <w:p>
      <w:pPr>
        <w:spacing w:before="0" w:after="200" w:lineRule="auto" w:line="276"/>
      </w:pPr>
      <w:r>
        <w:rPr>
          <w:b/>
        </w:rPr>
        <w:t xml:space="preserve">Abstract (EN): </w:t>
      </w:r>
      <w:r>
        <w:t>As cutting-edge porous materials, the properties of metal–organic frameworks (MOFs) are governed by their metal nodes and organic linkers, as well as the assembly mode of these subunits. This allows the loading capacity of MOFs for small-molecule drugs to be readily tailored by rationally adjusting their structures and physicochemical properties. Furthermore, the introduction of additional functional groups into MOFs can enable the stimuli-responsive release of small-molecule drugs, thus rendering MOFs promising candidates for small-molecule drug delivery. With this perspective, we summarize the advances in the construction of MOF-based small-molecule drug delivery carriers and analyze the advantages and limitations of the various loading strategies for small-molecule drugs. We also introduce drug release mechanisms and their application for the targeted treatment of various human diseases. In particular, this perspective describes how the corresponding drug-loading strategies should be selected based on the inherent physicochemical properties of the small-molecule drugs and the specific biomedical application, in order to facilitate clinical translation.</w:t>
      </w:r>
    </w:p>
    <w:p>
      <w:pPr>
        <w:spacing w:before="120" w:after="120"/>
      </w:pPr>
      <w:r>
        <w:rPr>
          <w:sz w:val="18"/>
        </w:rPr>
        <w:t>——————————————————————————————————————————————————————————————————————</w:t>
      </w:r>
    </w:p>
    <w:p>
      <w:pPr>
        <w:spacing w:before="160" w:after="40" w:line="240" w:lineRule="auto"/>
      </w:pPr>
      <w:r>
        <w:rPr>
          <w:b/>
        </w:rPr>
        <w:t xml:space="preserve">[671] </w:t>
      </w:r>
      <w:hyperlink r:id="rId1836">
        <w:r>
          <w:rPr>
            <w:color w:val="1155CC"/>
            <w:u w:val="single"/>
          </w:rPr>
          <w:t>“Trojan”蛋氨酸探针揭示 PKM2 作为 mTORC1 通路中的蛋氨酸传感蛋白</w:t>
        </w:r>
      </w:hyperlink>
    </w:p>
    <w:p>
      <w:pPr>
        <w:spacing w:before="0" w:after="80"/>
      </w:pPr>
      <w:r>
        <w:rPr>
          <w:i/>
          <w:sz w:val="20"/>
        </w:rPr>
        <w:t>EN: “Trojan” Methionine Probe Reveals PKM2 as a Methionine-Sensing Protein in the mTORC1 Pathway</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37">
        <w:r>
          <w:rPr>
            <w:color w:val="1155CC"/>
            <w:u w:val="single"/>
          </w:rPr>
          <w:t>10.1021/jacs.6c06772</w:t>
        </w:r>
      </w:hyperlink>
    </w:p>
    <w:p>
      <w:pPr>
        <w:spacing w:before="0" w:after="120"/>
      </w:pPr>
      <w:r>
        <w:rPr>
          <w:b/>
        </w:rPr>
        <w:t xml:space="preserve">Notes: </w:t>
      </w:r>
      <w:r>
        <w:t>abstract_source=crossref</w:t>
      </w:r>
    </w:p>
    <w:p>
      <w:pPr>
        <w:spacing w:before="0" w:after="80" w:lineRule="auto" w:line="276"/>
      </w:pPr>
      <w:r>
        <w:rPr>
          <w:b/>
        </w:rPr>
        <w:t xml:space="preserve">摘要（ZH）: </w:t>
      </w:r>
      <w:r>
        <w:t>摘要 蛋氨酸 (Met) 在许多细胞功能中发挥着关键作用。蛋氨酸限制已被证明可以为衰老、肥胖、糖尿病提供代谢益处，并可作为癌症治疗的辅助手段。然而，蛋氨酸传感蛋白以及细胞如何直接感知蛋氨酸水平仍然难以捉摸。在这项研究中，我们开发了一种蛋氨酸的光亲和类似物，以捕获特异性识别和感知活细胞中蛋氨酸的蛋白质。通过化学蛋白质组学分析和生化验证，我们发现 PKM2 是一种特定的蛋氨酸传感器，它通过与 GATOR2 复合物的相互作用来转导蛋氨酸可用性信号，而 GATOR2 复合物反过来又通过 PKM2 上的新型蛋氨酸识别口袋调节 mTORC1 通路的下游响应。由于我们的研究结果表明 PKM2 对蛋氨酸的感知与其酶活性无关，因此我们设想破坏蛋氨酸与 PKM2 的结合或稳定 PKM2-GATOR2 相互作用将在活细胞中产生蛋氨酸假饥饿状态，这有望成为一种新的治疗途径，可以模拟限制蛋氨酸饮食的生理学益处并规避饮食蛋氨酸限制的缺点。</w:t>
      </w:r>
    </w:p>
    <w:p>
      <w:pPr>
        <w:spacing w:before="0" w:after="200" w:lineRule="auto" w:line="276"/>
      </w:pPr>
      <w:r>
        <w:rPr>
          <w:b/>
        </w:rPr>
        <w:t xml:space="preserve">Abstract (EN): </w:t>
      </w:r>
      <w:r>
        <w:t>Methionine (Met) plays a pivotal role in numerous cellular functions. Methionine restriction has been demonstrated to provide metabolic benefits in aging, obesity, diabetes and as an adjunct to cancer therapy. However, the methionine-sensing proteins and how cells directly sense the methionine level have remained elusive. In this study, we developed a photoaffinity analogue of methionine to capture proteins that specifically recognize and sense methionine in living cells. Using chemoproteomic profiling and biochemical validation, we found that PKM2 is a specific methionine sensor that transduces methionine availability signals through the interaction with the GATOR2 complex, which, in turn, modulates the downstream response of the mTORC1 pathway through a novel methionine-recognition pocket on PKM2. As our findings indicate that the sensing of methionine by PKM2 is independent of its enzymatic activity, we envision that disrupting the binding of methionine to PKM2 or stabilizing the PKM2-GATOR2 interaction would create a methionine pseudostarvation state in living cells, which holds promise as a novel therapeutic avenue that could emulate the physiological benefits of a methionine-restricted diet and circumvent the drawbacks of dietary methionine restriction.</w:t>
      </w:r>
    </w:p>
    <w:p>
      <w:pPr>
        <w:spacing w:before="120" w:after="120"/>
      </w:pPr>
      <w:r>
        <w:rPr>
          <w:sz w:val="18"/>
        </w:rPr>
        <w:t>——————————————————————————————————————————————————————————————————————</w:t>
      </w:r>
    </w:p>
    <w:p>
      <w:pPr>
        <w:spacing w:before="160" w:after="40" w:line="240" w:lineRule="auto"/>
      </w:pPr>
      <w:r>
        <w:rPr>
          <w:b/>
        </w:rPr>
        <w:t xml:space="preserve">[672] </w:t>
      </w:r>
      <w:hyperlink r:id="rId1838">
        <w:r>
          <w:rPr>
            <w:color w:val="1155CC"/>
            <w:u w:val="single"/>
          </w:rPr>
          <w:t>使用有机还原剂的三芳基硼烷催化均相分子转化</w:t>
        </w:r>
      </w:hyperlink>
    </w:p>
    <w:p>
      <w:pPr>
        <w:spacing w:before="0" w:after="80"/>
      </w:pPr>
      <w:r>
        <w:rPr>
          <w:i/>
          <w:sz w:val="20"/>
        </w:rPr>
        <w:t>EN: Triarylborane-Catalyzed Homogeneous Molecular Transformations Using Organic Reductants</w:t>
      </w:r>
    </w:p>
    <w:p>
      <w:pPr>
        <w:spacing w:before="0" w:after="120"/>
      </w:pPr>
      <w:r>
        <w:rPr>
          <w:b/>
        </w:rPr>
        <w:t xml:space="preserve">Source: </w:t>
      </w:r>
      <w:r>
        <w:t>Chemical Reviews: Latest Articles (ACS Publications)</w:t>
      </w:r>
      <w:r>
        <w:t xml:space="preserve">    </w:t>
      </w:r>
      <w:r>
        <w:rPr>
          <w:b/>
        </w:rPr>
        <w:t xml:space="preserve">Pub date: </w:t>
      </w:r>
      <w:r>
        <w:t>2026-08-13 00:00:00+00:00</w:t>
      </w:r>
      <w:r>
        <w:t xml:space="preserve">    </w:t>
      </w:r>
      <w:r>
        <w:rPr>
          <w:b/>
        </w:rPr>
        <w:t xml:space="preserve">DOI: </w:t>
      </w:r>
      <w:hyperlink r:id="rId1839">
        <w:r>
          <w:rPr>
            <w:color w:val="1155CC"/>
            <w:u w:val="single"/>
          </w:rPr>
          <w:t>10.1021/acs.chemrev.6c00439</w:t>
        </w:r>
      </w:hyperlink>
    </w:p>
    <w:p>
      <w:pPr>
        <w:spacing w:before="0" w:after="120"/>
      </w:pPr>
      <w:r>
        <w:rPr>
          <w:b/>
        </w:rPr>
        <w:t xml:space="preserve">Notes: </w:t>
      </w:r>
      <w:r>
        <w:t>abstract_source=crossref</w:t>
      </w:r>
    </w:p>
    <w:p>
      <w:pPr>
        <w:spacing w:before="0" w:after="80" w:lineRule="auto" w:line="276"/>
      </w:pPr>
      <w:r>
        <w:rPr>
          <w:b/>
        </w:rPr>
        <w:t xml:space="preserve">摘要（ZH）: </w:t>
      </w:r>
      <w:r>
        <w:t>摘要 三芳基硼烷已成为使用各种还原剂（包括分子氢 (H2)、氢硅烷、Hantzsch 酯和氨硼烷）还原有机分子的强大主族催化剂。这一发展很大程度上得益于三芳基硼烷的广泛结构多样化，这使得可以系统地调节硼中心的路易斯酸度和空间环境。自十多年前对该领域进行开创性回顾以来，该领域经历了显着的发展，促使这一综合性的阐述涵盖了三个关键方向：(1) 三芳基硼烷，与传统的 B(C6F5)3 不同，在路易斯碱（如 H2O、CO2 和 CO）存在下仍保持催化活性，从而可以使用纯 H2 或粗 H2； (2)多种有机还原剂，包括氨硼烷、Hantzsch酯、环己二烯和其他氢化物供体； (3)还原剂活化和立体控制的机制见解。本综述涵盖 2016 年至 2025 年的进展，讨论了硼烷设计、底物范围、官能团耐受性以及每种还原剂类别的机制方面的创新。通过统一这些相关但独立的进展，它旨在为合成化学家和理论家提供对三芳基硼烷催化均相还原的及时见解，强调主族催化剂作为贵过渡金属系统的可持续、实用替代品。</w:t>
      </w:r>
    </w:p>
    <w:p>
      <w:pPr>
        <w:spacing w:before="0" w:after="200" w:lineRule="auto" w:line="276"/>
      </w:pPr>
      <w:r>
        <w:rPr>
          <w:b/>
        </w:rPr>
        <w:t xml:space="preserve">Abstract (EN): </w:t>
      </w:r>
      <w:r>
        <w:t>Triarylboranes have emerged as powerful main-group catalysts for the reduction of organic molecules using a variety of reductants, including molecular hydrogen (H2), hydrosilanes, Hantzsch esters, and ammonia borane. This development has been largely enabled by the extensive structural diversification of triarylboranes, which allows for systematic tuning of the Lewis acidity and steric environment at the boron center. Since the seminal review of this area more than a decade ago, the field has undergone remarkable growth, prompting this comprehensive account covering three key directions: (1) triarylboranes that, unlike conventional B(C6F5)3, remain catalytically active in the presence of Lewis bases such as H2O, CO2, and CO, enabling the use of pure or crude H2; (2) diverse organic reductants, including ammonia borane, Hantzsch esters, cyclohexadienes, and other hydride donors; and (3) mechanistic insights into reductant activation and stereocontrol. Covering advances from 2016 to 2025, this review discusses innovations in borane design, substrate scope, functional-group tolerance, and mechanism across each reductant class. By unifying these related yet independent developments, it aims to provide synthetic chemists and theoreticians with timely insights into triarylborane-catalyzed homogeneous reductions, highlighting main-group catalysts as sustainable, practical alternatives to precious-transition-metal systems.</w:t>
      </w:r>
    </w:p>
    <w:p>
      <w:pPr>
        <w:spacing w:before="120" w:after="120"/>
      </w:pPr>
      <w:r>
        <w:rPr>
          <w:sz w:val="18"/>
        </w:rPr>
        <w:t>——————————————————————————————————————————————————————————————————————</w:t>
      </w:r>
    </w:p>
    <w:p>
      <w:pPr>
        <w:spacing w:before="160" w:after="40" w:line="240" w:lineRule="auto"/>
      </w:pPr>
      <w:r>
        <w:rPr>
          <w:b/>
        </w:rPr>
        <w:t xml:space="preserve">[673] </w:t>
      </w:r>
      <w:hyperlink r:id="rId1840">
        <w:r>
          <w:rPr>
            <w:color w:val="1155CC"/>
            <w:u w:val="single"/>
          </w:rPr>
          <w:t>阳离子液体脂质体纳米平台可实现雄激素依赖性皮肤病的透皮 asiRNA 递送</w:t>
        </w:r>
      </w:hyperlink>
    </w:p>
    <w:p>
      <w:pPr>
        <w:spacing w:before="0" w:after="80"/>
      </w:pPr>
      <w:r>
        <w:rPr>
          <w:i/>
          <w:sz w:val="20"/>
        </w:rPr>
        <w:t>EN: A Cationic Ionic Liquid−Liposome Nanoplatform Enables Transdermal asiRNA Delivery for Androgen-Dependent Dermatoses</w:t>
      </w:r>
    </w:p>
    <w:p>
      <w:pPr>
        <w:spacing w:before="0" w:after="120"/>
      </w:pPr>
      <w:r>
        <w:rPr>
          <w:b/>
        </w:rPr>
        <w:t xml:space="preserve">Source: </w:t>
      </w:r>
      <w:r>
        <w:t>ACS Applied Materials &amp; Interfaces: Latest Articles (ACS Publications)</w:t>
      </w:r>
      <w:r>
        <w:t xml:space="preserve">    </w:t>
      </w:r>
      <w:r>
        <w:rPr>
          <w:b/>
        </w:rPr>
        <w:t xml:space="preserve">Pub date: </w:t>
      </w:r>
      <w:r>
        <w:t>2026-08-13 00:00:00+00:00</w:t>
      </w:r>
      <w:r>
        <w:t xml:space="preserve">    </w:t>
      </w:r>
      <w:r>
        <w:rPr>
          <w:b/>
        </w:rPr>
        <w:t xml:space="preserve">DOI: </w:t>
      </w:r>
      <w:hyperlink r:id="rId1841">
        <w:r>
          <w:rPr>
            <w:color w:val="1155CC"/>
            <w:u w:val="single"/>
          </w:rPr>
          <w:t>10.1021/acsami.6c05877</w:t>
        </w:r>
      </w:hyperlink>
    </w:p>
    <w:p>
      <w:pPr>
        <w:spacing w:before="0" w:after="120"/>
      </w:pPr>
      <w:r>
        <w:rPr>
          <w:b/>
        </w:rPr>
        <w:t xml:space="preserve">Notes: </w:t>
      </w:r>
      <w:r>
        <w:t>abstract_source=crossref</w:t>
      </w:r>
    </w:p>
    <w:p>
      <w:pPr>
        <w:spacing w:before="0" w:after="80" w:lineRule="auto" w:line="276"/>
      </w:pPr>
      <w:r>
        <w:rPr>
          <w:b/>
        </w:rPr>
        <w:t xml:space="preserve">摘要（ZH）: </w:t>
      </w:r>
      <w:r>
        <w:t>摘要：针对雄激素受体（AR）的安全有效的局部治疗仍然缺乏，雄激素受体是导致雄激素性脱发（AGA）、痤疮和皮脂溢等常见皮肤病的原因。 siRNA等大分子核酸药物因其高度特异性而具有潜力。然而，其临床应用却受到角质层物理屏障的阻碍。本研究报告了一种基于阳离子离子液体脂质体 (ITD) 的混合纳米平台，可实现靶向 AR 的不对称 siRNA (asiRNA) 的高效透皮递送。该平台（粒径~200 nm，zeta电位+15 mV）利用离子液体的渗透增强特性，将asiRNA透皮效率提高8倍，并表现出与商业金标准试剂相当的体外AR沉默功效。通过在小鼠模型中沉默 AR（毛囊皮脂腺疾病共有的中央雄激素反应性调节节点），该制剂可减轻雄激素引起的脱发，减轻痤疮样炎症病变，并减少皮脂相关的脂质积累。值得注意的是，这种临床前多效性转化为初步的开放标签人体功效评估：在一项志愿者研究中，该配方显着减少了脱发数量（-48.59%）、炎性痤疮病变（-67.74%）和皮肤皮脂水平（-24.92%）。总之，ITD 平台代表了一种新颖的非侵入性治疗策略，可解决多种顽固性雄激素依赖性皮肤病，展示了临床转化潜力。</w:t>
      </w:r>
    </w:p>
    <w:p>
      <w:pPr>
        <w:spacing w:before="0" w:after="200" w:lineRule="auto" w:line="276"/>
      </w:pPr>
      <w:r>
        <w:rPr>
          <w:b/>
        </w:rPr>
        <w:t xml:space="preserve">Abstract (EN): </w:t>
      </w:r>
      <w:r>
        <w:t>A safe and effective topical therapy targeting the androgen receptor (AR), responsible for prevalent skin disorders, such as androgenetic alopecia (AGA), acne, and seborrhea, remains lacking. Macromolecular nucleic acid drugs such as siRNA have potential because of their high specificity. However, their clinical application has been hindered by the physical barrier of the stratum corneum. This study reports a hybrid nanoplatform based on cationic ionic liquid liposomes (ITD) that achieves efficient transdermal delivery of an asymmetric siRNA (asiRNA) targeting AR. This platform (particle size ∼200 nm, zeta potential +15 mV) leverages the penetration-enhancing properties of ionic liquids to improve asiRNA transdermal efficiency 8-fold and demonstrates an in vitro AR silencing efficacy comparable to that of the commercial gold-standard reagent. By silencing AR (a central androgen-responsive regulatory node shared by pilosebaceous disorders) in murine models, the formulation attenuates androgen-induced hair loss, alleviates acne-like inflammatory lesions, and reduces sebum-associated lipid accumulation. Remarkably, this preclinical pleiotropy is translated into preliminary open-label human efficacy evaluation: in a volunteer study, the formulation significantly reduced hair loss counts (−48.59%), inflammatory acne lesions (−67.74%), and skin sebum levels (−24.92%). In summary, the ITD platform represents a novel, noninvasive therapeutic strategy that addresses multiple recalcitrant androgen-dependent dermatoses, demonstrating clinical translational potential.</w:t>
      </w:r>
    </w:p>
    <w:p>
      <w:pPr>
        <w:spacing w:before="120" w:after="120"/>
      </w:pPr>
      <w:r>
        <w:rPr>
          <w:sz w:val="18"/>
        </w:rPr>
        <w:t>——————————————————————————————————————————————————————————————————————</w:t>
      </w:r>
    </w:p>
    <w:p>
      <w:pPr>
        <w:spacing w:before="160" w:after="40" w:line="240" w:lineRule="auto"/>
      </w:pPr>
      <w:r>
        <w:rPr>
          <w:b/>
        </w:rPr>
        <w:t xml:space="preserve">[674] </w:t>
      </w:r>
      <w:hyperlink r:id="rId1842">
        <w:r>
          <w:rPr>
            <w:color w:val="1155CC"/>
            <w:u w:val="single"/>
          </w:rPr>
          <w:t>通过酸性微滴上的 O2 界面氧化氯来自发产生氯</w:t>
        </w:r>
      </w:hyperlink>
    </w:p>
    <w:p>
      <w:pPr>
        <w:spacing w:before="0" w:after="80"/>
      </w:pPr>
      <w:r>
        <w:rPr>
          <w:i/>
          <w:sz w:val="20"/>
        </w:rPr>
        <w:t>EN: Spontaneous Chlorine Generation via Interfacial Oxidation of Chloride by O2 on Acidic Microdroplets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43">
        <w:r>
          <w:rPr>
            <w:color w:val="1155CC"/>
            <w:u w:val="single"/>
          </w:rPr>
          <w:t>10.1021/jacs.6c10175</w:t>
        </w:r>
      </w:hyperlink>
    </w:p>
    <w:p>
      <w:pPr>
        <w:spacing w:before="0" w:after="120"/>
      </w:pPr>
      <w:r>
        <w:rPr>
          <w:b/>
        </w:rPr>
        <w:t xml:space="preserve">Notes: </w:t>
      </w:r>
      <w:r>
        <w:t>abstract_source=crossref</w:t>
      </w:r>
    </w:p>
    <w:p>
      <w:pPr>
        <w:spacing w:before="0" w:after="80" w:lineRule="auto" w:line="276"/>
      </w:pPr>
      <w:r>
        <w:rPr>
          <w:b/>
        </w:rPr>
        <w:t xml:space="preserve">摘要（ZH）: </w:t>
      </w:r>
      <w:r>
        <w:t>摘要 活性氯物种显着影响大气化学，但其来源仍不明确。我们发现了通过 O2 在酸性微滴上的界面氧化来氧化氯化物 (Cl–) 的大量分子氯 (Cl2) 的自发形成途径。质子 (H+) 促进了这种有效的界面反应，质子在气液界面富集 Cl-，介导电子转移过程，同时释放气态 Cl2 和羟基自由基 (OH)。鉴于海洋和污染的城市环境中酸性含氯液滴的普遍存在，这种形成机制构成了一个大量的、以前未解释过的对流层氯源。与已建立的机制不同，该途径产生活性卤素，而不消耗 O3 或 OH 等气态氧化剂，而是产生颗粒活性氧 (ROS)。因此，当前的大气模型可能低估了活性卤素对大气氧化能力的贡献。</w:t>
      </w:r>
    </w:p>
    <w:p>
      <w:pPr>
        <w:spacing w:before="0" w:after="200" w:lineRule="auto" w:line="276"/>
      </w:pPr>
      <w:r>
        <w:rPr>
          <w:b/>
        </w:rPr>
        <w:t xml:space="preserve">Abstract (EN): </w:t>
      </w:r>
      <w:r>
        <w:t>Reactive chlorine species significantly influence atmospheric chemistry, yet their sources remain inadequately defined. We have discovered a spontaneous formation pathway for substantial molecular chlorine (Cl2) from the oxidation of chloride (Cl–) through interfacial oxidation by O2 on acidic microdroplets. This efficient interfacial reaction is facilitated by protons (H+), which enrich Cl– at the gas–liquid interface and mediate the electron-transfer process, concurrently releasing gaseous Cl2 and hydroxyl radicals (OH). Given the prevalence of acidic, chloride-containing droplets in marine and polluted urban environments, this formation mechanism constitutes a substantial and previously unaccounted tropospheric chlorine source. Unlike established mechanisms, this pathway generates active halogens without consuming gaseous oxidants like O3 or OH, instead producing particulate reactive oxygen species (ROS). Consequently, current atmospheric models likely underestimate the contribution of reactive halogens to atmospheric oxidation capacity.</w:t>
      </w:r>
    </w:p>
    <w:p>
      <w:pPr>
        <w:spacing w:before="120" w:after="120"/>
      </w:pPr>
      <w:r>
        <w:rPr>
          <w:sz w:val="18"/>
        </w:rPr>
        <w:t>——————————————————————————————————————————————————————————————————————</w:t>
      </w:r>
    </w:p>
    <w:p>
      <w:pPr>
        <w:spacing w:before="160" w:after="40" w:line="240" w:lineRule="auto"/>
      </w:pPr>
      <w:r>
        <w:rPr>
          <w:b/>
        </w:rPr>
        <w:t xml:space="preserve">[675] </w:t>
      </w:r>
      <w:hyperlink r:id="rId1844">
        <w:r>
          <w:rPr>
            <w:color w:val="1155CC"/>
            <w:u w:val="single"/>
          </w:rPr>
          <w:t>在快速气候变化下无法跟踪稳定的 AMOC 状态</w:t>
        </w:r>
      </w:hyperlink>
    </w:p>
    <w:p>
      <w:pPr>
        <w:spacing w:before="0" w:after="80"/>
      </w:pPr>
      <w:r>
        <w:rPr>
          <w:i/>
          <w:sz w:val="20"/>
        </w:rPr>
        <w:t>EN: Failure to track a stable AMOC state under rapid climate change</w:t>
      </w:r>
    </w:p>
    <w:p>
      <w:pPr>
        <w:spacing w:before="0" w:after="120"/>
      </w:pPr>
      <w:r>
        <w:rPr>
          <w:b/>
        </w:rPr>
        <w:t xml:space="preserve">Source: </w:t>
      </w:r>
      <w:r>
        <w:t>Nature Climate Change</w:t>
      </w:r>
      <w:r>
        <w:t xml:space="preserve">    </w:t>
      </w:r>
      <w:r>
        <w:rPr>
          <w:b/>
        </w:rPr>
        <w:t xml:space="preserve">Pub date: </w:t>
      </w:r>
      <w:r>
        <w:t>2026-08-13 00:00:00+00:00</w:t>
      </w:r>
      <w:r>
        <w:t xml:space="preserve">    </w:t>
      </w:r>
      <w:r>
        <w:rPr>
          <w:b/>
        </w:rPr>
        <w:t xml:space="preserve">DOI: </w:t>
      </w:r>
      <w:hyperlink r:id="rId1845">
        <w:r>
          <w:rPr>
            <w:color w:val="1155CC"/>
            <w:u w:val="single"/>
          </w:rPr>
          <w:t>10.1038/s41558-026-02730-w</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大西洋经向翻转环流 (AMOC) 是气候系统的一个临界因素，目前估计全球变暖崩溃的阈值为 +4.0°C（不确定性范围 1.4–8°C）。然而，这样的阈值可能没有意义，因为 AMOC 稳定性取决于辐射强迫变化的速率，而不是设定温度。在这里，我们确定了一种 AMOC 稳定机制，其运行时间尺度比目前的变暖速度慢。缓慢的强迫可以在蒸发增强和海冰范围缩小的支持下，对海洋表面和内部特性进行连贯调整，从而抵消不稳定的反馈。使用慢速 CO</w:t>
      </w:r>
      <w:r>
        <w:rPr>
          <w:vertAlign w:val="subscript"/>
        </w:rPr>
        <w:t>2</w:t>
      </w:r>
      <w:r>
        <w:t>斜坡（+0.5 ppm 年</w:t>
      </w:r>
      <w:r>
        <w:t xml:space="preserve"> </w:t>
      </w:r>
      <w:r>
        <w:t>−1</w:t>
      </w:r>
      <w:r>
        <w:t xml:space="preserve"> </w:t>
      </w:r>
      <w:r>
        <w:t>）气候模型模拟中，我们明确证明 AMOC 在全球变暖高达 +5.5°C 的情况下仍保持稳定。相比之下，在更快的 CO</w:t>
      </w:r>
      <w:r>
        <w:rPr>
          <w:vertAlign w:val="subscript"/>
        </w:rPr>
        <w:t>2</w:t>
      </w:r>
      <w:r>
        <w:t>斜坡，AMOC 在大幅降低的变暖水平 (+2°C) 下崩溃。我们的研究结果证明了速率引起的 AMOC 倾倒，并意味着限制排放速率对于降低 AMOC 崩溃的风险至关重要。</w:t>
      </w:r>
    </w:p>
    <w:p>
      <w:pPr>
        <w:spacing w:before="0" w:after="200" w:lineRule="auto" w:line="276"/>
      </w:pPr>
      <w:r>
        <w:rPr>
          <w:b/>
        </w:rPr>
        <w:t xml:space="preserve">Abstract (EN): </w:t>
      </w:r>
      <w:r>
        <w:t>The Atlantic Meridional Overturning Circulation (AMOC), a tipping element of the climate system, currently has an estimated global warming threshold for collapse of +4.0 °C (uncertainty range 1.4–8 °C). However, such a threshold may not be meaningful because AMOC stability depends on the rate of radiative forcing change, not a set temperature. Here we identify an AMOC stabilizing mechanism that operates on timescales slower than present-day warming rates. Slow forcing permits coherent adjustment of surface and interior ocean properties, supported by enhanced evaporation and reduced sea-ice extent, counteracting destabilizing feedbacks. Using a slow CO</w:t>
      </w:r>
      <w:r>
        <w:rPr>
          <w:vertAlign w:val="subscript"/>
        </w:rPr>
        <w:t>2</w:t>
      </w:r>
      <w:r>
        <w:t>ramp (+0.5 ppm yr</w:t>
      </w:r>
      <w:r>
        <w:t xml:space="preserve"> </w:t>
      </w:r>
      <w:r>
        <w:t>−1</w:t>
      </w:r>
      <w:r>
        <w:t xml:space="preserve"> </w:t>
      </w:r>
      <w:r>
        <w:t>) climate model simulation, we explicitly demonstrate the AMOC remains stable up to +5.5 °C of global warming. By contrast, under faster CO</w:t>
      </w:r>
      <w:r>
        <w:rPr>
          <w:vertAlign w:val="subscript"/>
        </w:rPr>
        <w:t>2</w:t>
      </w:r>
      <w:r>
        <w:t>ramps, the AMOC collapses at substantially lower warming levels (+2 °C). Our findings demonstrate rate-induced AMOC tipping and imply that limiting the rate of emissions is critical for reducing the risk of an AMOC collapse.</w:t>
      </w:r>
    </w:p>
    <w:p>
      <w:pPr>
        <w:spacing w:before="120" w:after="120"/>
      </w:pPr>
      <w:r>
        <w:rPr>
          <w:sz w:val="18"/>
        </w:rPr>
        <w:t>——————————————————————————————————————————————————————————————————————</w:t>
      </w:r>
    </w:p>
    <w:p>
      <w:pPr>
        <w:spacing w:before="160" w:after="40" w:line="240" w:lineRule="auto"/>
      </w:pPr>
      <w:r>
        <w:rPr>
          <w:b/>
        </w:rPr>
        <w:t xml:space="preserve">[676] </w:t>
      </w:r>
      <w:hyperlink r:id="rId1846">
        <w:r>
          <w:rPr>
            <w:color w:val="1155CC"/>
            <w:u w:val="single"/>
          </w:rPr>
          <w:t>单原子催化的新前沿：活性位点动力学和人工智能设计</w:t>
        </w:r>
      </w:hyperlink>
    </w:p>
    <w:p>
      <w:pPr>
        <w:spacing w:before="0" w:after="80"/>
      </w:pPr>
      <w:r>
        <w:rPr>
          <w:i/>
          <w:sz w:val="20"/>
        </w:rPr>
        <w:t>EN: New Frontiers in Single-Atom Catalysis: Active-Site Dynamics and AI-Enabled Design</w:t>
      </w:r>
    </w:p>
    <w:p>
      <w:pPr>
        <w:spacing w:before="0" w:after="120"/>
      </w:pPr>
      <w:r>
        <w:rPr>
          <w:b/>
        </w:rPr>
        <w:t xml:space="preserve">Source: </w:t>
      </w:r>
      <w:r>
        <w:t>Chemical Reviews: Latest Articles (ACS Publications)</w:t>
      </w:r>
      <w:r>
        <w:t xml:space="preserve">    </w:t>
      </w:r>
      <w:r>
        <w:rPr>
          <w:b/>
        </w:rPr>
        <w:t xml:space="preserve">Pub date: </w:t>
      </w:r>
      <w:r>
        <w:t>2026-08-13 00:00:00+00:00</w:t>
      </w:r>
      <w:r>
        <w:t xml:space="preserve">    </w:t>
      </w:r>
      <w:r>
        <w:rPr>
          <w:b/>
        </w:rPr>
        <w:t xml:space="preserve">DOI: </w:t>
      </w:r>
      <w:hyperlink r:id="rId1847">
        <w:r>
          <w:rPr>
            <w:color w:val="1155CC"/>
            <w:u w:val="single"/>
          </w:rPr>
          <w:t>10.1021/acs.chemrev.6c00200</w:t>
        </w:r>
      </w:hyperlink>
    </w:p>
    <w:p>
      <w:pPr>
        <w:spacing w:before="0" w:after="120"/>
      </w:pPr>
      <w:r>
        <w:rPr>
          <w:b/>
        </w:rPr>
        <w:t xml:space="preserve">Notes: </w:t>
      </w:r>
      <w:r>
        <w:t>abstract_source=crossref</w:t>
      </w:r>
    </w:p>
    <w:p>
      <w:pPr>
        <w:spacing w:before="0" w:after="80" w:lineRule="auto" w:line="276"/>
      </w:pPr>
      <w:r>
        <w:rPr>
          <w:b/>
        </w:rPr>
        <w:t xml:space="preserve">摘要（ZH）: </w:t>
      </w:r>
      <w:r>
        <w:t>摘要 单原子催化剂（SAC）因其独特的电子结构、最大化的原子效率和可调的催化性能而成为多相催化领域快速发展的前沿领域。越来越多的证据表明，SAC 在工作条件下本质上是动态的，其协调环境、电子结构和空间配置不断适应反应物、中间体或外部刺激。这些动态特性严重影响催化活性、选择性和稳定性，挑战传统的设计范式，并为性能优化开辟新的机会。这篇综述全面概述了反应条件下 SAC 活性位点的演变。我们讨论了原子迁移、配位变化和反应引起的去饱和单原子态相互转换的基本机制。我们还强调通过支持工​​程和协调调制来利用和控制这些过程的策略，从而实现去饱和活性位点的合理设计。最后，我们概述了主要挑战和未来方向，包括使用原位/操作表征、多尺度建模和机器学习，以加速高性能 SAC 的合理设计。通过阐明 SAC 活性位点演变的基本方面，本综述提供了重要的见解和设计原则，以推动高性能 SAC 的开发。</w:t>
      </w:r>
    </w:p>
    <w:p>
      <w:pPr>
        <w:spacing w:before="0" w:after="200" w:lineRule="auto" w:line="276"/>
      </w:pPr>
      <w:r>
        <w:rPr>
          <w:b/>
        </w:rPr>
        <w:t xml:space="preserve">Abstract (EN): </w:t>
      </w:r>
      <w:r>
        <w:t>Single-atom catalysts (SACs) have emerged as a rapidly advancing frontier in heterogeneous catalysis because of their unique electronic structures, maximized atomic efficiency, and tunable catalytic properties. Increasing evidence shows that SACs are inherently dynamic under working conditions with their coordination environment, electronic structure, and spatial configuration continuously adapting in response to reactants, intermediates, or external stimuli. These dynamic properties critically influence catalytic activity, selectivity, and stability, challenging conventional design paradigms and opening new opportunities for performance optimization. This review provides a comprehensive overview of the active-site evolution in SACs under reaction conditions. We discuss the fundamental mechanisms underlying atomic migration, coordination changes, and reaction-induced interconversion of desaturated single-atom states. We also highlight strategies to harness and control these processes through support engineering and coordination modulation, enabling the rational design of desaturated active sites. Finally, we outline major challenges and future directions, including the use of in situ/operando characterization, multiscale modeling, and machine learning, to accelerate the rational design of high-performance SACs. By elucidating the fundamental aspects of SAC active site evolution, this Review provides critical insights and design principles to advance the development of high-performance SACs.</w:t>
      </w:r>
    </w:p>
    <w:p>
      <w:pPr>
        <w:spacing w:before="120" w:after="120"/>
      </w:pPr>
      <w:r>
        <w:rPr>
          <w:sz w:val="18"/>
        </w:rPr>
        <w:t>——————————————————————————————————————————————————————————————————————</w:t>
      </w:r>
    </w:p>
    <w:p>
      <w:pPr>
        <w:spacing w:before="160" w:after="40" w:line="240" w:lineRule="auto"/>
      </w:pPr>
      <w:r>
        <w:rPr>
          <w:b/>
        </w:rPr>
        <w:t xml:space="preserve">[677] </w:t>
      </w:r>
      <w:hyperlink r:id="rId1848">
        <w:r>
          <w:rPr>
            <w:color w:val="1155CC"/>
            <w:u w:val="single"/>
          </w:rPr>
          <w:t>通过酸介导的环氧化物开环反应实现液体气溶胶的立体选择性</w:t>
        </w:r>
      </w:hyperlink>
    </w:p>
    <w:p>
      <w:pPr>
        <w:spacing w:before="0" w:after="80"/>
      </w:pPr>
      <w:r>
        <w:rPr>
          <w:i/>
          <w:sz w:val="20"/>
        </w:rPr>
        <w:t>EN: Stereoselectivity in Liquid Aerosols through Acid-Mediated Epoxide Ring-Opening Reactions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49">
        <w:r>
          <w:rPr>
            <w:color w:val="1155CC"/>
            <w:u w:val="single"/>
          </w:rPr>
          <w:t>10.1021/jacs.6c07307</w:t>
        </w:r>
      </w:hyperlink>
    </w:p>
    <w:p>
      <w:pPr>
        <w:spacing w:before="0" w:after="120"/>
      </w:pPr>
      <w:r>
        <w:rPr>
          <w:b/>
        </w:rPr>
        <w:t xml:space="preserve">Notes: </w:t>
      </w:r>
      <w:r>
        <w:t>abstract_source=crossref</w:t>
      </w:r>
    </w:p>
    <w:p>
      <w:pPr>
        <w:spacing w:before="0" w:after="80" w:lineRule="auto" w:line="276"/>
      </w:pPr>
      <w:r>
        <w:rPr>
          <w:b/>
        </w:rPr>
        <w:t xml:space="preserve">摘要（ZH）: </w:t>
      </w:r>
      <w:r>
        <w:t>摘要 假设水性大气气溶胶中的立体异构体以相等的浓度存在，因为气溶胶最常见的是简单无机盐与一系列有机物质的混合物，缺乏明显的诱导立体选择性的途径。此外，由于亚微米气溶胶呈高酸性（pH ~ 0-3），酸驱动的亲核反应是形成关键凝聚相产物的关键途径。在此，我们在酸性水性颗粒中，β-异戊二烯环氧二醇（β-IEPOX）异构体通过硫酸盐进行开环反应形成硫酸甲基四醇（MTS，例如1,3,4-三羟基-2-甲基丁-2-基硫酸盐）时表现出很强的非对映选择性。这些关键环氧化物是由异戊二烯（2-甲基-1,3-丁二烯）氧化和随后反应吸收到气溶胶中形成的，形成凝聚相物质（即二次有机气溶胶，SOA）。使用亲水相互作用液相色谱与高分辨率质谱联用对非对映异构体和区域异构体进行定量。酸驱动的硫酸盐在环氧化物环三级位点的协同攻击是MTS形成的主要途径（~93%），而其他途径（仲碳的协同取代和酸驱动的逐步取代）的贡献&lt;10%。计算化学模拟显示，与相反面的攻击相比，硫酸盐对环氧化物的协同背面攻击的能垒降低了~15 kcal/mol，这与观察到的立体选择性一致。由反式-β-IEPOX 和顺式-β-IEPOX 异构体形成的主要 MTS 非对映异构体是 (2R,3S)/(2S,3R)- 的外消旋混合物</w:t>
      </w:r>
    </w:p>
    <w:p>
      <w:pPr>
        <w:spacing w:before="0" w:after="200" w:lineRule="auto" w:line="276"/>
      </w:pPr>
      <w:r>
        <w:rPr>
          <w:b/>
        </w:rPr>
        <w:t xml:space="preserve">Abstract (EN): </w:t>
      </w:r>
      <w:r>
        <w:t>Stereoisomers in aqueous atmospheric aerosols are assumed to be present in equal concentrations, as aerosols are most commonly mixtures of simple inorganic salts with a range of organic species that lack obvious pathways to induce stereoselectivity. Further, since submicron aerosols are highly acidic (pH ∼ 0–3), acid-driven nucleophilic reactions are a crucial pathway for forming key condensed-phase products. Herein, we show strong diastereoselectivity during the ring-opening reaction of β-isoprene epoxydiol (β-IEPOX) isomers by sulfate to form methyltetrol sulfates (MTS, e.g., 1,3,4-trihydroxy-2-methylbutan-2-yl sulfate) in acidic aqueous particles. These key epoxides are formed from isoprene (2-methyl-1,3-butadiene) oxidation and subsequent reactive uptake to aerosols, forming condensed-phase species (i.e., secondary organic aerosol, SOA). Diastereomers and regioisomers were quantified using hydrophilic interaction liquid chromatography coupled with high-resolution mass spectrometry. Acid-driven concerted attack of sulfate at the epoxide-ring tertiary site was the dominant pathway (∼93%) for MTS formation, while other pathways─concerted substitution at the secondary carbon and acid-driven stepwise substitution─contributed &amp;lt;10%. Computational chemistry simulations revealed a ∼15 kcal/mol lower energy barrier for concerted backside attack of sulfate to the epoxide compared with attack from the opposite face, in line with observed stereoselectivity. Major MTS diastereomers formed from trans-β-IEPOX and cis-β-IEPOX isomers were racemic mixtures of (2R,3S)/(2S,3R)-2-MTS and (2R,3R)/(2S,3S)-2-MTS, respectively, with similar diastereoselectivity. Analysis of MTS-derived products indicates that stereochemical differences are likely propagated through continued condensed-phase secondary chemistry, which may have significant implications for climate-relevant aerosol properties. Overall, this stereoselectivity within seemingly simple liquid aerosols has important implications for condensed-phase reactions in aqueous aerosols.</w:t>
      </w:r>
    </w:p>
    <w:p>
      <w:pPr>
        <w:spacing w:before="120" w:after="120"/>
      </w:pPr>
      <w:r>
        <w:rPr>
          <w:sz w:val="18"/>
        </w:rPr>
        <w:t>——————————————————————————————————————————————————————————————————————</w:t>
      </w:r>
    </w:p>
    <w:p>
      <w:pPr>
        <w:spacing w:before="160" w:after="40" w:line="240" w:lineRule="auto"/>
      </w:pPr>
      <w:r>
        <w:rPr>
          <w:b/>
        </w:rPr>
        <w:t xml:space="preserve">[678] </w:t>
      </w:r>
      <w:hyperlink r:id="rId1850">
        <w:r>
          <w:rPr>
            <w:color w:val="1155CC"/>
            <w:u w:val="single"/>
          </w:rPr>
          <w:t>社区共享储能存储服务调度与竞价策略协同优化：分布式鲁棒双层模型</w:t>
        </w:r>
      </w:hyperlink>
    </w:p>
    <w:p>
      <w:pPr>
        <w:spacing w:before="0" w:after="80"/>
      </w:pPr>
      <w:r>
        <w:rPr>
          <w:i/>
          <w:sz w:val="20"/>
        </w:rPr>
        <w:t>EN: Co-optimization of storage service scheduling and bidding strategies for community-shared energy storage: a distributionally robust bi-level model</w:t>
      </w:r>
    </w:p>
    <w:p>
      <w:pPr>
        <w:spacing w:before="0" w:after="120"/>
      </w:pPr>
      <w:r>
        <w:rPr>
          <w:b/>
        </w:rPr>
        <w:t xml:space="preserve">Source: </w:t>
      </w:r>
      <w:r>
        <w:t>ScienceDirect Publication: Applied Energy</w:t>
      </w:r>
      <w:r>
        <w:t xml:space="preserve">    </w:t>
      </w:r>
      <w:r>
        <w:rPr>
          <w:b/>
        </w:rPr>
        <w:t xml:space="preserve">Pub date: </w:t>
      </w:r>
      <w:r>
        <w:t>2026-08-13 00:00:00+00:00</w:t>
      </w:r>
      <w:r>
        <w:t xml:space="preserve">    </w:t>
      </w:r>
      <w:r>
        <w:rPr>
          <w:b/>
        </w:rPr>
        <w:t xml:space="preserve">DOI: </w:t>
      </w:r>
      <w:hyperlink r:id="rId1851">
        <w:r>
          <w:rPr>
            <w:color w:val="1155CC"/>
            <w:u w:val="single"/>
          </w:rPr>
          <w:t>10.1016/j.apenergy.2026.128605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[679] </w:t>
      </w:r>
      <w:hyperlink r:id="rId1852">
        <w:r>
          <w:rPr>
            <w:color w:val="1155CC"/>
            <w:u w:val="single"/>
          </w:rPr>
          <w:t>下一代炎症标志物生物传感模块：将实时分子传感与个性化医疗保健结合起来</w:t>
        </w:r>
      </w:hyperlink>
    </w:p>
    <w:p>
      <w:pPr>
        <w:spacing w:before="0" w:after="80"/>
      </w:pPr>
      <w:r>
        <w:rPr>
          <w:i/>
          <w:sz w:val="20"/>
        </w:rPr>
        <w:t>EN: Next-generation biosensing modules for inflammatory markers: Bridging real-time molecular sensing with personalized healthcare</w:t>
      </w:r>
    </w:p>
    <w:p>
      <w:pPr>
        <w:spacing w:before="0" w:after="120"/>
      </w:pPr>
      <w:r>
        <w:rPr>
          <w:b/>
        </w:rPr>
        <w:t xml:space="preserve">Source: </w:t>
      </w:r>
      <w:r>
        <w:t>Matter</w:t>
      </w:r>
      <w:r>
        <w:t xml:space="preserve">    </w:t>
      </w:r>
      <w:r>
        <w:rPr>
          <w:b/>
        </w:rPr>
        <w:t xml:space="preserve">Pub date: </w:t>
      </w:r>
      <w:r>
        <w:t>2026-08-13 00:00:00+00:00</w:t>
      </w:r>
      <w:r>
        <w:t xml:space="preserve">    </w:t>
      </w:r>
      <w:r>
        <w:rPr>
          <w:b/>
        </w:rPr>
        <w:t xml:space="preserve">DOI: </w:t>
      </w:r>
      <w:hyperlink r:id="rId1853">
        <w:r>
          <w:rPr>
            <w:color w:val="1155CC"/>
            <w:u w:val="single"/>
          </w:rPr>
          <w:t>10.1016/j.matt.2026.102967</w:t>
        </w:r>
      </w:hyperlink>
    </w:p>
    <w:p>
      <w:pPr>
        <w:spacing w:before="0" w:after="120"/>
      </w:pPr>
      <w:r>
        <w:rPr>
          <w:b/>
        </w:rPr>
        <w:t xml:space="preserve">Notes: </w:t>
      </w:r>
      <w:r>
        <w:t>abstract_source=rss_cell</w:t>
      </w:r>
    </w:p>
    <w:p>
      <w:pPr>
        <w:spacing w:before="0" w:after="80" w:lineRule="auto" w:line="276"/>
      </w:pPr>
      <w:r>
        <w:rPr>
          <w:b/>
        </w:rPr>
        <w:t xml:space="preserve">摘要（ZH）: </w:t>
      </w:r>
      <w:r>
        <w:t>从间歇性、基于实验室的炎症测试过渡到可穿戴平台，可以持续监测动态炎症反应。通过将先进的生物识别元件、生物污垢预防策略和数据处理算法集成到符合人体工程学的外形尺寸中，这些技术可以访问不同身体部位的不同生物流体，捕获实时生物标志物波动，并支持对传染性、自身免疫性和慢性炎症性疾病的早期检测、个性化评估和及时干预。</w:t>
      </w:r>
    </w:p>
    <w:p>
      <w:pPr>
        <w:spacing w:before="0" w:after="200" w:lineRule="auto" w:line="276"/>
      </w:pPr>
      <w:r>
        <w:rPr>
          <w:b/>
        </w:rPr>
        <w:t xml:space="preserve">Abstract (EN): </w:t>
      </w:r>
      <w:r>
        <w:t>Transitioning from intermittent, laboratory-based inflammation testing to wearable platforms enables continuous monitoring of dynamic inflammatory responses. By integrating advanced biorecognition elements, biofouling prevention strategies, and data processing algorithms into ergonomic form factors, these technologies can access diverse biofluids from different body locations, capture real-time biomarker fluctuations, and support earlier detection, personalized assessment, and timely intervention across infectious, autoimmune, and chronic inflammatory conditions.</w:t>
      </w:r>
    </w:p>
    <w:p>
      <w:pPr>
        <w:spacing w:before="120" w:after="120"/>
      </w:pPr>
      <w:r>
        <w:rPr>
          <w:sz w:val="18"/>
        </w:rPr>
        <w:t>——————————————————————————————————————————————————————————————————————</w:t>
      </w:r>
    </w:p>
    <w:p>
      <w:pPr>
        <w:spacing w:before="160" w:after="40" w:line="240" w:lineRule="auto"/>
      </w:pPr>
      <w:r>
        <w:rPr>
          <w:b/>
        </w:rPr>
        <w:t xml:space="preserve">[680] </w:t>
      </w:r>
      <w:hyperlink r:id="rId1854">
        <w:r>
          <w:rPr>
            <w:color w:val="1155CC"/>
            <w:u w:val="single"/>
          </w:rPr>
          <w:t>共价有机框架中异质孔介导的孔隙环境调节，用于平衡捕获结构多样化的 PFAS</w:t>
        </w:r>
      </w:hyperlink>
    </w:p>
    <w:p>
      <w:pPr>
        <w:spacing w:before="0" w:after="80"/>
      </w:pPr>
      <w:r>
        <w:rPr>
          <w:i/>
          <w:sz w:val="20"/>
        </w:rPr>
        <w:t>EN: Heteropore-Mediated Pore-Environment Tuning in a Covalent Organic Framework for Balanced Capture of Structurally Diverse PFAS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55">
        <w:r>
          <w:rPr>
            <w:color w:val="1155CC"/>
            <w:u w:val="single"/>
          </w:rPr>
          <w:t>10.1021/jacs.6c01463</w:t>
        </w:r>
      </w:hyperlink>
    </w:p>
    <w:p>
      <w:pPr>
        <w:spacing w:before="0" w:after="120"/>
      </w:pPr>
      <w:r>
        <w:rPr>
          <w:b/>
        </w:rPr>
        <w:t xml:space="preserve">Notes: </w:t>
      </w:r>
      <w:r>
        <w:t>abstract_source=crossref</w:t>
      </w:r>
    </w:p>
    <w:p>
      <w:pPr>
        <w:spacing w:before="0" w:after="80" w:lineRule="auto" w:line="276"/>
      </w:pPr>
      <w:r>
        <w:rPr>
          <w:b/>
        </w:rPr>
        <w:t xml:space="preserve">摘要（ZH）: </w:t>
      </w:r>
      <w:r>
        <w:t>摘要 针对结构多样的污染物的框架吸附剂的合理设计需要孔环境能够适应不同的分子尺度，同时保持强的主客体相互作用。在这里，我们报告了一种异孔共价有机框架（COF），其中分层孔结构和局部化学功能通过多组分网状合成共同调节。优化的 ET-F1BIm5-iCOF 将阳离子和氟化基序集成到结晶微/介孔支架中。在这种结构中，中孔有利于分子的可及性和运输，从而实现快速捕获，而较小的孔提供了有限的局部环境，与混合的阳离子和氟化官能团一起，可以为短链 PFAS 提供有利的结合环境，有助于补偿其较弱的疏水驱动力。这种异质孔隙性和互补化学功能的整合将该材料与主要依赖于表面积或孤立的结合基团的吸附剂区分开来，并提供了平衡可及性、限制和相互作用强度的孔级设计原则。使用全氟辛酸 (PFOA) 和六氟环氧丙烷二聚酸 (GenX) 作为跨越传统长链和新兴短链化学物质的代表性 PFAS 化合物，ET-F1BIm5-iCOF 表现出快速的吸附动力学和高容量，分别达到 903 和 673 mg g-1。光谱分析与 DFT 计算和分子动力学模拟一起支持 coo</w:t>
      </w:r>
    </w:p>
    <w:p>
      <w:pPr>
        <w:spacing w:before="0" w:after="200" w:lineRule="auto" w:line="276"/>
      </w:pPr>
      <w:r>
        <w:rPr>
          <w:b/>
        </w:rPr>
        <w:t xml:space="preserve">Abstract (EN): </w:t>
      </w:r>
      <w:r>
        <w:t>The rational design of framework adsorbents for structurally diverse contaminants requires pore environments that can accommodate different molecular scales while preserving strong host–guest interactions. Here, we report a heteroporous covalent organic framework (COF) in which hierarchical pore architecture and local chemical functionality are jointly tuned through multicomponent reticular synthesis. The optimized ET-F1BIm5-iCOF integrates cationic and fluorinated motifs into a crystalline micro/mesoporous scaffold. In this architecture, mesopores facilitate molecular accessibility and transport, enabling rapid capture, whereas the smaller pores provide confined local environments that, together with the mixed cationic and fluorinated functionalities, can provide favorable binding environments for short-chain PFAS, helping compensate for their weaker hydrophobic driving force. This integration of heteroporosity and complementary chemical functionality distinguishes the material from adsorbents that rely primarily on surface area or isolated binding groups and provides a pore-level design principle for balancing accessibility, confinement, and interaction strength. Using perfluorooctanoic acid (PFOA) and hexafluoropropylene oxide dimer acid (GenX) as representative PFAS compounds spanning conventional long-chain and emerging short-chain chemistries, ET-F1BIm5-iCOF exhibited rapid adsorption kinetics and high capacities, reaching 903 and 673 mg g–1, respectively. Spectroscopic analyses together with DFT calculations and molecular dynamics simulations support the cooperative contributions of electrostatic recognition, fluorinated/hydrophobic interactions, and heteropore confinement to PFAS binding. Incorporation of the COF into a chitosan aerogel further enabled continuous-flow PFAS removal in ultrapure and river water matrices. This work provides a hierarchical pore-engineering strategy for developing framework materials toward contaminants with different molecular sizes, geometries, and interaction requirements.</w:t>
      </w:r>
    </w:p>
    <w:p>
      <w:pPr>
        <w:spacing w:before="120" w:after="120"/>
      </w:pPr>
      <w:r>
        <w:rPr>
          <w:sz w:val="18"/>
        </w:rPr>
        <w:t>——————————————————————————————————————————————————————————————————————</w:t>
      </w:r>
    </w:p>
    <w:p>
      <w:pPr>
        <w:spacing w:before="160" w:after="40" w:line="240" w:lineRule="auto"/>
      </w:pPr>
      <w:r>
        <w:rPr>
          <w:b/>
        </w:rPr>
        <w:t xml:space="preserve">[681] </w:t>
      </w:r>
      <w:hyperlink r:id="rId1856">
        <w:r>
          <w:rPr>
            <w:color w:val="1155CC"/>
            <w:u w:val="single"/>
          </w:rPr>
          <w:t>用 DNA 和苝二酰亚胺设计的胶体晶体表现出对称性破坏的电荷转移</w:t>
        </w:r>
      </w:hyperlink>
    </w:p>
    <w:p>
      <w:pPr>
        <w:spacing w:before="0" w:after="80"/>
      </w:pPr>
      <w:r>
        <w:rPr>
          <w:i/>
          <w:sz w:val="20"/>
        </w:rPr>
        <w:t>EN: Colloidal Crystals Engineered with DNA and Perylenediimide Exhibit Symmetry-Breaking Charge Transfer</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57">
        <w:r>
          <w:rPr>
            <w:color w:val="1155CC"/>
            <w:u w:val="single"/>
          </w:rPr>
          <w:t>10.1021/jacs.6c09022</w:t>
        </w:r>
      </w:hyperlink>
    </w:p>
    <w:p>
      <w:pPr>
        <w:spacing w:before="0" w:after="120"/>
      </w:pPr>
      <w:r>
        <w:rPr>
          <w:b/>
        </w:rPr>
        <w:t xml:space="preserve">Notes: </w:t>
      </w:r>
      <w:r>
        <w:t>abstract_source=crossref</w:t>
      </w:r>
    </w:p>
    <w:p>
      <w:pPr>
        <w:spacing w:before="0" w:after="80" w:lineRule="auto" w:line="276"/>
      </w:pPr>
      <w:r>
        <w:rPr>
          <w:b/>
        </w:rPr>
        <w:t xml:space="preserve">摘要（ZH）: </w:t>
      </w:r>
      <w:r>
        <w:t>摘要 苝二酰亚胺（PDI）及其衍生物因其光物理和光化学性质而被广泛研究，使其成为光子材料、有机半导体和分子量子位的有希望的候选者。然而，缺乏对其聚集途径和电荷转移耦合的控制严重限制了它们的用途。在这里，我们报告了 PDI-DNA 生物共轭物的合成，作为一类新的“可编程原子等价物”（PAE），其中单个 PDI 核心与两条 DNA 链共价连接。与通过缓慢热退火形成的传统PAE超晶格不同，蒸气扩散结晶方法能够通过协同DNA杂交和PDI π-π堆积将PDI-DNA缀合物胶体结晶成大的单晶超晶格。外围的四个粘性末端杂交成DNA框架，作为支架，将PDI核心组织成明确的二聚体，而不是无序的聚集体或胶束。由于连接体固有的灵活性，二聚体构建单元是刚性的，但高度动态，产生具有可编程 PDI 堆积几何形状和结构修改适应性的超晶格。对于大多数 PDI 晶体，PDI 单元在一维上连续堆叠以最大化相互作用，这往往会阻碍电荷分离。在这里，DNA 不仅编码序列特异性相互作用，而且还以空间和静电方式将 PDI 二聚体作为离散光子单元隔离到固态光学活性材料中。系统的结构可调性可以很容易地调整</w:t>
      </w:r>
    </w:p>
    <w:p>
      <w:pPr>
        <w:spacing w:before="0" w:after="200" w:lineRule="auto" w:line="276"/>
      </w:pPr>
      <w:r>
        <w:rPr>
          <w:b/>
        </w:rPr>
        <w:t xml:space="preserve">Abstract (EN): </w:t>
      </w:r>
      <w:r>
        <w:t>Perylenediimide (PDI) and its derivatives are widely studied for their photophysical and photochemical properties, making them promising candidates for photonic materials, organic semiconductors, and molecular qubits. However, the lack of control over their aggregation pathways and charge-transfer coupling severely limits their uses. Here, we report the synthesis of PDI-DNA bioconjugates as a new class of “programmable atom equivalents” (PAEs), in which a single PDI core is covalently linked to two DNA strands. Unlike conventional PAE superlattices formed by slow thermal annealing, the vapor-diffusion crystallization method enables the colloidal crystallization of PDI–DNA conjugates into large single-crystalline superlattices through cooperative DNA hybridization and PDI π–π stacking. The peripheral four sticky ends hybridize into a DNA framework, which serves as a scaffold, organizing the PDI cores into well-defined dimers, rather than disordered aggregates or micelles. The dimeric building units are rigid yet highly dynamic due to the intrinsic flexibility of the linkers, yielding superlattices with programmable PDI packing geometries and adaptiveness upon structural modifications. For most PDI crystals, PDI units stack continuously in one dimension to maximize interactions, which tend to hinder charge separation. Here, DNA not only encodes sequence-specific interactions but also sterically and electrostatically isolates PDI dimers as discrete photonic units into solid-state optically active materials. The structural tunability of the system can be readily adjusted by varying the PDI core or the linker length between the PDI core and the DNA shell. Notably, these superlattices exhibit photoinduced symmetry-breaking charge transfer distinct from that of monomers or micellar aggregates.</w:t>
      </w:r>
    </w:p>
    <w:p>
      <w:pPr>
        <w:spacing w:before="120" w:after="120"/>
      </w:pPr>
      <w:r>
        <w:rPr>
          <w:sz w:val="18"/>
        </w:rPr>
        <w:t>——————————————————————————————————————————————————————————————————————</w:t>
      </w:r>
    </w:p>
    <w:p>
      <w:pPr>
        <w:spacing w:before="160" w:after="40" w:line="240" w:lineRule="auto"/>
      </w:pPr>
      <w:r>
        <w:rPr>
          <w:b/>
        </w:rPr>
        <w:t xml:space="preserve">[682] </w:t>
      </w:r>
      <w:hyperlink r:id="rId1858">
        <w:r>
          <w:rPr>
            <w:color w:val="1155CC"/>
            <w:u w:val="single"/>
          </w:rPr>
          <w:t>Ir(III) 和 Pt(II) 磷光发射体精确三重态的大规模量子计算仿真</w:t>
        </w:r>
      </w:hyperlink>
    </w:p>
    <w:p>
      <w:pPr>
        <w:spacing w:before="0" w:after="80"/>
      </w:pPr>
      <w:r>
        <w:rPr>
          <w:i/>
          <w:sz w:val="20"/>
        </w:rPr>
        <w:t>EN: Large-Scale Quantum Computing Emulation for Accurate Triplet States of Ir(III) and Pt(II) Phosphorescent Emitters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59">
        <w:r>
          <w:rPr>
            <w:color w:val="1155CC"/>
            <w:u w:val="single"/>
          </w:rPr>
          <w:t>10.1021/jacs.6c04752</w:t>
        </w:r>
      </w:hyperlink>
    </w:p>
    <w:p>
      <w:pPr>
        <w:spacing w:before="0" w:after="120"/>
      </w:pPr>
      <w:r>
        <w:rPr>
          <w:b/>
        </w:rPr>
        <w:t xml:space="preserve">Notes: </w:t>
      </w:r>
      <w:r>
        <w:t>abstract_source=crossref</w:t>
      </w:r>
    </w:p>
    <w:p>
      <w:pPr>
        <w:spacing w:before="0" w:after="80" w:lineRule="auto" w:line="276"/>
      </w:pPr>
      <w:r>
        <w:rPr>
          <w:b/>
        </w:rPr>
        <w:t xml:space="preserve">摘要（ZH）: </w:t>
      </w:r>
      <w:r>
        <w:t>摘要 预测重金属配合物的磷光发射间隙对于有机发光二极管材料的设计至关重要，但其三重态的高度纠缠性质却面临着挑战。传统的投影单参考方法（如耦合簇）由于严重的自旋污染、物理上错误识别电子特征并产生红移间隙而导致这些系统崩溃。在经典计算机上执行的 iQCC 方法在 ~200 逻辑量子位规模上模拟容错量子模拟，以计算磷光配合物 Ir(III) 和 Pt(II) 的 T1 和 S0 的能量。相对于实验，iQCC 的平均绝对误差为 0.05 eV，R2 为 0.94，超越了 DFT、TD-DFT 和耦合簇的方法。这些结果确立了未来容错量子计算机的分子电子结构计算应该超越的高精度性能目标。</w:t>
      </w:r>
    </w:p>
    <w:p>
      <w:pPr>
        <w:spacing w:before="0" w:after="200" w:lineRule="auto" w:line="276"/>
      </w:pPr>
      <w:r>
        <w:rPr>
          <w:b/>
        </w:rPr>
        <w:t xml:space="preserve">Abstract (EN): </w:t>
      </w:r>
      <w:r>
        <w:t>Predicting the phosphorescent emission gaps of heavy-metal complexes is crucial for organic light-emitting diode materials design, yet challenged by the highly entangled nature of their triplet states. Traditional projective single-reference methods like coupled cluster break down for these systems due to severe spin contamination, physically misidentifying the electronic character and yielding red-shifted gaps. The iQCC method executed on a classical computer emulates the fault-tolerant quantum simulation on the ∼200 logical qubit scale, to compute the energies of T1 and S0 for the phosphorescent complexes Ir(III) and Pt(II). iQCC achieves a mean absolute error of 0.05 eV and R2 of 0.94 relative to experiment, surpassing the approaches of DFT, TD-DFT, and coupled cluster. These results establish a high-accuracy performance target that molecular electronic-structure calculations on future fault-tolerant quantum computers should aim to exceed.</w:t>
      </w:r>
    </w:p>
    <w:p>
      <w:pPr>
        <w:spacing w:before="120" w:after="120"/>
      </w:pPr>
      <w:r>
        <w:rPr>
          <w:sz w:val="18"/>
        </w:rPr>
        <w:t>——————————————————————————————————————————————————————————————————————</w:t>
      </w:r>
    </w:p>
    <w:p>
      <w:pPr>
        <w:spacing w:before="160" w:after="40" w:line="240" w:lineRule="auto"/>
      </w:pPr>
      <w:r>
        <w:rPr>
          <w:b/>
        </w:rPr>
        <w:t xml:space="preserve">[683] </w:t>
      </w:r>
      <w:hyperlink r:id="rId1860">
        <w:r>
          <w:rPr>
            <w:color w:val="1155CC"/>
            <w:u w:val="single"/>
          </w:rPr>
          <w:t>用于极值感知风电预测的频率协调条件扩散模型</w:t>
        </w:r>
      </w:hyperlink>
    </w:p>
    <w:p>
      <w:pPr>
        <w:spacing w:before="0" w:after="80"/>
      </w:pPr>
      <w:r>
        <w:rPr>
          <w:i/>
          <w:sz w:val="20"/>
        </w:rPr>
        <w:t>EN: Frequency-coordinated conditional diffusion model for extreme-value-aware wind power forecasting</w:t>
      </w:r>
    </w:p>
    <w:p>
      <w:pPr>
        <w:spacing w:before="0" w:after="120"/>
      </w:pPr>
      <w:r>
        <w:rPr>
          <w:b/>
        </w:rPr>
        <w:t xml:space="preserve">Source: </w:t>
      </w:r>
      <w:r>
        <w:t>ScienceDirect Publication: Applied Energy</w:t>
      </w:r>
      <w:r>
        <w:t xml:space="preserve">    </w:t>
      </w:r>
      <w:r>
        <w:rPr>
          <w:b/>
        </w:rPr>
        <w:t xml:space="preserve">Pub date: </w:t>
      </w:r>
      <w:r>
        <w:t>2026-08-13 00:00:00+00:00</w:t>
      </w:r>
      <w:r>
        <w:t xml:space="preserve">    </w:t>
      </w:r>
      <w:r>
        <w:rPr>
          <w:b/>
        </w:rPr>
        <w:t xml:space="preserve">DOI: </w:t>
      </w:r>
      <w:hyperlink r:id="rId1861">
        <w:r>
          <w:rPr>
            <w:color w:val="1155CC"/>
            <w:u w:val="single"/>
          </w:rPr>
          <w:t>10.1016/j.apenergy.2026.128597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[684] </w:t>
      </w:r>
      <w:hyperlink r:id="rId1862">
        <w:r>
          <w:rPr>
            <w:color w:val="1155CC"/>
            <w:u w:val="single"/>
          </w:rPr>
          <w:t>通过 X 射线瞬态吸收光谱识别光离子化甲烷中模式控制的弛豫路径</w:t>
        </w:r>
      </w:hyperlink>
    </w:p>
    <w:p>
      <w:pPr>
        <w:spacing w:before="0" w:after="80"/>
      </w:pPr>
      <w:r>
        <w:rPr>
          <w:i/>
          <w:sz w:val="20"/>
        </w:rPr>
        <w:t>EN: Discerning Mode-Controlled Relaxation Pathways in Photoionized Methane via X-ray Transient Absorption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63">
        <w:r>
          <w:rPr>
            <w:color w:val="1155CC"/>
            <w:u w:val="single"/>
          </w:rPr>
          <w:t>10.1021/jacs.6c07197</w:t>
        </w:r>
      </w:hyperlink>
    </w:p>
    <w:p>
      <w:pPr>
        <w:spacing w:before="0" w:after="120"/>
      </w:pPr>
      <w:r>
        <w:rPr>
          <w:b/>
        </w:rPr>
        <w:t xml:space="preserve">Notes: </w:t>
      </w:r>
      <w:r>
        <w:t>abstract_source=crossref</w:t>
      </w:r>
    </w:p>
    <w:p>
      <w:pPr>
        <w:spacing w:before="0" w:after="80" w:lineRule="auto" w:line="276"/>
      </w:pPr>
      <w:r>
        <w:rPr>
          <w:b/>
        </w:rPr>
        <w:t xml:space="preserve">摘要（ZH）: </w:t>
      </w:r>
      <w:r>
        <w:t>摘要 破译特定振动模式激发后的超快弛豫路径可以帮助我们理解模式选择性化学。然而，潜在核动力学的直接光谱特征仍然难以捉摸。在这里，我们表明碳 K 边缘的 X 射线瞬态吸收光谱可以解决甲烷强场电离后振动预激励如何偏置 CH4+ 的超快动力学。我们利用从头算分子动力学与核心激发态的高级多参考计算相结合，从在不对称拉伸 (ν3 = 1) 和不对称剪切 (ν4 = 1) 模式下激发的甲烷开始跟踪这些飞秒动力学。我们的模拟表明，单占据分子轨道（SOMO）的核心激发跟踪键角，而最低未占据分子轨道（LUMO）的核心激发报告键长。这些光谱特征区分了两种主要的模式选择性弛豫路径：不对称拉伸激发促进瞬态 CH3+·H 复合物的形成，而不对称剪切增强沿 Jahn-Teller 畸变坐标的角度畸变，增加 C2v CH4+ 几何形状的采样。这些结果为每个弛豫路径确定了甲烷中振动引导电离动力学的可实验测试的 X 射线特征。</w:t>
      </w:r>
    </w:p>
    <w:p>
      <w:pPr>
        <w:spacing w:before="0" w:after="200" w:lineRule="auto" w:line="276"/>
      </w:pPr>
      <w:r>
        <w:rPr>
          <w:b/>
        </w:rPr>
        <w:t xml:space="preserve">Abstract (EN): </w:t>
      </w:r>
      <w:r>
        <w:t>Deciphering ultrafast relaxation pathways following the excitation of specific vibrational modes can inform our understanding of mode-selective chemistry; however, direct spectroscopic signatures of the underlying nuclear dynamics remain elusive. Here, we show that X-ray transient absorption spectroscopy at the carbon K-edge can resolve how vibrational pre-excitation biases the ultrafast dynamics of CH4+ following strong-field ionization of methane. We utilize ab initio molecular dynamics combined with high-level multireference computations of core-excited states to track these femtosecond dynamics starting from methane excited in its asymmetric stretching (ν3 = 1) and asymmetric scissoring (ν4 = 1) modes. Our simulations show that core excitation to the singly occupied molecular orbital (SOMO) tracks bond angles, whereas core excitation to the lowest unoccupied molecular orbital (LUMO) reports on bond lengths. These spectroscopic signatures distinguish two major mode-selective relaxation pathways: asymmetric stretching excitation promotes the formation of a transient CH3+···H complex, whereas asymmetric scissoring enhances angular distortion along the Jahn–Teller distortion coordinate, increasing sampling of C2v CH4+ geometries. These results identify for each relaxation pathway an experimentally testable X-ray signature of vibrationally-steered ionization dynamics in methane.</w:t>
      </w:r>
    </w:p>
    <w:p>
      <w:pPr>
        <w:spacing w:before="120" w:after="120"/>
      </w:pPr>
      <w:r>
        <w:rPr>
          <w:sz w:val="18"/>
        </w:rPr>
        <w:t>——————————————————————————————————————————————————————————————————————</w:t>
      </w:r>
    </w:p>
    <w:p>
      <w:pPr>
        <w:spacing w:before="160" w:after="40" w:line="240" w:lineRule="auto"/>
      </w:pPr>
      <w:r>
        <w:rPr>
          <w:b/>
        </w:rPr>
        <w:t xml:space="preserve">[685] </w:t>
      </w:r>
      <w:hyperlink r:id="rId1864">
        <w:r>
          <w:rPr>
            <w:color w:val="1155CC"/>
            <w:u w:val="single"/>
          </w:rPr>
          <w:t>配电网微弱扰动事件识别与定位的双流时频多任务学习</w:t>
        </w:r>
      </w:hyperlink>
    </w:p>
    <w:p>
      <w:pPr>
        <w:spacing w:before="0" w:after="80"/>
      </w:pPr>
      <w:r>
        <w:rPr>
          <w:i/>
          <w:sz w:val="20"/>
        </w:rPr>
        <w:t>EN: Dual-stream time-frequency multi-task learning for weak disturbance event identification and localisation in power distribution networks</w:t>
      </w:r>
    </w:p>
    <w:p>
      <w:pPr>
        <w:spacing w:before="0" w:after="120"/>
      </w:pPr>
      <w:r>
        <w:rPr>
          <w:b/>
        </w:rPr>
        <w:t xml:space="preserve">Source: </w:t>
      </w:r>
      <w:r>
        <w:t>ScienceDirect Publication: Applied Energy</w:t>
      </w:r>
      <w:r>
        <w:t xml:space="preserve">    </w:t>
      </w:r>
      <w:r>
        <w:rPr>
          <w:b/>
        </w:rPr>
        <w:t xml:space="preserve">Pub date: </w:t>
      </w:r>
      <w:r>
        <w:t>2026-08-13 00:00:00+00:00</w:t>
      </w:r>
      <w:r>
        <w:t xml:space="preserve">    </w:t>
      </w:r>
      <w:r>
        <w:rPr>
          <w:b/>
        </w:rPr>
        <w:t xml:space="preserve">DOI: </w:t>
      </w:r>
      <w:hyperlink r:id="rId1865">
        <w:r>
          <w:rPr>
            <w:color w:val="1155CC"/>
            <w:u w:val="single"/>
          </w:rPr>
          <w:t>10.1016/j.apenergy.2026.128614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[686] </w:t>
      </w:r>
      <w:hyperlink r:id="rId1866">
        <w:r>
          <w:rPr>
            <w:color w:val="1155CC"/>
            <w:u w:val="single"/>
          </w:rPr>
          <w:t>通过遗传字母表扩展，工程聚合酶介导的位点特异性功能化 RNA 和 2’-修饰 RNA 寡核苷酸的高效合成</w:t>
        </w:r>
      </w:hyperlink>
    </w:p>
    <w:p>
      <w:pPr>
        <w:spacing w:before="0" w:after="80"/>
      </w:pPr>
      <w:r>
        <w:rPr>
          <w:i/>
          <w:sz w:val="20"/>
        </w:rPr>
        <w:t>EN: Engineered polymerase-mediated efficient synthesis of site-specifically functionalized RNA and 2’-modified RNA oligonucleotides via genetic alphabet expansion</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2'-修饰的 RNA 寡核苷酸在生物技术和生物医学中有着广泛的用途，需要它们的高效合成和可控标记。虽然工程聚合酶能够合成它们，但可控标记方法仍然不发达。非自然碱基对 (UBP) 的开发是为了扩展遗传字母表，不仅催生了半合成生物体，还催生了 DNA 和 RNA 定点标记技术。在此，我们证明了 SFM4-6（一种针对 2'-修饰 RNA 寡核苷酸合成进行优化的工程聚合酶）可以有效合成非天然碱基对 dNaM (2-甲氧基-3-(2'-脱氧-β-D-赤式-呋喃戊糖基)-萘)-dTPT3 ((2'-脱氧-β-D-赤式-呋喃戊糖基)-噻吩并[3,4]吡啶-2-硫酮)及其类似物，能够将功能化的非天然含碱基核苷酸定点掺入RNA和2'-修饰的RNA寡核苷酸中。通过将其与涉及引物延伸的受控暂停和重新启动的策略相结合，我们建立了生产单标记或双标记 RNA 和 2’-修饰 RNA 寡核苷酸的方法。这些方法成功生产了各种功能性标记RNA和2'-修饰RNA寡核苷酸，凸显了它们在核酸研究和生物技术中的广泛适用性。</w:t>
      </w:r>
    </w:p>
    <w:p>
      <w:pPr>
        <w:spacing w:before="0" w:after="200" w:lineRule="auto" w:line="276"/>
      </w:pPr>
      <w:r>
        <w:rPr>
          <w:b/>
        </w:rPr>
        <w:t xml:space="preserve">Abstract (EN): </w:t>
      </w:r>
      <w:r>
        <w:t>2’-Modified RNA oligonucleotides have found broad use in biotechnology and biomedicine, requiring their efficient synthesis and controllable labelling. While engineered polymerases enable their synthesis, controllable labelling methods remain underdeveloped. Unnatural base pairs (UBPs) have been developed to expand the genetic alphabet, leading to not only the creation of semi-synthetic organisms, but also technologies for site-specific labelling of DNA and RNA. Herein we demonstrate that SFM4-6, an engineered polymerase optimized for 2’-modified RNA oligonucleotide synthesis, can efficiently synthesize unnatural base pair dNaM (2-methoxy-3-(2’-deoxy-β-D-erythro-pentofuranosyl)-naphthalene)-dTPT3 ((2’-deoxy-β-D-erythro-pentofuranosyl)-thieno[3,4]pyridine-2-thione) and its analogues, enabling site-specific incorporation of functionalized unnatural base-containing nucleotides into RNA and 2’-modified RNA oligonucleotides. By combining this with a strategy involving controlled pause and restart of primer extension, we establish methods for producing single or dual-labelled RNA and 2’-modified RNA oligonucleotides. These methods successfully produce various functional labelled RNA and 2’-modified RNA oligonucleotides, highlighting their broad applicability in nucleic acid research and biotechnology.</w:t>
      </w:r>
    </w:p>
    <w:p>
      <w:pPr>
        <w:spacing w:before="120" w:after="120"/>
      </w:pPr>
      <w:r>
        <w:rPr>
          <w:sz w:val="18"/>
        </w:rPr>
        <w:t>——————————————————————————————————————————————————————————————————————</w:t>
      </w:r>
    </w:p>
    <w:p>
      <w:pPr>
        <w:spacing w:before="160" w:after="40" w:line="240" w:lineRule="auto"/>
      </w:pPr>
      <w:r>
        <w:rPr>
          <w:b/>
        </w:rPr>
        <w:t xml:space="preserve">[687] </w:t>
      </w:r>
      <w:hyperlink r:id="rId1867">
        <w:r>
          <w:rPr>
            <w:color w:val="1155CC"/>
            <w:u w:val="single"/>
          </w:rPr>
          <w:t>具有沟槽结构壳和空腔的复杂核心卫星纳米粒子，用于基于 SERS 的高灵敏度侧流分析</w:t>
        </w:r>
      </w:hyperlink>
    </w:p>
    <w:p>
      <w:pPr>
        <w:spacing w:before="0" w:after="80"/>
      </w:pPr>
      <w:r>
        <w:rPr>
          <w:i/>
          <w:sz w:val="20"/>
        </w:rPr>
        <w:t>EN: Complex Core-Satellite Nanoparticles with Trench-Structured Shells and Cavities for Highly Sensitive SERS-Based Lateral Flow Assays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68">
        <w:r>
          <w:rPr>
            <w:color w:val="1155CC"/>
            <w:u w:val="single"/>
          </w:rPr>
          <w:t>10.1021/jacs.6c08064</w:t>
        </w:r>
      </w:hyperlink>
    </w:p>
    <w:p>
      <w:pPr>
        <w:spacing w:before="0" w:after="120"/>
      </w:pPr>
      <w:r>
        <w:rPr>
          <w:b/>
        </w:rPr>
        <w:t xml:space="preserve">Notes: </w:t>
      </w:r>
      <w:r>
        <w:t>abstract_source=crossref</w:t>
      </w:r>
    </w:p>
    <w:p>
      <w:pPr>
        <w:spacing w:before="0" w:after="80" w:lineRule="auto" w:line="276"/>
      </w:pPr>
      <w:r>
        <w:rPr>
          <w:b/>
        </w:rPr>
        <w:t xml:space="preserve">摘要（ZH）: </w:t>
      </w:r>
      <w:r>
        <w:t>摘要 在此，我们报告了一种多步合成策略，用于制造具有沟槽结构壳和腔（CST）的复杂多功能核卫星纳米粒子。从立方八面体金纳米粒子开始，Pt、Ag 和 Au 以位点选择性的方式依次沉积，以指导金属在特定的晶面生长。这种方法产生的纳米颗粒在外壳上具有沟槽状纳米间隙以及内部空腔，通过纳米间隙处的增强近场聚焦产生强大且可重复的单颗粒表面增强拉曼散射（SERS）信号。 CST 在基于 SERS 的侧流测定中的应用增强了 SERS 信号，实现了有效的分析物定量，并提高了膜内的迁移率；这些有利的特性源自（i）纳米间隙处强烈且可重复的光与物质相互作用，（ii）作为气穴的内部空腔提供的浮力效应，以及（iii）由于纳米颗粒表面上突出的卫星结构，最大限度地减少了与硝化纤维素膜的接触。结果，我们实现了甲型流感血凝素蛋白的检测限为 10 pg/mL。这些发现表明，具有多功能特性和增强性能的腔集成等离子体纳米结构为先进的护理点诊断应用带来了巨大的希望。</w:t>
      </w:r>
    </w:p>
    <w:p>
      <w:pPr>
        <w:spacing w:before="0" w:after="200" w:lineRule="auto" w:line="276"/>
      </w:pPr>
      <w:r>
        <w:rPr>
          <w:b/>
        </w:rPr>
        <w:t xml:space="preserve">Abstract (EN): </w:t>
      </w:r>
      <w:r>
        <w:t>Herein, we report a multistep synthetic strategy for the fabrication of complex and multifunctional core-satellite nanoparticles with trench-structured shells and cavities (CSTs). Starting from cuboctahedral Au nanoparticles, Pt, Ag, and Au were sequentially deposited in a site-selective fashion to direct metal growth at specific crystallographic facets. This approach yielded nanoparticles featuring trench-like nanogaps on the outer shell along with internal cavities, producing strong and reproducible single-particle surface-enhanced Raman scattering (SERS) signals via enhanced near-field focusing at the nanogaps. The application of the CSTs in a SERS-based lateral flow assay resulted in enhanced SERS signals, efficient analyte quantification, and improved mobility within the membrane; these favorable properties derived from (i) strong and reproducible light–matter interactions at the nanogaps, (ii) buoyancy effects provided by the internal cavities acting as air pockets, and (iii) minimized contact with the nitrocellulose membrane, owing to the protruding satellite structures on the nanoparticle surfaces. As a result, we achieved a detection limit of 10 pg/mL for influenza A hemagglutinin proteins. These findings demonstrate that cavity-integrated plasmonic nanostructures with multifunctional properties and enhanced performance hold significant promise for advanced point-of-care diagnostic applications.</w:t>
      </w:r>
    </w:p>
    <w:p>
      <w:pPr>
        <w:spacing w:before="120" w:after="120"/>
      </w:pPr>
      <w:r>
        <w:rPr>
          <w:sz w:val="18"/>
        </w:rPr>
        <w:t>——————————————————————————————————————————————————————————————————————</w:t>
      </w:r>
    </w:p>
    <w:p>
      <w:pPr>
        <w:spacing w:before="160" w:after="40" w:line="240" w:lineRule="auto"/>
      </w:pPr>
      <w:r>
        <w:rPr>
          <w:b/>
        </w:rPr>
        <w:t xml:space="preserve">[688] </w:t>
      </w:r>
      <w:hyperlink r:id="rId1869">
        <w:r>
          <w:rPr>
            <w:color w:val="1155CC"/>
            <w:u w:val="single"/>
          </w:rPr>
          <w:t>星形聚电解质凝聚层可实现自适应且稳健的酶固定化，从而实现高效生物催化</w:t>
        </w:r>
      </w:hyperlink>
    </w:p>
    <w:p>
      <w:pPr>
        <w:spacing w:before="0" w:after="80"/>
      </w:pPr>
      <w:r>
        <w:rPr>
          <w:i/>
          <w:sz w:val="20"/>
        </w:rPr>
        <w:t>EN: Star Polyelectrolyte Coacervates Enable Adaptive and Robust Enzyme Immobilization for Efficient Biocatalysis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70">
        <w:r>
          <w:rPr>
            <w:color w:val="1155CC"/>
            <w:u w:val="single"/>
          </w:rPr>
          <w:t>10.1021/jacs.6c10930</w:t>
        </w:r>
      </w:hyperlink>
    </w:p>
    <w:p>
      <w:pPr>
        <w:spacing w:before="0" w:after="120"/>
      </w:pPr>
      <w:r>
        <w:rPr>
          <w:b/>
        </w:rPr>
        <w:t xml:space="preserve">Notes: </w:t>
      </w:r>
      <w:r>
        <w:t>abstract_source=crossref</w:t>
      </w:r>
    </w:p>
    <w:p>
      <w:pPr>
        <w:spacing w:before="0" w:after="80" w:lineRule="auto" w:line="276"/>
      </w:pPr>
      <w:r>
        <w:rPr>
          <w:b/>
        </w:rPr>
        <w:t xml:space="preserve">摘要（ZH）: </w:t>
      </w:r>
      <w:r>
        <w:t>摘要 固体多孔载体中的酶固定化常常需要在酶负载、传质、催化活性和操作稳定性之间进行权衡。在这里，我们报告了一种基于星型聚电解质凝聚层（SPEC）的类液体固定平台，该平台是通过简单混合带相反电荷的星型聚电解质形成的。多价星形拓扑结构将凝聚层组织成一个紧凑但动态自适应的网络，使酶加载效率超过 97%，表观催化速率得到数量级的增强。此外，SPEC 具有拓扑启用的离子排除功能，即使在高盐度条件下也能抑制离子渗透，从而稳定凝聚层结构和嵌入的酶。因此，SPEC 在盐度、pH、温度和有机溶剂扰动下仍能保持高催化活性，并支持持续的连续流动生物催化。该平台广泛适用于多种酶，包括多种生物来源的脂肪酶、碱性磷酸酶和胰蛋白酶，从而使 SPEC 成为一种通用且可扩展的固定化策略，以实现高效实用的生物催化。</w:t>
      </w:r>
    </w:p>
    <w:p>
      <w:pPr>
        <w:spacing w:before="0" w:after="200" w:lineRule="auto" w:line="276"/>
      </w:pPr>
      <w:r>
        <w:rPr>
          <w:b/>
        </w:rPr>
        <w:t xml:space="preserve">Abstract (EN): </w:t>
      </w:r>
      <w:r>
        <w:t>Enzyme immobilization in solid porous supports often suffers from a trade-off among enzyme loading, mass transport, catalytic activity, and operational stability. Here, we report a liquid-like immobilization platform based on star polyelectrolyte coacervates (SPECs) formed by simple mixing of oppositely charged star polyelectrolytes. The multivalent star topology organizes the coacervate into a compact yet dynamically adaptive network, enabling enzyme loading efficiencies exceeding 97% and order-of-magnitude enhancements in apparent catalytic rates. Moreover, SPEC exhibits topology-enabled ion exclusion that suppresses ion penetration even under high-salinity conditions, thereby stabilizing both the coacervate structure and embedded enzymes. As a result, SPEC maintains high catalytic activity under salinity, pH, temperature, and organic solvent perturbations and supports sustained continuous-flow biocatalysis. The platform is broadly applicable to diverse enzymes, including lipases from multiple biological sources, alkaline phosphatase, and trypsin, thereby establishing SPEC as a general and scalable immobilization strategy for efficient and practical biocatalysis.</w:t>
      </w:r>
    </w:p>
    <w:p>
      <w:pPr>
        <w:spacing w:before="120" w:after="120"/>
      </w:pPr>
      <w:r>
        <w:rPr>
          <w:sz w:val="18"/>
        </w:rPr>
        <w:t>——————————————————————————————————————————————————————————————————————</w:t>
      </w:r>
    </w:p>
    <w:p>
      <w:pPr>
        <w:spacing w:before="160" w:after="40" w:line="240" w:lineRule="auto"/>
      </w:pPr>
      <w:r>
        <w:rPr>
          <w:b/>
        </w:rPr>
        <w:t xml:space="preserve">[689] </w:t>
      </w:r>
      <w:hyperlink r:id="rId1871">
        <w:r>
          <w:rPr>
            <w:color w:val="1155CC"/>
            <w:u w:val="single"/>
          </w:rPr>
          <w:t>迄今为止尚未认识到的气体分子间库仑衰变机制</w:t>
        </w:r>
      </w:hyperlink>
    </w:p>
    <w:p>
      <w:pPr>
        <w:spacing w:before="0" w:after="80"/>
      </w:pPr>
      <w:r>
        <w:rPr>
          <w:i/>
          <w:sz w:val="20"/>
        </w:rPr>
        <w:t>EN: Hitherto Unrecognized Intermolecular Coulombic Decay Mechanism in Gases</w:t>
      </w:r>
    </w:p>
    <w:p>
      <w:pPr>
        <w:spacing w:before="0" w:after="120"/>
      </w:pPr>
      <w:r>
        <w:rPr>
          <w:b/>
        </w:rPr>
        <w:t xml:space="preserve">Source: </w:t>
      </w:r>
      <w:r>
        <w:t>Journal of the American Chemical Society: Latest Articles (ACS Publications)</w:t>
      </w:r>
      <w:r>
        <w:t xml:space="preserve">    </w:t>
      </w:r>
      <w:r>
        <w:rPr>
          <w:b/>
        </w:rPr>
        <w:t xml:space="preserve">Pub date: </w:t>
      </w:r>
      <w:r>
        <w:t>2026-08-13 00:00:00+00:00</w:t>
      </w:r>
      <w:r>
        <w:t xml:space="preserve">    </w:t>
      </w:r>
      <w:r>
        <w:rPr>
          <w:b/>
        </w:rPr>
        <w:t xml:space="preserve">DOI: </w:t>
      </w:r>
      <w:hyperlink r:id="rId1872">
        <w:r>
          <w:rPr>
            <w:color w:val="1155CC"/>
            <w:u w:val="single"/>
          </w:rPr>
          <w:t>10.1021/jacs.6c06869</w:t>
        </w:r>
      </w:hyperlink>
    </w:p>
    <w:p>
      <w:pPr>
        <w:spacing w:before="0" w:after="120"/>
      </w:pPr>
      <w:r>
        <w:rPr>
          <w:b/>
        </w:rPr>
        <w:t xml:space="preserve">Notes: </w:t>
      </w:r>
      <w:r>
        <w:t>abstract_source=crossref</w:t>
      </w:r>
    </w:p>
    <w:p>
      <w:pPr>
        <w:spacing w:before="0" w:after="80" w:lineRule="auto" w:line="276"/>
      </w:pPr>
      <w:r>
        <w:rPr>
          <w:b/>
        </w:rPr>
        <w:t xml:space="preserve">摘要（ZH）: </w:t>
      </w:r>
      <w:r>
        <w:t>摘要 激发的原子和分子可以利用其多余的能量通过称为原子间和分子间库仑衰变（ICD）的过程电离相邻系统。 ICD 速度超快，处于飞秒状态，并且具有多种出现模式。据报道，ICD 在各个领域都有广泛的应用，预计它在自然界中将无处不在。基本上所有 ICD 的研究都是针对弱结合系统，如团簇和流体。我们出乎意料地证明，尽管单元之间的距离非常大，ICD 仍然可以在原子和分子气体中有效地发挥作用。我们揭示了由于延迟而产生的潜在机制，并且与弱结合系统中普遍存在的标准偶极-偶极相互作用不同。分析了 ICD 在气体中的动力学。结果大大扩大了 ICD 的影响，并为新型应用打开了大门。</w:t>
      </w:r>
    </w:p>
    <w:p>
      <w:pPr>
        <w:spacing w:before="0" w:after="200" w:lineRule="auto" w:line="276"/>
      </w:pPr>
      <w:r>
        <w:rPr>
          <w:b/>
        </w:rPr>
        <w:t xml:space="preserve">Abstract (EN): </w:t>
      </w:r>
      <w:r>
        <w:t>Excited atoms and molecules can utilize their excess energy to ionize a neighboring system by a process named interatomic and intermolecular Coulombic decay (ICD). ICD is ultrafast, in the femtosecond regime, and has many modes of appearance. Ample applications of ICD have been reported spanning a wide range of fields and it is expected to be ubiquitous in nature. Essentially all the investigations on ICD were for weakly bound systems, like clusters and fluids. We demonstrate that, unexpectedly, ICD can be efficiently active in atomic and molecular gases in spite of the very large distances between the units. We uncover the underlying mechanism which is due to retardation and differs from the standard dipole–dipole interaction prevailing in weakly bound systems. The dynamics of ICD in gases is analyzed. The results considerably broaden the impact of ICD and open the gateway to new kinds of applications.</w:t>
      </w:r>
    </w:p>
    <w:p>
      <w:pPr>
        <w:spacing w:before="120" w:after="120"/>
      </w:pPr>
      <w:r>
        <w:rPr>
          <w:sz w:val="18"/>
        </w:rPr>
        <w:t>——————————————————————————————————————————————————————————————————————</w:t>
      </w:r>
    </w:p>
    <w:p>
      <w:pPr>
        <w:spacing w:before="160" w:after="40" w:line="240" w:lineRule="auto"/>
      </w:pPr>
      <w:r>
        <w:rPr>
          <w:b/>
        </w:rPr>
        <w:t xml:space="preserve">[690] </w:t>
      </w:r>
      <w:hyperlink r:id="rId1873">
        <w:r>
          <w:rPr>
            <w:color w:val="1155CC"/>
            <w:u w:val="single"/>
          </w:rPr>
          <w:t>作为女性创始人，如何让您的科学事业取得成功</w:t>
        </w:r>
      </w:hyperlink>
    </w:p>
    <w:p>
      <w:pPr>
        <w:spacing w:before="0" w:after="80"/>
      </w:pPr>
      <w:r>
        <w:rPr>
          <w:i/>
          <w:sz w:val="20"/>
        </w:rPr>
        <w:t>EN: How to make your science business succeed when you’re a female founder</w:t>
      </w:r>
    </w:p>
    <w:p>
      <w:pPr>
        <w:spacing w:before="0" w:after="120"/>
      </w:pPr>
      <w:r>
        <w:rPr>
          <w:b/>
        </w:rPr>
        <w:t xml:space="preserve">Source: </w:t>
      </w:r>
      <w:r>
        <w:t>Nature</w:t>
      </w:r>
      <w:r>
        <w:t xml:space="preserve">    </w:t>
      </w:r>
      <w:r>
        <w:rPr>
          <w:b/>
        </w:rPr>
        <w:t xml:space="preserve">Pub date: </w:t>
      </w:r>
      <w:r>
        <w:t>2026-08-13 00:00:00+00:00</w:t>
      </w:r>
      <w:r>
        <w:t xml:space="preserve">    </w:t>
      </w:r>
      <w:r>
        <w:rPr>
          <w:b/>
        </w:rPr>
        <w:t xml:space="preserve">DOI: </w:t>
      </w:r>
      <w:hyperlink r:id="rId1874">
        <w:r>
          <w:rPr>
            <w:color w:val="1155CC"/>
            <w:u w:val="single"/>
          </w:rPr>
          <w:t>10.1038/d41586-026-01904-y</w:t>
        </w:r>
      </w:hyperlink>
    </w:p>
    <w:p>
      <w:pPr>
        <w:spacing w:before="0" w:after="120"/>
      </w:pPr>
      <w:r>
        <w:rPr>
          <w:b/>
        </w:rPr>
        <w:t xml:space="preserve">Notes: </w:t>
      </w:r>
      <w:r>
        <w:t>abstract_source=rss_nature</w:t>
      </w:r>
    </w:p>
    <w:p>
      <w:pPr>
        <w:spacing w:before="0" w:after="80" w:lineRule="auto" w:line="276"/>
      </w:pPr>
      <w:r>
        <w:rPr>
          <w:b/>
        </w:rPr>
        <w:t xml:space="preserve">摘要（ZH）: </w:t>
      </w:r>
      <w:r>
        <w:t>性别歧视假设和男性主导的文化会让女性更难为她们创办的公司吸引投资。</w:t>
      </w:r>
    </w:p>
    <w:p>
      <w:pPr>
        <w:spacing w:before="0" w:after="200" w:lineRule="auto" w:line="276"/>
      </w:pPr>
      <w:r>
        <w:rPr>
          <w:b/>
        </w:rPr>
        <w:t xml:space="preserve">Abstract (EN): </w:t>
      </w:r>
      <w:r>
        <w:t>Sexist assumptions and a male-dominated culture can make it harder for women to attract investment for the companies they set up.</w:t>
      </w:r>
    </w:p>
    <w:p>
      <w:pPr>
        <w:spacing w:before="120" w:after="120"/>
      </w:pPr>
      <w:r>
        <w:rPr>
          <w:sz w:val="18"/>
        </w:rPr>
        <w:t>——————————————————————————————————————————————————————————————————————</w:t>
      </w:r>
    </w:p>
    <w:p>
      <w:pPr>
        <w:spacing w:before="160" w:after="40" w:line="240" w:lineRule="auto"/>
      </w:pPr>
      <w:r>
        <w:rPr>
          <w:b/>
        </w:rPr>
        <w:t xml:space="preserve">[691] </w:t>
      </w:r>
      <w:hyperlink r:id="rId1875">
        <w:r>
          <w:rPr>
            <w:color w:val="1155CC"/>
            <w:u w:val="single"/>
          </w:rPr>
          <w:t>古代二氧化碳的上升对森林来说是灾难性的：这对今天的植物意味着什么</w:t>
        </w:r>
      </w:hyperlink>
    </w:p>
    <w:p>
      <w:pPr>
        <w:spacing w:before="0" w:after="80"/>
      </w:pPr>
      <w:r>
        <w:rPr>
          <w:i/>
          <w:sz w:val="20"/>
        </w:rPr>
        <w:t>EN: Ancient rise in CO2 was catastrophic for forests: what that means for today’s plants</w:t>
      </w:r>
    </w:p>
    <w:p>
      <w:pPr>
        <w:spacing w:before="0" w:after="120"/>
      </w:pPr>
      <w:r>
        <w:rPr>
          <w:b/>
        </w:rPr>
        <w:t xml:space="preserve">Source: </w:t>
      </w:r>
      <w:r>
        <w:t>Nature</w:t>
      </w:r>
      <w:r>
        <w:t xml:space="preserve">    </w:t>
      </w:r>
      <w:r>
        <w:rPr>
          <w:b/>
        </w:rPr>
        <w:t xml:space="preserve">Pub date: </w:t>
      </w:r>
      <w:r>
        <w:t>2026-08-13 00:00:00+00:00</w:t>
      </w:r>
      <w:r>
        <w:t xml:space="preserve">    </w:t>
      </w:r>
      <w:r>
        <w:rPr>
          <w:b/>
        </w:rPr>
        <w:t xml:space="preserve">DOI: </w:t>
      </w:r>
      <w:hyperlink r:id="rId1876">
        <w:r>
          <w:rPr>
            <w:color w:val="1155CC"/>
            <w:u w:val="single"/>
          </w:rPr>
          <w:t>10.1038/d41586-026-02544-y</w:t>
        </w:r>
      </w:hyperlink>
    </w:p>
    <w:p>
      <w:pPr>
        <w:spacing w:before="0" w:after="120"/>
      </w:pPr>
      <w:r>
        <w:rPr>
          <w:b/>
        </w:rPr>
        <w:t xml:space="preserve">Notes: </w:t>
      </w:r>
      <w:r>
        <w:t>abstract_source=rss_nature</w:t>
      </w:r>
    </w:p>
    <w:p>
      <w:pPr>
        <w:spacing w:before="0" w:after="80" w:lineRule="auto" w:line="276"/>
      </w:pPr>
      <w:r>
        <w:rPr>
          <w:b/>
        </w:rPr>
        <w:t xml:space="preserve">摘要（ZH）: </w:t>
      </w:r>
      <w:r>
        <w:t>5600万年前因气候变化而造成的森林大面积枯死与今天的情况相似。</w:t>
      </w:r>
    </w:p>
    <w:p>
      <w:pPr>
        <w:spacing w:before="0" w:after="200" w:lineRule="auto" w:line="276"/>
      </w:pPr>
      <w:r>
        <w:rPr>
          <w:b/>
        </w:rPr>
        <w:t xml:space="preserve">Abstract (EN): </w:t>
      </w:r>
      <w:r>
        <w:t>A widespread dieback of forests due to climate change 56 million years ago has parallels with today.</w:t>
      </w:r>
    </w:p>
    <w:p>
      <w:pPr>
        <w:spacing w:before="120" w:after="120"/>
      </w:pPr>
      <w:r>
        <w:rPr>
          <w:sz w:val="18"/>
        </w:rPr>
        <w:t>——————————————————————————————————————————————————————————————————————</w:t>
      </w:r>
    </w:p>
    <w:p>
      <w:pPr>
        <w:spacing w:before="160" w:after="40" w:line="240" w:lineRule="auto"/>
      </w:pPr>
      <w:r>
        <w:rPr>
          <w:b/>
        </w:rPr>
        <w:t xml:space="preserve">[692] </w:t>
      </w:r>
      <w:hyperlink r:id="rId1877">
        <w:r>
          <w:rPr>
            <w:color w:val="1155CC"/>
            <w:u w:val="single"/>
          </w:rPr>
          <w:t>微生理系统 HHT 芯片平台再现患者血管病变</w:t>
        </w:r>
      </w:hyperlink>
    </w:p>
    <w:p>
      <w:pPr>
        <w:spacing w:before="0" w:after="80"/>
      </w:pPr>
      <w:r>
        <w:rPr>
          <w:i/>
          <w:sz w:val="20"/>
        </w:rPr>
        <w:t>EN: A microphysiological system HHT-on-a-chip platform recapitulates patient vascular lesions</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遗传性出血性毛细血管扩张症（HHT）是一种罕见的先天性疾病，其中多个器官局部出现脆弱的血管畸形（VM）。治疗选择很少，而且无法治愈。 HHT 患者遗传了影响 Alk1-Eng 信号传导的功能丧失突变；然而，为什么这表现为虚拟机仍然知之甚少。在这里，我们开发了一种完全基于人类细胞的灌注脉管系统微生理系统，其中诱导型 shRNA 控制原代内皮细胞 (EC) 中的内源性 Alk1。由此产生的 VM 会在几天内形成，重现患者 VM 的外观，并且仅需要 Alk1 缺陷的 EC 亚群即可触发病变。单细胞转录组学表明微血管修剪和退化有助于 VM，而 PDGFB 的丢失则意味着壁细胞的募集。最后，药理学 VEGF/VEGFR 抑制可阻止病变形成。总之，我们开发了一种 HHT 芯片模型，可以忠实地再现 HHT 患者病变，可用于更好地了解 HHT 疾病生物学并识别潜在的新 HHT 药物。</w:t>
      </w:r>
    </w:p>
    <w:p>
      <w:pPr>
        <w:spacing w:before="0" w:after="200" w:lineRule="auto" w:line="276"/>
      </w:pPr>
      <w:r>
        <w:rPr>
          <w:b/>
        </w:rPr>
        <w:t xml:space="preserve">Abstract (EN): </w:t>
      </w:r>
      <w:r>
        <w:t>Hereditary Hemorrhagic Telangiectasia (HHT) is a rare congenital disease in which fragile vascular malformations (VM) focally develop in multiple organs. There are few treatment options and no cure. HHT patients inherit loss-of-function mutations affecting Alk1-Eng signaling; however, why this manifests as VMs remains poorly understood. Here we have developed a fully human cell-based microphysiological system of perfused vasculature in which inducible shRNA controls endogenous Alk1 in primary endothelial cells (EC). Resulting VMs develop over several days, recapitulate patient VM appearance, and require only a subpopulation of Alk1-deficient EC to trigger lesions. Single-cell transcriptomics suggests microvessel pruning and regression contribute to VM, while loss of PDGFB implicates mural cell recruitment. Finally, pharmacological VEGF/VEGFR inhibition blocks lesion formation. In summary, we have developed an HHT-on-a-chip model that faithfully reproduces HHT patient lesions and that can be used to better understand HHT disease biology and identify potential new HHT drugs.</w:t>
      </w:r>
    </w:p>
    <w:p>
      <w:pPr>
        <w:spacing w:before="120" w:after="120"/>
      </w:pPr>
      <w:r>
        <w:rPr>
          <w:sz w:val="18"/>
        </w:rPr>
        <w:t>——————————————————————————————————————————————————————————————————————</w:t>
      </w:r>
    </w:p>
    <w:p>
      <w:pPr>
        <w:spacing w:before="160" w:after="40" w:line="240" w:lineRule="auto"/>
      </w:pPr>
      <w:r>
        <w:rPr>
          <w:b/>
        </w:rPr>
        <w:t xml:space="preserve">[693] </w:t>
      </w:r>
      <w:hyperlink r:id="rId1878">
        <w:r>
          <w:rPr>
            <w:color w:val="1155CC"/>
            <w:u w:val="single"/>
          </w:rPr>
          <w:t>激光粉末床熔合中熵合金的熵驱动致密化</w:t>
        </w:r>
      </w:hyperlink>
    </w:p>
    <w:p>
      <w:pPr>
        <w:spacing w:before="0" w:after="80"/>
      </w:pPr>
      <w:r>
        <w:rPr>
          <w:i/>
          <w:sz w:val="20"/>
        </w:rPr>
        <w:t>EN: Entropy-driven densification of medium-entropy alloys with laser powder bed fusion</w:t>
      </w:r>
    </w:p>
    <w:p>
      <w:pPr>
        <w:spacing w:before="0" w:after="120"/>
      </w:pPr>
      <w:r>
        <w:rPr>
          <w:b/>
        </w:rPr>
        <w:t xml:space="preserve">Source: </w:t>
      </w:r>
      <w:r>
        <w:t>Physical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Anomalies inherent to laser-based additive manufacturing (AM), including porosity and structural defects, present significant barriers to fabricating high-integrity metallic structural components. These unavoidable anomalies can significantly degrade the long-term properties of metals, including fatigue, creep, and corrosion, thereby limiting their use in critical environments.在本研究中，我们通过单步熵工程策略克服了这一挑战。 By integrating CoCrNi and 316 L powders and enabling temporal changes in entropy evolution during printing, we obtained a nearly void-free (density &gt; 99.99%) medium-entropy alloy with exceptional fatigue resistance and corrosion performance, surpassing conventional PBF-LB/Med medium- and high-entropy alloys. By combining macro-scale densification analysis, micro-scale SEM/EBSD observations, and nano-scale TEM investigations, our results revealed that the increase in configurational entropy during the AM process, together with changes in microstructure, can modify the thermal history, thereby optimizing melt pool spreading. This modification promoted the formation of a uniformly distributed, subgrain-predominated microstructure with a relatively low geometrically necessary dislocation density, which is relatively stable under external loading.这项工作提出了一种单步方法来克服增材制造组件的长期性能限制。</w:t>
      </w:r>
    </w:p>
    <w:p>
      <w:pPr>
        <w:spacing w:before="0" w:after="200" w:lineRule="auto" w:line="276"/>
      </w:pPr>
      <w:r>
        <w:rPr>
          <w:b/>
        </w:rPr>
        <w:t xml:space="preserve">Abstract (EN): </w:t>
      </w:r>
      <w:r>
        <w:t>Anomalies inherent to laser-based additive manufacturing (AM), including porosity and structural defects, present significant barriers to fabricating high-integrity metallic structural components. These unavoidable anomalies can significantly degrade the long-term properties of metals, including fatigue, creep, and corrosion, thereby limiting their use in critical environments. In this study, we overcome this challenge with a single-step entropy engineering strategy. By integrating CoCrNi and 316 L powders and enabling temporal changes in entropy evolution during printing, we obtained a nearly void-free (density &gt; 99.99%) medium-entropy alloy with exceptional fatigue resistance and corrosion performance, surpassing conventional PBF-LB/Med medium- and high-entropy alloys. By combining macro-scale densification analysis, micro-scale SEM/EBSD observations, and nano-scale TEM investigations, our results revealed that the increase in configurational entropy during the AM process, together with changes in microstructure, can modify the thermal history, thereby optimizing melt pool spreading. This modification promoted the formation of a uniformly distributed, subgrain-predominated microstructure with a relatively low geometrically necessary dislocation density, which is relatively stable under external loading. This work presents a single-step approach to overcoming the long-term property limitations of AM-fabricated components.</w:t>
      </w:r>
    </w:p>
    <w:p>
      <w:pPr>
        <w:spacing w:before="120" w:after="120"/>
      </w:pPr>
      <w:r>
        <w:rPr>
          <w:sz w:val="18"/>
        </w:rPr>
        <w:t>——————————————————————————————————————————————————————————————————————</w:t>
      </w:r>
    </w:p>
    <w:p>
      <w:pPr>
        <w:spacing w:before="160" w:after="40" w:line="240" w:lineRule="auto"/>
      </w:pPr>
      <w:r>
        <w:rPr>
          <w:b/>
        </w:rPr>
        <w:t xml:space="preserve">[694] </w:t>
      </w:r>
      <w:hyperlink r:id="rId1879">
        <w:r>
          <w:rPr>
            <w:color w:val="1155CC"/>
            <w:u w:val="single"/>
          </w:rPr>
          <w:t>强迫症症状出现之前信心下降</w:t>
        </w:r>
      </w:hyperlink>
    </w:p>
    <w:p>
      <w:pPr>
        <w:spacing w:before="0" w:after="80"/>
      </w:pPr>
      <w:r>
        <w:rPr>
          <w:i/>
          <w:sz w:val="20"/>
        </w:rPr>
        <w:t>EN: Drops in confidence precede symptoms of obsessive-compulsive disorder</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心理健康症状，就像强迫症的症状一样，随着时间的推移表现出明显的波动。然而，人们对驱动这些波动的潜在因素知之甚少。虽然理论解释表明认知过程驱动症状变异，但横断面工作无法有效地探讨这些机制。基于普遍存在的怀疑和不自信是该疾病的认知标志的观念，我们研究元认知过程是否与强迫症症状相对应。我们采用基于智能手机的瞬时评估设计，其中强迫症参与者（N = 137）记录两周内经历症状的实例。参与者还完成每日预定的评估，并每两天进行一次感知元认知任务。我们的研究结果表明，元认知与强迫症状有关。具体来说，我们发现了方向性效应，即自信心和基于任务的元认知的降低先于强迫症状日志的出现，但反之则不然。此外，感知决策过程中的信心与每时每刻的自我报告信心显着相关，这表明不同的元认知模式可能是相互关联的。面对针对数据中可能存在的不平衡和缺失的多项敏感性分析，结果仍然稳健。因此，我们的微观纵向研究设计为症状升级之前的认知扭曲（包括自我报告的和基于任务的）提供了证据。</w:t>
      </w:r>
    </w:p>
    <w:p>
      <w:pPr>
        <w:spacing w:before="0" w:after="200" w:lineRule="auto" w:line="276"/>
      </w:pPr>
      <w:r>
        <w:rPr>
          <w:b/>
        </w:rPr>
        <w:t xml:space="preserve">Abstract (EN): </w:t>
      </w:r>
      <w:r>
        <w:t>Mental health symptoms, like those in obsessive-compulsive disorder, show pronounced fluctuations over time. However, little is known about the underlying factors driving these fluctuations. Whilst theoretical accounts propose that cognitive processes drive symptom variability, cross-sectional work is unable to effectively probe these mechanisms. Based on prevailing notions of doubt and underconfidence being cognitive hallmarks of the disorder, we investigate whether metacognitive processes correspond to obsessive-compulsive disorder symptoms. We employ a smartphone-based momentary assessment design wherein participants with obsessive-compulsive disorder (N = 137) log instances of experiencing symptoms across 2-weeks. Participants also complete daily scheduled assessments and play a perceptual metacognitive task every two days. Our results reveal that metacognition is associated with obsessive-compulsive symptoms. Concretely, we find directional effects whereby reductions in both self-confidence and task-based metacognition precede occurrences of obsessive-compulsive symptom logs, but not vice versa. Moreover, confidence during perceptual decision-making is significantly related to self-reported confidence on a moment-to-moment basis, indicating that distinct metacognitive modalities may be interrelated. Results remain robust in the face of several sensitivity analyses targeting possible imbalances and missingness in the data. Thus, our micro-longitudinal study design provides evidence for cognitive distortions (both self-reported and task-based) preceding symptom escalations, signifying the potential for designing just-in-time interventions.</w:t>
      </w:r>
    </w:p>
    <w:p>
      <w:pPr>
        <w:spacing w:before="120" w:after="120"/>
      </w:pPr>
      <w:r>
        <w:rPr>
          <w:sz w:val="18"/>
        </w:rPr>
        <w:t>——————————————————————————————————————————————————————————————————————</w:t>
      </w:r>
    </w:p>
    <w:p>
      <w:pPr>
        <w:spacing w:before="160" w:after="40" w:line="240" w:lineRule="auto"/>
      </w:pPr>
      <w:r>
        <w:rPr>
          <w:b/>
        </w:rPr>
        <w:t xml:space="preserve">[695] </w:t>
      </w:r>
      <w:hyperlink r:id="rId1880">
        <w:r>
          <w:rPr>
            <w:color w:val="1155CC"/>
            <w:u w:val="single"/>
          </w:rPr>
          <w:t>低对称性Weyl面上的拓扑费米弧干涉</w:t>
        </w:r>
      </w:hyperlink>
    </w:p>
    <w:p>
      <w:pPr>
        <w:spacing w:before="0" w:after="80"/>
      </w:pPr>
      <w:r>
        <w:rPr>
          <w:i/>
          <w:sz w:val="20"/>
        </w:rPr>
        <w:t>EN: Topological Fermi arc interference on low-symmetry Weyl surfaces</w:t>
      </w:r>
    </w:p>
    <w:p>
      <w:pPr>
        <w:spacing w:before="0" w:after="120"/>
      </w:pPr>
      <w:r>
        <w:rPr>
          <w:b/>
        </w:rPr>
        <w:t xml:space="preserve">Source: </w:t>
      </w:r>
      <w:r>
        <w:t>Physical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Topological materials are defined by the correspondence between bulk topology and boundary states, yet this correspondence becomes enigmatic on low-symmetry surfaces where bulk and surface periodicities may not coincide within a conventional first bulk Brillouin zone projection.在这里，我们研究了 Weyl 半金属 NdAlSi 的 (103) 表面，并识别了边界光谱中的费米弧干涉。 Angle-resolved photoemission spectroscopy uncovers loop-like Fermi-arc connectivity and characteristic replica modulations that are not observed on high symmetry surfaces. Crucially, the topological surface states themselves are reconstructed because Fermi arcs from phase-shifted bulk-zone projections overlap and hybridize, producing connectivity patterns unique to low-symmetry facets.我们表明，这些是由不完整的整体投影和由最小公倍数框架控制的多小区干扰产生的。 Least-common-multiple guided density functional theory and Green’s-function calculations reproduce the reconstructed periodicity and dominant replica structure in the spectra, providing a broadly applicable commensuration guideline. These findings resolve the apparent bulk-boundary correspondence paradox on low-symmetry surfaces and provide an operational route to model and interpret boundary spectra on complex facets.</w:t>
      </w:r>
    </w:p>
    <w:p>
      <w:pPr>
        <w:spacing w:before="0" w:after="200" w:lineRule="auto" w:line="276"/>
      </w:pPr>
      <w:r>
        <w:rPr>
          <w:b/>
        </w:rPr>
        <w:t xml:space="preserve">Abstract (EN): </w:t>
      </w:r>
      <w:r>
        <w:t>Topological materials are defined by the correspondence between bulk topology and boundary states, yet this correspondence becomes enigmatic on low-symmetry surfaces where bulk and surface periodicities may not coincide within a conventional first bulk Brillouin zone projection. Here we study the (103) surface of the Weyl semimetal NdAlSi and identify Fermi arc interference in the boundary spectrum. Angle-resolved photoemission spectroscopy uncovers loop-like Fermi-arc connectivity and characteristic replica modulations that are not observed on high symmetry surfaces. Crucially, the topological surface states themselves are reconstructed because Fermi arcs from phase-shifted bulk-zone projections overlap and hybridize, producing connectivity patterns unique to low-symmetry facets. We show that these emerge from incomplete bulk projection and multi-cell interference governed by a least-common-multiple framework. Least-common-multiple guided density functional theory and Green’s-function calculations reproduce the reconstructed periodicity and dominant replica structure in the spectra, providing a broadly applicable commensuration guideline. These findings resolve the apparent bulk-boundary correspondence paradox on low-symmetry surfaces and provide an operational route to model and interpret boundary spectra on complex facets.</w:t>
      </w:r>
    </w:p>
    <w:p>
      <w:pPr>
        <w:spacing w:before="120" w:after="120"/>
      </w:pPr>
      <w:r>
        <w:rPr>
          <w:sz w:val="18"/>
        </w:rPr>
        <w:t>——————————————————————————————————————————————————————————————————————</w:t>
      </w:r>
    </w:p>
    <w:p>
      <w:pPr>
        <w:spacing w:before="160" w:after="40" w:line="240" w:lineRule="auto"/>
      </w:pPr>
      <w:r>
        <w:rPr>
          <w:b/>
        </w:rPr>
        <w:t xml:space="preserve">[696] </w:t>
      </w:r>
      <w:hyperlink r:id="rId1881">
        <w:r>
          <w:rPr>
            <w:color w:val="1155CC"/>
            <w:u w:val="single"/>
          </w:rPr>
          <w:t>用于先进人体运动监测的可拉伸光子晶体光纤中的圆偏振发光光波导</w:t>
        </w:r>
      </w:hyperlink>
    </w:p>
    <w:p>
      <w:pPr>
        <w:spacing w:before="0" w:after="80"/>
      </w:pPr>
      <w:r>
        <w:rPr>
          <w:i/>
          <w:sz w:val="20"/>
        </w:rPr>
        <w:t>EN: Circularly polarized luminescence optical waveguides in stretchable photonic crystal fibers for advanced human motion monitoring</w:t>
      </w:r>
    </w:p>
    <w:p>
      <w:pPr>
        <w:spacing w:before="0" w:after="120"/>
      </w:pPr>
      <w:r>
        <w:rPr>
          <w:b/>
        </w:rPr>
        <w:t xml:space="preserve">Source: </w:t>
      </w:r>
      <w:r>
        <w:t>Physical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Flexible optical waveguides are vital for next-generation optoelectronics, yet conventional organic soft waveguides lack the dynamic, real-time modulation required for wearable systems.在这里，我们报告了利用可拉伸光子晶体（SPC）光纤的机械可编程手性光波导。 By establishing a rigorous quantitative framework relating helical pitch evolution to circularly polarized luminescence (CPL) dissymmetry factors (glum), we achieve a linear modulation of glum from 0.153 to near zero via mechanical stretching.这些光纤具有极低的光损耗系数 (~0.0922 dB/mm)，确保长距离信号完整性。 Crucially, the glum signal provides a “self-calibrating” sensing mode inherently robust against excitation fluctuations and environmental scattering—overcoming fundamental limitations of standard intensity-based sensors. This work provides a deeper understanding of strain-regulated photonic architectures, offering a robust platform for high-precision, interference-free human motion monitoring and multi-channel optoelectronic communication.</w:t>
      </w:r>
    </w:p>
    <w:p>
      <w:pPr>
        <w:spacing w:before="0" w:after="200" w:lineRule="auto" w:line="276"/>
      </w:pPr>
      <w:r>
        <w:rPr>
          <w:b/>
        </w:rPr>
        <w:t xml:space="preserve">Abstract (EN): </w:t>
      </w:r>
      <w:r>
        <w:t>Flexible optical waveguides are vital for next-generation optoelectronics, yet conventional organic soft waveguides lack the dynamic, real-time modulation required for wearable systems. Here, we report mechanically programmable chiroptical waveguides utilizing stretchable photonic crystal (SPC) fibers. By establishing a rigorous quantitative framework relating helical pitch evolution to circularly polarized luminescence (CPL) dissymmetry factors (glum), we achieve a linear modulation of glum from 0.153 to near zero via mechanical stretching. These fibers exhibit an exceptionally low optical loss coefficient (~0.0922 dB/mm), ensuring long-range signal integrity. Crucially, the glum signal provides a “self-calibrating” sensing mode inherently robust against excitation fluctuations and environmental scattering—overcoming fundamental limitations of standard intensity-based sensors. This work provides a deeper understanding of strain-regulated photonic architectures, offering a robust platform for high-precision, interference-free human motion monitoring and multi-channel optoelectronic communication.</w:t>
      </w:r>
    </w:p>
    <w:p>
      <w:pPr>
        <w:spacing w:before="120" w:after="120"/>
      </w:pPr>
      <w:r>
        <w:rPr>
          <w:sz w:val="18"/>
        </w:rPr>
        <w:t>——————————————————————————————————————————————————————————————————————</w:t>
      </w:r>
    </w:p>
    <w:p>
      <w:pPr>
        <w:spacing w:before="160" w:after="40" w:line="240" w:lineRule="auto"/>
      </w:pPr>
      <w:r>
        <w:rPr>
          <w:b/>
        </w:rPr>
        <w:t xml:space="preserve">[697] </w:t>
      </w:r>
      <w:hyperlink r:id="rId1882">
        <w:r>
          <w:rPr>
            <w:color w:val="1155CC"/>
            <w:u w:val="single"/>
          </w:rPr>
          <w:t>单个计算目标可以在视觉皮层中产生流的专业化</w:t>
        </w:r>
      </w:hyperlink>
    </w:p>
    <w:p>
      <w:pPr>
        <w:spacing w:before="0" w:after="80"/>
      </w:pPr>
      <w:r>
        <w:rPr>
          <w:i/>
          <w:sz w:val="20"/>
        </w:rPr>
        <w:t>EN: A single computational objective can produce specialization of streams in visual cortex</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人类视觉皮层分为背侧、侧向和腹侧流。一个长期存在的假设是，流的功能组织的出现是为了支持不同的视觉行为。在这里，我们将基于神经网络的计算模型与大量功能磁共振成像数据集进行比较，以研究视觉流出现的原因。 We find that a self-supervised Topographic Deep Artificial Neural Network (TDANN), which encourages nearby units to respond similarly, better captures brain responses, as well as spatial segregation and functional differentiation across streams, than DANN models trained for stream-specific visual behaviors. These findings challenge the prevailing view that streams evolved to separately support different behaviors and suggest instead the possibility that functional organization can arise from a single principle: learning generally useful visual representations subject to local spatial constraints.</w:t>
      </w:r>
    </w:p>
    <w:p>
      <w:pPr>
        <w:spacing w:before="0" w:after="200" w:lineRule="auto" w:line="276"/>
      </w:pPr>
      <w:r>
        <w:rPr>
          <w:b/>
        </w:rPr>
        <w:t xml:space="preserve">Abstract (EN): </w:t>
      </w:r>
      <w:r>
        <w:t>Human visual cortex is organized into dorsal, lateral, and ventral streams. A long-standing hypothesis is that the functional organization into streams emerged to support distinct visual behaviors. Here, we compare neural network-based computational models against a massive fMRI dataset to investigate why visual streams emerge. We find that a self-supervised Topographic Deep Artificial Neural Network (TDANN), which encourages nearby units to respond similarly, better captures brain responses, as well as spatial segregation and functional differentiation across streams, than DANN models trained for stream-specific visual behaviors. These findings challenge the prevailing view that streams evolved to separately support different behaviors and suggest instead the possibility that functional organization can arise from a single principle: learning generally useful visual representations subject to local spatial constraints.</w:t>
      </w:r>
    </w:p>
    <w:p>
      <w:pPr>
        <w:spacing w:before="120" w:after="120"/>
      </w:pPr>
      <w:r>
        <w:rPr>
          <w:sz w:val="18"/>
        </w:rPr>
        <w:t>——————————————————————————————————————————————————————————————————————</w:t>
      </w:r>
    </w:p>
    <w:p>
      <w:pPr>
        <w:spacing w:before="160" w:after="40" w:line="240" w:lineRule="auto"/>
      </w:pPr>
      <w:r>
        <w:rPr>
          <w:b/>
        </w:rPr>
        <w:t xml:space="preserve">[698] </w:t>
      </w:r>
      <w:hyperlink r:id="rId1883">
        <w:r>
          <w:rPr>
            <w:color w:val="1155CC"/>
            <w:u w:val="single"/>
          </w:rPr>
          <w:t>具有每个符号一个样本相干检测的亚皮秒同步多方面前传</w:t>
        </w:r>
      </w:hyperlink>
    </w:p>
    <w:p>
      <w:pPr>
        <w:spacing w:before="0" w:after="80"/>
      </w:pPr>
      <w:r>
        <w:rPr>
          <w:i/>
          <w:sz w:val="20"/>
        </w:rPr>
        <w:t>EN: Sub-picosecond synchronized multi-faceted fronthaul with one-sample-per-symbol coherent detection</w:t>
      </w:r>
    </w:p>
    <w:p>
      <w:pPr>
        <w:spacing w:before="0" w:after="120"/>
      </w:pPr>
      <w:r>
        <w:rPr>
          <w:b/>
        </w:rPr>
        <w:t xml:space="preserve">Source: </w:t>
      </w:r>
      <w:r>
        <w:t>Physical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高精度同步、支持亚厘米定位和简化的数字信号处理 (DSP)，对于下一代多功能、高容量和节能的前传网络至关重要。然而，在统一网络内同时实现亚皮秒时间同步和高吞吐量前传传输仍然是一个技术挑战。在这里，我们提出了一种基于电光梳的双向前传架构，它无缝集成了先进的电信和时频同步。导频梳线作为时钟传送的高保真载波，双向传输，实现实时相漂补偿，实现0.25 ps均方根时间同步稳定性。同时，前向导频还有助于远程站点梳状再生，为自零差检测提供本地振荡器。此外，通过利用这种双重功能，我们在所有并行通道上实现了奈奎斯特极限下的网络同步每个符号一个样本相干检测，消除了与载波相位和采样时钟相关的 DSP，同时大大降低了模数转换和剩余 DSP 的复杂性。我们提出的架构为 6G 多功能相干轻量前传网络提供了可扩展的原型。</w:t>
      </w:r>
    </w:p>
    <w:p>
      <w:pPr>
        <w:spacing w:before="0" w:after="200" w:lineRule="auto" w:line="276"/>
      </w:pPr>
      <w:r>
        <w:rPr>
          <w:b/>
        </w:rPr>
        <w:t xml:space="preserve">Abstract (EN): </w:t>
      </w:r>
      <w:r>
        <w:t>High-precision synchronization, empowering sub-centimeter positioning and simplified digital signal processing (DSP), is essential for next-generation multifunctional, high-capacity and energy-efficient fronthaul networks. However, simultaneously achieving sub-picosecond time synchronization and high-throughput fronthaul transmission within a unified network remains a technical challenge. Here, we propose an electro-optic comb-based bidirectional fronthaul architecture that seamlessly integrates advanced telecommunication and time-frequency synchronization. Pilot comb lines, acting as high-fidelity carriers for clock delivery, are bidirectionally transmitted, enabling real-time phase drift compensation and achieving 0.25 ps root-mean-square time synchronization stability. Meanwhile, the forward pilots also facilitate remote-site comb regeneration, providing local oscillators for self-homodyne detection. Moreover, by harnessing this dual capability, we achieve network-synchronous one-sample-per-symbol coherent detection at the Nyquist limit across all parallel channels, eliminating carrier-phase and sampling-clock-related DSP while substantially reducing the complexity of analog-to-digital conversion and the remaining DSP. Our proposed architecture offers a scalable prototype for 6G multifunctional coherent-lite fronthaul networks.</w:t>
      </w:r>
    </w:p>
    <w:p>
      <w:pPr>
        <w:spacing w:before="120" w:after="120"/>
      </w:pPr>
      <w:r>
        <w:rPr>
          <w:sz w:val="18"/>
        </w:rPr>
        <w:t>——————————————————————————————————————————————————————————————————————</w:t>
      </w:r>
    </w:p>
    <w:p>
      <w:pPr>
        <w:spacing w:before="160" w:after="40" w:line="240" w:lineRule="auto"/>
      </w:pPr>
      <w:r>
        <w:rPr>
          <w:b/>
        </w:rPr>
        <w:t xml:space="preserve">[699] </w:t>
      </w:r>
      <w:hyperlink r:id="rId1884">
        <w:r>
          <w:rPr>
            <w:color w:val="1155CC"/>
            <w:u w:val="single"/>
          </w:rPr>
          <w:t>准确的 SEM-EDS 定量、自动化和机器学习可实现粉末的高通量成分表征</w:t>
        </w:r>
      </w:hyperlink>
    </w:p>
    <w:p>
      <w:pPr>
        <w:spacing w:before="0" w:after="80"/>
      </w:pPr>
      <w:r>
        <w:rPr>
          <w:i/>
          <w:sz w:val="20"/>
        </w:rPr>
        <w:t>EN: Accurate SEM-EDS quantification, automation, and machine learning enable high-throughput compositional characterization of powders</w:t>
      </w:r>
    </w:p>
    <w:p>
      <w:pPr>
        <w:spacing w:before="0" w:after="120"/>
      </w:pPr>
      <w:r>
        <w:rPr>
          <w:b/>
        </w:rPr>
        <w:t xml:space="preserve">Source: </w:t>
      </w:r>
      <w:r>
        <w:t>Physical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成分表征对于理解和优化材料性能至关重要。然而，对于支撑许多现代技术的粉末材料来说，准确、快速地解析各个组成相的组成仍然是一个尚未解决的挑战，这会减慢材料研究并限制自主实验室平台。 Scanning electron microscopy with energy-dispersive X-ray spectroscopy (SEM-EDS) offers a time- and cost-effective route, but artifacts generated by irregular particle morphologies fundamentally limit its reliability for quantitative compositional analysis. Here, we introduce a scalable particle-based SEM-EDS quantification scheme that overcomes these artifacts requiring only one experimental standard per element, including light elements conventionally difficult to quantify. To deploy this capability at scale, we then integrate this core quantification scheme with automated measurements and unsupervised machine-learning analysis in an end-to-end automated Python-based framework, AutoEMX, to enable identification and extraction of phase-level compositions within multiphase samples. AutoEMX consistently quantifies atomic fractions across diverse chemistries with relative errors below 10% and typically below 5%, resolving primary phases and intermixed impurities that evade conventional particle-averaged analysis.这项工作消除了快速粉末成分表征的长期障碍，实现了自主实验室的无缝集成以加速发现。</w:t>
      </w:r>
    </w:p>
    <w:p>
      <w:pPr>
        <w:spacing w:before="0" w:after="200" w:lineRule="auto" w:line="276"/>
      </w:pPr>
      <w:r>
        <w:rPr>
          <w:b/>
        </w:rPr>
        <w:t xml:space="preserve">Abstract (EN): </w:t>
      </w:r>
      <w:r>
        <w:t>Compositional characterization is essential for understanding and optimizing material performance. For powder-based materials underpinning many modern technologies, however, accurately and rapidly resolving the composition of individual constituent phases remains an unsolved challenge, slowing materials research and limiting autonomous laboratory platforms. Scanning electron microscopy with energy-dispersive X-ray spectroscopy (SEM-EDS) offers a time- and cost-effective route, but artifacts generated by irregular particle morphologies fundamentally limit its reliability for quantitative compositional analysis. Here, we introduce a scalable particle-based SEM-EDS quantification scheme that overcomes these artifacts requiring only one experimental standard per element, including light elements conventionally difficult to quantify. To deploy this capability at scale, we then integrate this core quantification scheme with automated measurements and unsupervised machine-learning analysis in an end-to-end automated Python-based framework, AutoEMX, to enable identification and extraction of phase-level compositions within multiphase samples. AutoEMX consistently quantifies atomic fractions across diverse chemistries with relative errors below 10% and typically below 5%, resolving primary phases and intermixed impurities that evade conventional particle-averaged analysis. This work removes a long-standing barrier to rapid powder compositional characterization, enabling seamless integration in autonomous laboratories for accelerated discovery.</w:t>
      </w:r>
    </w:p>
    <w:p>
      <w:pPr>
        <w:spacing w:before="120" w:after="120"/>
      </w:pPr>
      <w:r>
        <w:rPr>
          <w:sz w:val="18"/>
        </w:rPr>
        <w:t>——————————————————————————————————————————————————————————————————————</w:t>
      </w:r>
    </w:p>
    <w:p>
      <w:pPr>
        <w:spacing w:before="160" w:after="40" w:line="240" w:lineRule="auto"/>
      </w:pPr>
      <w:r>
        <w:rPr>
          <w:b/>
        </w:rPr>
        <w:t xml:space="preserve">[700] </w:t>
      </w:r>
      <w:hyperlink r:id="rId1885">
        <w:r>
          <w:rPr>
            <w:color w:val="1155CC"/>
            <w:u w:val="single"/>
          </w:rPr>
          <w:t>基于 Tröger 基础分子盒的包合物共晶，用于热激活延迟荧光</w:t>
        </w:r>
      </w:hyperlink>
    </w:p>
    <w:p>
      <w:pPr>
        <w:spacing w:before="0" w:after="80"/>
      </w:pPr>
      <w:r>
        <w:rPr>
          <w:i/>
          <w:sz w:val="20"/>
        </w:rPr>
        <w:t>EN: Inclusion co-crystals based on Tröger’s base molecular box for thermally activated delayed fluorescence</w:t>
      </w:r>
    </w:p>
    <w:p>
      <w:pPr>
        <w:spacing w:before="0" w:after="120"/>
      </w:pPr>
      <w:r>
        <w:rPr>
          <w:b/>
        </w:rPr>
        <w:t xml:space="preserve">Source: </w:t>
      </w:r>
      <w:r>
        <w:t>Physical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通过非共价空间电荷转移 (TSCT) 设计热激活延迟荧光 (TADF) 发射器具有挑战性，需要分子几何形状和电子态之间的微妙平衡。在此，我们提出了一种包合共晶 (ICC) 策略，通过超分子工程的基于分子盒的受限环境，使用非共价 TSCT 方法实现有效的 TADF，为芳香客体提供足够的结合能力。 Tröger的碱基衍生分子盒（TB[2]）包含内消旋（meso-TB[2]）和外消旋（race-TB[2]）物种，被设计为富电子主体，可以选择性地将1,3,5-苯三甲腈（BTN）和1,2,4,5-四氰基苯（TCNB）封装在六种吸电子氰基苯中，形成三个1:1二元包合物CT通过多种非共价相互作用的协同作用形成共晶。由于强的主客体络合作用和弱的 TSCT 相互作用，BTN@meso-TB[2] 和 BTN@race-TB[2] 共晶表现出可调节的黄绿色和亮青色 TADF 发射。相反，TCNB@meso-TB[2] 几乎不发光，因为强烈的分子间 CT 相互作用促进非辐射衰变过程。目前的工作通过平衡 CT 和主客体络合作用的强度，为设计 TADF 发射器提供了一种有效的策略。</w:t>
      </w:r>
    </w:p>
    <w:p>
      <w:pPr>
        <w:spacing w:before="0" w:after="200" w:lineRule="auto" w:line="276"/>
      </w:pPr>
      <w:r>
        <w:rPr>
          <w:b/>
        </w:rPr>
        <w:t xml:space="preserve">Abstract (EN): </w:t>
      </w:r>
      <w:r>
        <w:t>Designing thermally activated delayed fluorescence (TADF) emitters via a non-covalent through-space charge transfer (TSCT) is challenging, requiring a delicate balance between molecular geometries and electronic states. Herein, we present an inclusion co-crystal (ICC) strategy to achieve efficient TADF using non-covalent TSCT approach by supramolecularly engineered molecular box-based confined environments that provide sufficient binding ability to aromatic guests. Tröger’s base-derived molecular boxes (TB[2]) incorporating mesomeric (meso-TB[2]) and racemic (race-TB[2]) species are designed as electron-rich hosts, which can selectively encapsulate 1,3,5-benzenetricarbonitrile (BTN) and 1,2,4,5-tetra-cyanobenzene (TCNB) among six electron-withdrawing cyanobenzenes, forming three 1:1 binary inclusion CT co-crystals through the synergism of multiple non-covalent interactions. The BTN@meso-TB[2] and BTN@race-TB[2] co-crystals exhibit tunable yellow-green and bright cyan TADF emission due to strong host-guest complexation and weak TSCT interactions. Conversely, TCNB@meso-TB[2] is almost no luminescent as the strong intermolecular CT interaction promotes nonradiative decay processes. The present work offers an efficient strategy for designing TADF emitters by balancing the strength of CT and host-guest complexation.</w:t>
      </w:r>
    </w:p>
    <w:p>
      <w:pPr>
        <w:spacing w:before="120" w:after="120"/>
      </w:pPr>
      <w:r>
        <w:rPr>
          <w:sz w:val="18"/>
        </w:rPr>
        <w:t>——————————————————————————————————————————————————————————————————————</w:t>
      </w:r>
    </w:p>
    <w:p>
      <w:pPr>
        <w:spacing w:before="160" w:after="40" w:line="240" w:lineRule="auto"/>
      </w:pPr>
      <w:r>
        <w:rPr>
          <w:b/>
        </w:rPr>
        <w:t xml:space="preserve">[701] </w:t>
      </w:r>
      <w:hyperlink r:id="rId1886">
        <w:r>
          <w:rPr>
            <w:color w:val="1155CC"/>
            <w:u w:val="single"/>
          </w:rPr>
          <w:t>极易遭受入侵者攻击，破坏网络动态的稳定</w:t>
        </w:r>
      </w:hyperlink>
    </w:p>
    <w:p>
      <w:pPr>
        <w:spacing w:before="0" w:after="80"/>
      </w:pPr>
      <w:r>
        <w:rPr>
          <w:i/>
          <w:sz w:val="20"/>
        </w:rPr>
        <w:t>EN: Extreme vulnerability to intruder attacks destabilizes network dynamics</w:t>
      </w:r>
    </w:p>
    <w:p>
      <w:pPr>
        <w:spacing w:before="0" w:after="120"/>
      </w:pPr>
      <w:r>
        <w:rPr>
          <w:b/>
        </w:rPr>
        <w:t xml:space="preserve">Source: </w:t>
      </w:r>
      <w:r>
        <w:t>Physical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共识、同步、编组控制和电网平衡是网络中出现的理想动态状态的示例。在这里，我们研究了在其他功能正常的网络中，入侵者代理如何破坏这种状态的稳定。我们看到，单个对抗性节点通过对抗性连接与一个或多个其他节点耦合，足以破坏整个网络的稳定。我们进一步表明，将攻击集中在单个低入度节点上会导致最大的不稳定性，挑战了集线器是最关键节点的常见假设。这导致了网络脆弱性的新特征，将低度节点识别为最脆弱的组件。虽然是针对线性系统得出的，但我们的结果扩展到非线性网络，包括 Kuramoto 模型。这些发现揭示了技术、社会和生物网络的内在脆弱性。</w:t>
      </w:r>
    </w:p>
    <w:p>
      <w:pPr>
        <w:spacing w:before="0" w:after="200" w:lineRule="auto" w:line="276"/>
      </w:pPr>
      <w:r>
        <w:rPr>
          <w:b/>
        </w:rPr>
        <w:t xml:space="preserve">Abstract (EN): </w:t>
      </w:r>
      <w:r>
        <w:t>Consensus, synchronization, formation control, and power grid balance are examples of desirable dynamical states that arise in networks. Here we investigate how such states can be destabilized by an intruder agent within an otherwise functioning network. We see that a single adversarial node, coupled through adversarial connections to one or more other nodes, is sufficient to destabilize the entire network. We further show that concentrating the attack on a single low-indegree node induces the greatest instability, challenging the common assumption that hubs are the most critical nodes. This leads to a new characterization of network vulnerability, identifying low-indegree nodes as the most vulnerable components. Although derived for linear systems, our results extend to nonlinear networks, including the Kuramoto model. These findings reveal an intrinsic vulnerability of technological, social, and biological networks.</w:t>
      </w:r>
    </w:p>
    <w:p>
      <w:pPr>
        <w:spacing w:before="120" w:after="120"/>
      </w:pPr>
      <w:r>
        <w:rPr>
          <w:sz w:val="18"/>
        </w:rPr>
        <w:t>——————————————————————————————————————————————————————————————————————</w:t>
      </w:r>
    </w:p>
    <w:p>
      <w:pPr>
        <w:spacing w:before="160" w:after="40" w:line="240" w:lineRule="auto"/>
      </w:pPr>
      <w:r>
        <w:rPr>
          <w:b/>
        </w:rPr>
        <w:t xml:space="preserve">[702] </w:t>
      </w:r>
      <w:hyperlink r:id="rId1887">
        <w:r>
          <w:rPr>
            <w:color w:val="1155CC"/>
            <w:u w:val="single"/>
          </w:rPr>
          <w:t>使用 Python regius 气道类器官对爬行动物病毒感染进行体外建模</w:t>
        </w:r>
      </w:hyperlink>
    </w:p>
    <w:p>
      <w:pPr>
        <w:spacing w:before="0" w:after="80"/>
      </w:pPr>
      <w:r>
        <w:rPr>
          <w:i/>
          <w:sz w:val="20"/>
        </w:rPr>
        <w:t>EN: Modeling reptile virus infection in vitro using Python regius airway organoids</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人畜共患疾病对全球健康构成巨大风险，凸显了更好地了解动物向人类传播的必要性。人们越来越多地认识到爬行动物是多种病原体（包括多种病毒）的宿主，但人们对爬行动物病原体的多样性和流行率以及它们对人类的潜在风险仍然知之甚少。在这里，我们建立并表征了源自 Python regius 的气道类器官，为研究爬行动物气道感染提供了体外模型。通过 Python regius 参考基因组的从头组装，我们以单细胞分辨率表征了气道类器官，这表明存在不同的细胞群，包括离子细胞、纤毛细胞、分泌细胞、杯状细胞、内分泌细胞、簇状细胞和基底细胞。这些类器官支持球蟒 Nidovirus (BPNV) 的有效感染，并通过诱导干扰素刺激的基因、细胞因子和参与化学防御的基因来产生强大的上皮抗病毒反应。作为概念验证，在感染期间用抗病毒药物治疗类器官可降低 BPNV 水平，凸显了该模型在药物测试中的实用性。通过提供蛇类气道的还原论系统，这些类器官构成了生理相关的体外模型，用于研究爬行动物病毒及其天然宿主中的宿主-病原体相互作用。</w:t>
      </w:r>
    </w:p>
    <w:p>
      <w:pPr>
        <w:spacing w:before="0" w:after="200" w:lineRule="auto" w:line="276"/>
      </w:pPr>
      <w:r>
        <w:rPr>
          <w:b/>
        </w:rPr>
        <w:t xml:space="preserve">Abstract (EN): </w:t>
      </w:r>
      <w:r>
        <w:t>Zoonoses pose substantial global health risks, highlighting the need to better understand animal-to-human transmission. Reptiles are increasingly recognized as hosts of diverse pathogens, including numerous viruses, yet the diversity and prevalence of reptile pathogens, as well as their potential risk to humans, remain poorly understood. Here, we establish and characterize airway organoids derived from Python regius, providing an in vitro model to study reptile airway infection. Through de novo assembly of a Python regius reference genome, we characterize airway organoids at single-cell resolution, which suggests the presence of diverse cell populations including ionocytes, ciliated, secretory, goblet, endocrine, tuft, and basal cells. The organoids support productive infection with Ball Python Nidovirus (BPNV) and mount a robust epithelial antiviral response through the induction of interferon-stimulated genes, cytokines, and genes involved in chemical defense. As a proof-of-concept, treating organoids with antiviral drugs during infection reduces BPNV levels, highlighting the model’s utility for drug testing. By providing a reductionist system of the serpentes airway, these organoids constitute a physiologically relevant in vitro model to study reptile viruses and host–pathogen interactions in their native host.</w:t>
      </w:r>
    </w:p>
    <w:p>
      <w:pPr>
        <w:spacing w:before="120" w:after="120"/>
      </w:pPr>
      <w:r>
        <w:rPr>
          <w:sz w:val="18"/>
        </w:rPr>
        <w:t>——————————————————————————————————————————————————————————————————————</w:t>
      </w:r>
    </w:p>
    <w:p>
      <w:pPr>
        <w:spacing w:before="160" w:after="40" w:line="240" w:lineRule="auto"/>
      </w:pPr>
      <w:r>
        <w:rPr>
          <w:b/>
        </w:rPr>
        <w:t xml:space="preserve">[703] </w:t>
      </w:r>
      <w:hyperlink r:id="rId1888">
        <w:r>
          <w:rPr>
            <w:color w:val="1155CC"/>
            <w:u w:val="single"/>
          </w:rPr>
          <w:t>巨型太赫兹光阻揭示了扭曲双层石墨烯的相互作用限制电导率</w:t>
        </w:r>
      </w:hyperlink>
    </w:p>
    <w:p>
      <w:pPr>
        <w:spacing w:before="0" w:after="80"/>
      </w:pPr>
      <w:r>
        <w:rPr>
          <w:i/>
          <w:sz w:val="20"/>
        </w:rPr>
        <w:t>EN: Interaction-limited conductivity of twisted bilayer graphene revealed by giant terahertz photoresistance</w:t>
      </w:r>
    </w:p>
    <w:p>
      <w:pPr>
        <w:spacing w:before="0" w:after="120"/>
      </w:pPr>
      <w:r>
        <w:rPr>
          <w:b/>
        </w:rPr>
        <w:t xml:space="preserve">Source: </w:t>
      </w:r>
      <w:r>
        <w:t>Physical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识别限制电导率的微观过程对于理解相关量子材料至关重要。在扭曲双层石墨烯中，金属电阻率遵循 ρ ~ Tα，且 α 变化很大，这加剧了从声子限制输运和 umklapp 散射到奇怪金属丰度和重费米子重正化的相互竞争的解释。在这里，我们使用太赫兹激励来选择性地加热电子，同时保持晶格寒冷，将电子-电子与电子-声子对电阻率的贡献分开。我们观察到巨大的太赫兹光阻（达到几 kΩ），表明即使在以前归因于声子的区域中，电子-电子散射仍然很重要，包括魔角附近的线性 T 电阻率。远离它，光敏电阻与 T 二次电阻率在低载流子密度下共存，其中 umklapp 和 Baber 散射在运动学上被禁止。我们确定狄拉克色散中伽利略不变性的崩溃，从而实现谷间电子-电子碰撞，作为可能的起源。我们的方法建立了太赫兹驱动的热电子传输作为解开低密度量子材料中的散射机制的框架。</w:t>
      </w:r>
    </w:p>
    <w:p>
      <w:pPr>
        <w:spacing w:before="0" w:after="200" w:lineRule="auto" w:line="276"/>
      </w:pPr>
      <w:r>
        <w:rPr>
          <w:b/>
        </w:rPr>
        <w:t xml:space="preserve">Abstract (EN): </w:t>
      </w:r>
      <w:r>
        <w:t>Identifying the microscopic processes limiting conductivity is essential for understanding correlated quantum materials. In twisted bilayer graphene, metallic resistivity follows ρ ~ Tα with widely varying α, fueling competing interpretations from phonon-limited transport and umklapp scattering to strange metallicity and heavy-fermion renormalization. Here, we use terahertz excitation to selectively heat electrons while keeping the lattice cold, separating electron-electron from electron-phonon contributions to resistivity. We observe a giant terahertz photoresistance — reaching several kΩ — showing that electron-electron scattering remains significant even in regimes previously attributed to phonons, including the linear-in-T resistivity near the magic angle. Away from it, photoresistance coexists with quadratic-in-T resistivity at low carrier densities where umklapp and Baber scattering are kinematically forbidden. We identify the breakdown of Galilean invariance in the Dirac dispersion, enabling inter-valley electron-electron collisions, as a possible origin. Our approach establishes terahertz-driven hot-electron transport as a framework for disentangling scattering mechanisms in low-density quantum materials.</w:t>
      </w:r>
    </w:p>
    <w:p>
      <w:pPr>
        <w:spacing w:before="120" w:after="120"/>
      </w:pPr>
      <w:r>
        <w:rPr>
          <w:sz w:val="18"/>
        </w:rPr>
        <w:t>——————————————————————————————————————————————————————————————————————</w:t>
      </w:r>
    </w:p>
    <w:p>
      <w:pPr>
        <w:spacing w:before="160" w:after="40" w:line="240" w:lineRule="auto"/>
      </w:pPr>
      <w:r>
        <w:rPr>
          <w:b/>
        </w:rPr>
        <w:t xml:space="preserve">[704] </w:t>
      </w:r>
      <w:hyperlink r:id="rId1889">
        <w:r>
          <w:rPr>
            <w:color w:val="1155CC"/>
            <w:u w:val="single"/>
          </w:rPr>
          <w:t>作者更正：用于丙型肝炎病毒疫苗设计的自组装蛋白纳米颗粒上的类天然可溶性 E1E2 糖蛋白异二聚体</w:t>
        </w:r>
      </w:hyperlink>
    </w:p>
    <w:p>
      <w:pPr>
        <w:spacing w:before="0" w:after="80"/>
      </w:pPr>
      <w:r>
        <w:rPr>
          <w:i/>
          <w:sz w:val="20"/>
        </w:rPr>
        <w:t>EN: Author Correction: Native-like soluble E1E2 glycoprotein heterodimers on self-assembling protein nanoparticles for hepatitis C virus vaccine design</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[705] </w:t>
      </w:r>
      <w:hyperlink r:id="rId1890">
        <w:r>
          <w:rPr>
            <w:color w:val="1155CC"/>
            <w:u w:val="single"/>
          </w:rPr>
          <w:t>抑制巨核细胞中 RhoA 介导的分泌性自噬可减轻小鼠骨髓纤维化</w:t>
        </w:r>
      </w:hyperlink>
    </w:p>
    <w:p>
      <w:pPr>
        <w:spacing w:before="0" w:after="80"/>
      </w:pPr>
      <w:r>
        <w:rPr>
          <w:i/>
          <w:sz w:val="20"/>
        </w:rPr>
        <w:t>EN: Inhibition of RhoA-mediated secretory autophagy in megakaryocytes mitigates myelofibrosis in mice</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巨核细胞 (MK) 是多倍体细胞，通过分泌细胞因子维持骨髓稳态，包括转化生长因子 β1 (TGFβ1)。在肿瘤转化过程中，MK 在骨髓中积累，促进纤维化重塑，从而导致骨髓纤维化。然而，针对 MK 细胞因子分泌的治疗潜力仍知之甚少。由于 TGFβ1 和白细胞介素 1β (IL1β) 通过分泌性自噬的非常规分泌发生在其他细胞类型中，因此我们研究了 MK 是否可能利用相同的机制。破坏分泌性自噬，或抑制小 GTPase RhoA 或其下游效应器 Rho 相关激酶 (ROCK)，可在体外显着减少 TGFβ1 和 IL1β 分泌。在 MPLW515L 驱动的移植模型中，造血系统中自噬基因 Atg5 的条件性删除限制了巨核细胞增多和异常细胞因子分泌，而 Rhoa 的 MK 特异性删除则保护小鼠免受纤维化。最终，单独或与 JAK2 抑制剂联合使用 ROCK 抑制也可以减轻疾病特征，从而将 RhoA 分泌性自噬轴确定为骨髓纤维化的有希望的治疗靶点。</w:t>
      </w:r>
    </w:p>
    <w:p>
      <w:pPr>
        <w:spacing w:before="0" w:after="200" w:lineRule="auto" w:line="276"/>
      </w:pPr>
      <w:r>
        <w:rPr>
          <w:b/>
        </w:rPr>
        <w:t xml:space="preserve">Abstract (EN): </w:t>
      </w:r>
      <w:r>
        <w:t>Megakaryocytes (MKs) are polyploid cells that maintain bone marrow homeostasis by secreting cytokines, including transforming growth factor β1 (TGFβ1). During neoplastic transformation, MKs accumulate in the bone marrow, promoting fibrotic remodeling that leads to myelofibrosis. However, the therapeutic potential of targeting MK cytokine secretion remains poorly understood. Because unconventional secretion of TGFβ1 and interleukin 1β (IL1β) via secretory autophagy occurs in other cell types, we investigated whether MKs may utilize the same mechanism. Disrupting secretory autophagy, or inhibiting the small GTPase RhoA or its downstream effector Rho-associated kinase (ROCK), markedly reduced TGFβ1 and IL1β secretion in vitro. Conditional deletion of the autophagy gene Atg5 in the hematopoietic system limited megakaryocytosis and aberrant cytokine secretion in an MPLW515L-driven transplant model, while MK-specific deletion of Rhoa protected mice from fibrosis. Ultimately, ROCK inhibition, alone or combined with a JAK2 inhibitor, also attenuated disease hallmarks, identifying the RhoA-secretory autophagy axis as a promising therapeutic target in myelofibrosis.</w:t>
      </w:r>
    </w:p>
    <w:p>
      <w:pPr>
        <w:spacing w:before="120" w:after="120"/>
      </w:pPr>
      <w:r>
        <w:rPr>
          <w:sz w:val="18"/>
        </w:rPr>
        <w:t>——————————————————————————————————————————————————————————————————————</w:t>
      </w:r>
    </w:p>
    <w:p>
      <w:pPr>
        <w:spacing w:before="160" w:after="40" w:line="240" w:lineRule="auto"/>
      </w:pPr>
      <w:r>
        <w:rPr>
          <w:b/>
        </w:rPr>
        <w:t xml:space="preserve">[706] </w:t>
      </w:r>
      <w:hyperlink r:id="rId1891">
        <w:r>
          <w:rPr>
            <w:color w:val="1155CC"/>
            <w:u w:val="single"/>
          </w:rPr>
          <w:t>FAT10 激活和从 UBA6 到 E2 酶转移的结构决定因素</w:t>
        </w:r>
      </w:hyperlink>
    </w:p>
    <w:p>
      <w:pPr>
        <w:spacing w:before="0" w:after="80"/>
      </w:pPr>
      <w:r>
        <w:rPr>
          <w:i/>
          <w:sz w:val="20"/>
        </w:rPr>
        <w:t>EN: Structural determinants for FAT10 activation and transfer from UBA6 to E2 enzymes</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将泛素样蛋白 (UBL) FAT10 附着在底物上，将其作为蛋白酶体降解的目标。与泛素一样，FAT10 被 E1 酶 UBA6 激活，然后转移到 E2 酶，但控制泛素与 UBA6 激活 FAT10 以及 FAT10 转移到 E2 的机制仍不清楚。使用冷冻电镜，我们可视化 FAT10 E1-E2 切换的所有阶段：腺苷酸化、硫醇化和转硫醇化。我们发现FAT10通过与泛素竞争硫醇化并阻断腺苷酸化结构域来垄断UBA6，从而阻止UBL进一步募集并促进FAT10信号传导。我们分析了 UBA6 兼容的 E2 酶，发现 FAT10 转移仅限于与特定细胞途径相关的选定子集。 UBE2Z (USE1) 显示出最高活性，其次是 UBE2D2、UBE2J2 和 UBE2S。捕获 FAT10 或从 UBA6 到 UBE2Z 的泛素传输表明 UBE2Z 高度专门用于 FAT10 传输。它同时参与 FAT10 结构域（UBL1 和 UBL2），并协调结合在 UBA6 催化结构域内的代谢物肌醇六磷酸 (InsP6)。这种 InsP6 协调扩展到其他 FAT10 兼容的 E2。我们的结构和生化分析共同揭示了支持 FAT10 激活和转移的调控机制。我们定义了控制选择性 FAT10 转移的原则，强调与 FAT10 C 末端结构域 (UBL2) 的有利相互作用和稳定的 UBA6 结合，确保在底物上的受控缀合。</w:t>
      </w:r>
    </w:p>
    <w:p>
      <w:pPr>
        <w:spacing w:before="0" w:after="200" w:lineRule="auto" w:line="276"/>
      </w:pPr>
      <w:r>
        <w:rPr>
          <w:b/>
        </w:rPr>
        <w:t xml:space="preserve">Abstract (EN): </w:t>
      </w:r>
      <w:r>
        <w:t>Attachment of the ubiquitin-like protein (UBL) FAT10 onto substrates targets them for proteasomal degradation. Like ubiquitin, FAT10 is activated by the E1 enzyme UBA6 then transferred to E2 enzymes, but mechanisms controlling ubiquitin versus FAT10 activation by UBA6 and FAT10 transfer onto E2s remain unclear. Using cryo-EM, we visualise all stages of FAT10 E1-E2 handover: adenylation, thiolation and transthiolation. We find that FAT10 monopolises UBA6 by out-competing ubiquitin for thiolation and blocking the adenylation domain, preventing further UBL recruitment and promoting FAT10 signalling. We profiled UBA6-compatible E2 enzymes and found FAT10 transfer is restricted to a select subset associated with specific cellular pathways. UBE2Z (USE1) showed highest activity followed by UBE2D2, UBE2J2 and UBE2S. Capturing FAT10 or ubiquitin transfer from UBA6 to UBE2Z reveals UBE2Z is highly specialised for FAT10 transfer. It simultaneously engages both FAT10 domains (UBL1 and UBL2) and co-ordinates the metabolite inositol hexakisphosphate (InsP6) bound within the UBA6 catalytic domain. This InsP6 co-ordination extends to other FAT10 compatible E2s. Together, our structural and biochemical analyses reveal regulatory mechanisms underpinning FAT10 activation and transfer. We define principles governing selective FAT10 transfer, highlighting favourable interactions with FAT10 C-terminal domain (UBL2) and stable UBA6 binding, ensuring controlled conjugation onto substrates.</w:t>
      </w:r>
    </w:p>
    <w:p>
      <w:pPr>
        <w:spacing w:before="120" w:after="120"/>
      </w:pPr>
      <w:r>
        <w:rPr>
          <w:sz w:val="18"/>
        </w:rPr>
        <w:t>——————————————————————————————————————————————————————————————————————</w:t>
      </w:r>
    </w:p>
    <w:p>
      <w:pPr>
        <w:spacing w:before="160" w:after="40" w:line="240" w:lineRule="auto"/>
      </w:pPr>
      <w:r>
        <w:rPr>
          <w:b/>
        </w:rPr>
        <w:t xml:space="preserve">[707] </w:t>
      </w:r>
      <w:hyperlink r:id="rId1892">
        <w:r>
          <w:rPr>
            <w:color w:val="1155CC"/>
            <w:u w:val="single"/>
          </w:rPr>
          <w:t>pH 敏感的氨基脂质驱动的孔形成使脂质纳米颗粒能够从内体逃逸</w:t>
        </w:r>
      </w:hyperlink>
    </w:p>
    <w:p>
      <w:pPr>
        <w:spacing w:before="0" w:after="80"/>
      </w:pPr>
      <w:r>
        <w:rPr>
          <w:i/>
          <w:sz w:val="20"/>
        </w:rPr>
        <w:t>EN: pH-Sensitive Amino Lipid-Driven Pore Formation Enables Endosomal Escape of Lipid Nanoparticles</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脂质纳米粒子（LNP）已经改变了疫苗和基因治疗的核酸递送方式，但其效率仍然受到不完全内体逃逸的限制。虽然实验研究表明内体膜破坏促进胞质释放，但这一过程的分子基础仍然知之甚少。在这里，我们采用分子模拟来阐明 LNP 如何与内体膜融合并释放其有效负载。我们确定了多种融合途径，具有主导的茎孔机制。我们的模拟重现并合理化了关键的实验观察结果，包括可电离脂质从 LNP 转移到膜，这促进了核酸重新定向并促进茎的形成和扩张。此外，脂质形状、pH 敏感性、膜张力和核酸封装成为内体逃逸效率的关键分子决定因素。这些发现推进了我们对细胞内传递机制的理解，并为合理设计 LNP 提供了框架，提高了基因治疗和 RNA 疫苗的性能。</w:t>
      </w:r>
    </w:p>
    <w:p>
      <w:pPr>
        <w:spacing w:before="0" w:after="200" w:lineRule="auto" w:line="276"/>
      </w:pPr>
      <w:r>
        <w:rPr>
          <w:b/>
        </w:rPr>
        <w:t xml:space="preserve">Abstract (EN): </w:t>
      </w:r>
      <w:r>
        <w:t>Lipid nanoparticles (LNPs) have transformed nucleic acid delivery for vaccines and gene therapies, yet their efficiency remains limited by incomplete endosomal escape. While experimental studies have revealed endosomal membrane disruption facilitating cytosolic release, the molecular basis of this process remains poorly understood. Here, we employ molecular simulations to elucidate how LNPs fuse with the endosomal membrane and release their payloads. We identify multiple fusion pathways, with a dominant stalk-pore mechanism. Our simulations reproduce and rationalize key experimental observations, including the transfer of ionizable lipids from LNPs to the membrane, which promotes nucleic acid reorientation and facilitates stalk formation and expansion. Furthermore, lipid shape, pH sensitivity, membrane tension, and nucleic acid encapsulation emerge as critical molecular determinants of endosomal escape efficiency. These findings advance our mechanistic understanding of intracellular delivery and provide a framework for the rational design of LNPs with improved performance for gene therapies and RNA vaccines.</w:t>
      </w:r>
    </w:p>
    <w:p>
      <w:pPr>
        <w:spacing w:before="120" w:after="120"/>
      </w:pPr>
      <w:r>
        <w:rPr>
          <w:sz w:val="18"/>
        </w:rPr>
        <w:t>——————————————————————————————————————————————————————————————————————</w:t>
      </w:r>
    </w:p>
    <w:p>
      <w:pPr>
        <w:spacing w:before="160" w:after="40" w:line="240" w:lineRule="auto"/>
      </w:pPr>
      <w:r>
        <w:rPr>
          <w:b/>
        </w:rPr>
        <w:t xml:space="preserve">[708] </w:t>
      </w:r>
      <w:hyperlink r:id="rId1893">
        <w:r>
          <w:rPr>
            <w:color w:val="1155CC"/>
            <w:u w:val="single"/>
          </w:rPr>
          <w:t>糖酵解中间门控制大肠杆菌中的整体 mRNA 衰减</w:t>
        </w:r>
      </w:hyperlink>
    </w:p>
    <w:p>
      <w:pPr>
        <w:spacing w:before="0" w:after="80"/>
      </w:pPr>
      <w:r>
        <w:rPr>
          <w:i/>
          <w:sz w:val="20"/>
        </w:rPr>
        <w:t>EN: A glycolytic intermediate gatekeeps global mRNA decay in Escherichia coli</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多核苷酸磷酸化酶 (PNPase) 是一种高度保守的核糖核酸外切酶，对于生命各个领域的 RNA 降解至关重要。在细菌中，PNP 酶存在于包含糖酵解酶的多蛋白核糖核酸复合物中。虽然证据支持大肠杆菌中 RNA 降解和糖酵解之间的联系，但 PNPase 的精确贡献和潜在的调节机制仍然未知。在这里，我们将 PNPase 作为一种代谢传感器，在物理和功能上将糖酵解与 RNA 稳定性联系起来。我们发现糖酵解的中间体果糖 1,6-二磷酸在体外结合并抑制大肠杆菌 PNPase 活性。这种抑制作用在体内得到了证实，在体内，增加这种代谢物的水平会损害生长并整体延长大肠杆菌菌株中的 RNA 半衰期，其中 PNPase 对于生长至关重要。细菌双杂交和体内交联随后进行免疫沉淀表明 PNPase 和多种糖酵解酶之间存在潜在的相互作用。我们的结果提出了一种机制，即 PNPase 进行的 RNA 磷酸解（一种节能的 RNA 降解途径）直接受糖酵解代谢物调节，并通过代谢关联促进。这种机制将细胞的代谢状态与基因表达的转录后控制联系起来。这种调节系统可能被与人类健康、环境和工业相关的其他细菌物种所利用，特别是那些依赖 PNPase 作为唯一核糖核酸外切酶的细菌物种。</w:t>
      </w:r>
    </w:p>
    <w:p>
      <w:pPr>
        <w:spacing w:before="0" w:after="200" w:lineRule="auto" w:line="276"/>
      </w:pPr>
      <w:r>
        <w:rPr>
          <w:b/>
        </w:rPr>
        <w:t xml:space="preserve">Abstract (EN): </w:t>
      </w:r>
      <w:r>
        <w:t>Polynucleotide phosphorylase (PNPase) is a highly conserved exoribonuclease crucial for RNA degradation across all domains of life. In bacteria, PNPase is found in multi-protein ribonucleolytic complexes that include glycolytic enzymes. While evidence supports a link between RNA degradation and glycolysis in Escherichia coli, the precise contribution of PNPase and the underlying regulatory mechanism remain unknown. Here we establish PNPase as a metabolic sensor that physically and functionally links glycolysis to RNA stability. We find that the intermediate of glycolysis, fructose 1,6-diphosphate, binds to and inhibits E. coli PNPase activity in vitro. This inhibition is confirmed in vivo, where increasing the levels of this metabolite compromises growth and globally prolongs RNA half-lives in an E. coli strain where PNPase is essential for growth. Bacterial two-hybrid and in vivo crosslinking followed by immunoprecipitation suggest potential interaction between PNPase and multiple glycolytic enzymes. Our results propose a mechanism where RNA phosphorolysis by PNPase, an energy-saving RNA degradation pathway, is directly modulated by a glycolytic metabolite and facilitated by metabolon association. This mechanism links the metabolic state of the cell to post-transcriptional control of gene expression. This regulatory system is likely exploited by other bacterial species relevant to human health, environment and industry, particularly those that rely on PNPase as the sole exoribonuclease.</w:t>
      </w:r>
    </w:p>
    <w:p>
      <w:pPr>
        <w:spacing w:before="120" w:after="120"/>
      </w:pPr>
      <w:r>
        <w:rPr>
          <w:sz w:val="18"/>
        </w:rPr>
        <w:t>——————————————————————————————————————————————————————————————————————</w:t>
      </w:r>
    </w:p>
    <w:p>
      <w:pPr>
        <w:spacing w:before="160" w:after="40" w:line="240" w:lineRule="auto"/>
      </w:pPr>
      <w:r>
        <w:rPr>
          <w:b/>
        </w:rPr>
        <w:t xml:space="preserve">[709] </w:t>
      </w:r>
      <w:hyperlink r:id="rId1894">
        <w:r>
          <w:rPr>
            <w:color w:val="1155CC"/>
            <w:u w:val="single"/>
          </w:rPr>
          <w:t>根部微生境的代谢和解剖复杂性调节它们与微生物群的相互作用</w:t>
        </w:r>
      </w:hyperlink>
    </w:p>
    <w:p>
      <w:pPr>
        <w:spacing w:before="0" w:after="80"/>
      </w:pPr>
      <w:r>
        <w:rPr>
          <w:i/>
          <w:sz w:val="20"/>
        </w:rPr>
        <w:t>EN: The metabolic and anatomical complexity of root microhabitats modulate their interaction with the microbiota</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植物根不断与其微生物群沟通，调整其解剖结构以促进微生物在非生物胁迫下的定殖。反过来，微生物一旦形成，就可以重塑根部的解剖结构。然而，协调这种相互作用的机制仍然很大程度上未知。通过与水生植物浮萍科的合作，我们揭示了根部解剖结构固有的复杂性决定了根部对微生物定植的可塑性。这种微生物驱动的解剖可塑性增强了植物在营养竞争环境中的生存能力。通过将合成根模型与真实根相结合，我们还发现解剖可塑性与微生物建立过程中的代谢重编程有关。此外，我们还发现了一种植物代谢物 N6,N6,N6-三甲基-L-赖氨酸，它可以调节解剖可塑性以响应微生物定植。我们的工作概括了微生境复杂性对于挑战性环境条件下微生物组招募的重要性。</w:t>
      </w:r>
    </w:p>
    <w:p>
      <w:pPr>
        <w:spacing w:before="0" w:after="200" w:lineRule="auto" w:line="276"/>
      </w:pPr>
      <w:r>
        <w:rPr>
          <w:b/>
        </w:rPr>
        <w:t xml:space="preserve">Abstract (EN): </w:t>
      </w:r>
      <w:r>
        <w:t>Plant roots constantly communicate with their microbiota, adapting their anatomy to facilitate microbial colonisation under abiotic stresses. Microbes, in turn, can reshape root anatomy once they establish. However, the mechanisms that coordinate this interplay remain largely unknown. Working with the aquatic plant family Lemnaceae, we reveal that the inherent complexity of root anatomy determines root plasticity in response to microbial colonisation. This microbiota-driven anatomical plasticity enhances plant survival in nutrient-competitive environments. By combining synthetic root models with real roots, we also find that anatomical plasticity is associated with metabolic reprogramming during microbial establishment. Moreover, we identify a plant metabolite, N6,N6,N6-Trimethyl-L-lysine, that regulates anatomical plasticity in response to microbial colonisation. Our work generalizes the importance of microhabitat complexity for microbiome recruitment under challenging environmental conditions.</w:t>
      </w:r>
    </w:p>
    <w:p>
      <w:pPr>
        <w:spacing w:before="120" w:after="120"/>
      </w:pPr>
      <w:r>
        <w:rPr>
          <w:sz w:val="18"/>
        </w:rPr>
        <w:t>——————————————————————————————————————————————————————————————————————</w:t>
      </w:r>
    </w:p>
    <w:p>
      <w:pPr>
        <w:spacing w:before="160" w:after="40" w:line="240" w:lineRule="auto"/>
      </w:pPr>
      <w:r>
        <w:rPr>
          <w:b/>
        </w:rPr>
        <w:t xml:space="preserve">[710] </w:t>
      </w:r>
      <w:hyperlink r:id="rId1895">
        <w:r>
          <w:rPr>
            <w:color w:val="1155CC"/>
            <w:u w:val="single"/>
          </w:rPr>
          <w:t>用于流感疫苗开发的单组分自组装蛋白质纳米颗粒显示稳定的预融合封闭血凝素三聚体</w:t>
        </w:r>
      </w:hyperlink>
    </w:p>
    <w:p>
      <w:pPr>
        <w:spacing w:before="0" w:after="80"/>
      </w:pPr>
      <w:r>
        <w:rPr>
          <w:i/>
          <w:sz w:val="20"/>
        </w:rPr>
        <w:t>EN: Single-component self-assembling protein nanoparticles displaying stabilized prefusion-closed hemagglutinin trimers for influenza vaccine development</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目前的流感疫苗主要针对血凝素 (HA)，这是主要的病毒表面糖蛋白，也是中和抗体 (NAb) 反应的主要决定因素。然而，抗原漂移和转移，加上 HA 固有的亚稳定性和低 pH 敏感性，限制了广泛和持久的疫苗保护。在这里，我们通过结构引导的氨基酸取代将 HA 稳定在其融合前闭合构象。靶向 HA2 中心三螺旋中的保守残基（甲型流感中的 N95 和乙型流感中的 Q95）为调节甲型流感亚型和乙型流感谱系的 HA 亚稳定性提供了核心设计原则，尽管效果因病毒组而异。使用 H1 CA09 和 H3 HK68 作为代表菌株，我们在 24 聚体铁蛋白和 60 聚体多层单组分自组装蛋白纳米粒子 (SApNP) 上展示稳定的 HA 三聚体。在小鼠中，与可溶性三聚体相比，HA 呈递的 SApNP 在淋巴结滤泡中表现出较长的保留时间，并引发更强烈的生发中心反应。稳定的 HA 三聚体和 SApNP 诱导功能性抗体反应，并针对同源、异源和跨谱系病毒攻击提供不同程度的保护。在某些情况下，聚糖修饰可增强 NAb 诱导或保护。总之，这些发现提供了对 HA 亚稳定性的机制见解，并为下一代基于 HA 的流感疫苗建立了合理的设计框架。</w:t>
      </w:r>
    </w:p>
    <w:p>
      <w:pPr>
        <w:spacing w:before="0" w:after="200" w:lineRule="auto" w:line="276"/>
      </w:pPr>
      <w:r>
        <w:rPr>
          <w:b/>
        </w:rPr>
        <w:t xml:space="preserve">Abstract (EN): </w:t>
      </w:r>
      <w:r>
        <w:t>Current influenza vaccines primarily target hemagglutinin (HA), the major viral surface glycoprotein and principal determinant of neutralizing antibody (NAb) responses. However, antigenic drift and shift, together with HA’s intrinsic metastability and low-pH sensitivity, limit broad and durable vaccine protection. Here, we stabilize HA in its prefusion-closed conformation through structure-guided amino acid substitutions. Targeting a conserved residue in the HA2 central triple helix—N95 in influenza A and Q95 in influenza B—provides a core design principle for modulating HA metastability across influenza A subtypes and both influenza B lineages, although the effects vary across viral groups. Using H1 CA09 and H3 HK68 as representative strains, we display stabilized HA trimers on 24-mer ferritin and 60-mer multilayered single-component self-assembling protein nanoparticles (SApNPs). In mice, HA-presenting SApNPs exhibit prolonged retention in lymph node follicles and elicit more robust germinal center responses compared with soluble trimers. Stabilized HA trimers and SApNPs induce functional antibody responses and confer varying levels of protection against homologous, heterologous, and cross-lineage viral challenges. Glycan modification enhances NAb induction or protection in some settings. Together, these findings provide mechanistic insights into HA metastability and establish a rational design framework for next-generation HA-based influenza vaccines.</w:t>
      </w:r>
    </w:p>
    <w:p>
      <w:pPr>
        <w:spacing w:before="120" w:after="120"/>
      </w:pPr>
      <w:r>
        <w:rPr>
          <w:sz w:val="18"/>
        </w:rPr>
        <w:t>——————————————————————————————————————————————————————————————————————</w:t>
      </w:r>
    </w:p>
    <w:p>
      <w:pPr>
        <w:spacing w:before="160" w:after="40" w:line="240" w:lineRule="auto"/>
      </w:pPr>
      <w:r>
        <w:rPr>
          <w:b/>
        </w:rPr>
        <w:t xml:space="preserve">[711] </w:t>
      </w:r>
      <w:hyperlink r:id="rId1896">
        <w:r>
          <w:rPr>
            <w:color w:val="1155CC"/>
            <w:u w:val="single"/>
          </w:rPr>
          <w:t>MuSpAn：多尺度空间分析工具箱</w:t>
        </w:r>
      </w:hyperlink>
    </w:p>
    <w:p>
      <w:pPr>
        <w:spacing w:before="0" w:after="80"/>
      </w:pPr>
      <w:r>
        <w:rPr>
          <w:i/>
          <w:sz w:val="20"/>
        </w:rPr>
        <w:t>EN: MuSpAn: a toolbox for multiscale spatial analysis</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多重成像和空间组学的进步彻底改变了生物学中的空间数据生成，揭示了跨多个尺度的复杂组织组织。然而，分析这些数据的方法已经落后，具体的研究流程支离破碎，工具选择的指导也有限。为了解决这个问题，我们推出了 MuSpAn，这是一个多尺度空间分析包，可以在统一的框架内直观、灵活地访问各种数学工具，包括空间统计、拓扑数据分析、几何和网络。 MuSpAn 支持高效的数据查询，与成像模式无关，并提供广泛的文档和社区支持。它使用户能够创建自定义管道或进行公正的探索性分析。我们展示了 MuSpAn 使用小鼠肠道空间转录组数据集在正常和肿瘤组织中在多个长度尺度上询问跨区细胞相互作用的能力。 MuSpAn 应用于类似 CMS4 的小鼠肠癌模型，识别出与离散和协调的成纤维细胞免疫相互作用相关的成纤维细胞功能表型的连续体，突出了其作为跨不同生物背景的发现工具的实用性。</w:t>
      </w:r>
    </w:p>
    <w:p>
      <w:pPr>
        <w:spacing w:before="0" w:after="200" w:lineRule="auto" w:line="276"/>
      </w:pPr>
      <w:r>
        <w:rPr>
          <w:b/>
        </w:rPr>
        <w:t xml:space="preserve">Abstract (EN): </w:t>
      </w:r>
      <w:r>
        <w:t>Advances in multiplex imaging and spatial omics have revolutionised spatial data generation in biology, revealing complex tissue organisation across multiple scales. However, methods for analysing these data have lagged behind, with fragmented, study-specific pipelines and limited guidance for tool selection. To address this, we introduce MuSpAn, a Multiscale Spatial Analysis package offering intuitive, flexible access to a wide range of mathematical tools - including spatial statistics, topological data analysis, geometry, and networks - within a unified framework. MuSpAn supports efficient data querying, is agnostic to imaging modality, and provides extensive documentation and community support. It enables users to create custom pipelines or conduct unbiased exploratory analyses. We demonstrate MuSpAn’s capacity to interrogate cross-compartmental cell interactions at multiple length scales in both normal and neoplastic tissue using mouse intestinal spatial transcriptomic datasets. Applied to a CMS4-like murine intestinal cancer model, MuSpAn identifies a continuum of fibroblastic functional phenotypes associated with discrete and coordinated fibroblast-immune interactions, highlighting its utility as a discovery tool across diverse biological contexts.</w:t>
      </w:r>
    </w:p>
    <w:p>
      <w:pPr>
        <w:spacing w:before="120" w:after="120"/>
      </w:pPr>
      <w:r>
        <w:rPr>
          <w:sz w:val="18"/>
        </w:rPr>
        <w:t>——————————————————————————————————————————————————————————————————————</w:t>
      </w:r>
    </w:p>
    <w:p>
      <w:pPr>
        <w:spacing w:before="160" w:after="40" w:line="240" w:lineRule="auto"/>
      </w:pPr>
      <w:r>
        <w:rPr>
          <w:b/>
        </w:rPr>
        <w:t xml:space="preserve">[712] </w:t>
      </w:r>
      <w:hyperlink r:id="rId1897">
        <w:r>
          <w:rPr>
            <w:color w:val="1155CC"/>
            <w:u w:val="single"/>
          </w:rPr>
          <w:t>InsP3R 信号传导和肌动球蛋白依赖性线粒体动力学在线粒体应激诱导的长寿中发挥重要作用</w:t>
        </w:r>
      </w:hyperlink>
    </w:p>
    <w:p>
      <w:pPr>
        <w:spacing w:before="0" w:after="80"/>
      </w:pPr>
      <w:r>
        <w:rPr>
          <w:i/>
          <w:sz w:val="20"/>
        </w:rPr>
        <w:t>EN: InsP3R signaling and actomyosin-dependent mitochondrial dynamics play essential roles in mitochondrial stress-induced longevity</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某些形式的线粒体损伤可延长寿命，而与疾病相关的线粒体功能障碍则会引发发病机制。区分获益和病理的适应性途径仍不清楚。在这里，我们揭示了线虫线粒体复合物 I/nuo-6 突变诱导的长寿依赖于内质网 (ER) Ca2+ 通道 InsP3R。为了解释这种联系，我们测试了先前在体外建立的 Ca2+ 和线粒体稳态之间的多个候选联系，包括线粒体钙单向转运蛋白 (MCU) 依赖的呼吸刺激和调节线粒体动力学的细胞溶质途径。我们发现 MCU 对于 Complex I 突变体的呼吸和寿命都是可有可无的。相反，转录组分析和成像揭示 InsP3R 损伤会导致受损线粒体网络的适应不良扩张。我们提供的证据表明，这种异常的线粒体扩张是由于以 Arp2/3 为中心的保守的、依赖 InsP3R 的肌动蛋白重塑网络的破坏造成的。肌动蛋白重塑或自噬的破坏模拟了 InsP3R 突变体的线粒体扩张和寿命抑制。相反，驱动线粒体断裂可改善线粒体扩张并延长 InsP3R 突变体的寿命，这支持了线粒体分离和清除需要 InsP3R 依赖性肌动蛋白重塑的模型。这些发现确定了一个细胞器间信号轴，将内质网钙释放和细胞骨架重塑与与长寿相关的适应性线粒体反应联系起来。</w:t>
      </w:r>
    </w:p>
    <w:p>
      <w:pPr>
        <w:spacing w:before="0" w:after="200" w:lineRule="auto" w:line="276"/>
      </w:pPr>
      <w:r>
        <w:rPr>
          <w:b/>
        </w:rPr>
        <w:t xml:space="preserve">Abstract (EN): </w:t>
      </w:r>
      <w:r>
        <w:t>Certain forms of mitochondrial impairment confer longevity, while disease-associated mitochondrial dysfunction triggers pathogenesis. The adaptive pathways that distinguish benefit from pathology remain unclear. Here we reveal that longevity induced by mitochondrial Complex I/nuo-6 mutation in C. elegans is dependent on the endoplasmic reticulum (ER) Ca2+ channel, InsP3R. To explain this connection, we test multiple candidate links between Ca2+ and mitochondrial homeostasis previously established in vitro, including mitochondrial calcium uniporter (MCU)-dependent stimulation of respiration and cytosolic pathways regulating mitochondrial dynamics. We find that MCU is dispensable for both respiration and longevity in Complex I mutants. Conversely, transcriptomic profiling and imaging reveal InsP3R impairment results in maladaptive expansion of compromised mitochondrial networks. We provide evidence that this aberrant mitochondrial expansion results from disruption of a conserved, InsP3R-dependent actin remodeling network centered on Arp2/3. Disruption of actin remodeling or autophagy mimics the mitochondrial expansion and longevity suppression of InsP3R mutants. Conversely, driving mitochondrial fragmentation ameliorates mitochondrial expansion and rescues longevity in InsP3R mutants, supporting a model in which InsP3R-dependent actin remodeling is required for segregation and clearance of mitochondria. These findings identify an inter-organelle signaling axis linking ER calcium release and cytoskeletal remodeling to adaptive mitochondrial responses associated with longevity.</w:t>
      </w:r>
    </w:p>
    <w:p>
      <w:pPr>
        <w:spacing w:before="120" w:after="120"/>
      </w:pPr>
      <w:r>
        <w:rPr>
          <w:sz w:val="18"/>
        </w:rPr>
        <w:t>——————————————————————————————————————————————————————————————————————</w:t>
      </w:r>
    </w:p>
    <w:p>
      <w:pPr>
        <w:spacing w:before="160" w:after="40" w:line="240" w:lineRule="auto"/>
      </w:pPr>
      <w:r>
        <w:rPr>
          <w:b/>
        </w:rPr>
        <w:t xml:space="preserve">[713] </w:t>
      </w:r>
      <w:hyperlink r:id="rId1898">
        <w:r>
          <w:rPr>
            <w:color w:val="1155CC"/>
            <w:u w:val="single"/>
          </w:rPr>
          <w:t>ETP2 的逐步等位基因轨迹是拟南芥 UVB 耐受性和淹没适应之间权衡的基础</w:t>
        </w:r>
      </w:hyperlink>
    </w:p>
    <w:p>
      <w:pPr>
        <w:spacing w:before="0" w:after="80"/>
      </w:pPr>
      <w:r>
        <w:rPr>
          <w:i/>
          <w:sz w:val="20"/>
        </w:rPr>
        <w:t>EN: Stepwise allelic trajectory of ETP2 underlies trade-off between UVB tolerance and submergence adaptation in Arabidopsis thaliana</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强 UVB 辐射严重限制植物的生长、产量和分布，而适应强 UVB 的机制仍不清楚。在这里，我们发现 F-box 泛素 E3 连接酶 UVBT1（也称为 ETP2）对于拟南芥的 UVB 耐受性是不可或缺的。在西藏高原种质中，ETP2启动子中独特的166 bp缺失导致W-box元件完全缺失，从而消除了WRKY36介导的转录抑制。这导致 ETP2 水平升高，从而降解 EIN2 并激活保护性花青素/类黄酮途径。相反，在经常暴露于较低 UVB 和较高降水条件的低海拔品种中，WRKY36 介导的 ETP2 抑制稳定了 EIN2 和 WRKY22，赋予植物耐淹性。值得注意的是，除了西藏种质特有的 166 bp 缺失外，166 bp 区域内 ETP2 W 盒附近启动子等位基因从 C 到 G 转变的地理分布与其他全球种质随海拔高度增加而发生的 UVB 辐射密切相关。这种等位基因变化还增强了 WRKY36 介导的 ETP2 抑制，表明存在额外的逐步适应过程。因此，这项工作将 WRKY36-ETP2-EIN2/WRKY22 模块定义为 UVB 耐受性和浸没适应的关键调节因子，有可能使拟南芥能够适应不同 UVB 和降水条件的环境。</w:t>
      </w:r>
    </w:p>
    <w:p>
      <w:pPr>
        <w:spacing w:before="0" w:after="200" w:lineRule="auto" w:line="276"/>
      </w:pPr>
      <w:r>
        <w:rPr>
          <w:b/>
        </w:rPr>
        <w:t xml:space="preserve">Abstract (EN): </w:t>
      </w:r>
      <w:r>
        <w:t>Strong UVB radiation critically restricts plant growth, yield, and distribution, while mechanisms enabling adaptation to intense UVB remain unclear. Here, we uncover that the F-box ubiquitin E3 ligase UVBT1 (also known as ETP2) is indispensable for UVB tolerance in A. thaliana. In the high-altitude Tibet accession, a distinctive 166-bp deletion in ETP2 promoter leads to the complete absence of the W-box element, thereby eliminating WRKY36-mediated transcriptional repression. This results in elevated ETP2 levels, which degrade EIN2 and activate the protective anthocyanin/flavonoid pathway. Conversely, in low-altitude accessions, which are often exposed to lower UVB and higher precipitation conditions, WRKY36-mediated repression of ETP2 stabilizes EIN2 and WRKY22, endowing the plants with submergence tolerance. Notably, aside from the Tibet-accession-specific 166-bp deletion, the geographical distribution of the promoter allelic shift from C to G near the ETP2 W-box within the 166-bp region is tightly associated with UVB radiation with increasing altitudes for the other global accessions. This allelic change also enhances WRKY36-mediated repression of ETP2, suggesting an additional stepwise adaptation process. This work thus defines the WRKY36-ETP2-EIN2/WRKY22 module as a key regulator of UVB tolerance and submergence adaptation, potentially enabling A. thaliana to adapt to environments with varying UVB and precipitation conditions.</w:t>
      </w:r>
    </w:p>
    <w:p>
      <w:pPr>
        <w:spacing w:before="120" w:after="120"/>
      </w:pPr>
      <w:r>
        <w:rPr>
          <w:sz w:val="18"/>
        </w:rPr>
        <w:t>——————————————————————————————————————————————————————————————————————</w:t>
      </w:r>
    </w:p>
    <w:p>
      <w:pPr>
        <w:spacing w:before="160" w:after="40" w:line="240" w:lineRule="auto"/>
      </w:pPr>
      <w:r>
        <w:rPr>
          <w:b/>
        </w:rPr>
        <w:t xml:space="preserve">[714] </w:t>
      </w:r>
      <w:hyperlink r:id="rId1899">
        <w:r>
          <w:rPr>
            <w:color w:val="1155CC"/>
            <w:u w:val="single"/>
          </w:rPr>
          <w:t>战略目标是国家气候承诺的基础</w:t>
        </w:r>
      </w:hyperlink>
    </w:p>
    <w:p>
      <w:pPr>
        <w:spacing w:before="0" w:after="80"/>
      </w:pPr>
      <w:r>
        <w:rPr>
          <w:i/>
          <w:sz w:val="20"/>
        </w:rPr>
        <w:t>EN: Strategic objectives underpin national climate pledges</w:t>
      </w:r>
    </w:p>
    <w:p>
      <w:pPr>
        <w:spacing w:before="0" w:after="120"/>
      </w:pPr>
      <w:r>
        <w:rPr>
          <w:b/>
        </w:rPr>
        <w:t xml:space="preserve">Source: </w:t>
      </w:r>
      <w:r>
        <w:t>Earth and environmental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《巴黎协定》下的减排承诺通常被理解为国内偏好的表达。然而，最近的学术研究表明，政府也可以战略性地利用气候承诺来塑造其他政治参与者的行为。在此，我们基于对 40 名政策制定者和专家的深入访谈，对这些战略目标进行了实证分析。我们确定了六个关键战略目标：吸引国际气候融资、为其他国家制定标准、提高地位、维护信誉、促进国内行动以及预先承诺未来政府。国际演员成为主要目标受众。这些目标对雄心有明显的影响。虽然大多数人鼓励做出更强有力的承诺，但对可信度的担忧可能会限制雄心。在探索性分析中，我们还研究了不同国家的战略目标有何不同。研究结果表明，排放量较高的国家和民主制度化水平较低的国家更加重视长期信誉，而有资格获得气候融资的国家则无论收入或脆弱性如何都力求吸引资金。我们的研究结果对于加强国际气候承诺具有重要意义。</w:t>
      </w:r>
    </w:p>
    <w:p>
      <w:pPr>
        <w:spacing w:before="0" w:after="200" w:lineRule="auto" w:line="276"/>
      </w:pPr>
      <w:r>
        <w:rPr>
          <w:b/>
        </w:rPr>
        <w:t xml:space="preserve">Abstract (EN): </w:t>
      </w:r>
      <w:r>
        <w:t>Emissions-reduction pledges under the Paris Agreement are commonly understood as expressions of domestic preferences. Recent scholarship, however, suggests that governments may also use climate pledges strategically to shape the behavior of other political actors. Here, we provide an empirical account of these strategic objectives based on in-depth interviews with 40 policymakers and experts. We identify six key strategic objectives: attracting international climate finance, setting standards for others, enhancing status, preserving credibility, facilitating domestic action, and pre-committing future governments. International actors emerge as the primary target audience. These objectives have distinct implications for ambition. While most encourage stronger pledges, concerns about credibility can constrain ambition. In an exploratory analysis, we also examine how strategic objectives vary across countries. The findings suggest that higher emitters and states with lower levels of democratic institutionalization place greater emphasis on long-term credibility, while countries eligible for climate finance seek to attract it regardless of income or vulnerability. Our findings have implications for ratcheting up international climate commitments.</w:t>
      </w:r>
    </w:p>
    <w:p>
      <w:pPr>
        <w:spacing w:before="120" w:after="120"/>
      </w:pPr>
      <w:r>
        <w:rPr>
          <w:sz w:val="18"/>
        </w:rPr>
        <w:t>——————————————————————————————————————————————————————————————————————</w:t>
      </w:r>
    </w:p>
    <w:p>
      <w:pPr>
        <w:spacing w:before="160" w:after="40" w:line="240" w:lineRule="auto"/>
      </w:pPr>
      <w:r>
        <w:rPr>
          <w:b/>
        </w:rPr>
        <w:t xml:space="preserve">[715] </w:t>
      </w:r>
      <w:hyperlink r:id="rId1900">
        <w:r>
          <w:rPr>
            <w:color w:val="1155CC"/>
            <w:u w:val="single"/>
          </w:rPr>
          <w:t>新的优质生产力如何影响能源贫困？来自中国的证据</w:t>
        </w:r>
      </w:hyperlink>
    </w:p>
    <w:p>
      <w:pPr>
        <w:spacing w:before="0" w:after="80"/>
      </w:pPr>
      <w:r>
        <w:rPr>
          <w:i/>
          <w:sz w:val="20"/>
        </w:rPr>
        <w:t>EN: How can new quality productivity affect energy poverty? Evidence from China</w:t>
      </w:r>
    </w:p>
    <w:p>
      <w:pPr>
        <w:spacing w:before="0" w:after="120"/>
      </w:pPr>
      <w:r>
        <w:rPr>
          <w:b/>
        </w:rPr>
        <w:t xml:space="preserve">Source: </w:t>
      </w:r>
      <w:r>
        <w:t>ScienceDirect Publication: Energy Policy</w:t>
      </w:r>
      <w:r>
        <w:t xml:space="preserve">    </w:t>
      </w:r>
      <w:r>
        <w:rPr>
          <w:b/>
        </w:rPr>
        <w:t xml:space="preserve">Pub date: </w:t>
      </w:r>
      <w:r>
        <w:t>2026-08-13 00:00:00+00:00</w:t>
      </w:r>
      <w:r>
        <w:t xml:space="preserve">    </w:t>
      </w:r>
      <w:r>
        <w:rPr>
          <w:b/>
        </w:rPr>
        <w:t xml:space="preserve">DOI: </w:t>
      </w:r>
      <w:hyperlink r:id="rId1901">
        <w:r>
          <w:rPr>
            <w:color w:val="1155CC"/>
            <w:u w:val="single"/>
          </w:rPr>
          <w:t>10.1016/j.enpol.2026.115540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[716] </w:t>
      </w:r>
      <w:hyperlink r:id="rId1902">
        <w:r>
          <w:rPr>
            <w:color w:val="1155CC"/>
            <w:u w:val="single"/>
          </w:rPr>
          <w:t>1199 个执行任意任务的人脑的个性化功能连接组中的语言网络</w:t>
        </w:r>
      </w:hyperlink>
    </w:p>
    <w:p>
      <w:pPr>
        <w:spacing w:before="0" w:after="80"/>
      </w:pPr>
      <w:r>
        <w:rPr>
          <w:i/>
          <w:sz w:val="20"/>
        </w:rPr>
        <w:t>EN: A language network in the individualized functional connectomes of 1199 human brains doing arbitrary tasks</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一个半世纪的神经科学已经产生了许多不同的语言神经生物学理论。可能导致这种情况的两个因素包括（a）关于语言及其组成过程的概念分歧，以及（b）语言区域地形的内在个体间差异。最近对少量集中扫描个体进行的功能磁共振成像（fMRI）研究表明，语言选择性大脑网络是从无任务（例如休息）或任务回归激活时间过程中的相关性（个性化功能连接组学，iFC）中自下而上出现的。在这里，我们大规模测试了这一假设，并评估了其对于与任务无关的语言本地化的实用性：我们将 iFC 分别应用于 1,957 个 (fMRI) 扫描会话（1,199 个独特的大脑）中的每一个，每个扫描会话都包含不同的任务。我们发现 iFC 确实揭示了一个很大程度上以左半球为主的额颞叶网络，该网络在个体内部比个体之间更稳定，对分割的粒度具有鲁棒性，并且对语言具有选择性。这些结果支持了这样的假设：该网络是成人大脑功能组织中的关键结构，并表明它可以从任意成像数据中回顾性地恢复，这对神经科学、神经外科和神经工程具有重要意义。</w:t>
      </w:r>
    </w:p>
    <w:p>
      <w:pPr>
        <w:spacing w:before="0" w:after="200" w:lineRule="auto" w:line="276"/>
      </w:pPr>
      <w:r>
        <w:rPr>
          <w:b/>
        </w:rPr>
        <w:t xml:space="preserve">Abstract (EN): </w:t>
      </w:r>
      <w:r>
        <w:t>A century and a half of neuroscience has yielded many divergent theories of the neurobiology of language. Two factors that likely contribute to this situation include (a) conceptual disagreement about language and its component processes, and (b) intrinsic inter-individual variability in the topography of language areas. Recent functional magnetic resonance imaging (fMRI) studies of small numbers of intensively scanned individuals have argued that a language-selective brain network emerges bottom-up from correlations (individualized functional connectomics, iFC) in task-free (e.g., rest) or task-regressed activation timecourses. Here we tested this hypothesis at scale and evaluated its practical utility for task-agnostic language localization: we apply iFC separately to each of 1,957 (fMRI) scanning sessions (1,199 unique brains), each consisting of diverse tasks. We found that iFC indeed revealed a largely left-hemisphere-dominant frontotemporal network that was more stable within individuals than between them, robust to the granularity of the parcellation, and selective for language. These results support the hypothesis that this network is a key structure in the functional organization of the adult brain and show that it can be recovered retrospectively from arbitrary imaging data, with implications for neuroscience, neurosurgery, and neural engineering.</w:t>
      </w:r>
    </w:p>
    <w:p>
      <w:pPr>
        <w:spacing w:before="120" w:after="120"/>
      </w:pPr>
      <w:r>
        <w:rPr>
          <w:sz w:val="18"/>
        </w:rPr>
        <w:t>——————————————————————————————————————————————————————————————————————</w:t>
      </w:r>
    </w:p>
    <w:p>
      <w:pPr>
        <w:spacing w:before="160" w:after="40" w:line="240" w:lineRule="auto"/>
      </w:pPr>
      <w:r>
        <w:rPr>
          <w:b/>
        </w:rPr>
        <w:t xml:space="preserve">[717] </w:t>
      </w:r>
      <w:hyperlink r:id="rId1903">
        <w:r>
          <w:rPr>
            <w:color w:val="1155CC"/>
            <w:u w:val="single"/>
          </w:rPr>
          <w:t>人FATP2激活和转运脂肪酸的结构基础</w:t>
        </w:r>
      </w:hyperlink>
    </w:p>
    <w:p>
      <w:pPr>
        <w:spacing w:before="0" w:after="80"/>
      </w:pPr>
      <w:r>
        <w:rPr>
          <w:i/>
          <w:sz w:val="20"/>
        </w:rPr>
        <w:t>EN: Structural basis of fatty acid activation and transport by human FATP2</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脂肪酸转运蛋白 (FATP) 负责有效摄取脂肪酸 (FA)，脂肪酸是在发育和生长中发挥关键作用的重要生物分子。然而，FATP 三维结构的缺乏阻碍了我们对其机制的理解。在这里，我们报告了人类 FATP2a 的两种冷冻电镜结构：2.93 Å 处于中间状态的野生型 (WT) FATP2a 和 2.76 Å 处于预催化状态的 FATP2a 催化突变体。在这两种结构中，油酰-AMP中间体和ATP占据相同的中央口袋，油酰-AMP的酰基指向上方并置于疏水通道中，而ATP的磷酸基指向下方并与中央环相互作用。这些结构还表明，来自膜的 FA 必须经历两步易位才能进入催化中心。在完成工作循环之前新的 FA 的结合对于确保催化和运输效率可能至关重要。此外，我们证明 FATP2a 转运 FA 严格依赖于通过酰基辅酶 A 合成酶活性激活 FA。我们的研究结果为了解 FATP 的工作机制提供了重要的见解，并为开发针对 FATP 的抑制剂治疗相关疾病提供了结构基础。</w:t>
      </w:r>
    </w:p>
    <w:p>
      <w:pPr>
        <w:spacing w:before="0" w:after="200" w:lineRule="auto" w:line="276"/>
      </w:pPr>
      <w:r>
        <w:rPr>
          <w:b/>
        </w:rPr>
        <w:t xml:space="preserve">Abstract (EN): </w:t>
      </w:r>
      <w:r>
        <w:t>Fatty acid transport proteins (FATPs) are responsible for efficient uptake of fatty acids (FAs), essential biomolecules that play critical roles in development and growth. However, the lack of three-dimensional structures of FATPs has hindered our understanding of their mechanisms. Here, we report two cryo-EM structures of human FATP2a: wild-type (WT) FATP2a in intermediate state at 2.93 Å and a catalytic mutant of FATP2a in pre-catalytic state at 2.76 Å. In the two structures, both the oleoyl-AMP intermediate and ATP occupy the same central pocket with the acyl group of oleoyl-AMP pointing upwards and placed in a hydrophobic tunnel while the phosphate groups of ATP pointing downwards and interacting with a central loop. The structures also reveal that FAs from the membrane must undergo a two-step translocation to access the catalytic center. The binding of a new FA before the completion of a working cycle may be crucial to ensure the catalytic and transport efficiency. Furthermore, we demonstrate that FATP2a transport FAs, strictly dependent on the activation of FAs through the acyl-CoA synthetase activity. Our findings provide important insights into the working mechanism of FATPs and offer a structural basis for the development of inhibitors targeting FATPs to treat related diseases.</w:t>
      </w:r>
    </w:p>
    <w:p>
      <w:pPr>
        <w:spacing w:before="120" w:after="120"/>
      </w:pPr>
      <w:r>
        <w:rPr>
          <w:sz w:val="18"/>
        </w:rPr>
        <w:t>——————————————————————————————————————————————————————————————————————</w:t>
      </w:r>
    </w:p>
    <w:p>
      <w:pPr>
        <w:spacing w:before="160" w:after="40" w:line="240" w:lineRule="auto"/>
      </w:pPr>
      <w:r>
        <w:rPr>
          <w:b/>
        </w:rPr>
        <w:t xml:space="preserve">[718] </w:t>
      </w:r>
      <w:hyperlink r:id="rId1904">
        <w:r>
          <w:rPr>
            <w:color w:val="1155CC"/>
            <w:u w:val="single"/>
          </w:rPr>
          <w:t>Orbitrap 中的调节压力可提高电荷检测质谱的灵敏度和质量分辨率</w:t>
        </w:r>
      </w:hyperlink>
    </w:p>
    <w:p>
      <w:pPr>
        <w:spacing w:before="0" w:after="80"/>
      </w:pPr>
      <w:r>
        <w:rPr>
          <w:i/>
          <w:sz w:val="20"/>
        </w:rPr>
        <w:t>EN: Modulating pressure in the Orbitrap improves sensitivity and mass resolution in charge detection mass spectrometry</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天然质谱已成为研究大分子组装体的关键方法，提供对结构、化学计量和结合相互作用的见解。将电喷雾产生的生物颗粒传输到质量分析器中的一个关键方面是使用气体进行碰撞冷却和离子去溶剂化。然而，在基于 Orbitrap 的质谱分析中，升高的压力可能会对离子产生负面影响，因为与背景气体的碰撞可能会破坏离子轨迹的稳定性，可能导致错误的质量测定。当碰撞池中的压力较高时（如大型生物组件的要求），以及当离子在 Orbitrap 中测量（超）长采集时间（如高分辨率质谱的要求）时，这些效应会被放大。为了解决这些问题，我们修改了标准 Q Exactive™ UHMR，安装脉冲阀来控制气体流量并限制气体泄漏到 Orbitrap 中。这样，离子传输和去溶剂化得以维持，同时质量分析器中的超高真空在采集过程中得到增强。我们表明，这改善了各种组装体的离子检测，包括腺相关病毒、IgM 和质粒 DNA，具有卓越的质量精度和分辨率。脉冲阀的实施将有利于几乎所有质量测量，为下一代基于 Orbitrap 的单离子质谱奠定了基础。</w:t>
      </w:r>
    </w:p>
    <w:p>
      <w:pPr>
        <w:spacing w:before="0" w:after="200" w:lineRule="auto" w:line="276"/>
      </w:pPr>
      <w:r>
        <w:rPr>
          <w:b/>
        </w:rPr>
        <w:t xml:space="preserve">Abstract (EN): </w:t>
      </w:r>
      <w:r>
        <w:t>Native mass spectrometry has become a key method for studying macromolecular assemblies, providing insights into structures, stoichiometries, and binding interactions. A key aspect for the transmission of electrospray-generated bioparticles into the mass analyzer is the use of gas for collisional cooling and ion desolvation. However, in Orbitrap-based mass spectrometry, the elevated pressure may negatively affect ions, as collisions with background gas can destabilize ion trajectories, potentially leading to incorrect mass determination. These effects are amplified when the pressure in the collision cell is high, as required for large biological assemblies, and when ions are measured for (ultra)long acquisition times in the Orbitrap, as required for high-resolution mass spectrometry. To address these issues, we modified a standard Q Exactive™ UHMR by installing a pulsed valve to control gas flow and limit gas leakage into the Orbitrap. This way, ion transmission and desolvation are maintained while the ultrahigh vacuum in the mass analyzer is enhanced during acquisition. We show that this improves ion detection of various assemblies, including adeno-associated viruses, IgM, and plasmid DNA, with superior mass accuracy and resolving power. The pulsed valve implementation will benefit nearly all mass measurements, setting the stage for next-generation Orbitrap-based, single-ion mass spectrometry.</w:t>
      </w:r>
    </w:p>
    <w:p>
      <w:pPr>
        <w:spacing w:before="120" w:after="120"/>
      </w:pPr>
      <w:r>
        <w:rPr>
          <w:sz w:val="18"/>
        </w:rPr>
        <w:t>——————————————————————————————————————————————————————————————————————</w:t>
      </w:r>
    </w:p>
    <w:p>
      <w:pPr>
        <w:spacing w:before="160" w:after="40" w:line="240" w:lineRule="auto"/>
      </w:pPr>
      <w:r>
        <w:rPr>
          <w:b/>
        </w:rPr>
        <w:t xml:space="preserve">[719] </w:t>
      </w:r>
      <w:hyperlink r:id="rId1905">
        <w:r>
          <w:rPr>
            <w:color w:val="1155CC"/>
            <w:u w:val="single"/>
          </w:rPr>
          <w:t>共生细菌通过色氨酸代谢物抑制病毒感染</w:t>
        </w:r>
      </w:hyperlink>
    </w:p>
    <w:p>
      <w:pPr>
        <w:spacing w:before="0" w:after="80"/>
      </w:pPr>
      <w:r>
        <w:rPr>
          <w:i/>
          <w:sz w:val="20"/>
        </w:rPr>
        <w:t>EN: Commensal bacteria inhibit viral infections via a tryptophan metabolite</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病毒暴露后的临床结果表现出显着的个体差异。尽管越来越多的证据表明共生细菌可以调节病毒感染，但具体的细菌和机制仍未得到充分探索。在这里，我们定义了特定色氨酸分解代谢细菌抑制病毒感染的途径。我们以艾滋病毒为模型，通过生物信息学方法关联并实验验证了几种抑制病毒复制的细菌物种。该活性需要芳香族氨基酸转氨酶 (ArAT) 将色氨酸代谢为 3-吲哚乳酸，从而激动芳基烃受体 (AhR)。鉴于 AhR 调节多种病毒感染，我们发现共生细菌也以 ArAT 依赖性方式抑制巨细胞病毒 (CMV)。最后，我们使用粪便鸟枪法宏基因组数据证实，ArAT 与三个不同的 HIV、CMV 或有症状的 COVID-19 风险人群的疾病结果改善相关。总而言之，我们的结果提供了共生细菌如何影响病毒感染的机制见解，从而增加了一个专注于宿主-共生-病毒相互作用的新兴领域。</w:t>
      </w:r>
    </w:p>
    <w:p>
      <w:pPr>
        <w:spacing w:before="0" w:after="200" w:lineRule="auto" w:line="276"/>
      </w:pPr>
      <w:r>
        <w:rPr>
          <w:b/>
        </w:rPr>
        <w:t xml:space="preserve">Abstract (EN): </w:t>
      </w:r>
      <w:r>
        <w:t>Clinical outcomes following viral exposures exhibit substantial interindividual variability. Although developing evidence suggests commensal bacteria modulate viral infections, the specific bacteria and mechanisms remain underexplored. Here, we define a pathway by which viral infections are inhibited by specific tryptophan-catabolizing bacteria. Using HIV as a model, we bioinformatically associated and experimentally validated several bacterial species that inhibited viral replication. This activity required the aromatic amino acid aminotransferase (ArAT) to metabolize tryptophan into 3-indolelactic acid, which agonizes the aryl hydrocarbon receptor (AhR). Given that AhR regulates multiple viral infections, we found that commensal bacteria also inhibit cytomegalovirus (CMV) in an ArAT-dependent manner. Finally, we used fecal shotgun metagenomic data to confirm that ArAT is associated with improved disease outcomes in three distinct human cohorts at-risk for HIV, CMV, or symptomatic COVID-19. Taken together, our results provide mechanistic insight into how commensal bacteria impact viral infections, thereby adding to an emerging field focused on host–commensal–virus interactions.</w:t>
      </w:r>
    </w:p>
    <w:p>
      <w:pPr>
        <w:spacing w:before="120" w:after="120"/>
      </w:pPr>
      <w:r>
        <w:rPr>
          <w:sz w:val="18"/>
        </w:rPr>
        <w:t>——————————————————————————————————————————————————————————————————————</w:t>
      </w:r>
    </w:p>
    <w:p>
      <w:pPr>
        <w:spacing w:before="160" w:after="40" w:line="240" w:lineRule="auto"/>
      </w:pPr>
      <w:r>
        <w:rPr>
          <w:b/>
        </w:rPr>
        <w:t xml:space="preserve">[720] </w:t>
      </w:r>
      <w:hyperlink r:id="rId1906">
        <w:r>
          <w:rPr>
            <w:color w:val="1155CC"/>
            <w:u w:val="single"/>
          </w:rPr>
          <w:t>评估人类皮质层流灌注和细胞结构耦合的分子、细胞和转录组学基础</w:t>
        </w:r>
      </w:hyperlink>
    </w:p>
    <w:p>
      <w:pPr>
        <w:spacing w:before="0" w:after="80"/>
      </w:pPr>
      <w:r>
        <w:rPr>
          <w:i/>
          <w:sz w:val="20"/>
        </w:rPr>
        <w:t>EN: Assessing molecular, cellular and transcriptomic bases of laminar perfusion and cytoarchitecture coupling in the human cortex</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了解细胞结构如何塑造皮质功能需要介观方法来解决体内结构与功能的关系。在这里，我们介绍脑血流量 (CBF) – 细胞体染色强度 (CSI) 相似性指数 (CCSI)，这是层流灌注-细胞结构耦合的定量测量，源自全脑 1-mm 各向同性 7 T 动脉自旋标记和 BigBrain 图谱的细胞体染色强度剖面。在 30 名参与者中，CCSI 揭示了层流灌注和细胞密度分布之间可重复的、区域特异性的一致性。 CCSI 选择性地与每个线粒体的线粒体呼吸能力相关，并与毛细血管内皮细胞和终态少突胶质细胞群共定位。基因本体丰富集中于代谢调节、神经血管组织和线粒体稳态。使用定量 T1 的平行对照分析没有产生显着的关联，支持了这些发现的特异性。在系统层面，CCSI 改进了更高层次关联皮质中的结构-功能梯度对应关系。这些结果支持 CCSI 作为一种可重复的、非侵入性的介观指数，将皮质灌注、微观结构和代谢联系起来。</w:t>
      </w:r>
    </w:p>
    <w:p>
      <w:pPr>
        <w:spacing w:before="0" w:after="200" w:lineRule="auto" w:line="276"/>
      </w:pPr>
      <w:r>
        <w:rPr>
          <w:b/>
        </w:rPr>
        <w:t xml:space="preserve">Abstract (EN): </w:t>
      </w:r>
      <w:r>
        <w:t>Understanding how cellular architecture shapes cortical function requires mesoscopic approaches that resolve structure-function relationships in vivo. Here we introduce the cerebral blood flow (CBF) – cell-body staining intensity (CSI) similarity index (CCSI), a quantitative measure of laminar perfusion-cytoarchitecture coupling derived from whole-brain 1-mm isotropic 7 T arterial spin labeling and cell-body staining intensity profiles from the BigBrain atlas. Across 30 participants, CCSI revealed reproducible, region-specific alignment between laminar perfusion and cellular density distributions. CCSI was selectively associated with mitochondrial respiratory capacity per mitochondrion and colocalized with capillary endothelial and end-state oligodendrocyte populations. Gene ontology enrichment converged on metabolic regulation, neurovascular organization, and mitochondrial homeostasis. A parallel control analysis using quantitative T1 yielded no significant associations, supporting the specificity of these findings. At the systems level, CCSI improved structure-function gradient correspondence in higher-hierarchy association cortices. These results support CCSI as a reproducible, non-invasive mesoscopic index linking cortical perfusion, microstructure, and metabolism.</w:t>
      </w:r>
    </w:p>
    <w:p>
      <w:pPr>
        <w:spacing w:before="120" w:after="120"/>
      </w:pPr>
      <w:r>
        <w:rPr>
          <w:sz w:val="18"/>
        </w:rPr>
        <w:t>——————————————————————————————————————————————————————————————————————</w:t>
      </w:r>
    </w:p>
    <w:p>
      <w:pPr>
        <w:spacing w:before="160" w:after="40" w:line="240" w:lineRule="auto"/>
      </w:pPr>
      <w:r>
        <w:rPr>
          <w:b/>
        </w:rPr>
        <w:t xml:space="preserve">[721] </w:t>
      </w:r>
      <w:hyperlink r:id="rId1907">
        <w:r>
          <w:rPr>
            <w:color w:val="1155CC"/>
            <w:u w:val="single"/>
          </w:rPr>
          <w:t>下丘脑催乳素受体+多巴胺能神经元调节小鼠哺乳期能量代谢和伤害性阈值</w:t>
        </w:r>
      </w:hyperlink>
    </w:p>
    <w:p>
      <w:pPr>
        <w:spacing w:before="0" w:after="80"/>
      </w:pPr>
      <w:r>
        <w:rPr>
          <w:i/>
          <w:sz w:val="20"/>
        </w:rPr>
        <w:t>EN: Hypothalamic prolactin receptor+ dopaminergic neurons regulate energy metabolism and nociceptive threshold in mice during lactation</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哺乳期的女性会经历显着的骨质流失和代谢变化。然而，大脑中的潜在机制仍不清楚。在此，我们发现下丘脑中的催乳素受体（PRLR）+神经元控制小鼠的泌乳生理和代谢。催乳素诱导弓状核 (ARC) 的 PRLR+ 多巴胺能神经元中酪氨酸羟化酶 (Th) 的表达。有趣的是，神经肽 Y (NPY) 表达升高会改变哺乳期间的能量需求和伤害性阈值。降低 ARC 中的 PRLR 或 NPY 显着降低食物需求和伤害阈值。此外，重要的是，催乳素还可诱导下丘脑室旁核 (PVN) 中 Th 的表达，从而增加交感神经流出，从而动员骨中的 Ca2+。重要的是，脑源性骨合成代谢激素通讯网络因子 3 (CCN3) 是多巴胺能神经元中 PRLR 信号传导的下游。因此，当前研究中发现的下丘脑 PRLR+ 神经元调节小鼠哺乳期间的骨和脂肪代谢、伤害感受阈值和能量需求。</w:t>
      </w:r>
    </w:p>
    <w:p>
      <w:pPr>
        <w:spacing w:before="0" w:after="200" w:lineRule="auto" w:line="276"/>
      </w:pPr>
      <w:r>
        <w:rPr>
          <w:b/>
        </w:rPr>
        <w:t xml:space="preserve">Abstract (EN): </w:t>
      </w:r>
      <w:r>
        <w:t>Women during lactation undergo significant bone loss and metabolic changes. However, the underlying mechanisms in the brain remain unclear. Herein, we found that prolactin receptor (PRLR)+ neurons in the hypothalamus control lactation physiology and metabolism in mice. Prolactin induces tyrosine hydroxylase (Th) expression in PRLR+ dopaminergic neurons of the arcuate nucleus (ARC). Interestingly, neuropeptide Y (NPY) expression was elevated to alter energy demand and nociceptive threshold during lactation. Knocking down either PRLR or NPY in the ARC significantly reduced food demand and nociceptive threshold. Importantly, in addition, prolactin also induces Th expression in the hypothalamic paraventricular nucleus (PVN) to increase sympathetic outflow to mobilize Ca2+ in bone. Importantly, brain-derived osteoanabolic hormone communication network factor 3 (CCN3) is downstream of PRLR signaling in the dopaminergic neurons. Thus, hypothalamic PRLR+ neurons identified in the current study regulate bone and fat metabolism, nociceptive threshold, and energy demand in mice during lactation.</w:t>
      </w:r>
    </w:p>
    <w:p>
      <w:pPr>
        <w:spacing w:before="120" w:after="120"/>
      </w:pPr>
      <w:r>
        <w:rPr>
          <w:sz w:val="18"/>
        </w:rPr>
        <w:t>——————————————————————————————————————————————————————————————————————</w:t>
      </w:r>
    </w:p>
    <w:p>
      <w:pPr>
        <w:spacing w:before="160" w:after="40" w:line="240" w:lineRule="auto"/>
      </w:pPr>
      <w:r>
        <w:rPr>
          <w:b/>
        </w:rPr>
        <w:t xml:space="preserve">[722] </w:t>
      </w:r>
      <w:hyperlink r:id="rId1908">
        <w:r>
          <w:rPr>
            <w:color w:val="1155CC"/>
            <w:u w:val="single"/>
          </w:rPr>
          <w:t>乌干达儿童和成人六年队列中恶性疟原虫性阶段抗体反应的传播阻断动态</w:t>
        </w:r>
      </w:hyperlink>
    </w:p>
    <w:p>
      <w:pPr>
        <w:spacing w:before="0" w:after="80"/>
      </w:pPr>
      <w:r>
        <w:rPr>
          <w:i/>
          <w:sz w:val="20"/>
        </w:rPr>
        <w:t>EN: The transmission-blocking dynamics of Plasmodium falciparum sexual-stage antibody responses in a six-year cohort of Ugandan children and adults</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自然感染疟原虫的个体可以产生针对寄生虫性阶段的抗体，当他们在蚊子媒介的吸血过程中摄入这些抗体时，可能会抑制进一步传播。我们的研究报告了乌干达队列中自然发生的传播减少活性（TRA）的免疫特征和纵向动态。结合 611 项标准膜喂养测定和每个个体多达 18 次评估的数据，我们表明 TRA 自然产生并在少数自然暴露的个体中持续存在。我们还表明，既往寄生虫暴露史与 TRA 和针对恶性疟原虫性阶段抗原的抗体呈正相关。针对 Pfs48/45 和 Pfs230 的抗体似乎寿命相对较短，并且与高水平 TRA 相关。最后，我们报告说，自然获得的针对另外 13 种性阶段抗原的抗体与高水平 TRA 相关。总之，我们的分析表明，自然获得的性阶段免疫反应是动态的，可以抑制寄生虫的进一步传播。</w:t>
      </w:r>
    </w:p>
    <w:p>
      <w:pPr>
        <w:spacing w:before="0" w:after="200" w:lineRule="auto" w:line="276"/>
      </w:pPr>
      <w:r>
        <w:rPr>
          <w:b/>
        </w:rPr>
        <w:t xml:space="preserve">Abstract (EN): </w:t>
      </w:r>
      <w:r>
        <w:t>Individuals naturally infected with Plasmodium can develop antibodies against the parasite’s sexual stages that may inhibit onward transmission when ingested they are during a mosquito vector’s blood meal. Our study reports immune signatures and longitudinal dynamics of naturally occurring transmission-reducing activity (TRA) in a Ugandan cohort. Combining data from 611 standard membrane feeding assays and up to 18 assessments per individual, we show that TRA arose naturally and persisted in a minority of naturally exposed individuals. We also show that prior history of parasite exposure is positively related to both TRA and antibodies against P. falciparum sexual-stage antigens. Antibodies against Pfs48/45 and Pfs230 appeared relatively short-lived and associated with high-level TRA. Finally, we report that naturally acquired antibodies against a further thirteen sexual-stage antigens are associated with high-level TRA. Together, our analysis shows that naturally acquired sexual-stage immune responses are dynamic and can inhibit onward parasite transmission.</w:t>
      </w:r>
    </w:p>
    <w:p>
      <w:pPr>
        <w:spacing w:before="120" w:after="120"/>
      </w:pPr>
      <w:r>
        <w:rPr>
          <w:sz w:val="18"/>
        </w:rPr>
        <w:t>——————————————————————————————————————————————————————————————————————</w:t>
      </w:r>
    </w:p>
    <w:p>
      <w:pPr>
        <w:spacing w:before="160" w:after="40" w:line="240" w:lineRule="auto"/>
      </w:pPr>
      <w:r>
        <w:rPr>
          <w:b/>
        </w:rPr>
        <w:t xml:space="preserve">[723] </w:t>
      </w:r>
      <w:hyperlink r:id="rId1909">
        <w:r>
          <w:rPr>
            <w:color w:val="1155CC"/>
            <w:u w:val="single"/>
          </w:rPr>
          <w:t>流行摇滚启发的气泡驱动外泌体通过微针推进以实现协同伤口愈合</w:t>
        </w:r>
      </w:hyperlink>
    </w:p>
    <w:p>
      <w:pPr>
        <w:spacing w:before="0" w:after="80"/>
      </w:pPr>
      <w:r>
        <w:rPr>
          <w:i/>
          <w:sz w:val="20"/>
        </w:rPr>
        <w:t>EN: Pop Rocks-Inspired Bubble Driven Exosome Propulsion via Microneedles for Synergistic Wound Healing</w:t>
      </w:r>
    </w:p>
    <w:p>
      <w:pPr>
        <w:spacing w:before="0" w:after="120"/>
      </w:pPr>
      <w:r>
        <w:rPr>
          <w:b/>
        </w:rPr>
        <w:t xml:space="preserve">Source: </w:t>
      </w:r>
      <w:r>
        <w:t>ACS Applied Materials &amp; Interfaces: Latest Articles (ACS Publications)</w:t>
      </w:r>
      <w:r>
        <w:t xml:space="preserve">    </w:t>
      </w:r>
      <w:r>
        <w:rPr>
          <w:b/>
        </w:rPr>
        <w:t xml:space="preserve">Pub date: </w:t>
      </w:r>
      <w:r>
        <w:t>2026-08-13 00:00:00+00:00</w:t>
      </w:r>
      <w:r>
        <w:t xml:space="preserve">    </w:t>
      </w:r>
      <w:r>
        <w:rPr>
          <w:b/>
        </w:rPr>
        <w:t xml:space="preserve">DOI: </w:t>
      </w:r>
      <w:hyperlink r:id="rId1910">
        <w:r>
          <w:rPr>
            <w:color w:val="1155CC"/>
            <w:u w:val="single"/>
          </w:rPr>
          <w:t>10.1021/acsami.6c08673</w:t>
        </w:r>
      </w:hyperlink>
    </w:p>
    <w:p>
      <w:pPr>
        <w:spacing w:before="0" w:after="120"/>
      </w:pPr>
      <w:r>
        <w:rPr>
          <w:b/>
        </w:rPr>
        <w:t xml:space="preserve">Notes: </w:t>
      </w:r>
      <w:r>
        <w:t>abstract_source=crossref</w:t>
      </w:r>
    </w:p>
    <w:p>
      <w:pPr>
        <w:spacing w:before="0" w:after="80" w:lineRule="auto" w:line="276"/>
      </w:pPr>
      <w:r>
        <w:rPr>
          <w:b/>
        </w:rPr>
        <w:t xml:space="preserve">摘要（ZH）: </w:t>
      </w:r>
      <w:r>
        <w:t>摘要 由于持续的细菌感染、组织缺氧和细胞再生受损，慢性不愈合伤口仍然是一个严峻的临床挑战。在此，受 Pop Rocks 糖果“爆裂”机制的启发，我们开发了一种多功能微针 (MN) 贴片 (Exo/ONB-MN)，它将抗菌超支化聚合物 (HBPLT)、间充质干细胞衍生的外泌体 (MSC-Exos) 和氧纳米气泡 (ONB) 集成到单个可溶解平台中。 HBPLT 成分通过物理膜破坏提供有效的广谱抗菌活性。使用后，嵌入针基部的 ONB 会爆炸性释放氧气，产生定向压力波，主动将外泌体从针尖深入伤口床，这种机制称为气泡驱动外泌体推进。同时，氧气释放可缓解局部缺氧，增强外泌体的吸收并增强其促再生作用。体外研究表明，Exo/ONB-MN 贴片显着促进成纤维细胞增殖和迁移，同时几乎完全根除金黄色葡萄球菌和大肠杆菌。在金黄色葡萄球菌感染的全层伤口小鼠模型中，该贴片在 14 天内加速伤口闭合至近 100%，促进有组织的胶原蛋白沉积，减少促炎细胞因子的表达，并诱导从 M1 巨噬细胞向 M2 巨噬细胞的表型转变。这个受流行摇滚启发的平台通过协同、全面的方法解决了慢性伤口的关键病理障碍——感染、缺氧和愈合受损。</w:t>
      </w:r>
    </w:p>
    <w:p>
      <w:pPr>
        <w:spacing w:before="0" w:after="200" w:lineRule="auto" w:line="276"/>
      </w:pPr>
      <w:r>
        <w:rPr>
          <w:b/>
        </w:rPr>
        <w:t xml:space="preserve">Abstract (EN): </w:t>
      </w:r>
      <w:r>
        <w:t>Chronic nonhealing wounds remain a critical clinical challenge due to persistent bacterial infection, tissue hypoxia, and impaired cellular regeneration. Herein, inspired by the “popping” mechanism of Pop Rocks candy, we developed a multifunctional microneedle (MN) patch (Exo/ONB-MN) that integrates antibacterial hyperbranched polymer (HBPLT), mesenchymal stem cell-derived exosomes (MSC-Exos), and oxygen nanobubbles (ONBs) into a single dissolvable platform. The HBPLT component provides potent broad-spectrum antibacterial activity through physical membrane disruption. Upon application, ONBs embedded in the needle bases explosively release oxygen, generating a directional pressure wave that actively propels exosomes from the needle tips deep into the wound bed—a mechanism termed bubble-driven exosome propulsion. Concurrently, oxygen release alleviates local hypoxia, enhancing exosome uptake and amplifying their proregenerative effects. In vitro studies demonstrated that the Exo/ONB-MN patch significantly promoted fibroblast proliferation and migration while achieving near-complete eradication of Staphylococcus aureus and Escherichia coli. In an S. aureus-infected full-thickness wound mouse model, the patch accelerated wound closure to nearly 100% within 14 days, promoted organized collagen deposition, reduced pro-inflammatory cytokine expression, and induced a phenotypic switch from M1 to M2 macrophages. This Pop Rocks-inspired platform addresses the key pathological barriers of chronic wounds—infection, hypoxia, and impaired healing—through a synergistic, all-in-one strategy, offering a promising and translatable approach for advanced wound management.</w:t>
      </w:r>
    </w:p>
    <w:p>
      <w:pPr>
        <w:spacing w:before="120" w:after="120"/>
      </w:pPr>
      <w:r>
        <w:rPr>
          <w:sz w:val="18"/>
        </w:rPr>
        <w:t>——————————————————————————————————————————————————————————————————————</w:t>
      </w:r>
    </w:p>
    <w:p>
      <w:pPr>
        <w:spacing w:before="160" w:after="40" w:line="240" w:lineRule="auto"/>
      </w:pPr>
      <w:r>
        <w:rPr>
          <w:b/>
        </w:rPr>
        <w:t xml:space="preserve">[724] </w:t>
      </w:r>
      <w:hyperlink r:id="rId1911">
        <w:r>
          <w:rPr>
            <w:color w:val="1155CC"/>
            <w:u w:val="single"/>
          </w:rPr>
          <w:t>基于慢固化聚脲的可剥离防污涂料</w:t>
        </w:r>
      </w:hyperlink>
    </w:p>
    <w:p>
      <w:pPr>
        <w:spacing w:before="0" w:after="80"/>
      </w:pPr>
      <w:r>
        <w:rPr>
          <w:i/>
          <w:sz w:val="20"/>
        </w:rPr>
        <w:t>EN: Peelable Antifouling Coating Based on Slow-Curing Polyurea</w:t>
      </w:r>
    </w:p>
    <w:p>
      <w:pPr>
        <w:spacing w:before="0" w:after="120"/>
      </w:pPr>
      <w:r>
        <w:rPr>
          <w:b/>
        </w:rPr>
        <w:t xml:space="preserve">Source: </w:t>
      </w:r>
      <w:r>
        <w:t>ACS Applied Materials &amp; Interfaces: Latest Articles (ACS Publications)</w:t>
      </w:r>
      <w:r>
        <w:t xml:space="preserve">    </w:t>
      </w:r>
      <w:r>
        <w:rPr>
          <w:b/>
        </w:rPr>
        <w:t xml:space="preserve">Pub date: </w:t>
      </w:r>
      <w:r>
        <w:t>2026-08-13 00:00:00+00:00</w:t>
      </w:r>
      <w:r>
        <w:t xml:space="preserve">    </w:t>
      </w:r>
      <w:r>
        <w:rPr>
          <w:b/>
        </w:rPr>
        <w:t xml:space="preserve">DOI: </w:t>
      </w:r>
      <w:hyperlink r:id="rId1912">
        <w:r>
          <w:rPr>
            <w:color w:val="1155CC"/>
            <w:u w:val="single"/>
          </w:rPr>
          <w:t>10.1021/acsami.6c12686</w:t>
        </w:r>
      </w:hyperlink>
    </w:p>
    <w:p>
      <w:pPr>
        <w:spacing w:before="0" w:after="120"/>
      </w:pPr>
      <w:r>
        <w:rPr>
          <w:b/>
        </w:rPr>
        <w:t xml:space="preserve">Notes: </w:t>
      </w:r>
      <w:r>
        <w:t>abstract_source=crossref</w:t>
      </w:r>
    </w:p>
    <w:p>
      <w:pPr>
        <w:spacing w:before="0" w:after="80" w:lineRule="auto" w:line="276"/>
      </w:pPr>
      <w:r>
        <w:rPr>
          <w:b/>
        </w:rPr>
        <w:t xml:space="preserve">摘要（ZH）: </w:t>
      </w:r>
      <w:r>
        <w:t>摘要 水下设备表面的海洋生物污垢严重影响其运行。传统的防污涂料可以防止生物污损；然而，在设备维修过程中去除失效或临时涂层很困难，并且可能会损坏设备表面。在此，我们报道了一种防污涂料，由以仲胺低聚硅氧烷纳米簇（NSs）作为交联剂改性的聚天冬氨酸酯基聚脲和二异氰酸酯封端的反应性两亲聚合物（RAP）组成。在所得的慢固化聚脲涂层中，具有低表面能氟化侧链和聚乙二醇（PEG）侧链的RAP在干燥过程中迁移到涂层表面，使PEG能够抑制生物污垢。该涂层在不同基材（包括钢、陶瓷、铜、玻璃和环氧板）上表现出令人满意的粘附强度（2-8 MPa），并且对金黄色葡萄球菌、大肠杆菌和 P. sp 的纤维蛋白原吸附降低了 90% 以上，相对细菌粘附值低于 10%。此外，涂层具有高内聚强度和适度的界面附着力。因此，它可以很容易地从各种表面剥离，剥离强度为1-9 N·cm-1，而不损坏设备表面。这种聚脲涂层显示出作为海洋环境抗生物污损涂层的广阔应用潜力。</w:t>
      </w:r>
    </w:p>
    <w:p>
      <w:pPr>
        <w:spacing w:before="0" w:after="200" w:lineRule="auto" w:line="276"/>
      </w:pPr>
      <w:r>
        <w:rPr>
          <w:b/>
        </w:rPr>
        <w:t xml:space="preserve">Abstract (EN): </w:t>
      </w:r>
      <w:r>
        <w:t>Marine biofouling on the surface of underwater equipment severely impairs its operation. Conventional antifouling coatings can prevent biofouling; however, the removal of failed or temporary coatings during equipment repair is difficult and may damage the equipment surface. Herein, we report an antifouling coating consisting of polyaspartic ester-based polyurea modified with secondary amine oligosiloxane nanoclusters (NSs) as a crosslinker and a diisocyanate-terminated reactive amphiphilic polymer (RAP). In the resulting slow-curing polyurea coating, the RAP with low-surface-energy fluorinated side chains and polyethylene glycol (PEG) side chains migrates to the coating surface during drying, allowing PEG to inhibit biofouling. The coating demonstrates satisfactory adhesion strength (2–8 MPa) on diverse substrates, including steel, ceramic, copper, glass, and epoxy panels, as well as &amp;gt;90% reduction in fibrinogen adsorption and relative bacterial adhesion values below 10% against S. aureus, E. coli, and P. sp. In addition, the coating exhibits high cohesive strength and moderate interface adhesion. As a result, it can be readily peeled from various surfaces with a peel strength of 1–9 N·cm–1 without damaging the equipment surface. This polyurea coating demonstrates promising application potential as an antibiofouling coating for marine environments.</w:t>
      </w:r>
    </w:p>
    <w:p>
      <w:pPr>
        <w:spacing w:before="120" w:after="120"/>
      </w:pPr>
      <w:r>
        <w:rPr>
          <w:sz w:val="18"/>
        </w:rPr>
        <w:t>——————————————————————————————————————————————————————————————————————</w:t>
      </w:r>
    </w:p>
    <w:p>
      <w:pPr>
        <w:spacing w:before="160" w:after="40" w:line="240" w:lineRule="auto"/>
      </w:pPr>
      <w:r>
        <w:rPr>
          <w:b/>
        </w:rPr>
        <w:t xml:space="preserve">[725] </w:t>
      </w:r>
      <w:hyperlink r:id="rId1913">
        <w:r>
          <w:rPr>
            <w:color w:val="1155CC"/>
            <w:u w:val="single"/>
          </w:rPr>
          <w:t>使用 Cu2O 纳米片表面活性剂将持久水下润滑和抗微生物腐蚀集成到半固体乳液体系中</w:t>
        </w:r>
      </w:hyperlink>
    </w:p>
    <w:p>
      <w:pPr>
        <w:spacing w:before="0" w:after="80"/>
      </w:pPr>
      <w:r>
        <w:rPr>
          <w:i/>
          <w:sz w:val="20"/>
        </w:rPr>
        <w:t>EN: Integrating Long-Lasting Underwater Lubrication and Anti-Microbial Corrosion into A Semi-Solid Emulsion System Using Cu2O Nanosheet Surfactants</w:t>
      </w:r>
    </w:p>
    <w:p>
      <w:pPr>
        <w:spacing w:before="0" w:after="120"/>
      </w:pPr>
      <w:r>
        <w:rPr>
          <w:b/>
        </w:rPr>
        <w:t xml:space="preserve">Source: </w:t>
      </w:r>
      <w:r>
        <w:t>ACS Applied Materials &amp; Interfaces: Latest Articles (ACS Publications)</w:t>
      </w:r>
      <w:r>
        <w:t xml:space="preserve">    </w:t>
      </w:r>
      <w:r>
        <w:rPr>
          <w:b/>
        </w:rPr>
        <w:t xml:space="preserve">Pub date: </w:t>
      </w:r>
      <w:r>
        <w:t>2026-08-13 00:00:00+00:00</w:t>
      </w:r>
      <w:r>
        <w:t xml:space="preserve">    </w:t>
      </w:r>
      <w:r>
        <w:rPr>
          <w:b/>
        </w:rPr>
        <w:t xml:space="preserve">DOI: </w:t>
      </w:r>
      <w:hyperlink r:id="rId1914">
        <w:r>
          <w:rPr>
            <w:color w:val="1155CC"/>
            <w:u w:val="single"/>
          </w:rPr>
          <w:t>10.1021/acsami.6c04643</w:t>
        </w:r>
      </w:hyperlink>
    </w:p>
    <w:p>
      <w:pPr>
        <w:spacing w:before="0" w:after="120"/>
      </w:pPr>
      <w:r>
        <w:rPr>
          <w:b/>
        </w:rPr>
        <w:t xml:space="preserve">Notes: </w:t>
      </w:r>
      <w:r>
        <w:t>abstract_source=crossref</w:t>
      </w:r>
    </w:p>
    <w:p>
      <w:pPr>
        <w:spacing w:before="0" w:after="80" w:lineRule="auto" w:line="276"/>
      </w:pPr>
      <w:r>
        <w:rPr>
          <w:b/>
        </w:rPr>
        <w:t xml:space="preserve">摘要（ZH）: </w:t>
      </w:r>
      <w:r>
        <w:t>摘要 纳米颗粒表面活性剂在开发半固体Pickering乳液凝胶（PEG）方面显示出巨大的潜力，但在恶劣的海洋条件下实现凝胶的应用仍然是一个挑战。在此，提出了一种通过简单且通用的方法制备的油包水润滑和抗微生物腐蚀的PEG。即使经过 719,300 次摩擦循环和高达 200 N 的外部正常载荷，PEG 在人造海水中的平均摩擦系数 (CoF) 仍低至 0.066。此外，含有两亲性 Cu2O 纳米片 (AC-NSs) 的 PEG 对革兰氏阳性菌 (S. aureus) 和革兰氏阴性菌 (P. aeruginosa) 均表现出出色的持久抗菌活性，实现了30天后抗菌率分别为97.5%和93.7%。值得注意的是，PEG 通过抗膨胀特性、物理屏障效应和抗菌活性的协同效应建立抗微生物腐蚀保护。这项工作预计将为使用纳米颗粒表面活性剂构建半固体乳液系统提供有效的策略，以实现持久的润滑和抗微生物腐蚀能力，从而防止船舶设备发生故障。</w:t>
      </w:r>
    </w:p>
    <w:p>
      <w:pPr>
        <w:spacing w:before="0" w:after="200" w:lineRule="auto" w:line="276"/>
      </w:pPr>
      <w:r>
        <w:rPr>
          <w:b/>
        </w:rPr>
        <w:t xml:space="preserve">Abstract (EN): </w:t>
      </w:r>
      <w:r>
        <w:t>Nanoparticle surfactants have shown great potential for developing semi-solid Pickering emulsion gels (PEGs), but achieving the application of gels under harsh marine conditions remains a challenge. Herein, water-in-oil lubricating and anti-microbial corrosion PEGs prepared by a simple and universal method are proposed. The mean coefficient of friction (CoF) of PEGs in artificial seawater is as low as 0.066, even after 719,300 friction cycles and under an external normal load of up to 200 N. Additionally, the PEGs containing amphiphilic Cu2O nanosheets (AC-NSs) exhibit outstanding long-lasting antibacterial activity against both Gram-positive (S. aureus) and Gram-negative (P. aeruginosa) bacteria, achieving antibacterial rates of 97.5 and 93.7% after 30 days, respectively. Notably, the PEGs establish anti-microbial corrosion protection through a synergistic effect of anti-swelling properties, physical barrier effects, and antibacterial activity. This work is anticipated to provide an effective strategy for constructing semi-solid emulsion systems using nanoparticle surfactants to achieve long-lasting lubrication and anti-microbial corrosion capabilities that prevent failure in marine equipment.</w:t>
      </w:r>
    </w:p>
    <w:p>
      <w:pPr>
        <w:spacing w:before="120" w:after="120"/>
      </w:pPr>
      <w:r>
        <w:rPr>
          <w:sz w:val="18"/>
        </w:rPr>
        <w:t>——————————————————————————————————————————————————————————————————————</w:t>
      </w:r>
    </w:p>
    <w:p>
      <w:pPr>
        <w:spacing w:before="160" w:after="40" w:line="240" w:lineRule="auto"/>
      </w:pPr>
      <w:r>
        <w:rPr>
          <w:b/>
        </w:rPr>
        <w:t xml:space="preserve">[726] </w:t>
      </w:r>
      <w:hyperlink r:id="rId1915">
        <w:r>
          <w:rPr>
            <w:color w:val="1155CC"/>
            <w:u w:val="single"/>
          </w:rPr>
          <w:t>用于近传感器内存磁信息编码的仿生磁视觉突触</w:t>
        </w:r>
      </w:hyperlink>
    </w:p>
    <w:p>
      <w:pPr>
        <w:spacing w:before="0" w:after="80"/>
      </w:pPr>
      <w:r>
        <w:rPr>
          <w:i/>
          <w:sz w:val="20"/>
        </w:rPr>
        <w:t>EN: Bioinspired Magnetic Vision Synapse for Near-Sensor In-Memory Magnetic Information Encoding</w:t>
      </w:r>
    </w:p>
    <w:p>
      <w:pPr>
        <w:spacing w:before="0" w:after="120"/>
      </w:pPr>
      <w:r>
        <w:rPr>
          <w:b/>
        </w:rPr>
        <w:t xml:space="preserve">Source: </w:t>
      </w:r>
      <w:r>
        <w:t>ACS Applied Materials &amp; Interfaces: Latest Articles (ACS Publications)</w:t>
      </w:r>
      <w:r>
        <w:t xml:space="preserve">    </w:t>
      </w:r>
      <w:r>
        <w:rPr>
          <w:b/>
        </w:rPr>
        <w:t xml:space="preserve">Pub date: </w:t>
      </w:r>
      <w:r>
        <w:t>2026-08-13 00:00:00+00:00</w:t>
      </w:r>
      <w:r>
        <w:t xml:space="preserve">    </w:t>
      </w:r>
      <w:r>
        <w:rPr>
          <w:b/>
        </w:rPr>
        <w:t xml:space="preserve">DOI: </w:t>
      </w:r>
      <w:hyperlink r:id="rId1916">
        <w:r>
          <w:rPr>
            <w:color w:val="1155CC"/>
            <w:u w:val="single"/>
          </w:rPr>
          <w:t>10.1021/acsami.6c11960</w:t>
        </w:r>
      </w:hyperlink>
    </w:p>
    <w:p>
      <w:pPr>
        <w:spacing w:before="0" w:after="120"/>
      </w:pPr>
      <w:r>
        <w:rPr>
          <w:b/>
        </w:rPr>
        <w:t xml:space="preserve">Notes: </w:t>
      </w:r>
      <w:r>
        <w:t>abstract_source=crossref</w:t>
      </w:r>
    </w:p>
    <w:p>
      <w:pPr>
        <w:spacing w:before="0" w:after="80" w:lineRule="auto" w:line="276"/>
      </w:pPr>
      <w:r>
        <w:rPr>
          <w:b/>
        </w:rPr>
        <w:t xml:space="preserve">摘要（ZH）: </w:t>
      </w:r>
      <w:r>
        <w:t>摘要 动物利用磁感受来感知磁线索，以进行定向和导航。1 受此功能的启发，人造磁传感硬件不仅需要磁场读出，还需要一种将磁刺激转换为保留输入历史信息的内部设备状态的路径。在这里，我们展示了用于磁场驱动电导状态调制的耦合磁电 (ME)−VO2 磁突触原型。 Metglas/PMN-PT/Metglas ME 前端将交流磁刺激转换为电压信号，该信号通过信号调节路径进行处理，并应用于离子凝胶门控 VO2 晶体管的栅极。由此产生的栅极调制通过挥发性静电调制和更持久的质子介导的电化学调制改变 VO2 通道电导。在磁场脉冲输入下，耦合原型表现出瞬态电流响应、成对脉冲促进以及从短期到长期可塑性的转变，表明 VO2 电导状态可以编码磁刺激的幅度、持续时间和时间历史。我们进一步表明，ME 前端可以重建由线圈阵列生成的二维磁场图案，为后续的电导状态编码提供空间磁输入源。因此，这项工作应被视为磁输入驱动的电导调制和基于电导状态的编码的原型演示，而不是完全集成的磁视觉或自主神经形态计算系统。</w:t>
      </w:r>
    </w:p>
    <w:p>
      <w:pPr>
        <w:spacing w:before="0" w:after="200" w:lineRule="auto" w:line="276"/>
      </w:pPr>
      <w:r>
        <w:rPr>
          <w:b/>
        </w:rPr>
        <w:t xml:space="preserve">Abstract (EN): </w:t>
      </w:r>
      <w:r>
        <w:t>Animals use magnetoreception to sense magnetic cues for orientation and navigation.1 Inspired by this capability, artificial magnetic sensory hardware requires not only magnetic-field readout, but also a route for converting magnetic stimuli into internal device states that retain information about the input history. Here, we demonstrate a coupled magnetoelectric (ME)−VO2 magnetic-synapse prototype for magnetic-field-driven conductance-state modulation. A Metglas/PMN-PT/Metglas ME front end converts AC magnetic stimuli into voltage signals, which are processed through a signal-conditioning pathway and applied to the gate of an ionic-gel-gated VO2 transistor. The resulting gate modulation changes the VO2 channel conductance through volatile electrostatic modulation and more persistent proton-mediated electrochemical modulation. Under magnetic-field-pulse inputs, the coupled prototype exhibits transient current response, paired-pulse facilitation, and a transition from short-term to long-term plasticity, indicating that the VO2 conductance state can encode the amplitude, duration, and temporal history of magnetic stimuli. We further show that the ME front end can reconstruct a two-dimensional magnetic-field pattern generated by a coil array, providing a spatial magnetic input source for subsequent conductance-state encoding. This work should therefore be regarded as a prototype demonstration of magnetic-input-driven conductance modulation and conductance-state-based encoding, rather than a fully integrated magnetic-vision or autonomous neuromorphic computing system. The results suggest a possible route toward device-level front-end processing of magnetic information, while monolithic integration, low-power signal conditioning, and array-level implementation remain important directions for future development.</w:t>
      </w:r>
    </w:p>
    <w:p>
      <w:pPr>
        <w:spacing w:before="120" w:after="120"/>
      </w:pPr>
      <w:r>
        <w:rPr>
          <w:sz w:val="18"/>
        </w:rPr>
        <w:t>——————————————————————————————————————————————————————————————————————</w:t>
      </w:r>
    </w:p>
    <w:p>
      <w:pPr>
        <w:spacing w:before="160" w:after="40" w:line="240" w:lineRule="auto"/>
      </w:pPr>
      <w:r>
        <w:rPr>
          <w:b/>
        </w:rPr>
        <w:t xml:space="preserve">[727] </w:t>
      </w:r>
      <w:hyperlink r:id="rId1917">
        <w:r>
          <w:rPr>
            <w:color w:val="1155CC"/>
            <w:u w:val="single"/>
          </w:rPr>
          <w:t>缓慢生长是植物长寿的策略</w:t>
        </w:r>
      </w:hyperlink>
    </w:p>
    <w:p>
      <w:pPr>
        <w:spacing w:before="0" w:after="80"/>
      </w:pPr>
      <w:r>
        <w:rPr>
          <w:i/>
          <w:sz w:val="20"/>
        </w:rPr>
        <w:t>EN: Slow growth as a strategy for plant longevity</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生态理论预测快速增长和实现长寿的可能性之间存在根本性的权衡，这对生态系统的恢复力和碳停留时间产生深远的影响。树木年轮研究揭示了生长率和寿命之间全球一致的负相关关系，但树木以外的这种权衡的可比大规模证据仍然很少，这主要是由于方法学的局限性。在这里，我们利用多年生草本植物二次增厚形成的年轮来测试生长与寿命的权衡是否代表了跨生命形式的植物策略的广泛轴。我们利用从五大洲和从北极到炎热的半沙漠的生态系统采样的超过 3100 种草本和小型木本物种（包括藤本植物）的广泛数据集，揭示了不同生命形式和环境条件下的缓慢生长与长寿之间的紧密关联。此外，生长速率表现出强烈的温度依赖性，产生明显的寿命-温度关系，凸显了生长-寿命耦合的生态相关性。总之，我们的研究结果表明，生长与寿命的权衡是对植物策略的广泛限制，对于预测植被动态、生态系统稳定性以及气候变化中陆地碳储存的持久性具有重要意义。</w:t>
      </w:r>
    </w:p>
    <w:p>
      <w:pPr>
        <w:spacing w:before="0" w:after="200" w:lineRule="auto" w:line="276"/>
      </w:pPr>
      <w:r>
        <w:rPr>
          <w:b/>
        </w:rPr>
        <w:t xml:space="preserve">Abstract (EN): </w:t>
      </w:r>
      <w:r>
        <w:t>Ecological theories predict a fundamental trade-off between fast growth and the probability of achieving longevity, with far-reaching consequences for ecosystem resilience and carbon residence time. Tree-ring studies have revealed a globally consistent negative relationship between growth rate and lifespan, yet comparable large-scale evidence for such trade-offs beyond trees remains scarce, largely due to methodological limitations. Here, we exploit annual growth rings formed by secondary thickening in perennial herbaceous plants to test whether the growth–longevity trade-off represents a widespread axis of plant strategies extending across life forms. Using an extensive dataset of over 3100 herbaceous and small woody species, including lianas, sampled across five continents and ecosystems ranging from the Arctic to hot semideserts, we reveal a robust association between slow growth and longevity across life forms and environmental conditions. Moreover, the growth rate exhibited a strong temperature dependence, giving rise to an apparent longevity–temperature relationship, highlighting ecological relevance of growth–longevity coupling. Together, our findings identify the growth–longevity trade-off as a widespread constraint on plant strategies, with important implications for predicting vegetation dynamics, ecosystem stability, and the persistence of terrestrial carbon storage in a changing climate.</w:t>
      </w:r>
    </w:p>
    <w:p>
      <w:pPr>
        <w:spacing w:before="120" w:after="120"/>
      </w:pPr>
      <w:r>
        <w:rPr>
          <w:sz w:val="18"/>
        </w:rPr>
        <w:t>——————————————————————————————————————————————————————————————————————</w:t>
      </w:r>
    </w:p>
    <w:p>
      <w:pPr>
        <w:spacing w:before="160" w:after="40" w:line="240" w:lineRule="auto"/>
      </w:pPr>
      <w:r>
        <w:rPr>
          <w:b/>
        </w:rPr>
        <w:t xml:space="preserve">[728] </w:t>
      </w:r>
      <w:hyperlink r:id="rId1918">
        <w:r>
          <w:rPr>
            <w:color w:val="1155CC"/>
            <w:u w:val="single"/>
          </w:rPr>
          <w:t>细胞外基质力学、机械敏感离子通道和细胞重塑行为之间的相互耦合</w:t>
        </w:r>
      </w:hyperlink>
    </w:p>
    <w:p>
      <w:pPr>
        <w:spacing w:before="0" w:after="80"/>
      </w:pPr>
      <w:r>
        <w:rPr>
          <w:i/>
          <w:sz w:val="20"/>
        </w:rPr>
        <w:t>EN: Reciprocal Coupling among Extracellular Matrix Mechanics, Mechanosensitive Ion Channels, and Cell Remodeling Behaviors</w:t>
      </w:r>
    </w:p>
    <w:p>
      <w:pPr>
        <w:spacing w:before="0" w:after="120"/>
      </w:pPr>
      <w:r>
        <w:rPr>
          <w:b/>
        </w:rPr>
        <w:t xml:space="preserve">Source: </w:t>
      </w:r>
      <w:r>
        <w:t>ACS Applied Materials &amp; Interfaces: Latest Articles (ACS Publications)</w:t>
      </w:r>
      <w:r>
        <w:t xml:space="preserve">    </w:t>
      </w:r>
      <w:r>
        <w:rPr>
          <w:b/>
        </w:rPr>
        <w:t xml:space="preserve">Pub date: </w:t>
      </w:r>
      <w:r>
        <w:t>2026-08-13 00:00:00+00:00</w:t>
      </w:r>
      <w:r>
        <w:t xml:space="preserve">    </w:t>
      </w:r>
      <w:r>
        <w:rPr>
          <w:b/>
        </w:rPr>
        <w:t xml:space="preserve">DOI: </w:t>
      </w:r>
      <w:hyperlink r:id="rId1919">
        <w:r>
          <w:rPr>
            <w:color w:val="1155CC"/>
            <w:u w:val="single"/>
          </w:rPr>
          <w:t>10.1021/acsami.6c06015</w:t>
        </w:r>
      </w:hyperlink>
    </w:p>
    <w:p>
      <w:pPr>
        <w:spacing w:before="0" w:after="120"/>
      </w:pPr>
      <w:r>
        <w:rPr>
          <w:b/>
        </w:rPr>
        <w:t xml:space="preserve">Notes: </w:t>
      </w:r>
      <w:r>
        <w:t>abstract_source=crossref</w:t>
      </w:r>
    </w:p>
    <w:p>
      <w:pPr>
        <w:spacing w:before="0" w:after="80" w:lineRule="auto" w:line="276"/>
      </w:pPr>
      <w:r>
        <w:rPr>
          <w:b/>
        </w:rPr>
        <w:t xml:space="preserve">摘要（ZH）: </w:t>
      </w:r>
      <w:r>
        <w:t>摘要 细胞通过一系列机械驱动行为主动重塑细胞外基质 (ECM)，包括牵引力产生、迁移、蛋白水解和长期沉积。虽然这些过程经常被单独讨论，但新出现的证据表明它们是通过共享的机械化学信号模块进行协调的。与此同时，基于水凝胶的生物材料的进展表明，ECM 力学，包括刚度、粘弹性耗散、降解性和时间动力学，可以系统地编程细胞重塑行为。在这篇综述中，我们讨论了 ECM 力学、机械敏感离子通道和细胞重塑行为之间的密切相互作用，特别强调离子通道作为机械化学控制节点，将材料定义的机械线索与细胞骨架张力、粘附动力学和转录重编程连接起来。我们重点关注 Piezo1、TRPV4、TRPM7 和 TRPC6，讨论局部 Ca2+ 进入事件如何通过不同的重塑模式将细胞外力学解码为行为特定的输出。我们进一步讨论工程水凝胶如何定义塑造通道介导信号传导的机械环境，从而塑造 ECM 重塑发生的时间、地点和方式。总之，这种观点将机械敏感离子通道定位为机械化学控制层，将动态材料环境与协调的细胞行为联系起来，突出了它们与主动指导组织重塑的生物材料设计的相关性。</w:t>
      </w:r>
    </w:p>
    <w:p>
      <w:pPr>
        <w:spacing w:before="0" w:after="200" w:lineRule="auto" w:line="276"/>
      </w:pPr>
      <w:r>
        <w:rPr>
          <w:b/>
        </w:rPr>
        <w:t xml:space="preserve">Abstract (EN): </w:t>
      </w:r>
      <w:r>
        <w:t>Cells actively remodel the extracellular matrix (ECM) through a repertoire of mechanically driven behaviors, including traction force generation, migration, proteolysis, and long-term deposition. While these processes are often discussed separately, emerging evidence suggests that they are coordinated through shared mechanochemical signaling modules. In parallel, advances in hydrogel-based biomaterials have revealed that ECM mechanics, including stiffness, viscoelastic dissipation, degradability, and temporal dynamics, can systematically program cellular remodeling behaviors. In this review, we discuss the close interplay among ECM mechanics, mechanosensitive ion channels, and cell remodeling behaviors, with particular emphasis on ion channels as mechanochemical control nodes that connect material-defined mechanical cues to cytoskeletal tension, adhesion dynamics, and transcriptional reprogramming. Focusing on Piezo1, TRPV4, TRPM7, and TRPC6, we discuss how localized Ca2+ entry events decode extracellular mechanics into behavior-specific outputs across distinct remodeling modalities. We further discuss how engineered hydrogels define the mechanical environment that shapes channel-mediated signaling, thereby shaping when, where, and how ECM remodeling occurs. Together, this perspective positions mechanosensitive ion channels as a mechanochemical control layer that links dynamic material environments to coordinated cellular behaviors, highlighting their relevance to the design of biomaterials that actively direct tissue remodeling.</w:t>
      </w:r>
    </w:p>
    <w:p>
      <w:pPr>
        <w:spacing w:before="120" w:after="120"/>
      </w:pPr>
      <w:r>
        <w:rPr>
          <w:sz w:val="18"/>
        </w:rPr>
        <w:t>——————————————————————————————————————————————————————————————————————</w:t>
      </w:r>
    </w:p>
    <w:p>
      <w:pPr>
        <w:spacing w:before="160" w:after="40" w:line="240" w:lineRule="auto"/>
      </w:pPr>
      <w:r>
        <w:rPr>
          <w:b/>
        </w:rPr>
        <w:t xml:space="preserve">[729] </w:t>
      </w:r>
      <w:hyperlink r:id="rId1920">
        <w:r>
          <w:rPr>
            <w:color w:val="1155CC"/>
            <w:u w:val="single"/>
          </w:rPr>
          <w:t>具有自适应、环境响应运动的智能仿生微型游泳器</w:t>
        </w:r>
      </w:hyperlink>
    </w:p>
    <w:p>
      <w:pPr>
        <w:spacing w:before="0" w:after="80"/>
      </w:pPr>
      <w:r>
        <w:rPr>
          <w:i/>
          <w:sz w:val="20"/>
        </w:rPr>
        <w:t>EN: Smart Biomimetic Microswimmers with Adaptive, Environmentally Responsive Motion</w:t>
      </w:r>
    </w:p>
    <w:p>
      <w:pPr>
        <w:spacing w:before="0" w:after="120"/>
      </w:pPr>
      <w:r>
        <w:rPr>
          <w:b/>
        </w:rPr>
        <w:t xml:space="preserve">Source: </w:t>
      </w:r>
      <w:r>
        <w:t>ACS Applied Materials &amp; Interfaces: Latest Articles (ACS Publications)</w:t>
      </w:r>
      <w:r>
        <w:t xml:space="preserve">    </w:t>
      </w:r>
      <w:r>
        <w:rPr>
          <w:b/>
        </w:rPr>
        <w:t xml:space="preserve">Pub date: </w:t>
      </w:r>
      <w:r>
        <w:t>2026-08-13 00:00:00+00:00</w:t>
      </w:r>
      <w:r>
        <w:t xml:space="preserve">    </w:t>
      </w:r>
      <w:r>
        <w:rPr>
          <w:b/>
        </w:rPr>
        <w:t xml:space="preserve">DOI: </w:t>
      </w:r>
      <w:hyperlink r:id="rId1921">
        <w:r>
          <w:rPr>
            <w:color w:val="1155CC"/>
            <w:u w:val="single"/>
          </w:rPr>
          <w:t>10.1021/acsami.6c05373</w:t>
        </w:r>
      </w:hyperlink>
    </w:p>
    <w:p>
      <w:pPr>
        <w:spacing w:before="0" w:after="120"/>
      </w:pPr>
      <w:r>
        <w:rPr>
          <w:b/>
        </w:rPr>
        <w:t xml:space="preserve">Notes: </w:t>
      </w:r>
      <w:r>
        <w:t>abstract_source=crossref</w:t>
      </w:r>
    </w:p>
    <w:p>
      <w:pPr>
        <w:spacing w:before="0" w:after="80" w:lineRule="auto" w:line="276"/>
      </w:pPr>
      <w:r>
        <w:rPr>
          <w:b/>
        </w:rPr>
        <w:t xml:space="preserve">摘要（ZH）: </w:t>
      </w:r>
      <w:r>
        <w:t>摘要 微型游泳器被设计用于将各种形式的能量转换为机械运动。它们的发展是由模拟生物系统运动的愿望及其在传感、药物输送和环境修复方面的许多潜在应用推动的。化学驱动的游泳器作为微环境传感器显示出特别的前景。虽然大多数当前系统使用金属结构和过氧化氢燃料，但更多仿生系统将使用有机燃料并拥有柔软、灵活的身体。在这里，我们报告了由 Belousov-Zhabotinsky (BZ) 反应驱动的自主软微凝胶游泳器的开发，这是一种非线性振荡反应，让人想起生物系统中使用的反应，它消耗有机燃料并通过化学波驱动运动。我们证明这些游泳者表现出尺寸依赖性和环境响应性运动，其中化学波模式和推进特性随着化学环境和微凝胶直径而系统地变化。这些智能游泳器适应还原剂或氧化剂浓度的化学输入的变化，通过化学反应的进程对其进行处理，并显示多个输出，包括波型、波传播速度、振荡周期、波长和整体游泳器速度的变化。这项工作为柔软、反应灵敏的微型游泳者建立了一个多功能平台，能够执行复杂的、环境响应的行为，与自适应软机器人技术和基于运动的化学传感器的未来发展相关</w:t>
      </w:r>
    </w:p>
    <w:p>
      <w:pPr>
        <w:spacing w:before="0" w:after="200" w:lineRule="auto" w:line="276"/>
      </w:pPr>
      <w:r>
        <w:rPr>
          <w:b/>
        </w:rPr>
        <w:t xml:space="preserve">Abstract (EN): </w:t>
      </w:r>
      <w:r>
        <w:t>Microswimmers have been designed to convert various forms of energy to mechanical motion. Their development has been driven by the desire to mimic the motion of biological systems as well as their many potential applications in sensing, drug delivery and environmental remediation. Chemically propelled swimmers show particular promise as microenvironmental sensors. While most current systems utilize metallic structures and hydrogen peroxide fuel, more biomimetic systems would employ organic fuels and possess soft, flexible bodies. Here, we report the development of autonomous soft microgel swimmers powered by the Belousov-Zhabotinsky (BZ) reaction, a nonlinear oscillatory reaction reminiscent of those utilized in biological systems, which consumes organic fuel and actuates motion via chemical waves. We demonstrate that these swimmers exhibit size-dependent and environmentally responsive motion, in which chemical wave patterns and propulsion characteristics systematically vary with chemical environment and microgel diameter. These smart swimmers adapt to variations in chemical inputs in either the reductant or oxidant concentrations, process them via the progress of the chemical reaction, and display multiple outputs, including variations in wave patterns, wave propagation speed, oscillation period, wavelength, and overall swimmer speed. This work establishes a versatile platform for soft, responsive microswimmers capable of complex, environment-responsive behaviors with relevance to adaptive soft robotics and to the future development of motility based chemical sensors.</w:t>
      </w:r>
    </w:p>
    <w:p>
      <w:pPr>
        <w:spacing w:before="120" w:after="120"/>
      </w:pPr>
      <w:r>
        <w:rPr>
          <w:sz w:val="18"/>
        </w:rPr>
        <w:t>——————————————————————————————————————————————————————————————————————</w:t>
      </w:r>
    </w:p>
    <w:p>
      <w:pPr>
        <w:spacing w:before="160" w:after="40" w:line="240" w:lineRule="auto"/>
      </w:pPr>
      <w:r>
        <w:rPr>
          <w:b/>
        </w:rPr>
        <w:t xml:space="preserve">[730] </w:t>
      </w:r>
      <w:hyperlink r:id="rId1922">
        <w:r>
          <w:rPr>
            <w:color w:val="1155CC"/>
            <w:u w:val="single"/>
          </w:rPr>
          <w:t>通过耦合界面边界工程弥合有机电荷调制晶体管平台中模式特定的性能差距</w:t>
        </w:r>
      </w:hyperlink>
    </w:p>
    <w:p>
      <w:pPr>
        <w:spacing w:before="0" w:after="80"/>
      </w:pPr>
      <w:r>
        <w:rPr>
          <w:i/>
          <w:sz w:val="20"/>
        </w:rPr>
        <w:t>EN: Bridging Mode-Specific Performance Gaps in Organic Charge-Modulated Transistor Platforms via Coupled Interfacial Boundary Engineering</w:t>
      </w:r>
    </w:p>
    <w:p>
      <w:pPr>
        <w:spacing w:before="0" w:after="120"/>
      </w:pPr>
      <w:r>
        <w:rPr>
          <w:b/>
        </w:rPr>
        <w:t xml:space="preserve">Source: </w:t>
      </w:r>
      <w:r>
        <w:t>ACS Applied Materials &amp; Interfaces: Latest Articles (ACS Publications)</w:t>
      </w:r>
      <w:r>
        <w:t xml:space="preserve">    </w:t>
      </w:r>
      <w:r>
        <w:rPr>
          <w:b/>
        </w:rPr>
        <w:t xml:space="preserve">Pub date: </w:t>
      </w:r>
      <w:r>
        <w:t>2026-08-13 00:00:00+00:00</w:t>
      </w:r>
      <w:r>
        <w:t xml:space="preserve">    </w:t>
      </w:r>
      <w:r>
        <w:rPr>
          <w:b/>
        </w:rPr>
        <w:t xml:space="preserve">DOI: </w:t>
      </w:r>
      <w:hyperlink r:id="rId1923">
        <w:r>
          <w:rPr>
            <w:color w:val="1155CC"/>
            <w:u w:val="single"/>
          </w:rPr>
          <w:t>10.1021/acsami.6c05172</w:t>
        </w:r>
      </w:hyperlink>
    </w:p>
    <w:p>
      <w:pPr>
        <w:spacing w:before="0" w:after="120"/>
      </w:pPr>
      <w:r>
        <w:rPr>
          <w:b/>
        </w:rPr>
        <w:t xml:space="preserve">Notes: </w:t>
      </w:r>
      <w:r>
        <w:t>abstract_source=crossref</w:t>
      </w:r>
    </w:p>
    <w:p>
      <w:pPr>
        <w:spacing w:before="0" w:after="80" w:lineRule="auto" w:line="276"/>
      </w:pPr>
      <w:r>
        <w:rPr>
          <w:b/>
        </w:rPr>
        <w:t xml:space="preserve">摘要（ZH）: </w:t>
      </w:r>
      <w:r>
        <w:t>摘要：有机电荷调制场效应晶体管 (OCMFET) 为电荷/电势放大传感提供了强大的途径，但其感应栅极操作很容易放大介电/界面的非理想性，导致关键指标——场效应迁移率 (μFET)、阈值电压 (Vth) 和亚阈值摆幅 (SS)——与同一平台上有机场效应晶体管 (OFET) 模式获得的指标脱钩。在这里，我们建立了一个设计框架，共同调节介电体特性和介电/有机半导体界面的电气边界条件，以调整跨操作模式的有效选通。通过调节阳极氧化电压，可以系统地控制阳极氧化氧化铝 (AlOx) 的厚度、表面状态和介电/绝缘特性，而十四烷基膦酸 (TDPA) 自组装单层 (SAM) 则可抑制表面极性和与陷阱相关的电荷不稳定性。将失配量化为 ΔμFET、ΔVth 和 ΔSS (= OCMFET−OFET)，我们发现 TDPA-SAM 降低了 Δ（参数）的幅度和离散度，表明感应门控和直接门控之间有效门控的收敛。传输滞后和偏置应力引起的漏极电流衰减以及阈值电压漂移同时得到缓解。这些结果表明，将体介电控制（厚度）与界面边界条件工程相结合，可将 OCMFET 的结构敏感性转化为可管理的设计变量，从而最大限度地减少 OFET−OCMFET 性能失配，并提高再现性和完整性。</w:t>
      </w:r>
    </w:p>
    <w:p>
      <w:pPr>
        <w:spacing w:before="0" w:after="200" w:lineRule="auto" w:line="276"/>
      </w:pPr>
      <w:r>
        <w:rPr>
          <w:b/>
        </w:rPr>
        <w:t xml:space="preserve">Abstract (EN): </w:t>
      </w:r>
      <w:r>
        <w:t>Organic charge-modulated field-effect transistors (OCMFETs) offer a powerful route to charge/potential-amplified sensing, yet their induced-gating operation readily magnifies dielectric/interfacial nonidealities, causing key metrics—field-effect mobility (μFET), threshold voltage (Vth), and subthreshold swing (SS)—to decouple from those obtained in organic field-effect transistor (OFET) mode on the same platform. Here, we establish a design framework that co-regulates dielectric bulk properties and the electrical boundary conditions at the dielectric/organic semiconductor interface to align effective gating across operational modes. By tuning the anodizing voltage, the thickness, surface state, and dielectric/insulating characteristics of anodized aluminum oxide (AlOx) are systematically controlled, while a tetradecylphosphonic acid (TDPA) self-assembled monolayer (SAM) suppresses surface polarity and trap-associated charge instability. Quantifying the mismatch as ΔμFET, ΔVth, and ΔSS (= OCMFET−OFET), we find that TDPA-SAM reduces both the magnitude and dispersion of Δ(parameters), indicating convergence of effective gating between induced and direct gating. Transfer hysteresis and bias-stress-induced drain current decay and threshold-voltage drift are concurrently alleviated. These results show that combining bulk dielectric control (thickness) with interfacial boundary-condition engineering converts the structural sensitivity of OCMFETs into a manageable design variable, thereby minimizing OFET−OCMFET performance mismatch and improving the reproducibility and interpretability of multimode transistor-based sensor platforms.</w:t>
      </w:r>
    </w:p>
    <w:p>
      <w:pPr>
        <w:spacing w:before="120" w:after="120"/>
      </w:pPr>
      <w:r>
        <w:rPr>
          <w:sz w:val="18"/>
        </w:rPr>
        <w:t>——————————————————————————————————————————————————————————————————————</w:t>
      </w:r>
    </w:p>
    <w:p>
      <w:pPr>
        <w:spacing w:before="160" w:after="40" w:line="240" w:lineRule="auto"/>
      </w:pPr>
      <w:r>
        <w:rPr>
          <w:b/>
        </w:rPr>
        <w:t xml:space="preserve">[731] </w:t>
      </w:r>
      <w:hyperlink r:id="rId1924">
        <w:r>
          <w:rPr>
            <w:color w:val="1155CC"/>
            <w:u w:val="single"/>
          </w:rPr>
          <w:t>具有高弛豫率和生物还原稳定性的双自由基栀子蓝共轭聚合物作为无金属 MRI 造影剂</w:t>
        </w:r>
      </w:hyperlink>
    </w:p>
    <w:p>
      <w:pPr>
        <w:spacing w:before="0" w:after="80"/>
      </w:pPr>
      <w:r>
        <w:rPr>
          <w:i/>
          <w:sz w:val="20"/>
        </w:rPr>
        <w:t>EN: Dual-Radical Gardenia Blue Conjugated Polymers with High Relaxivity and Bioreductive Stability as Metal-Free MRI Contrast Agents</w:t>
      </w:r>
    </w:p>
    <w:p>
      <w:pPr>
        <w:spacing w:before="0" w:after="120"/>
      </w:pPr>
      <w:r>
        <w:rPr>
          <w:b/>
        </w:rPr>
        <w:t xml:space="preserve">Source: </w:t>
      </w:r>
      <w:r>
        <w:t>ACS Applied Materials &amp; Interfaces: Latest Articles (ACS Publications)</w:t>
      </w:r>
      <w:r>
        <w:t xml:space="preserve">    </w:t>
      </w:r>
      <w:r>
        <w:rPr>
          <w:b/>
        </w:rPr>
        <w:t xml:space="preserve">Pub date: </w:t>
      </w:r>
      <w:r>
        <w:t>2026-08-13 00:00:00+00:00</w:t>
      </w:r>
      <w:r>
        <w:t xml:space="preserve">    </w:t>
      </w:r>
      <w:r>
        <w:rPr>
          <w:b/>
        </w:rPr>
        <w:t xml:space="preserve">DOI: </w:t>
      </w:r>
      <w:hyperlink r:id="rId1925">
        <w:r>
          <w:rPr>
            <w:color w:val="1155CC"/>
            <w:u w:val="single"/>
          </w:rPr>
          <w:t>10.1021/acsami.6c09531</w:t>
        </w:r>
      </w:hyperlink>
    </w:p>
    <w:p>
      <w:pPr>
        <w:spacing w:before="0" w:after="120"/>
      </w:pPr>
      <w:r>
        <w:rPr>
          <w:b/>
        </w:rPr>
        <w:t xml:space="preserve">Notes: </w:t>
      </w:r>
      <w:r>
        <w:t>abstract_source=crossref</w:t>
      </w:r>
    </w:p>
    <w:p>
      <w:pPr>
        <w:spacing w:before="0" w:after="80" w:lineRule="auto" w:line="276"/>
      </w:pPr>
      <w:r>
        <w:rPr>
          <w:b/>
        </w:rPr>
        <w:t xml:space="preserve">摘要（ZH）: </w:t>
      </w:r>
      <w:r>
        <w:t>摘要 T 1 加权MRI造影剂对于准确诊断至关重要。然而，由于肾源性系统性纤维化（NSF）和长期组织积累的风险，临床钆基造影剂（Gd-CA）受到越来越多的质疑。像 TEMPO 这样的无金属有机氮氧化合物成为更安全的替代品，但受到快速体内生物还原和次优 r1 弛豫的限制。在这里，我们报道了 TEMPO-PROXY@pGen，一种双自由基、生物基、π-共轭聚合物，通过 4-氨基-TEMPO 与 4-氨基-PROXYL（3,3,5,5-四甲基-1-吡咯啉 N-氧化物）在京尼平交联支架上的机械化学共聚而合成。 TEMPO-PROXY@pGen 将刚性 π 共轭主链锚定与可能的分子内双自由基相互作用相结合，使表观旋转相关时间 (τR,app) 接近 Solomon-Bloembergen-Morgan (SBM) 理论预测简单单自由基系统的弛豫性增强的状态，同时保持高有效自旋密度（每链 &gt;80 个自由基）。这样产生的纵向弛豫率 (r1) 在 1.4 T 时为 4.35 mM–1s–1，在 3.0 T 时为 3.69 mM–1s–1，比 TEMPO 高 33.5 倍，并且在相同场强下每分子 r1 与临床批准的钆布醇相当。聚合物结构具有高抗生物还原性和较低的细胞毒性。在健康和顺铂诱导的肾损伤模型中进行的初步生物安全性评估（包括组织病理学、血清生物标志物和功能成像）表明，在测试条件下，相对于 Gd-CA 而言，安全性有所改善。这部作品</w:t>
      </w:r>
    </w:p>
    <w:p>
      <w:pPr>
        <w:spacing w:before="0" w:after="200" w:lineRule="auto" w:line="276"/>
      </w:pPr>
      <w:r>
        <w:rPr>
          <w:b/>
        </w:rPr>
        <w:t xml:space="preserve">Abstract (EN): </w:t>
      </w:r>
      <w:r>
        <w:t>T 1-weighted MRI contrast agents are essential for accurate diagnosis. However, clinical gadolinium-based contrast agents (Gd-CAs) are increasingly questioned because of risks of nephrogenic systemic fibrosis (NSF) and long-term tissue accumulation. Metal-free organic nitroxides like TEMPO emerge as safer alternatives but are limited by rapid in vivo bioreduction and suboptimal r1 relaxivity. Here, we report TEMPO-PROXY@pGen, a dual-radical, bio-based, π-conjugated polymer synthesized through mechanochemical copolymerization of 4-amino-TEMPO with 4-amino-PROXYL (3,3,5,5-tetramethyl-1-pyrroline N-oxide) on genipin-crosslinked scaffolds. TEMPO-PROXY@pGen integrates rigid π-conjugated backbone anchoring with possible intramolecular biradical interactions, causing the apparent rotational correlation time (τR,app) to approach the regime where Solomon–Bloembergen–Morgan (SBM) theory predicts enhanced relaxivity for simple monoradical systems while preserving high effective spin density (&amp;gt;80 radicals per chain). This yields a longitudinal relaxivity (r1) of 4.35 mM–1s–1 at 1.4 T and 3.69 mM–1s–1 at 3.0 T, 33.5-fold higher than TEMPO and comparable per-molecule r1 to clinically approved gadobutrol at the same field strength. The polymeric architecture confers high resistance to bioreduction and lower cell toxicity. Preliminary biosafety evaluation, including histopathology, serum biomarkers, and functional imaging, in both healthy and cisplatin-induced renal impairment models, suggests an improved safety profile relative to Gd-CAs under the tested conditions. This work establishes a rational molecular engineering framework for fully organic, metal-free MRI contrast agents that separates high relaxivity from heavy metal dependence for safe imaging in patients with compromised renal function.</w:t>
      </w:r>
    </w:p>
    <w:p>
      <w:pPr>
        <w:spacing w:before="120" w:after="120"/>
      </w:pPr>
      <w:r>
        <w:rPr>
          <w:sz w:val="18"/>
        </w:rPr>
        <w:t>——————————————————————————————————————————————————————————————————————</w:t>
      </w:r>
    </w:p>
    <w:p>
      <w:pPr>
        <w:spacing w:before="160" w:after="40" w:line="240" w:lineRule="auto"/>
      </w:pPr>
      <w:r>
        <w:rPr>
          <w:b/>
        </w:rPr>
        <w:t xml:space="preserve">[732] </w:t>
      </w:r>
      <w:hyperlink r:id="rId1926">
        <w:r>
          <w:rPr>
            <w:color w:val="1155CC"/>
            <w:u w:val="single"/>
          </w:rPr>
          <w:t>用于解决本地机电耦合问题的统一机械离子皮肤</w:t>
        </w:r>
      </w:hyperlink>
    </w:p>
    <w:p>
      <w:pPr>
        <w:spacing w:before="0" w:after="80"/>
      </w:pPr>
      <w:r>
        <w:rPr>
          <w:i/>
          <w:sz w:val="20"/>
        </w:rPr>
        <w:t>EN: A unified mechano-ionic skin for resolving native electromechanical coupling</w:t>
      </w:r>
    </w:p>
    <w:p>
      <w:pPr>
        <w:spacing w:before="0" w:after="120"/>
      </w:pPr>
      <w:r>
        <w:rPr>
          <w:b/>
        </w:rPr>
        <w:t xml:space="preserve">Source: </w:t>
      </w:r>
      <w:r>
        <w:t>Physical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心脏兴奋和动脉脉冲传播之间的逐次机电耦合编码了重要的心血管洞察力，但解决可穿戴设备中的这种一致性受到传感器的空间解耦和减弱的表皮信号的阻碍。在这里，我们报告了一种统一的机械离子皮肤，它通过传导生物电并沿着单一离子传导途径有效地转换动脉压来保持这种一致性。通过协同分子阳离子束缚与微尺度应力集中，我们的设计打破了离子动力学的对称性。这产生了 1071 mV kPa−1 的巨大压电离子灵敏度，比最先进的离子导体高出两个数量级以上。这种响应可以同时解析脉搏波和心电图，从而消除跨传感器同步误差。该界面在腕带中实现，可实现逐次血压监测，并在日常休息条件下重复跟踪心血管功能，证明多模态感觉融合可以通过精确调节离子动力学来设计为软物质的固有特性。</w:t>
      </w:r>
    </w:p>
    <w:p>
      <w:pPr>
        <w:spacing w:before="0" w:after="200" w:lineRule="auto" w:line="276"/>
      </w:pPr>
      <w:r>
        <w:rPr>
          <w:b/>
        </w:rPr>
        <w:t xml:space="preserve">Abstract (EN): </w:t>
      </w:r>
      <w:r>
        <w:t>The beat-to-beat electromechanical coupling between cardiac excitation and arterial pulse propagation encodes vital cardiovascular insights, but resolving this coherence in wearables is hindered by the spatial decoupling of sensors and attenuated epidermal signals. Here, we report a unified mechano-ionic skin that preserves this coherence through conducting biopotentials and efficiently transducing arterial pressures along a single ion-conducting pathway. By synergizing molecular cation tethering with microscale stress concentration, our design breaks the symmetry of ion dynamics. This yields a giant piezoionic sensitivity of 1071 mV kPa−1, exceeding state-of-the-art ionic conductors by over two orders of magnitude. This response resolves pulse waves and electrocardiograms simultaneously, eliminating cross-sensor synchronization errors. Implemented in a wristband, the interface enables beat-to-beat blood pressure monitoring and repeatedly tracks cardiovascular functions under daily resting conditions, demonstrating multimodal sensory fusion can be engineered as an intrinsic property of soft matter by precisely regulating ion dynamics.</w:t>
      </w:r>
    </w:p>
    <w:p>
      <w:pPr>
        <w:spacing w:before="120" w:after="120"/>
      </w:pPr>
      <w:r>
        <w:rPr>
          <w:sz w:val="18"/>
        </w:rPr>
        <w:t>——————————————————————————————————————————————————————————————————————</w:t>
      </w:r>
    </w:p>
    <w:p>
      <w:pPr>
        <w:spacing w:before="160" w:after="40" w:line="240" w:lineRule="auto"/>
      </w:pPr>
      <w:r>
        <w:rPr>
          <w:b/>
        </w:rPr>
        <w:t xml:space="preserve">[733] </w:t>
      </w:r>
      <w:hyperlink r:id="rId1927">
        <w:r>
          <w:rPr>
            <w:color w:val="1155CC"/>
            <w:u w:val="single"/>
          </w:rPr>
          <w:t>共价有机框架中化学计量驱动的电子异质性，用于耦合 H2O2 光生产和化学选择性香料升级</w:t>
        </w:r>
      </w:hyperlink>
    </w:p>
    <w:p>
      <w:pPr>
        <w:spacing w:before="0" w:after="80"/>
      </w:pPr>
      <w:r>
        <w:rPr>
          <w:i/>
          <w:sz w:val="20"/>
        </w:rPr>
        <w:t>EN: Stoichiometry-driven electronic heterogeneity in covalent organic frameworks for coupled H2O2 photoproduction and chemoselective fragrance upgrading</w:t>
      </w:r>
    </w:p>
    <w:p>
      <w:pPr>
        <w:spacing w:before="0" w:after="120"/>
      </w:pPr>
      <w:r>
        <w:rPr>
          <w:b/>
        </w:rPr>
        <w:t xml:space="preserve">Source: </w:t>
      </w:r>
      <w:r>
        <w:t>Physical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将 H2O2 光生产与增值有机转化相结合可以避免水氧化的缓慢动力学，但将这两个过程集成到一种光催化剂中仍然具有挑战性。在这里，我们报告了共价有机框架（COF）中化学计量驱动的电子异质性，作为同时 H2O2 光生产和化学选择性香料升级的策略。调整具有不同几何对称性的单体化学计量会扰乱局部结构对称性，在COF骨架内产生电子差异化的微环境。优化的 PTPD-COF1 在纯水中实现了 10.4 mmol g−1 h−1 的 H2O2 光合速率，超过了其二元类似物，并提供了 36.1、53.2 和 21.6 mmol g−1 h−1 的耦合速率，并将肉桂醇、茴香醇和邻茴香醇近乎定量地化学选择性转化为香料。理论分析表明，调制的电子环境增强了局部偶极矩并降低了载流子有效质量，改变了 *OOH/*OH 形成和 C-H 裂解的能垒。在这项工作中，化学计量驱动的电子异质性被确立为多功能有机光催化剂的设计原理。</w:t>
      </w:r>
    </w:p>
    <w:p>
      <w:pPr>
        <w:spacing w:before="0" w:after="200" w:lineRule="auto" w:line="276"/>
      </w:pPr>
      <w:r>
        <w:rPr>
          <w:b/>
        </w:rPr>
        <w:t xml:space="preserve">Abstract (EN): </w:t>
      </w:r>
      <w:r>
        <w:t>Coupling H2O2 photoproduction with value-added organic transformations avoids the sluggish kinetics of water oxidation, yet integrating both processes within one photocatalyst remains challenging. Here, we report stoichiometry-driven electronic heterogeneity in covalent organic frameworks (COFs) as a strategy for simultaneous H2O2 photoproduction and chemoselective fragrance upgrading. Adjusting monomer stoichiometry with distinct geometric symmetries perturbs local structural symmetry, generating electronically differentiated microenvironments within the COF skeleton. The optimized PTPD-COF1 achieves a H2O2 photosynthetic rate of 10.4 mmol g−1 h−1 in pure water, surpassing its binary analogues, and delivers coupled rates of 36.1, 53.2, and 21.6 mmol g−1 h−1 with near-quantitative, chemoselective conversion of cinnamyl, anisyl, and o-anisyl alcohols into fragrances. Theoretical analysis shows the modulated electronic environment enhances local dipole moments and lowers carrier effective masses, altering energy barriers for *OOH/*OH formation and C-H cleavage. In this work, stoichiometry-driven electronic heterogeneity is established as a design principle for multifunctional organic photocatalysts.</w:t>
      </w:r>
    </w:p>
    <w:p>
      <w:pPr>
        <w:spacing w:before="120" w:after="120"/>
      </w:pPr>
      <w:r>
        <w:rPr>
          <w:sz w:val="18"/>
        </w:rPr>
        <w:t>——————————————————————————————————————————————————————————————————————</w:t>
      </w:r>
    </w:p>
    <w:p>
      <w:pPr>
        <w:spacing w:before="160" w:after="40" w:line="240" w:lineRule="auto"/>
      </w:pPr>
      <w:r>
        <w:rPr>
          <w:b/>
        </w:rPr>
        <w:t xml:space="preserve">[734] </w:t>
      </w:r>
      <w:hyperlink r:id="rId1928">
        <w:r>
          <w:rPr>
            <w:color w:val="1155CC"/>
            <w:u w:val="single"/>
          </w:rPr>
          <w:t>可解释的自驱动溅射外延揭示了 β-Ga2O3 薄膜的人类可用生长规则</w:t>
        </w:r>
      </w:hyperlink>
    </w:p>
    <w:p>
      <w:pPr>
        <w:spacing w:before="0" w:after="80"/>
      </w:pPr>
      <w:r>
        <w:rPr>
          <w:i/>
          <w:sz w:val="20"/>
        </w:rPr>
        <w:t>EN: Interpretable self-driving sputtering epitaxy reveals human-usable growth rules for β-Ga2O3 films</w:t>
      </w:r>
    </w:p>
    <w:p>
      <w:pPr>
        <w:spacing w:before="0" w:after="120"/>
      </w:pPr>
      <w:r>
        <w:rPr>
          <w:b/>
        </w:rPr>
        <w:t xml:space="preserve">Source: </w:t>
      </w:r>
      <w:r>
        <w:t>Physical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自动驾驶实验室是导航高维过程空间的强大工具，而贝叶斯优化决策层可以优化黑盒目标函数，而无需提取可转移的过程理解。在这里，我们展示了一个数学上可解释的自动驾驶实验室框架，该框架将自主优化数据转换为人类可执行的增长规则。作为基准，我们将该框架应用于溅射，解决溅射外延中的挑战：实现高质量的β-Ga2O3异质外延和单晶β-Ga2O3同质外延。通过将贝叶斯优化与作为子带隙无序度量的 Urbach 能量的自动光学评估相结合，自动驱动系统识别出异质外延条件，产生 182 meV 的 Urbach 能量，低于之前报道的溅射 β-Ga2O3 薄膜的值。重要的是，优化的生长窗口可以跨衬底转移，实现单晶β-Ga2O3同质外延，并通过扫描透射电子显微镜证实。为了将闭环数据转换为可解释的生长规则，我们训练了一个随机森林代理，并揭示了生长景观是由四个生长参数的附加贡献以及温度-氧气相互作用来描述的。这种结构提出了一种人类可执行的策略，先进行顺序一维调整，然后进行集中的二维细化，并通过人类执行的重新优化进行验证，从而将乌尔巴赫能量降低至 163 meV。这建立了一个可解释的自动驾驶工作流程，将自动驾驶</w:t>
      </w:r>
    </w:p>
    <w:p>
      <w:pPr>
        <w:spacing w:before="0" w:after="200" w:lineRule="auto" w:line="276"/>
      </w:pPr>
      <w:r>
        <w:rPr>
          <w:b/>
        </w:rPr>
        <w:t xml:space="preserve">Abstract (EN): </w:t>
      </w:r>
      <w:r>
        <w:t>Self-driving laboratories are powerful tools for navigating high-dimensional process spaces, yet Bayesian-optimization decision layers optimize black-box objective functions without distilling transferable process understanding. Here, we demonstrate a mathematically interpretable self-driving laboratory framework that transforms autonomous optimization data into human-executable growth rules. As a benchmark, we apply this framework to sputtering, addressing a challenge in sputtering epitaxy: realizing high-quality β-Ga2O3 heteroepitaxy and single-crystalline β-Ga2O3 homoepitaxy. By combining Bayesian optimization with automated optical evaluation of the Urbach energy as a sub-bandgap disorder metric, the self-driving system identifies heteroepitaxial conditions yielding an Urbach energy of 182 meV, below previously reported values for sputtered β-Ga2O3 films. Importantly, the optimized growth window is transferable across substrates, realizing single-crystalline β-Ga2O3 homoepitaxy, corroborated by scanning transmission electron microscopy. To convert closed-loop data into interpretable growth rules, we train a random forest surrogate and reveal that the growth landscape is described by additive contributions from four growth parameters, with a temperature–oxygen interaction. This structure suggests a human-executable strategy with sequential one-dimensional tuning followed by focused two-dimensional refinement, validated by human-executed re-optimization, yielding a reduced Urbach energy of 163 meV. This establishes an interpretable self-driving workflow that converts autonomous optimization data into validated, human-usable growth rules.</w:t>
      </w:r>
    </w:p>
    <w:p>
      <w:pPr>
        <w:spacing w:before="120" w:after="120"/>
      </w:pPr>
      <w:r>
        <w:rPr>
          <w:sz w:val="18"/>
        </w:rPr>
        <w:t>——————————————————————————————————————————————————————————————————————</w:t>
      </w:r>
    </w:p>
    <w:p>
      <w:pPr>
        <w:spacing w:before="160" w:after="40" w:line="240" w:lineRule="auto"/>
      </w:pPr>
      <w:r>
        <w:rPr>
          <w:b/>
        </w:rPr>
        <w:t xml:space="preserve">[735] </w:t>
      </w:r>
      <w:hyperlink r:id="rId1929">
        <w:r>
          <w:rPr>
            <w:color w:val="1155CC"/>
            <w:u w:val="single"/>
          </w:rPr>
          <w:t>全基因组 CRISPR 筛选识别控制非病毒基因组编辑效率的细胞因素</w:t>
        </w:r>
      </w:hyperlink>
    </w:p>
    <w:p>
      <w:pPr>
        <w:spacing w:before="0" w:after="80"/>
      </w:pPr>
      <w:r>
        <w:rPr>
          <w:i/>
          <w:sz w:val="20"/>
        </w:rPr>
        <w:t>EN: Genome-wide CRISPR screening identifies cellular factors controlling nonviral genome editing efficiency</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为了系统地绘制限制非病毒基因组编辑、影响摄取和细胞内运输的细胞因素，我们开发了一个全基因组 CRISPR 筛选平台，将 19,114 个基因的扰动与人类细胞的编辑结果联系起来。我们确定了六种传递负调控因子，其耗尽可将不同有效负载、基因座和细胞类型的编辑效率提高六倍。我们在两个不同的人类模型中测试了最重要的两个因素：GJB2 和 BET1L：纠正 KCNJ13 中的致病性腺嘌呤碱基突变以及在 GABAA 受体基因中引入胞嘧啶碱基突变。任何一个的耗尽都可以将碱基编辑结果提高 6 倍，这可能是通过对传递的影响来实现的。在源自患者的视网膜通道病模型中，任一基因的敲低均可将脂质纳米颗粒碱基编辑效率提高 3.5 倍以上。这使得经过编辑的细胞子集中的 Kir7.1 离子通道能够功能恢复，突出细胞屏障作为增强基因疗法效力的可行目标。</w:t>
      </w:r>
    </w:p>
    <w:p>
      <w:pPr>
        <w:spacing w:before="0" w:after="200" w:lineRule="auto" w:line="276"/>
      </w:pPr>
      <w:r>
        <w:rPr>
          <w:b/>
        </w:rPr>
        <w:t xml:space="preserve">Abstract (EN): </w:t>
      </w:r>
      <w:r>
        <w:t>To systematically map cellular factors constraining nonviral genome editing, influencing uptake and intracellular trafficking, we develop a genome-wide CRISPR screening platform linking perturbation of 19,114 genes to editing outcomes in human cells. We identify six negative regulators of delivery whose depletion increases editing efficiency by up to six-fold across diverse payloads, loci, and cell types. We test the top two factors, GJB2 and BET1L, in two distinct human models: correction of a pathogenic adenine base mutation in KCNJ13 and introduction of a cytosine base mutation in the GABAA receptor gene. Depletion of either improves base-editing outcomes by 6-fold, potentially through effects on delivery. In a patient-derived model of retinal channelopathy, knockdown of either gene improves lipid nanoparticle base editing efficiency by over 3.5-fold. This enables functional restoration of Kir7.1 ion channels in a subset of edited cells, highlighting cellular barriers as actionable targets to enhance the potency of genetic therapies.</w:t>
      </w:r>
    </w:p>
    <w:p>
      <w:pPr>
        <w:spacing w:before="120" w:after="120"/>
      </w:pPr>
      <w:r>
        <w:rPr>
          <w:sz w:val="18"/>
        </w:rPr>
        <w:t>——————————————————————————————————————————————————————————————————————</w:t>
      </w:r>
    </w:p>
    <w:p>
      <w:pPr>
        <w:spacing w:before="160" w:after="40" w:line="240" w:lineRule="auto"/>
      </w:pPr>
      <w:r>
        <w:rPr>
          <w:b/>
        </w:rPr>
        <w:t xml:space="preserve">[736] </w:t>
      </w:r>
      <w:hyperlink r:id="rId1930">
        <w:r>
          <w:rPr>
            <w:color w:val="1155CC"/>
            <w:u w:val="single"/>
          </w:rPr>
          <w:t>全选择行为关联研究：数据驱动的可解释行为成分识别</w:t>
        </w:r>
      </w:hyperlink>
    </w:p>
    <w:p>
      <w:pPr>
        <w:spacing w:before="0" w:after="80"/>
      </w:pPr>
      <w:r>
        <w:rPr>
          <w:i/>
          <w:sz w:val="20"/>
        </w:rPr>
        <w:t>EN: The choice-wide behavioral association study: data-driven identification of interpretable behavioral components</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行为包含跨多个时间尺度的丰富结构。然而，缺乏识别相关组成部分的方法，尤其是在学习和决策所需的较长时期内。受全基因组关联研究的目标和技术的启发，我们提出了一种数据驱动的方法——全选择行为关联研究：CBAS——系统地识别此类行为特征。 CBAS 使用强大的基于重采样的方法来纠正多重比较，提取组间显着差异或与感兴趣的协变量相关的行动或选择序列。我们通过将 CBAS 应用于果蝇、大鼠和人类执行的任务来说明 CBAS，表明它在每种情况下都提供了意想不到的且可解释的信息。</w:t>
      </w:r>
    </w:p>
    <w:p>
      <w:pPr>
        <w:spacing w:before="0" w:after="200" w:lineRule="auto" w:line="276"/>
      </w:pPr>
      <w:r>
        <w:rPr>
          <w:b/>
        </w:rPr>
        <w:t xml:space="preserve">Abstract (EN): </w:t>
      </w:r>
      <w:r>
        <w:t>Behavior contains rich structure across many timescales. However, there is a dearth of methods to identify relevant components, especially over the longer periods required for learning and decision-making. Inspired by the goals and techniques of genome-wide association studies, we present a data-driven method—the choice-wide behavioral association study: CBAS—that systematically identifies such behavioral features. CBAS extracts sequences of actions or choices that either significantly differ between groups or correlate with a covariate of interest, using a powerful resampling-based method to correct for multiple comparisons. We illustrate CBAS through application to tasks performed by flies, rats, and humans, showing that it provides unexpected and interpretable information in each case.</w:t>
      </w:r>
    </w:p>
    <w:p>
      <w:pPr>
        <w:spacing w:before="120" w:after="120"/>
      </w:pPr>
      <w:r>
        <w:rPr>
          <w:sz w:val="18"/>
        </w:rPr>
        <w:t>——————————————————————————————————————————————————————————————————————</w:t>
      </w:r>
    </w:p>
    <w:p>
      <w:pPr>
        <w:spacing w:before="160" w:after="40" w:line="240" w:lineRule="auto"/>
      </w:pPr>
      <w:r>
        <w:rPr>
          <w:b/>
        </w:rPr>
        <w:t xml:space="preserve">[737] </w:t>
      </w:r>
      <w:hyperlink r:id="rId1931">
        <w:r>
          <w:rPr>
            <w:color w:val="1155CC"/>
            <w:u w:val="single"/>
          </w:rPr>
          <w:t>心力衰竭亚型的多祖先遗传结构</w:t>
        </w:r>
      </w:hyperlink>
    </w:p>
    <w:p>
      <w:pPr>
        <w:spacing w:before="0" w:after="80"/>
      </w:pPr>
      <w:r>
        <w:rPr>
          <w:i/>
          <w:sz w:val="20"/>
        </w:rPr>
        <w:t>EN: Multi-ancestry genetic architecture of heart failure subtypes</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心力衰竭 (HF) 影响美国 670 万人，包括两种主要亚型：射血分数降低的心力衰竭 (HFrEF) 和射血分数保留的心力衰竭 (HFpEF)，具有不同的遗传结构。我们使用百万退伍军人计划和范德比尔特大学 DNA 数据库 (BioVU) 对欧洲、非洲、西班牙和亚洲血统的 38,781 个 HFrEF 病例、38,163 个 HFpEF 病例和 526,135 个对照进行全基因组关联研究 (GWAS) 分析。我们确定了 HFrEF 的 46 个全基因组显着基因座（9 个新基因座）和 HFpEF 的 3 个基因座（1 个新基因座）。在非洲血统参与者中检测到 CD36、SPI1、TRIM48 和 SPNS3 附近的四个 HFrEF 位点，其中先导 SNP 在欧洲人群中显示出较低的风险等位基因频率。在全因心衰荟萃分析（200,070 例病例，2,076,466 对照）中，我们确定了 136 个基因座（12 个新基因座）。基于基因的测试、组织富集、全转录组关联和精细定位涉及血管、代谢和 TGF-β/Smad 信号通路，并提名候选因果基因，阐明跨祖先的共享风险和亚型特异性风险。</w:t>
      </w:r>
    </w:p>
    <w:p>
      <w:pPr>
        <w:spacing w:before="0" w:after="200" w:lineRule="auto" w:line="276"/>
      </w:pPr>
      <w:r>
        <w:rPr>
          <w:b/>
        </w:rPr>
        <w:t xml:space="preserve">Abstract (EN): </w:t>
      </w:r>
      <w:r>
        <w:t>Heart failure (HF) affects 6.7 million people in the US and includes two major subtypes, HF with reduced ejection fraction (HFrEF) and HF with preserved ejection fraction (HFpEF), with distinct genetic architectures. We meta-analyze genome-wide association studies (GWAS) of 38,781 HFrEF cases, 38,163 HFpEF cases, and 526,135 controls across European, African, Hispanic, and Asian ancestries using the Million Veteran Program and Vanderbilt University DNA Databank (BioVU). We identify 46 genome-wide significant loci for HFrEF (9 novel) and 3 loci for HFpEF (1 novel). Four HFrEF loci are detected in African ancestry participants near CD36, SPI1, TRIM48, and SPNS3, with lead SNPs showing low risk-allele frequencies in European populations. In the all-cause HF meta-analysis (200,070 cases, 2,076,466 controls), we identify 136 loci (12 novel). Gene-based tests, tissue enrichment, transcriptome-wide association, and fine-mapping implicate vascular, metabolic, and TGF-β/Smad signaling pathways and nominate candidate causal genes, clarifying shared and subtype-specific risk across ancestries.</w:t>
      </w:r>
    </w:p>
    <w:p>
      <w:pPr>
        <w:spacing w:before="120" w:after="120"/>
      </w:pPr>
      <w:r>
        <w:rPr>
          <w:sz w:val="18"/>
        </w:rPr>
        <w:t>——————————————————————————————————————————————————————————————————————</w:t>
      </w:r>
    </w:p>
    <w:p>
      <w:pPr>
        <w:spacing w:before="160" w:after="40" w:line="240" w:lineRule="auto"/>
      </w:pPr>
      <w:r>
        <w:rPr>
          <w:b/>
        </w:rPr>
        <w:t xml:space="preserve">[738] </w:t>
      </w:r>
      <w:hyperlink r:id="rId1932">
        <w:r>
          <w:rPr>
            <w:color w:val="1155CC"/>
            <w:u w:val="single"/>
          </w:rPr>
          <w:t>AAT/SERPINA1 Pi*Z 变体通过 AAT 与小鼠妊娠长度和早产预防相关</w:t>
        </w:r>
      </w:hyperlink>
    </w:p>
    <w:p>
      <w:pPr>
        <w:spacing w:before="0" w:after="80"/>
      </w:pPr>
      <w:r>
        <w:rPr>
          <w:i/>
          <w:sz w:val="20"/>
        </w:rPr>
        <w:t>EN: AAT/SERPINA1 Pi*Z variant linked to gestational length and preterm birth prevention via AAT in mice</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如果没有有效的预防治疗，大约 10% 的妊娠会在 37 周之前提前结束。此前，我们在反复自发性早产的家庭中发现了编码α-1-抗胰蛋白酶（AAT）的SERPINA1中罕见的破坏性变异，并检测到自发性早产胎盘中AAT/SERPINA1的蛋白质和转录水平降低。在这里，我们研究了 SERPINA1 变异与妊娠持续时间之间的遗传关联，并评估 AAT 补充剂作为早产小鼠模型的治疗干预作用。 SERPINA1 Pi*Z 变异 (rs28929474-T) 与自发性早产和足月分娩的欧洲血统母亲的妊娠持续时间 (P −8) 相关。我们发现，与其他基因型相比，Pi*Z 纯合子 (Pi*ZZ) 的妊娠持续时间缩短了 9 天，早产几率是足月出生的四倍。在没有内源性 AAT 的转基因小鼠中，外源性 Prolastin® 治疗可抑制脂多糖诱导的早产（P SERPINA1 Pi*ZZ 基因型携带者。</w:t>
      </w:r>
    </w:p>
    <w:p>
      <w:pPr>
        <w:spacing w:before="0" w:after="200" w:lineRule="auto" w:line="276"/>
      </w:pPr>
      <w:r>
        <w:rPr>
          <w:b/>
        </w:rPr>
        <w:t xml:space="preserve">Abstract (EN): </w:t>
      </w:r>
      <w:r>
        <w:t>About 10% of pregnancies end prematurely before 37 weeks, without effective prevention therapies. Previously, we identified rare damaging variants in SERPINA1 encoding alpha-1-antitrypsin (AAT) in families with recurrent spontaneous preterm births and detected decreased protein and transcript levels of AAT/SERPINA1 from placentas in spontaneous preterm births. Here, we investigate genetic associations between SERPINA1 variants and gestational duration and evaluate AAT supplementation as a therapeutic intervention in a mouse model of preterm birth. SERPINA1 Pi*Z variant (rs28929474-T) is associated with gestational duration (P −8) in European-ancestry mothers with spontaneous preterm and term deliveries. We detect a nine-day decrease in gestational duration and a fourfold odds for preterm birth vs. term birth in Pi*Z homozygotes (Pi*ZZ), compared to other genotypes. In transgenic mice without endogenous AAT, exogenous Prolastin® treatment inhibits lipopolysaccharide induced preterm births (P SERPINA1 Pi*ZZ genotype carriers.</w:t>
      </w:r>
    </w:p>
    <w:p>
      <w:pPr>
        <w:spacing w:before="120" w:after="120"/>
      </w:pPr>
      <w:r>
        <w:rPr>
          <w:sz w:val="18"/>
        </w:rPr>
        <w:t>——————————————————————————————————————————————————————————————————————</w:t>
      </w:r>
    </w:p>
    <w:p>
      <w:pPr>
        <w:spacing w:before="160" w:after="40" w:line="240" w:lineRule="auto"/>
      </w:pPr>
      <w:r>
        <w:rPr>
          <w:b/>
        </w:rPr>
        <w:t xml:space="preserve">[739] </w:t>
      </w:r>
      <w:hyperlink r:id="rId1933">
        <w:r>
          <w:rPr>
            <w:color w:val="1155CC"/>
            <w:u w:val="single"/>
          </w:rPr>
          <w:t>系统发育协调支持古细菌的产甲烷祖先和宿主相关谱系的衍生起源</w:t>
        </w:r>
      </w:hyperlink>
    </w:p>
    <w:p>
      <w:pPr>
        <w:spacing w:before="0" w:after="80"/>
      </w:pPr>
      <w:r>
        <w:rPr>
          <w:i/>
          <w:sz w:val="20"/>
        </w:rPr>
        <w:t>EN: Phylogenetic reconciliation supports a methanogenic ancestor of the Archaea and a derived origin for host-associated lineages</w:t>
      </w:r>
    </w:p>
    <w:p>
      <w:pPr>
        <w:spacing w:before="0" w:after="120"/>
      </w:pPr>
      <w:r>
        <w:rPr>
          <w:b/>
        </w:rPr>
        <w:t xml:space="preserve">Source: </w:t>
      </w:r>
      <w:r>
        <w:t>Biological sciences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随着新类群的发现和系统发育方法的改进，古细菌的系统发育不断被重新审视和修订，但有关其早期进化的关键问题仍未得到解答。有人认为古细菌的根源可能位于或可能位于三个主要类群中的任何一个——广古菌门、TACK+Asgard 分支和 DPANN，其中最后一个包括许多与宿主相关和基因组减少的谱系。这些根假说对早期古菌进化的性质做出了截然不同的预测：例如，DPANN上或DPANN内的根可能表明有一个小基因组和宿主相关的祖先，具有产甲烷作用，这是古菌的标志性代谢，后来进化。在这里，我们使用一系列系统发育方法研究古菌根的位置和最后一个古菌共同祖先的性质，包括最佳可用的位点和分支异质替代模型，以及新的基因树-物种树协调模型，该模型捕获整个系统发育中基因复制、丢失和转移率的变化。我们的分析集中在广古菌基部或附近的狭窄古菌根区域，支持最后古菌共同祖先（LACA）是一种复杂的、自由生活的（超）嗜热产甲烷菌的假设。我们将 DPANN 恢复为 TACK 和 Asgard 古菌的姐妹群，并表明它们的基因组进化的特点是基因组精简和扩展的事件，由基因丢失和转移驱动。</w:t>
      </w:r>
    </w:p>
    <w:p>
      <w:pPr>
        <w:spacing w:before="0" w:after="200" w:lineRule="auto" w:line="276"/>
      </w:pPr>
      <w:r>
        <w:rPr>
          <w:b/>
        </w:rPr>
        <w:t xml:space="preserve">Abstract (EN): </w:t>
      </w:r>
      <w:r>
        <w:t>The phylogeny of the Archaea continues to be revisited and revised as new groups are discovered and phylogenetic methods improve, but key questions about their early evolution remain unanswered. It has been suggested that the root of the Archaea may lie on, or potentially within, any of three major groups - the Euryarchaeota, TACK+Asgard clade, and DPANN, the last of which includes many host-associated and genome-reduced lineages. These root hypotheses make starkly different predictions about the nature of early archaeal evolution: for example, a root on or within DPANN might suggest a small-genome and host-associated ancestor, with methanogenesis, the hallmark metabolism of the Archaea, evolving later. Here, we investigate the position of the archaeal root and the nature of the last archaeal common ancestor using a range of phylogenetic approaches, including the best available site- and branch-heterogeneous substitution models, and new gene tree-species tree reconciliation models that capture changes in rates of gene duplication, loss and transfer across the phylogeny. Our analyses converge on a narrow archaeal root region at or near the base of the Euryarchaeota, supporting hypotheses in which the Last Archaeal Common Ancestor (LACA) was a complex, free-living (hyper-)thermophilic methanogen. We recover DPANN as the sister group to TACK and Asgard archaea, and suggest that their genome evolution has been characterised by episodes of genome streamlining and expansion, driven by gene loss and transfer.</w:t>
      </w:r>
    </w:p>
    <w:p>
      <w:pPr>
        <w:spacing w:before="120" w:after="120"/>
      </w:pPr>
      <w:r>
        <w:rPr>
          <w:sz w:val="18"/>
        </w:rPr>
        <w:t>——————————————————————————————————————————————————————————————————————</w:t>
      </w:r>
    </w:p>
    <w:p>
      <w:pPr>
        <w:spacing w:before="160" w:after="40" w:line="240" w:lineRule="auto"/>
      </w:pPr>
      <w:r>
        <w:rPr>
          <w:b/>
        </w:rPr>
        <w:t xml:space="preserve">[740] </w:t>
      </w:r>
      <w:hyperlink r:id="rId1934">
        <w:r>
          <w:rPr>
            <w:color w:val="1155CC"/>
            <w:u w:val="single"/>
          </w:rPr>
          <w:t>全球地缘政治风险和能源贫困：来自跨国数据的新证据</w:t>
        </w:r>
      </w:hyperlink>
    </w:p>
    <w:p>
      <w:pPr>
        <w:spacing w:before="0" w:after="80"/>
      </w:pPr>
      <w:r>
        <w:rPr>
          <w:i/>
          <w:sz w:val="20"/>
        </w:rPr>
        <w:t>EN: Global geopolitical risk and energy poverty: New evidence from cross-country data</w:t>
      </w:r>
    </w:p>
    <w:p>
      <w:pPr>
        <w:spacing w:before="0" w:after="120"/>
      </w:pPr>
      <w:r>
        <w:rPr>
          <w:b/>
        </w:rPr>
        <w:t xml:space="preserve">Source: </w:t>
      </w:r>
      <w:r>
        <w:t>ScienceDirect Publication: Energy Policy</w:t>
      </w:r>
      <w:r>
        <w:t xml:space="preserve">    </w:t>
      </w:r>
      <w:r>
        <w:rPr>
          <w:b/>
        </w:rPr>
        <w:t xml:space="preserve">Pub date: </w:t>
      </w:r>
      <w:r>
        <w:t>2026-08-13 00:00:00+00:00</w:t>
      </w:r>
      <w:r>
        <w:t xml:space="preserve">    </w:t>
      </w:r>
      <w:r>
        <w:rPr>
          <w:b/>
        </w:rPr>
        <w:t xml:space="preserve">DOI: </w:t>
      </w:r>
      <w:hyperlink r:id="rId1935">
        <w:r>
          <w:rPr>
            <w:color w:val="1155CC"/>
            <w:u w:val="single"/>
          </w:rPr>
          <w:t>10.1016/j.enpol.2026.115548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[741] </w:t>
      </w:r>
      <w:hyperlink r:id="rId1936">
        <w:r>
          <w:rPr>
            <w:color w:val="1155CC"/>
            <w:u w:val="single"/>
          </w:rPr>
          <w:t>美国清洁技术商业化的公共机构</w:t>
        </w:r>
      </w:hyperlink>
    </w:p>
    <w:p>
      <w:pPr>
        <w:spacing w:before="0" w:after="80"/>
      </w:pPr>
      <w:r>
        <w:rPr>
          <w:i/>
          <w:sz w:val="20"/>
        </w:rPr>
        <w:t>EN: Public institutions for cleantech commercialization in the United States</w:t>
      </w:r>
    </w:p>
    <w:p>
      <w:pPr>
        <w:spacing w:before="0" w:after="120"/>
      </w:pPr>
      <w:r>
        <w:rPr>
          <w:b/>
        </w:rPr>
        <w:t xml:space="preserve">Source: </w:t>
      </w:r>
      <w:r>
        <w:t>Scientific community and society : Nature Communications subject feeds</w:t>
      </w:r>
      <w:r>
        <w:t xml:space="preserve">    </w:t>
      </w:r>
      <w:r>
        <w:rPr>
          <w:b/>
        </w:rPr>
        <w:t xml:space="preserve">Pub date: </w:t>
      </w:r>
      <w:r>
        <w:t>2026-08-13 00:00:00+00:00</w:t>
      </w:r>
    </w:p>
    <w:p>
      <w:pPr>
        <w:spacing w:before="0" w:after="120"/>
      </w:pPr>
      <w:r>
        <w:rPr>
          <w:b/>
        </w:rPr>
        <w:t xml:space="preserve">Notes: </w:t>
      </w:r>
      <w:r>
        <w:t>abstract_source=nature_html</w:t>
      </w:r>
    </w:p>
    <w:p>
      <w:pPr>
        <w:spacing w:before="0" w:after="80" w:lineRule="auto" w:line="276"/>
      </w:pPr>
      <w:r>
        <w:rPr>
          <w:b/>
        </w:rPr>
        <w:t xml:space="preserve">摘要（ZH）: </w:t>
      </w:r>
      <w:r>
        <w:t>自 20 世纪 70 年代石油危机以来，美国一直在建立公共机构来促进清洁技术商业化。自 2020 年以来，新产业政策的兴起大大加速了这一进程，到 2024 年机构总数将增加一倍。通过引入 122 个机构的数据集，我们展示了机构如何履行五项职能：目标设定、协调、去风险、施加纪律和外部参与。此外，我们还展示了 2020 年后的机构如何延伸和偏离历史趋势，强调近期规划能力的建设、条件的广泛使用以及转向与当地和非企业参与者的接触。最后，我们分析了特朗普第二届政府如何通过紧缩、重新设计、重新利用和维护机构来改变清洁技术商业化体系。我们对美国绿色产业政策国家能力的出现和演变、其职能和当前发展进行自下而上的机构层面研究。</w:t>
      </w:r>
    </w:p>
    <w:p>
      <w:pPr>
        <w:spacing w:before="0" w:after="200" w:lineRule="auto" w:line="276"/>
      </w:pPr>
      <w:r>
        <w:rPr>
          <w:b/>
        </w:rPr>
        <w:t xml:space="preserve">Abstract (EN): </w:t>
      </w:r>
      <w:r>
        <w:t>The United States has been building public institutions to promote cleantech commercialization since the 1970s oil crisis. The ascent of new industrial policy has accelerated this process substantially since 2020, resulting in a doubling of the total number of institutions by 2024. Introducing a dataset of 122 institutions, we show how institutions perform five functions: goal setting, coordination, derisking, imposing discipline, and external engagement. Further, we demonstrate how post-2020 institutions extend and diverge from historical trends, highlighting the recent buildout of planning capacity, the widespread use of conditionalities, and the pivot toward engagement with local and non-firm actors. We conclude with an analysis of how the second Trump administration is transforming the cleantech commercialization system through retrenching, redesigning, repurposing, and maintaining institutions. We offer a bottom-up, institution-level examination of the emergence and evolution of state capacity for green industrial policy in the United States, its functions, and current developments.</w:t>
      </w:r>
    </w:p>
    <w:p>
      <w:pPr>
        <w:spacing w:before="120" w:after="120"/>
      </w:pPr>
      <w:r>
        <w:rPr>
          <w:sz w:val="18"/>
        </w:rPr>
        <w:t>——————————————————————————————————————————————————————————————————————</w:t>
      </w:r>
    </w:p>
    <w:p>
      <w:pPr>
        <w:spacing w:before="160" w:after="40" w:line="240" w:lineRule="auto"/>
      </w:pPr>
      <w:r>
        <w:rPr>
          <w:b/>
        </w:rPr>
        <w:t xml:space="preserve">[742] </w:t>
      </w:r>
      <w:hyperlink r:id="rId1937">
        <w:r>
          <w:rPr>
            <w:color w:val="1155CC"/>
            <w:u w:val="single"/>
          </w:rPr>
          <w:t>物理学家找到了难以捉摸的“胶球”的有力证据</w:t>
        </w:r>
      </w:hyperlink>
    </w:p>
    <w:p>
      <w:pPr>
        <w:spacing w:before="0" w:after="80"/>
      </w:pPr>
      <w:r>
        <w:rPr>
          <w:i/>
          <w:sz w:val="20"/>
        </w:rPr>
        <w:t>EN: Physicists find strong evidence for elusive ‘glueball’</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38">
        <w:r>
          <w:rPr>
            <w:color w:val="1155CC"/>
            <w:u w:val="single"/>
          </w:rPr>
          <w:t>10.1126/science.ael4191</w:t>
        </w:r>
      </w:hyperlink>
    </w:p>
    <w:p>
      <w:pPr>
        <w:spacing w:before="0" w:after="120"/>
      </w:pPr>
      <w:r>
        <w:rPr>
          <w:b/>
        </w:rPr>
        <w:t xml:space="preserve">Notes: </w:t>
      </w:r>
      <w:r>
        <w:t>abstract_source=crossref</w:t>
      </w:r>
    </w:p>
    <w:p>
      <w:pPr>
        <w:spacing w:before="0" w:after="80" w:lineRule="auto" w:line="276"/>
      </w:pPr>
      <w:r>
        <w:rPr>
          <w:b/>
        </w:rPr>
        <w:t xml:space="preserve">摘要（ZH）: </w:t>
      </w:r>
      <w:r>
        <w:t>长期寻找的由携带力的胶子组成的粒子代表了一种新型物质</w:t>
      </w:r>
    </w:p>
    <w:p>
      <w:pPr>
        <w:spacing w:before="0" w:after="200" w:lineRule="auto" w:line="276"/>
      </w:pPr>
      <w:r>
        <w:rPr>
          <w:b/>
        </w:rPr>
        <w:t xml:space="preserve">Abstract (EN): </w:t>
      </w:r>
      <w:r>
        <w:t>Long-sought particle, made of force-carrying gluons, represents a new type of matter</w:t>
      </w:r>
    </w:p>
    <w:p>
      <w:pPr>
        <w:spacing w:before="120" w:after="120"/>
      </w:pPr>
      <w:r>
        <w:rPr>
          <w:sz w:val="18"/>
        </w:rPr>
        <w:t>——————————————————————————————————————————————————————————————————————</w:t>
      </w:r>
    </w:p>
    <w:p>
      <w:pPr>
        <w:spacing w:before="160" w:after="40" w:line="240" w:lineRule="auto"/>
      </w:pPr>
      <w:r>
        <w:rPr>
          <w:b/>
        </w:rPr>
        <w:t xml:space="preserve">[743] </w:t>
      </w:r>
      <w:hyperlink r:id="rId1939">
        <w:r>
          <w:rPr>
            <w:color w:val="1155CC"/>
            <w:u w:val="single"/>
          </w:rPr>
          <w:t>科罗拉多河水之争威胁着生态系统</w:t>
        </w:r>
      </w:hyperlink>
    </w:p>
    <w:p>
      <w:pPr>
        <w:spacing w:before="0" w:after="80"/>
      </w:pPr>
      <w:r>
        <w:rPr>
          <w:i/>
          <w:sz w:val="20"/>
        </w:rPr>
        <w:t>EN: Fight over Colorado River water threatens ecosystems</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40">
        <w:r>
          <w:rPr>
            <w:color w:val="1155CC"/>
            <w:u w:val="single"/>
          </w:rPr>
          <w:t>10.1126/science.ael4192</w:t>
        </w:r>
      </w:hyperlink>
    </w:p>
    <w:p>
      <w:pPr>
        <w:spacing w:before="0" w:after="120"/>
      </w:pPr>
      <w:r>
        <w:rPr>
          <w:b/>
        </w:rPr>
        <w:t xml:space="preserve">Notes: </w:t>
      </w:r>
      <w:r>
        <w:t>abstract_source=crossref</w:t>
      </w:r>
    </w:p>
    <w:p>
      <w:pPr>
        <w:spacing w:before="0" w:after="80" w:lineRule="auto" w:line="276"/>
      </w:pPr>
      <w:r>
        <w:rPr>
          <w:b/>
        </w:rPr>
        <w:t xml:space="preserve">摘要（ZH）: </w:t>
      </w:r>
      <w:r>
        <w:t>在降雪量创历史新低后，联邦当局取消了为管理鱼类和沙洲而放水的大坝</w:t>
      </w:r>
    </w:p>
    <w:p>
      <w:pPr>
        <w:spacing w:before="0" w:after="200" w:lineRule="auto" w:line="276"/>
      </w:pPr>
      <w:r>
        <w:rPr>
          <w:b/>
        </w:rPr>
        <w:t xml:space="preserve">Abstract (EN): </w:t>
      </w:r>
      <w:r>
        <w:t>After a record-low snowpack, federal authorities canceled dam releases for managing fish and sandbars</w:t>
      </w:r>
    </w:p>
    <w:p>
      <w:pPr>
        <w:spacing w:before="120" w:after="120"/>
      </w:pPr>
      <w:r>
        <w:rPr>
          <w:sz w:val="18"/>
        </w:rPr>
        <w:t>——————————————————————————————————————————————————————————————————————</w:t>
      </w:r>
    </w:p>
    <w:p>
      <w:pPr>
        <w:spacing w:before="160" w:after="40" w:line="240" w:lineRule="auto"/>
      </w:pPr>
      <w:r>
        <w:rPr>
          <w:b/>
        </w:rPr>
        <w:t xml:space="preserve">[744] </w:t>
      </w:r>
      <w:hyperlink r:id="rId1941">
        <w:r>
          <w:rPr>
            <w:color w:val="1155CC"/>
            <w:u w:val="single"/>
          </w:rPr>
          <w:t>“不匹配”的埃博拉疫苗可能很快就会广泛推广</w:t>
        </w:r>
      </w:hyperlink>
    </w:p>
    <w:p>
      <w:pPr>
        <w:spacing w:before="0" w:after="80"/>
      </w:pPr>
      <w:r>
        <w:rPr>
          <w:i/>
          <w:sz w:val="20"/>
        </w:rPr>
        <w:t>EN: ‘Mismatched’ Ebola vaccine may soon be rolled out widely</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42">
        <w:r>
          <w:rPr>
            <w:color w:val="1155CC"/>
            <w:u w:val="single"/>
          </w:rPr>
          <w:t>10.1126/science.ael4193</w:t>
        </w:r>
      </w:hyperlink>
    </w:p>
    <w:p>
      <w:pPr>
        <w:spacing w:before="0" w:after="120"/>
      </w:pPr>
      <w:r>
        <w:rPr>
          <w:b/>
        </w:rPr>
        <w:t xml:space="preserve">Notes: </w:t>
      </w:r>
      <w:r>
        <w:t>abstract_source=crossref</w:t>
      </w:r>
    </w:p>
    <w:p>
      <w:pPr>
        <w:spacing w:before="0" w:after="80" w:lineRule="auto" w:line="276"/>
      </w:pPr>
      <w:r>
        <w:rPr>
          <w:b/>
        </w:rPr>
        <w:t xml:space="preserve">摘要（ZH）: </w:t>
      </w:r>
      <w:r>
        <w:t>新数据表明扎伊尔埃博拉疫苗也可能预防本迪布焦后，观点发生转变</w:t>
      </w:r>
    </w:p>
    <w:p>
      <w:pPr>
        <w:spacing w:before="0" w:after="200" w:lineRule="auto" w:line="276"/>
      </w:pPr>
      <w:r>
        <w:rPr>
          <w:b/>
        </w:rPr>
        <w:t xml:space="preserve">Abstract (EN): </w:t>
      </w:r>
      <w:r>
        <w:t>Opinions shift after new data suggest vaccine for Ebola Zaire may also protect against Bundibugyo</w:t>
      </w:r>
    </w:p>
    <w:p>
      <w:pPr>
        <w:spacing w:before="120" w:after="120"/>
      </w:pPr>
      <w:r>
        <w:rPr>
          <w:sz w:val="18"/>
        </w:rPr>
        <w:t>——————————————————————————————————————————————————————————————————————</w:t>
      </w:r>
    </w:p>
    <w:p>
      <w:pPr>
        <w:spacing w:before="160" w:after="40" w:line="240" w:lineRule="auto"/>
      </w:pPr>
      <w:r>
        <w:rPr>
          <w:b/>
        </w:rPr>
        <w:t xml:space="preserve">[745] </w:t>
      </w:r>
      <w:hyperlink r:id="rId1943">
        <w:r>
          <w:rPr>
            <w:color w:val="1155CC"/>
            <w:u w:val="single"/>
          </w:rPr>
          <w:t>Tau 蛋白会对脑细胞的能量工厂造成严重破坏</w:t>
        </w:r>
      </w:hyperlink>
    </w:p>
    <w:p>
      <w:pPr>
        <w:spacing w:before="0" w:after="80"/>
      </w:pPr>
      <w:r>
        <w:rPr>
          <w:i/>
          <w:sz w:val="20"/>
        </w:rPr>
        <w:t>EN: Tau can wreak havoc in brain cells’ energy factories</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44">
        <w:r>
          <w:rPr>
            <w:color w:val="1155CC"/>
            <w:u w:val="single"/>
          </w:rPr>
          <w:t>10.1126/science.ael4194</w:t>
        </w:r>
      </w:hyperlink>
    </w:p>
    <w:p>
      <w:pPr>
        <w:spacing w:before="0" w:after="120"/>
      </w:pPr>
      <w:r>
        <w:rPr>
          <w:b/>
        </w:rPr>
        <w:t xml:space="preserve">Notes: </w:t>
      </w:r>
      <w:r>
        <w:t>abstract_source=crossref</w:t>
      </w:r>
    </w:p>
    <w:p>
      <w:pPr>
        <w:spacing w:before="0" w:after="80" w:lineRule="auto" w:line="276"/>
      </w:pPr>
      <w:r>
        <w:rPr>
          <w:b/>
        </w:rPr>
        <w:t xml:space="preserve">摘要（ZH）: </w:t>
      </w:r>
      <w:r>
        <w:t>线粒体研究提出了阿尔茨海默病和其他疾病的新治疗策略</w:t>
      </w:r>
    </w:p>
    <w:p>
      <w:pPr>
        <w:spacing w:before="0" w:after="200" w:lineRule="auto" w:line="276"/>
      </w:pPr>
      <w:r>
        <w:rPr>
          <w:b/>
        </w:rPr>
        <w:t xml:space="preserve">Abstract (EN): </w:t>
      </w:r>
      <w:r>
        <w:t>Study of mitochondria suggests new treatment strategy for Alzheimer’s and other diseases</w:t>
      </w:r>
    </w:p>
    <w:p>
      <w:pPr>
        <w:spacing w:before="120" w:after="120"/>
      </w:pPr>
      <w:r>
        <w:rPr>
          <w:sz w:val="18"/>
        </w:rPr>
        <w:t>——————————————————————————————————————————————————————————————————————</w:t>
      </w:r>
    </w:p>
    <w:p>
      <w:pPr>
        <w:spacing w:before="160" w:after="40" w:line="240" w:lineRule="auto"/>
      </w:pPr>
      <w:r>
        <w:rPr>
          <w:b/>
        </w:rPr>
        <w:t xml:space="preserve">[746] </w:t>
      </w:r>
      <w:hyperlink r:id="rId1945">
        <w:r>
          <w:rPr>
            <w:color w:val="1155CC"/>
            <w:u w:val="single"/>
          </w:rPr>
          <w:t>支持科学的民主税</w:t>
        </w:r>
      </w:hyperlink>
    </w:p>
    <w:p>
      <w:pPr>
        <w:spacing w:before="0" w:after="80"/>
      </w:pPr>
      <w:r>
        <w:rPr>
          <w:i/>
          <w:sz w:val="20"/>
        </w:rPr>
        <w:t>EN: A democracy tax in support of science</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46">
        <w:r>
          <w:rPr>
            <w:color w:val="1155CC"/>
            <w:u w:val="single"/>
          </w:rPr>
          <w:t>10.1126/science.ael2482</w:t>
        </w:r>
      </w:hyperlink>
    </w:p>
    <w:p>
      <w:pPr>
        <w:spacing w:before="0" w:after="120"/>
      </w:pPr>
      <w:r>
        <w:rPr>
          <w:b/>
        </w:rPr>
        <w:t xml:space="preserve">Notes: </w:t>
      </w:r>
      <w:r>
        <w:t>abstract_source=crossref</w:t>
      </w:r>
    </w:p>
    <w:p>
      <w:pPr>
        <w:spacing w:before="0" w:after="80" w:lineRule="auto" w:line="276"/>
      </w:pPr>
      <w:r>
        <w:rPr>
          <w:b/>
        </w:rPr>
        <w:t xml:space="preserve">摘要（ZH）: </w:t>
      </w:r>
      <w:r>
        <w:t>在过去的 19 个月里，美国联邦削减科学经费的破坏性影响已经变得显而易见：年轻的研究人员正在离开科学领域。实验室正在努力为有前途的项目提供资金，限制招聘、培训，有时甚至完全关闭。几十年来收集的数据反而会积聚灰尘，从而终结未来的科学发现和创新。但也许最严重的后果被忽视了——自由科学探究对民主的重要性。</w:t>
      </w:r>
    </w:p>
    <w:p>
      <w:pPr>
        <w:spacing w:before="0" w:after="200" w:lineRule="auto" w:line="276"/>
      </w:pPr>
      <w:r>
        <w:rPr>
          <w:b/>
        </w:rPr>
        <w:t xml:space="preserve">Abstract (EN): </w:t>
      </w:r>
      <w:r>
        <w:t>Over the past 19 months, the devastating effects of federal cuts to science funding in the United States have become plain: Young researchers are leaving scientific fields. Labs are struggling to fund promising projects, limiting hiring, training, and sometimes shuttering altogether. Data collected over decades will instead collect dust, ending future scientific discovery and innovation. But perhaps the most serious consequence has been overlooked—the importance of free scientific inquiry to democracy.</w:t>
      </w:r>
    </w:p>
    <w:p>
      <w:pPr>
        <w:spacing w:before="120" w:after="120"/>
      </w:pPr>
      <w:r>
        <w:rPr>
          <w:sz w:val="18"/>
        </w:rPr>
        <w:t>——————————————————————————————————————————————————————————————————————</w:t>
      </w:r>
    </w:p>
    <w:p>
      <w:pPr>
        <w:spacing w:before="160" w:after="40" w:line="240" w:lineRule="auto"/>
      </w:pPr>
      <w:r>
        <w:rPr>
          <w:b/>
        </w:rPr>
        <w:t xml:space="preserve">[747] </w:t>
      </w:r>
      <w:hyperlink r:id="rId1947">
        <w:r>
          <w:rPr>
            <w:color w:val="1155CC"/>
            <w:u w:val="single"/>
          </w:rPr>
          <w:t>虚假报告破坏了供应链可持续发展计划的完整性</w:t>
        </w:r>
      </w:hyperlink>
    </w:p>
    <w:p>
      <w:pPr>
        <w:spacing w:before="0" w:after="80"/>
      </w:pPr>
      <w:r>
        <w:rPr>
          <w:i/>
          <w:sz w:val="20"/>
        </w:rPr>
        <w:t>EN: False reporting undermines the integrity of supply chain sustainability initiatives</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48">
        <w:r>
          <w:rPr>
            <w:color w:val="1155CC"/>
            <w:u w:val="single"/>
          </w:rPr>
          <w:t>10.1126/science.aea9565</w:t>
        </w:r>
      </w:hyperlink>
    </w:p>
    <w:p>
      <w:pPr>
        <w:spacing w:before="0" w:after="120"/>
      </w:pPr>
      <w:r>
        <w:rPr>
          <w:b/>
        </w:rPr>
        <w:t xml:space="preserve">Notes: </w:t>
      </w:r>
      <w:r>
        <w:t>abstract_source=crossref</w:t>
      </w:r>
    </w:p>
    <w:p>
      <w:pPr>
        <w:spacing w:before="0" w:after="80" w:lineRule="auto" w:line="276"/>
      </w:pPr>
      <w:r>
        <w:rPr>
          <w:b/>
        </w:rPr>
        <w:t xml:space="preserve">摘要（ZH）: </w:t>
      </w:r>
      <w:r>
        <w:t>科特迪瓦可可农场的实地实验提出了一种改进审计报告的方法</w:t>
      </w:r>
    </w:p>
    <w:p>
      <w:pPr>
        <w:spacing w:before="0" w:after="200" w:lineRule="auto" w:line="276"/>
      </w:pPr>
      <w:r>
        <w:rPr>
          <w:b/>
        </w:rPr>
        <w:t xml:space="preserve">Abstract (EN): </w:t>
      </w:r>
      <w:r>
        <w:t>A field experiment among Côte d’Ivoire cocoa farms suggests an approach to improve auditor reporting</w:t>
      </w:r>
    </w:p>
    <w:p>
      <w:pPr>
        <w:spacing w:before="120" w:after="120"/>
      </w:pPr>
      <w:r>
        <w:rPr>
          <w:sz w:val="18"/>
        </w:rPr>
        <w:t>——————————————————————————————————————————————————————————————————————</w:t>
      </w:r>
    </w:p>
    <w:p>
      <w:pPr>
        <w:spacing w:before="160" w:after="40" w:line="240" w:lineRule="auto"/>
      </w:pPr>
      <w:r>
        <w:rPr>
          <w:b/>
        </w:rPr>
        <w:t xml:space="preserve">[748] </w:t>
      </w:r>
      <w:hyperlink r:id="rId1949">
        <w:r>
          <w:rPr>
            <w:color w:val="1155CC"/>
            <w:u w:val="single"/>
          </w:rPr>
          <w:t>在古新世-始新世最热期间，森林冠层在二氧化碳浓度升高的情况下下降</w:t>
        </w:r>
      </w:hyperlink>
    </w:p>
    <w:p>
      <w:pPr>
        <w:spacing w:before="0" w:after="80"/>
      </w:pPr>
      <w:r>
        <w:rPr>
          <w:i/>
          <w:sz w:val="20"/>
        </w:rPr>
        <w:t>EN: Forest canopy decline under elevated CO2 during the Paleocene-Eocene Thermal Maximum</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50">
        <w:r>
          <w:rPr>
            <w:color w:val="1155CC"/>
            <w:u w:val="single"/>
          </w:rPr>
          <w:t>10.1126/science.aec4776</w:t>
        </w:r>
      </w:hyperlink>
    </w:p>
    <w:p>
      <w:pPr>
        <w:spacing w:before="0" w:after="120"/>
      </w:pPr>
      <w:r>
        <w:rPr>
          <w:b/>
        </w:rPr>
        <w:t xml:space="preserve">Notes: </w:t>
      </w:r>
      <w:r>
        <w:t>abstract_source=crossref</w:t>
      </w:r>
    </w:p>
    <w:p>
      <w:pPr>
        <w:spacing w:before="0" w:after="80" w:lineRule="auto" w:line="276"/>
      </w:pPr>
      <w:r>
        <w:rPr>
          <w:b/>
        </w:rPr>
        <w:t xml:space="preserve">摘要（ZH）: </w:t>
      </w:r>
      <w:r>
        <w:t>人为变暖对森林生态系统结构、生物多样性和功能的影响仍存在不确定性。作为类比，我们通过古新世-始新世最热期 (PETM) 重建了美国怀俄明州的森林冠层密度和成分变化，这是大约 5600 万年前碳突然增加和变暖的时期。我们开发了一个代理来量化叶面积指数并使用孢粉形态评估花组成的变化。在 PETM 变暖开始时，森林树冠突然张开，景观侵蚀加剧，植被从阔叶被子植物转向以蕨类植物和棕榈树为主的生态系统。与区域数据相结合，这些模式表明植物群落的大陆尺度变化导致景观不稳定。这些变化也对气候系统中数千年尺度的水文和碳循环反馈产生影响。</w:t>
      </w:r>
    </w:p>
    <w:p>
      <w:pPr>
        <w:spacing w:before="0" w:after="200" w:lineRule="auto" w:line="276"/>
      </w:pPr>
      <w:r>
        <w:rPr>
          <w:b/>
        </w:rPr>
        <w:t xml:space="preserve">Abstract (EN): </w:t>
      </w:r>
      <w:r>
        <w:t>Uncertainty remains regarding the impact of rapid anthropogenic warming on forest ecosystem structure, biodiversity, and function. As an analog, we reconstruct forest canopy density and compositional change in Wyoming, USA, through the Paleocene-Eocene Thermal Maximum (PETM), an interval of abrupt carbon increase and warming ~56 million years ago. We develop a proxy to quantify leaf area index and assess shifts in floral composition using palynomorphs. Forest canopies opened abruptly at onset of PETM warming, landscape erosion increased, and vegetation shifted from broad-leaved angiosperm to fern- and palm-dominated ecosystems. When combined with regional data, these patterns suggest that continental-scale changes in plant communities cause landscape destabilization. These shifts also have implications for multimillennial-scale hydrologic and carbon cycle feedbacks in the climate system.</w:t>
      </w:r>
    </w:p>
    <w:p>
      <w:pPr>
        <w:spacing w:before="120" w:after="120"/>
      </w:pPr>
      <w:r>
        <w:rPr>
          <w:sz w:val="18"/>
        </w:rPr>
        <w:t>——————————————————————————————————————————————————————————————————————</w:t>
      </w:r>
    </w:p>
    <w:p>
      <w:pPr>
        <w:spacing w:before="160" w:after="40" w:line="240" w:lineRule="auto"/>
      </w:pPr>
      <w:r>
        <w:rPr>
          <w:b/>
        </w:rPr>
        <w:t xml:space="preserve">[749] </w:t>
      </w:r>
      <w:hyperlink r:id="rId1951">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52">
        <w:r>
          <w:rPr>
            <w:color w:val="1155CC"/>
            <w:u w:val="single"/>
          </w:rPr>
          <w:t>10.1126/science.ael3843</w:t>
        </w:r>
      </w:hyperlink>
    </w:p>
    <w:p>
      <w:pPr>
        <w:spacing w:before="0" w:after="120"/>
      </w:pPr>
      <w:r>
        <w:rPr>
          <w:b/>
        </w:rPr>
        <w:t xml:space="preserve">Notes: </w:t>
      </w:r>
      <w:r>
        <w:t>abstract_source=crossref</w:t>
      </w:r>
    </w:p>
    <w:p>
      <w:pPr>
        <w:spacing w:before="0" w:after="80" w:lineRule="auto" w:line="276"/>
      </w:pPr>
      <w:r>
        <w:rPr>
          <w:b/>
        </w:rPr>
        <w:t xml:space="preserve">摘要（ZH）: </w:t>
      </w:r>
      <w:r>
        <w:t>编辑精选当前科学文献</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[750] </w:t>
      </w:r>
      <w:hyperlink r:id="rId1953">
        <w:r>
          <w:rPr>
            <w:color w:val="1155CC"/>
            <w:u w:val="single"/>
          </w:rPr>
          <w:t>通过幸运的潜水，科学家们可以亲眼目睹地球表面的形成过程</w:t>
        </w:r>
      </w:hyperlink>
    </w:p>
    <w:p>
      <w:pPr>
        <w:spacing w:before="0" w:after="80"/>
      </w:pPr>
      <w:r>
        <w:rPr>
          <w:i/>
          <w:sz w:val="20"/>
        </w:rPr>
        <w:t>EN: With lucky dive, scientists get a front-row view of the creation of Earth’s surface</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54">
        <w:r>
          <w:rPr>
            <w:color w:val="1155CC"/>
            <w:u w:val="single"/>
          </w:rPr>
          <w:t>10.1126/science.ael4189</w:t>
        </w:r>
      </w:hyperlink>
    </w:p>
    <w:p>
      <w:pPr>
        <w:spacing w:before="0" w:after="120"/>
      </w:pPr>
      <w:r>
        <w:rPr>
          <w:b/>
        </w:rPr>
        <w:t xml:space="preserve">Notes: </w:t>
      </w:r>
      <w:r>
        <w:t>abstract_source=crossref</w:t>
      </w:r>
    </w:p>
    <w:p>
      <w:pPr>
        <w:spacing w:before="0" w:after="80" w:lineRule="auto" w:line="276"/>
      </w:pPr>
      <w:r>
        <w:rPr>
          <w:b/>
        </w:rPr>
        <w:t xml:space="preserve">摘要（ZH）: </w:t>
      </w:r>
      <w:r>
        <w:t>机会和准备揭示了洋中脊的实景</w:t>
      </w:r>
    </w:p>
    <w:p>
      <w:pPr>
        <w:spacing w:before="0" w:after="200" w:lineRule="auto" w:line="276"/>
      </w:pPr>
      <w:r>
        <w:rPr>
          <w:b/>
        </w:rPr>
        <w:t xml:space="preserve">Abstract (EN): </w:t>
      </w:r>
      <w:r>
        <w:t>Chance—and preparation—reveal live action at midocean ridges</w:t>
      </w:r>
    </w:p>
    <w:p>
      <w:pPr>
        <w:spacing w:before="120" w:after="120"/>
      </w:pPr>
      <w:r>
        <w:rPr>
          <w:sz w:val="18"/>
        </w:rPr>
        <w:t>——————————————————————————————————————————————————————————————————————</w:t>
      </w:r>
    </w:p>
    <w:p>
      <w:pPr>
        <w:spacing w:before="160" w:after="40" w:line="240" w:lineRule="auto"/>
      </w:pPr>
      <w:r>
        <w:rPr>
          <w:b/>
        </w:rPr>
        <w:t xml:space="preserve">[751] </w:t>
      </w:r>
      <w:hyperlink r:id="rId1955">
        <w:r>
          <w:rPr>
            <w:color w:val="1155CC"/>
            <w:u w:val="single"/>
          </w:rPr>
          <w:t>生态进化反馈重塑了果园苍蝇系统的竞争动态</w:t>
        </w:r>
      </w:hyperlink>
    </w:p>
    <w:p>
      <w:pPr>
        <w:spacing w:before="0" w:after="80"/>
      </w:pPr>
      <w:r>
        <w:rPr>
          <w:i/>
          <w:sz w:val="20"/>
        </w:rPr>
        <w:t>EN: Eco-evolutionary feedback reshapes competitive dynamics in an orchard fly system</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56">
        <w:r>
          <w:rPr>
            <w:color w:val="1155CC"/>
            <w:u w:val="single"/>
          </w:rPr>
          <w:t>10.1126/science.aee8723</w:t>
        </w:r>
      </w:hyperlink>
    </w:p>
    <w:p>
      <w:pPr>
        <w:spacing w:before="0" w:after="120"/>
      </w:pPr>
      <w:r>
        <w:rPr>
          <w:b/>
        </w:rPr>
        <w:t xml:space="preserve">Notes: </w:t>
      </w:r>
      <w:r>
        <w:t>abstract_source=crossref</w:t>
      </w:r>
    </w:p>
    <w:p>
      <w:pPr>
        <w:spacing w:before="0" w:after="80" w:lineRule="auto" w:line="276"/>
      </w:pPr>
      <w:r>
        <w:rPr>
          <w:b/>
        </w:rPr>
        <w:t xml:space="preserve">摘要（ZH）: </w:t>
      </w:r>
      <w:r>
        <w:t>竞争和进化之间的反馈是关于物种多样性起源和维持的假设的核心。然而，竞争引起的进化是否足够快、一致和强大以维持生态时间尺度上的多样性仍然悬而未决。我们对四对果园蝇种进行了一项户外中生态实验，在实验中我们操纵了物种在种间竞争过程中相互进化的能力。我们发现显着的竞争诱导了表型的快速进化，这些表型通常在物种之间平行变化。这种进化强烈影响了所有物种对的竞争性种群动态，通常会提高稀有物种的丰度，而在一对中，则扭转了丰度等级。这些结果表明，竞争和进化之间的反馈可能是常见的，并在生态时间尺度上维持物种多样性。</w:t>
      </w:r>
    </w:p>
    <w:p>
      <w:pPr>
        <w:spacing w:before="0" w:after="200" w:lineRule="auto" w:line="276"/>
      </w:pPr>
      <w:r>
        <w:rPr>
          <w:b/>
        </w:rPr>
        <w:t xml:space="preserve">Abstract (EN): </w:t>
      </w:r>
      <w:r>
        <w:t>The feedback between competition and evolution is central to hypotheses about the origin and maintenance of species diversity. Yet, whether competition-induced evolution is sufficiently rapid, consistent, and strong to maintain diversity on ecological timescales remains unresolved. We conducted an outdoor mesocosm experiment with four pairs of orchard fly species in which we manipulated species’ ability to evolve to one another during interspecific competition. We found significant competition-induced rapid evolution across phenotypes, which typically shifted in parallel across species. This evolution strongly affected the competitive population dynamics of all species pairs, typically boosting the rarer species’ abundance, and in one pair, reversing the abundance hierarchy. These results suggest that feedback between competition and evolution may be common and maintain species diversity on ecological timescales.</w:t>
      </w:r>
    </w:p>
    <w:p>
      <w:pPr>
        <w:spacing w:before="120" w:after="120"/>
      </w:pPr>
      <w:r>
        <w:rPr>
          <w:sz w:val="18"/>
        </w:rPr>
        <w:t>——————————————————————————————————————————————————————————————————————</w:t>
      </w:r>
    </w:p>
    <w:p>
      <w:pPr>
        <w:spacing w:before="160" w:after="40" w:line="240" w:lineRule="auto"/>
      </w:pPr>
      <w:r>
        <w:rPr>
          <w:b/>
        </w:rPr>
        <w:t xml:space="preserve">[752] </w:t>
      </w:r>
      <w:hyperlink r:id="rId1957">
        <w:r>
          <w:rPr>
            <w:color w:val="1155CC"/>
            <w:u w:val="single"/>
          </w:rPr>
          <w:t>东非和印度洋下方地球物理-地球化学联合深地幔分区图</w:t>
        </w:r>
      </w:hyperlink>
    </w:p>
    <w:p>
      <w:pPr>
        <w:spacing w:before="0" w:after="80"/>
      </w:pPr>
      <w:r>
        <w:rPr>
          <w:i/>
          <w:sz w:val="20"/>
        </w:rPr>
        <w:t>EN: A joint geophysical-geochemical deep-mantle zoning map beneath East Africa and the Indian Ocean</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58">
        <w:r>
          <w:rPr>
            <w:color w:val="1155CC"/>
            <w:u w:val="single"/>
          </w:rPr>
          <w:t>10.1126/science.aea5466</w:t>
        </w:r>
      </w:hyperlink>
    </w:p>
    <w:p>
      <w:pPr>
        <w:spacing w:before="0" w:after="120"/>
      </w:pPr>
      <w:r>
        <w:rPr>
          <w:b/>
        </w:rPr>
        <w:t xml:space="preserve">Notes: </w:t>
      </w:r>
      <w:r>
        <w:t>abstract_source=crossref</w:t>
      </w:r>
    </w:p>
    <w:p>
      <w:pPr>
        <w:spacing w:before="0" w:after="80" w:lineRule="auto" w:line="276"/>
      </w:pPr>
      <w:r>
        <w:rPr>
          <w:b/>
        </w:rPr>
        <w:t xml:space="preserve">摘要（ZH）: </w:t>
      </w:r>
      <w:r>
        <w:t>热点熔岩的地球化学特征表明，它们的地幔来源在成分上是不同的，但它们的来源位置仍然难以捉摸。由于地幔中存在相互连接的低地震速度网络，将热点映射到其深部起源变得复杂，其中羽状异常经常偏离垂直管道。我们提出了一个基于图论的框架，使用高分辨率区域断层扫描模型系统地追踪羽流路径的集合。我们的方法应用于八个东非和印度洋热点地区，确定了核幔边界附近的聚集源区。对热点相关玄武岩同位素比率的多变量分析揭示了大致相似的聚类。这些独立观测结果共同提供了该地区的一阶联合地球物理-地球化学分区图，在非洲低剪切速度大省 (LLSVP) 内至少有三个不同的区域。</w:t>
      </w:r>
    </w:p>
    <w:p>
      <w:pPr>
        <w:spacing w:before="0" w:after="200" w:lineRule="auto" w:line="276"/>
      </w:pPr>
      <w:r>
        <w:rPr>
          <w:b/>
        </w:rPr>
        <w:t xml:space="preserve">Abstract (EN): </w:t>
      </w:r>
      <w:r>
        <w:t>Geochemical signatures of hotspot lavas suggest that their mantle sources are compositionally distinct, but their source locations remain elusive. Mapping hotspots to their deep origins is complicated by the presence of interconnected, low–seismic velocity networks in the mantle, where plumelike anomalies often deviate from vertical conduits. We propose a graph theory–based framework to systematically trace ensembles of plume paths using a high-resolution regional tomographic model. Applied to eight East African and Indian Ocean hotspots, our method identified clustered source zones near the core-mantle boundary. Multivariate analysis of the isotope ratios of hotspot-related basalts reveals a broadly similar clustering. Together, these independent observations provide a first-order joint geophysical-geochemical zoning map in this region, with at least three distinct domains within the African large low-shear-velocity province (LLSVP).</w:t>
      </w:r>
    </w:p>
    <w:p>
      <w:pPr>
        <w:spacing w:before="120" w:after="120"/>
      </w:pPr>
      <w:r>
        <w:rPr>
          <w:sz w:val="18"/>
        </w:rPr>
        <w:t>——————————————————————————————————————————————————————————————————————</w:t>
      </w:r>
    </w:p>
    <w:p>
      <w:pPr>
        <w:spacing w:before="160" w:after="40" w:line="240" w:lineRule="auto"/>
      </w:pPr>
      <w:r>
        <w:rPr>
          <w:b/>
        </w:rPr>
        <w:t xml:space="preserve">[753] </w:t>
      </w:r>
      <w:hyperlink r:id="rId1959">
        <w:r>
          <w:rPr>
            <w:color w:val="1155CC"/>
            <w:u w:val="single"/>
          </w:rPr>
          <w:t>研究人员努力改进非阿片类止痛药</w:t>
        </w:r>
      </w:hyperlink>
    </w:p>
    <w:p>
      <w:pPr>
        <w:spacing w:before="0" w:after="80"/>
      </w:pPr>
      <w:r>
        <w:rPr>
          <w:i/>
          <w:sz w:val="20"/>
        </w:rPr>
        <w:t>EN: Researchers struggle to improve nonopioid pain drugs</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60">
        <w:r>
          <w:rPr>
            <w:color w:val="1155CC"/>
            <w:u w:val="single"/>
          </w:rPr>
          <w:t>10.1126/science.ael4190</w:t>
        </w:r>
      </w:hyperlink>
    </w:p>
    <w:p>
      <w:pPr>
        <w:spacing w:before="0" w:after="120"/>
      </w:pPr>
      <w:r>
        <w:rPr>
          <w:b/>
        </w:rPr>
        <w:t xml:space="preserve">Notes: </w:t>
      </w:r>
      <w:r>
        <w:t>abstract_source=crossref</w:t>
      </w:r>
    </w:p>
    <w:p>
      <w:pPr>
        <w:spacing w:before="0" w:after="80" w:lineRule="auto" w:line="276"/>
      </w:pPr>
      <w:r>
        <w:rPr>
          <w:b/>
        </w:rPr>
        <w:t xml:space="preserve">摘要（ZH）: </w:t>
      </w:r>
      <w:r>
        <w:t>研究探讨新型钠通道阻滞剂的局限性</w:t>
      </w:r>
    </w:p>
    <w:p>
      <w:pPr>
        <w:spacing w:before="0" w:after="200" w:lineRule="auto" w:line="276"/>
      </w:pPr>
      <w:r>
        <w:rPr>
          <w:b/>
        </w:rPr>
        <w:t xml:space="preserve">Abstract (EN): </w:t>
      </w:r>
      <w:r>
        <w:t>Studies probe the limits of new sodium channel blockers</w:t>
      </w:r>
    </w:p>
    <w:p>
      <w:pPr>
        <w:spacing w:before="120" w:after="120"/>
      </w:pPr>
      <w:r>
        <w:rPr>
          <w:sz w:val="18"/>
        </w:rPr>
        <w:t>——————————————————————————————————————————————————————————————————————</w:t>
      </w:r>
    </w:p>
    <w:p>
      <w:pPr>
        <w:spacing w:before="160" w:after="40" w:line="240" w:lineRule="auto"/>
      </w:pPr>
      <w:r>
        <w:rPr>
          <w:b/>
        </w:rPr>
        <w:t xml:space="preserve">[754] </w:t>
      </w:r>
      <w:hyperlink r:id="rId1961">
        <w:r>
          <w:rPr>
            <w:color w:val="1155CC"/>
            <w:u w:val="single"/>
          </w:rPr>
          <w:t>艰难地写作</w:t>
        </w:r>
      </w:hyperlink>
    </w:p>
    <w:p>
      <w:pPr>
        <w:spacing w:before="0" w:after="80"/>
      </w:pPr>
      <w:r>
        <w:rPr>
          <w:i/>
          <w:sz w:val="20"/>
        </w:rPr>
        <w:t>EN: Writing the hard way</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62">
        <w:r>
          <w:rPr>
            <w:color w:val="1155CC"/>
            <w:u w:val="single"/>
          </w:rPr>
          <w:t>10.1126/science.ael3844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[755] </w:t>
      </w:r>
      <w:hyperlink r:id="rId1963">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64">
        <w:r>
          <w:rPr>
            <w:color w:val="1155CC"/>
            <w:u w:val="single"/>
          </w:rPr>
          <w:t>10.1126/science.ael3842</w:t>
        </w:r>
      </w:hyperlink>
    </w:p>
    <w:p>
      <w:pPr>
        <w:spacing w:before="0" w:after="120"/>
      </w:pPr>
      <w:r>
        <w:rPr>
          <w:b/>
        </w:rPr>
        <w:t xml:space="preserve">Notes: </w:t>
      </w:r>
      <w:r>
        <w:t>abstract_source=crossref</w:t>
      </w:r>
    </w:p>
    <w:p>
      <w:pPr>
        <w:spacing w:before="0" w:after="80" w:lineRule="auto" w:line="276"/>
      </w:pPr>
      <w:r>
        <w:rPr>
          <w:b/>
        </w:rPr>
        <w:t xml:space="preserve">摘要（ZH）: </w:t>
      </w:r>
      <w:r>
        <w:t>亮点来自</w:t>
      </w:r>
      <w:r>
        <w:t xml:space="preserve"> </w:t>
      </w:r>
      <w:r>
        <w:t>科学</w:t>
      </w:r>
      <w:r>
        <w:t xml:space="preserve"> </w:t>
      </w:r>
      <w:r>
        <w:t>期刊家族</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[756] </w:t>
      </w:r>
      <w:hyperlink r:id="rId1965">
        <w:r>
          <w:rPr>
            <w:color w:val="1155CC"/>
            <w:u w:val="single"/>
          </w:rPr>
          <w:t>中国秸秆禁烧的隐性成本</w:t>
        </w:r>
      </w:hyperlink>
    </w:p>
    <w:p>
      <w:pPr>
        <w:spacing w:before="0" w:after="80"/>
      </w:pPr>
      <w:r>
        <w:rPr>
          <w:i/>
          <w:sz w:val="20"/>
        </w:rPr>
        <w:t>EN: Hidden costs of China’s straw-burning ban</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66">
        <w:r>
          <w:rPr>
            <w:color w:val="1155CC"/>
            <w:u w:val="single"/>
          </w:rPr>
          <w:t>10.1126/science.aej7857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[757] </w:t>
      </w:r>
      <w:hyperlink r:id="rId1967">
        <w:r>
          <w:rPr>
            <w:color w:val="1155CC"/>
            <w:u w:val="single"/>
          </w:rPr>
          <w:t>计划中的卫星星座面临碎片失控的风险</w:t>
        </w:r>
      </w:hyperlink>
    </w:p>
    <w:p>
      <w:pPr>
        <w:spacing w:before="0" w:after="80"/>
      </w:pPr>
      <w:r>
        <w:rPr>
          <w:i/>
          <w:sz w:val="20"/>
        </w:rPr>
        <w:t>EN: Planned satellite constellations risk runaway debris</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68">
        <w:r>
          <w:rPr>
            <w:color w:val="1155CC"/>
            <w:u w:val="single"/>
          </w:rPr>
          <w:t>10.1126/science.ael4188</w:t>
        </w:r>
      </w:hyperlink>
    </w:p>
    <w:p>
      <w:pPr>
        <w:spacing w:before="0" w:after="120"/>
      </w:pPr>
      <w:r>
        <w:rPr>
          <w:b/>
        </w:rPr>
        <w:t xml:space="preserve">Notes: </w:t>
      </w:r>
      <w:r>
        <w:t>abstract_source=crossref</w:t>
      </w:r>
    </w:p>
    <w:p>
      <w:pPr>
        <w:spacing w:before="0" w:after="80" w:lineRule="auto" w:line="276"/>
      </w:pPr>
      <w:r>
        <w:rPr>
          <w:b/>
        </w:rPr>
        <w:t xml:space="preserve">摘要（ZH）: </w:t>
      </w:r>
      <w:r>
        <w:t>模型显示臭名昭著的“凯斯勒综合症”将使蜂群变得不可持续</w:t>
      </w:r>
    </w:p>
    <w:p>
      <w:pPr>
        <w:spacing w:before="0" w:after="200" w:lineRule="auto" w:line="276"/>
      </w:pPr>
      <w:r>
        <w:rPr>
          <w:b/>
        </w:rPr>
        <w:t xml:space="preserve">Abstract (EN): </w:t>
      </w:r>
      <w:r>
        <w:t>Modeling suggests infamous “Kessler syndrome” would make the swarms unsustainable</w:t>
      </w:r>
    </w:p>
    <w:p>
      <w:pPr>
        <w:spacing w:before="120" w:after="120"/>
      </w:pPr>
      <w:r>
        <w:rPr>
          <w:sz w:val="18"/>
        </w:rPr>
        <w:t>——————————————————————————————————————————————————————————————————————</w:t>
      </w:r>
    </w:p>
    <w:p>
      <w:pPr>
        <w:spacing w:before="160" w:after="40" w:line="240" w:lineRule="auto"/>
      </w:pPr>
      <w:r>
        <w:rPr>
          <w:b/>
        </w:rPr>
        <w:t xml:space="preserve">[758] </w:t>
      </w:r>
      <w:hyperlink r:id="rId1969">
        <w:r>
          <w:rPr>
            <w:color w:val="1155CC"/>
            <w:u w:val="single"/>
          </w:rPr>
          <w:t>促进剂驱动的重结晶提供高织构的钌</w:t>
        </w:r>
      </w:hyperlink>
    </w:p>
    <w:p>
      <w:pPr>
        <w:spacing w:before="0" w:after="80"/>
      </w:pPr>
      <w:r>
        <w:rPr>
          <w:i/>
          <w:sz w:val="20"/>
        </w:rPr>
        <w:t>EN: Promoter-driven recrystallization affording highly textured ruthenium</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70">
        <w:r>
          <w:rPr>
            <w:color w:val="1155CC"/>
            <w:u w:val="single"/>
          </w:rPr>
          <w:t>10.1126/science.ady9591</w:t>
        </w:r>
      </w:hyperlink>
    </w:p>
    <w:p>
      <w:pPr>
        <w:spacing w:before="0" w:after="120"/>
      </w:pPr>
      <w:r>
        <w:rPr>
          <w:b/>
        </w:rPr>
        <w:t xml:space="preserve">Notes: </w:t>
      </w:r>
      <w:r>
        <w:t>abstract_source=crossref</w:t>
      </w:r>
    </w:p>
    <w:p>
      <w:pPr>
        <w:spacing w:before="0" w:after="80" w:lineRule="auto" w:line="276"/>
      </w:pPr>
      <w:r>
        <w:rPr>
          <w:b/>
        </w:rPr>
        <w:t xml:space="preserve">摘要（ZH）: </w:t>
      </w:r>
      <w:r>
        <w:t>多晶材料的电性能由微晶特性和空间排列决定。我们在非晶介电基板上生长了具有近乎完全的面外择优取向和主要是低能晶界的钌多晶，而不依赖于外延生长或晶格匹配条件。之前的研究使用源自高纯度来源的高密度、高质量多晶材料，而我们利用微量碳作为晶界处的瞬态促进剂，表明它在再结晶过程中产生瞬态自由体积，从而促进原子迁移，驱动晶粒的动态垂直和水平取向。我们的研究结果通过受控微量元素掺入提供了对晶界动力学工程的微观见解。所开发的策略适用于其他多晶材料，为先进材料设计和应用提供多功能性。</w:t>
      </w:r>
    </w:p>
    <w:p>
      <w:pPr>
        <w:spacing w:before="0" w:after="200" w:lineRule="auto" w:line="276"/>
      </w:pPr>
      <w:r>
        <w:rPr>
          <w:b/>
        </w:rPr>
        <w:t xml:space="preserve">Abstract (EN): </w:t>
      </w:r>
      <w:r>
        <w:t>The electrical properties of polycrystalline materials are governed by crystallite characteristics and spatial arrangement. We grew ruthenium polycrystals with a near-complete out-of-plane preferred orientation and predominantly low-energy grain boundaries on amorphous dielectric substrates, without relying on epitaxial growth or lattice-matched conditions. Whereas prior studies used high-density, high-quality polycrystalline materials derived from high-purity sources, we exploited trace carbon as a transient promoter at grain boundaries, revealing that it generated transient free volume during recrystallization and thus facilitated atomic migration, driving the dynamic vertical and horizontal orientation of grains. Our findings provide microscopic insights into the engineering of grain boundary kinetics through controlled trace element incorporation. The developed strategy is applicable to other polycrystalline materials, offering versatility for advanced material design and applications.</w:t>
      </w:r>
    </w:p>
    <w:p>
      <w:pPr>
        <w:spacing w:before="120" w:after="120"/>
      </w:pPr>
      <w:r>
        <w:rPr>
          <w:sz w:val="18"/>
        </w:rPr>
        <w:t>——————————————————————————————————————————————————————————————————————</w:t>
      </w:r>
    </w:p>
    <w:p>
      <w:pPr>
        <w:spacing w:before="160" w:after="40" w:line="240" w:lineRule="auto"/>
      </w:pPr>
      <w:r>
        <w:rPr>
          <w:b/>
        </w:rPr>
        <w:t xml:space="preserve">[759] </w:t>
      </w:r>
      <w:hyperlink r:id="rId1971">
        <w:r>
          <w:rPr>
            <w:color w:val="1155CC"/>
            <w:u w:val="single"/>
          </w:rPr>
          <w:t>走进有抱负的章鱼养殖者的世界</w:t>
        </w:r>
      </w:hyperlink>
    </w:p>
    <w:p>
      <w:pPr>
        <w:spacing w:before="0" w:after="80"/>
      </w:pPr>
      <w:r>
        <w:rPr>
          <w:i/>
          <w:sz w:val="20"/>
        </w:rPr>
        <w:t>EN: Inside the world of aspiring octopus farmers</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72">
        <w:r>
          <w:rPr>
            <w:color w:val="1155CC"/>
            <w:u w:val="single"/>
          </w:rPr>
          <w:t>10.1126/science.aei0132</w:t>
        </w:r>
      </w:hyperlink>
    </w:p>
    <w:p>
      <w:pPr>
        <w:spacing w:before="0" w:after="120"/>
      </w:pPr>
      <w:r>
        <w:rPr>
          <w:b/>
        </w:rPr>
        <w:t xml:space="preserve">Notes: </w:t>
      </w:r>
      <w:r>
        <w:t>abstract_source=crossref</w:t>
      </w:r>
    </w:p>
    <w:p>
      <w:pPr>
        <w:spacing w:before="0" w:after="80" w:lineRule="auto" w:line="276"/>
      </w:pPr>
      <w:r>
        <w:rPr>
          <w:b/>
        </w:rPr>
        <w:t xml:space="preserve">摘要（ZH）: </w:t>
      </w:r>
      <w:r>
        <w:t>水产养殖者设想一种新的可持续蛋白质来源，但技术挑战和伦理问题仍然存在</w:t>
      </w:r>
    </w:p>
    <w:p>
      <w:pPr>
        <w:spacing w:before="0" w:after="200" w:lineRule="auto" w:line="276"/>
      </w:pPr>
      <w:r>
        <w:rPr>
          <w:b/>
        </w:rPr>
        <w:t xml:space="preserve">Abstract (EN): </w:t>
      </w:r>
      <w:r>
        <w:t>Aquaculturists envision a new sustainable protein source, but technical challenges and ethical concerns persist</w:t>
      </w:r>
    </w:p>
    <w:p>
      <w:pPr>
        <w:spacing w:before="120" w:after="120"/>
      </w:pPr>
      <w:r>
        <w:rPr>
          <w:sz w:val="18"/>
        </w:rPr>
        <w:t>——————————————————————————————————————————————————————————————————————</w:t>
      </w:r>
    </w:p>
    <w:p>
      <w:pPr>
        <w:spacing w:before="160" w:after="40" w:line="240" w:lineRule="auto"/>
      </w:pPr>
      <w:r>
        <w:rPr>
          <w:b/>
        </w:rPr>
        <w:t xml:space="preserve">[760] </w:t>
      </w:r>
      <w:hyperlink r:id="rId1973">
        <w:r>
          <w:rPr>
            <w:color w:val="1155CC"/>
            <w:u w:val="single"/>
          </w:rPr>
          <w:t>通过核碰撞追踪重子数</w:t>
        </w:r>
      </w:hyperlink>
    </w:p>
    <w:p>
      <w:pPr>
        <w:spacing w:before="0" w:after="80"/>
      </w:pPr>
      <w:r>
        <w:rPr>
          <w:i/>
          <w:sz w:val="20"/>
        </w:rPr>
        <w:t>EN: Tracking the baryon number with nuclear collisions</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74">
        <w:r>
          <w:rPr>
            <w:color w:val="1155CC"/>
            <w:u w:val="single"/>
          </w:rPr>
          <w:t>10.1126/science.ads5962</w:t>
        </w:r>
      </w:hyperlink>
    </w:p>
    <w:p>
      <w:pPr>
        <w:spacing w:before="0" w:after="120"/>
      </w:pPr>
      <w:r>
        <w:rPr>
          <w:b/>
        </w:rPr>
        <w:t xml:space="preserve">Notes: </w:t>
      </w:r>
      <w:r>
        <w:t>abstract_source=crossref</w:t>
      </w:r>
    </w:p>
    <w:p>
      <w:pPr>
        <w:spacing w:before="0" w:after="80" w:lineRule="auto" w:line="276"/>
      </w:pPr>
      <w:r>
        <w:rPr>
          <w:b/>
        </w:rPr>
        <w:t xml:space="preserve">摘要（ZH）: </w:t>
      </w:r>
      <w:r>
        <w:t>人们发现，自早期宇宙的重子发生以来，重子量子数是守恒的。按照惯例，每个带分数电荷的价夸克被理解为携带三分之一的重子数。另一种假设认为，重子数是由重子结（一种非微扰的 Y 形胶子构型）携带的。这两种情况都没有经过实验验证。 STAR Collaboration 报告了重子数中速的测量结果（</w:t>
      </w:r>
      <w:r>
        <w:t xml:space="preserve"> </w:t>
      </w:r>
      <w:r>
        <w:t>乙</w:t>
      </w:r>
      <w:r>
        <w:t xml:space="preserve"> </w:t>
      </w:r>
      <w:r>
        <w:t>）超过电荷数差（Δ</w:t>
      </w:r>
      <w:r>
        <w:t xml:space="preserve"> </w:t>
      </w:r>
      <w:r>
        <w:t>问</w:t>
      </w:r>
      <w:r>
        <w:t xml:space="preserve"> </w:t>
      </w:r>
      <w:r>
        <w:t>）在等压核碰撞中，以及在光核碰撞中沿速度的净质子产额。更大的</w:t>
      </w:r>
      <w:r>
        <w:t xml:space="preserve"> </w:t>
      </w:r>
      <w:r>
        <w:t>乙</w:t>
      </w:r>
      <w:r>
        <w:t xml:space="preserve"> </w:t>
      </w:r>
      <w:r>
        <w:t>/Δ</w:t>
      </w:r>
      <w:r>
        <w:t xml:space="preserve"> </w:t>
      </w:r>
      <w:r>
        <w:t>问</w:t>
      </w:r>
      <w:r>
        <w:t xml:space="preserve"> </w:t>
      </w:r>
      <w:r>
        <w:t>观察到的比率和不对称净质子产率比根据将重子数分配给价夸克的模型预测的要少。这些发现得到了之前金+金碰撞测量的证实，不利于价夸克图。</w:t>
      </w:r>
    </w:p>
    <w:p>
      <w:pPr>
        <w:spacing w:before="0" w:after="200" w:lineRule="auto" w:line="276"/>
      </w:pPr>
      <w:r>
        <w:rPr>
          <w:b/>
        </w:rPr>
        <w:t xml:space="preserve">Abstract (EN): </w:t>
      </w:r>
      <w:r>
        <w:t>Baryon quantum number is found to be conserved since baryogenesis in the early Universe. Conventionally, each fractionally charged valence quark is understood to carry one-third of a baryon number. An alternative hypothesis posits that baryon number is instead carried by a baryon junction—a nonperturbative, Y-shaped gluonic configuration. Neither scenario has been verified experimentally. The STAR Collaboration reports measurements at mid-rapidity of baryon number (</w:t>
      </w:r>
      <w:r>
        <w:t xml:space="preserve"> </w:t>
      </w:r>
      <w:r>
        <w:t>B</w:t>
      </w:r>
      <w:r>
        <w:t xml:space="preserve"> </w:t>
      </w:r>
      <w:r>
        <w:t>) over the electric charge number difference (∆</w:t>
      </w:r>
      <w:r>
        <w:t xml:space="preserve"> </w:t>
      </w:r>
      <w:r>
        <w:t>Q</w:t>
      </w:r>
      <w:r>
        <w:t xml:space="preserve"> </w:t>
      </w:r>
      <w:r>
        <w:t>) in isobar nuclear collisions, and the net-proton yield along rapidity in photonuclear collisions. A larger</w:t>
      </w:r>
      <w:r>
        <w:t xml:space="preserve"> </w:t>
      </w:r>
      <w:r>
        <w:t>B</w:t>
      </w:r>
      <w:r>
        <w:t xml:space="preserve"> </w:t>
      </w:r>
      <w:r>
        <w:t>/∆</w:t>
      </w:r>
      <w:r>
        <w:t xml:space="preserve"> </w:t>
      </w:r>
      <w:r>
        <w:t>Q</w:t>
      </w:r>
      <w:r>
        <w:t xml:space="preserve"> </w:t>
      </w:r>
      <w:r>
        <w:t>ratio and less asymmetric net-proton yield are observed than predicted from models assigning baryon number to valence quarks. These findings, corroborated by previous measurements in Au+Au collisions, disfavor the valence quark picture.</w:t>
      </w:r>
    </w:p>
    <w:p>
      <w:pPr>
        <w:spacing w:before="120" w:after="120"/>
      </w:pPr>
      <w:r>
        <w:rPr>
          <w:sz w:val="18"/>
        </w:rPr>
        <w:t>——————————————————————————————————————————————————————————————————————</w:t>
      </w:r>
    </w:p>
    <w:p>
      <w:pPr>
        <w:spacing w:before="160" w:after="40" w:line="240" w:lineRule="auto"/>
      </w:pPr>
      <w:r>
        <w:rPr>
          <w:b/>
        </w:rPr>
        <w:t xml:space="preserve">[761] </w:t>
      </w:r>
      <w:hyperlink r:id="rId1975">
        <w:r>
          <w:rPr>
            <w:color w:val="1155CC"/>
            <w:u w:val="single"/>
          </w:rPr>
          <w:t>肌营养不良聚糖的木糖磷酸酶活性自我调节其受体功能</w:t>
        </w:r>
      </w:hyperlink>
    </w:p>
    <w:p>
      <w:pPr>
        <w:spacing w:before="0" w:after="80"/>
      </w:pPr>
      <w:r>
        <w:rPr>
          <w:i/>
          <w:sz w:val="20"/>
        </w:rPr>
        <w:t>EN: Xylose phosphatase activity of dystroglycan self-regulates its receptor function</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76">
        <w:r>
          <w:rPr>
            <w:color w:val="1155CC"/>
            <w:u w:val="single"/>
          </w:rPr>
          <w:t>10.1126/science.adz7427</w:t>
        </w:r>
      </w:hyperlink>
    </w:p>
    <w:p>
      <w:pPr>
        <w:spacing w:before="0" w:after="120"/>
      </w:pPr>
      <w:r>
        <w:rPr>
          <w:b/>
        </w:rPr>
        <w:t xml:space="preserve">Notes: </w:t>
      </w:r>
      <w:r>
        <w:t>abstract_source=crossref</w:t>
      </w:r>
    </w:p>
    <w:p>
      <w:pPr>
        <w:spacing w:before="0" w:after="80" w:lineRule="auto" w:line="276"/>
      </w:pPr>
      <w:r>
        <w:rPr>
          <w:b/>
        </w:rPr>
        <w:t xml:space="preserve">摘要（ZH）: </w:t>
      </w:r>
      <w:r>
        <w:t>肌营养不良聚糖 (DG) 是一种细胞外基质受体，对于组织发育和病原体进入至关重要。 DG 含有一种长而复杂的聚糖，称为基质聚糖。基质聚糖的丢失或长度的减少会破坏 DG 功能，导致营养不良症。然而，调节基质聚糖长度的机制尚不清楚。在这项研究中，我们发现木糖激酶通过向基质聚糖引物的木糖添加磷酸盐来促进基质聚糖合成的起始。当磷酸盐被 DG (DGN) 的 N 末端结构域去除时，基质聚糖就会延伸。 DGN 具有在磷酸水解酶的卤酸脱卤酶结构域中发现的保守 DXDXT/V 活性位点基序。该位点的突变消除了 DGN 磷酸酶活性，缩短了基质聚糖长度，并导致小鼠肌肉疾病。因此，DG 具有意想不到的木糖磷酸酶功能，参与调节基质聚糖延伸。</w:t>
      </w:r>
    </w:p>
    <w:p>
      <w:pPr>
        <w:spacing w:before="0" w:after="200" w:lineRule="auto" w:line="276"/>
      </w:pPr>
      <w:r>
        <w:rPr>
          <w:b/>
        </w:rPr>
        <w:t xml:space="preserve">Abstract (EN): </w:t>
      </w:r>
      <w:r>
        <w:t>Dystroglycan (DG) is an extracellular matrix receptor crucial for tissue development and pathogen entry. DG harbors a long, complex glycan called matriglycan. Loss of matriglycan or reduction in its length disrupts DG function, causing dystroglycanopathies. However, the mechanism regulating matriglycan length is unknown. In this study, we found that a xylose kinase facilitated the initiation of matriglycan synthesis by adding a phosphate to the xylose of the matriglycan primer. Matriglycan elongation occurred when the phosphate was removed by the N-terminal domain of DG (DGN). DGN has the conserved DXDXT/V active site motif found in haloacid dehalogenase domains of phosphohydrolases. Mutations in this site abolished DGN phosphatase activity, reduced matriglycan length, and caused muscle disease in mice. Thus, DG has an unexpected xylose phosphatase function involved in regulating matriglycan extension.</w:t>
      </w:r>
    </w:p>
    <w:p>
      <w:pPr>
        <w:spacing w:before="120" w:after="120"/>
      </w:pPr>
      <w:r>
        <w:rPr>
          <w:sz w:val="18"/>
        </w:rPr>
        <w:t>——————————————————————————————————————————————————————————————————————</w:t>
      </w:r>
    </w:p>
    <w:p>
      <w:pPr>
        <w:spacing w:before="160" w:after="40" w:line="240" w:lineRule="auto"/>
      </w:pPr>
      <w:r>
        <w:rPr>
          <w:b/>
        </w:rPr>
        <w:t xml:space="preserve">[762] </w:t>
      </w:r>
      <w:hyperlink r:id="rId1977">
        <w:r>
          <w:rPr>
            <w:color w:val="1155CC"/>
            <w:u w:val="single"/>
          </w:rPr>
          <w:t>魔幻还是现实？</w:t>
        </w:r>
      </w:hyperlink>
    </w:p>
    <w:p>
      <w:pPr>
        <w:spacing w:before="0" w:after="80"/>
      </w:pPr>
      <w:r>
        <w:rPr>
          <w:i/>
          <w:sz w:val="20"/>
        </w:rPr>
        <w:t>EN: Magic or realism?</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78">
        <w:r>
          <w:rPr>
            <w:color w:val="1155CC"/>
            <w:u w:val="single"/>
          </w:rPr>
          <w:t>10.1126/science.ael4184</w:t>
        </w:r>
      </w:hyperlink>
    </w:p>
    <w:p>
      <w:pPr>
        <w:spacing w:before="0" w:after="120"/>
      </w:pPr>
      <w:r>
        <w:rPr>
          <w:b/>
        </w:rPr>
        <w:t xml:space="preserve">Notes: </w:t>
      </w:r>
      <w:r>
        <w:t>abstract_source=crossref</w:t>
      </w:r>
    </w:p>
    <w:p>
      <w:pPr>
        <w:spacing w:before="0" w:after="80" w:lineRule="auto" w:line="276"/>
      </w:pPr>
      <w:r>
        <w:rPr>
          <w:b/>
        </w:rPr>
        <w:t xml:space="preserve">摘要（ZH）: </w:t>
      </w:r>
      <w:r>
        <w:t>最近发现的基因变异似乎可以预防阿尔茨海默氏病，这表明了一条治疗之路。但他们的力量可信吗？</w:t>
      </w:r>
    </w:p>
    <w:p>
      <w:pPr>
        <w:spacing w:before="0" w:after="200" w:lineRule="auto" w:line="276"/>
      </w:pPr>
      <w:r>
        <w:rPr>
          <w:b/>
        </w:rPr>
        <w:t xml:space="preserve">Abstract (EN): </w:t>
      </w:r>
      <w:r>
        <w:t>Recently discovered genetic variants seem to protect against Alzheimer’s disease, suggesting a path toward a cure. But are their powers believable?</w:t>
      </w:r>
    </w:p>
    <w:p>
      <w:pPr>
        <w:spacing w:before="120" w:after="120"/>
      </w:pPr>
      <w:r>
        <w:rPr>
          <w:sz w:val="18"/>
        </w:rPr>
        <w:t>——————————————————————————————————————————————————————————————————————</w:t>
      </w:r>
    </w:p>
    <w:p>
      <w:pPr>
        <w:spacing w:before="160" w:after="40" w:line="240" w:lineRule="auto"/>
      </w:pPr>
      <w:r>
        <w:rPr>
          <w:b/>
        </w:rPr>
        <w:t xml:space="preserve">[763] </w:t>
      </w:r>
      <w:hyperlink r:id="rId1979">
        <w:r>
          <w:rPr>
            <w:color w:val="1155CC"/>
            <w:u w:val="single"/>
          </w:rPr>
          <w:t>全范德华异质结构的室温多铁性</w:t>
        </w:r>
      </w:hyperlink>
    </w:p>
    <w:p>
      <w:pPr>
        <w:spacing w:before="0" w:after="80"/>
      </w:pPr>
      <w:r>
        <w:rPr>
          <w:i/>
          <w:sz w:val="20"/>
        </w:rPr>
        <w:t>EN: Room-temperature multiferroicity in all–van der Waals heterostructures</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80">
        <w:r>
          <w:rPr>
            <w:color w:val="1155CC"/>
            <w:u w:val="single"/>
          </w:rPr>
          <w:t>10.1126/science.adq0420</w:t>
        </w:r>
      </w:hyperlink>
    </w:p>
    <w:p>
      <w:pPr>
        <w:spacing w:before="0" w:after="120"/>
      </w:pPr>
      <w:r>
        <w:rPr>
          <w:b/>
        </w:rPr>
        <w:t xml:space="preserve">Notes: </w:t>
      </w:r>
      <w:r>
        <w:t>abstract_source=crossref</w:t>
      </w:r>
    </w:p>
    <w:p>
      <w:pPr>
        <w:spacing w:before="0" w:after="80" w:lineRule="auto" w:line="276"/>
      </w:pPr>
      <w:r>
        <w:rPr>
          <w:b/>
        </w:rPr>
        <w:t xml:space="preserve">摘要（ZH）: </w:t>
      </w:r>
      <w:r>
        <w:t>多铁性材料具有同时和耦合的铁序，允许不同的外部刺激引起其结构和性质的突然转变。在二维 (2D) 范德华 (vdW) 平台中创建多铁性将为这些系统的功能添加强量子限制、增强的准粒子激发和广泛的可调性等元素。在这项工作中，我们构建了铁磁三铁镓二碲化物（Fe</w:t>
      </w:r>
      <w:r>
        <w:rPr>
          <w:vertAlign w:val="subscript"/>
        </w:rPr>
        <w:t>3</w:t>
      </w:r>
      <w:r>
        <w:t>栅极</w:t>
      </w:r>
      <w:r>
        <w:rPr>
          <w:vertAlign w:val="subscript"/>
        </w:rPr>
        <w:t>2</w:t>
      </w:r>
      <w:r>
        <w:t>）和铁电铜铟硫代磷酸盐（CuInP</w:t>
      </w:r>
      <w:r>
        <w:rPr>
          <w:vertAlign w:val="subscript"/>
        </w:rPr>
        <w:t>2</w:t>
      </w:r>
      <w:r>
        <w:t>S</w:t>
      </w:r>
      <w:r>
        <w:rPr>
          <w:vertAlign w:val="subscript"/>
        </w:rPr>
        <w:t>6</w:t>
      </w:r>
      <w:r>
        <w:t>) 来整合各自的订单。我们通过展示 2D Fe 的铁电可重构磁各向异性，观察到室温下的强干涉耦合</w:t>
      </w:r>
      <w:r>
        <w:rPr>
          <w:vertAlign w:val="subscript"/>
        </w:rPr>
        <w:t>3</w:t>
      </w:r>
      <w:r>
        <w:t>栅极</w:t>
      </w:r>
      <w:r>
        <w:rPr>
          <w:vertAlign w:val="subscript"/>
        </w:rPr>
        <w:t>2</w:t>
      </w:r>
      <w:r>
        <w:t>。铁磁性随着Fe含量的增加而减弱</w:t>
      </w:r>
      <w:r>
        <w:rPr>
          <w:vertAlign w:val="subscript"/>
        </w:rPr>
        <w:t>3</w:t>
      </w:r>
      <w:r>
        <w:t>栅极</w:t>
      </w:r>
      <w:r>
        <w:rPr>
          <w:vertAlign w:val="subscript"/>
        </w:rPr>
        <w:t>2</w:t>
      </w:r>
      <w:r>
        <w:t>厚度，揭示异质结构多铁性的界面性质。我们对全 vdW 异质结构多铁性的发现为设计师 2D 多铁性材料人工组装 vdW 层打开了大门。</w:t>
      </w:r>
    </w:p>
    <w:p>
      <w:pPr>
        <w:spacing w:before="0" w:after="200" w:lineRule="auto" w:line="276"/>
      </w:pPr>
      <w:r>
        <w:rPr>
          <w:b/>
        </w:rPr>
        <w:t xml:space="preserve">Abstract (EN): </w:t>
      </w:r>
      <w:r>
        <w:t>Multiferroics host simultaneous and coupled ferroic orders, allowing disparate external stimuli to induce abrupt transformations in their structures and properties. Creating multiferroicity in two-dimensional (2D) van der Waals (vdW) platforms would add the elements of strong quantum confinement, enhanced quasiparticle excitations, and wide tunability to the capabilities of these systems. In this work, we constructed vdW heterostructures of ferromagnetic triiron gallium ditelluride (Fe</w:t>
      </w:r>
      <w:r>
        <w:rPr>
          <w:vertAlign w:val="subscript"/>
        </w:rPr>
        <w:t>3</w:t>
      </w:r>
      <w:r>
        <w:t>GaTe</w:t>
      </w:r>
      <w:r>
        <w:rPr>
          <w:vertAlign w:val="subscript"/>
        </w:rPr>
        <w:t>2</w:t>
      </w:r>
      <w:r>
        <w:t>) and ferroelectric copper indium thiophosphate (CuInP</w:t>
      </w:r>
      <w:r>
        <w:rPr>
          <w:vertAlign w:val="subscript"/>
        </w:rPr>
        <w:t>2</w:t>
      </w:r>
      <w:r>
        <w:t>S</w:t>
      </w:r>
      <w:r>
        <w:rPr>
          <w:vertAlign w:val="subscript"/>
        </w:rPr>
        <w:t>6</w:t>
      </w:r>
      <w:r>
        <w:t>) to integrate their respective orders. We observed strong interferroic coupling at room temperature by demonstrating ferroelectrically reconfigurable magnetic anisotropy of 2D Fe</w:t>
      </w:r>
      <w:r>
        <w:rPr>
          <w:vertAlign w:val="subscript"/>
        </w:rPr>
        <w:t>3</w:t>
      </w:r>
      <w:r>
        <w:t>GaTe</w:t>
      </w:r>
      <w:r>
        <w:rPr>
          <w:vertAlign w:val="subscript"/>
        </w:rPr>
        <w:t>2</w:t>
      </w:r>
      <w:r>
        <w:t>. The interferroic magnetoelectricity diminished with increasing Fe</w:t>
      </w:r>
      <w:r>
        <w:rPr>
          <w:vertAlign w:val="subscript"/>
        </w:rPr>
        <w:t>3</w:t>
      </w:r>
      <w:r>
        <w:t>GaTe</w:t>
      </w:r>
      <w:r>
        <w:rPr>
          <w:vertAlign w:val="subscript"/>
        </w:rPr>
        <w:t>2</w:t>
      </w:r>
      <w:r>
        <w:t>thickness, revealing the interfacial nature of heterostructure multiferroicity. Our discovery of all-vdW heterostructure multiferroicity opens the door to the artificial assembly of vdW layers for designer 2D multiferroics.</w:t>
      </w:r>
    </w:p>
    <w:p>
      <w:pPr>
        <w:spacing w:before="120" w:after="120"/>
      </w:pPr>
      <w:r>
        <w:rPr>
          <w:sz w:val="18"/>
        </w:rPr>
        <w:t>——————————————————————————————————————————————————————————————————————</w:t>
      </w:r>
    </w:p>
    <w:p>
      <w:pPr>
        <w:spacing w:before="160" w:after="40" w:line="240" w:lineRule="auto"/>
      </w:pPr>
      <w:r>
        <w:rPr>
          <w:b/>
        </w:rPr>
        <w:t xml:space="preserve">[764] </w:t>
      </w:r>
      <w:hyperlink r:id="rId1981">
        <w:r>
          <w:rPr>
            <w:color w:val="1155CC"/>
            <w:u w:val="single"/>
          </w:rPr>
          <w:t>加强针对疟疾的化学疫苗接种</w:t>
        </w:r>
      </w:hyperlink>
    </w:p>
    <w:p>
      <w:pPr>
        <w:spacing w:before="0" w:after="80"/>
      </w:pPr>
      <w:r>
        <w:rPr>
          <w:i/>
          <w:sz w:val="20"/>
        </w:rPr>
        <w:t>EN: A boost for chemical vaccination against malaria</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82">
        <w:r>
          <w:rPr>
            <w:color w:val="1155CC"/>
            <w:u w:val="single"/>
          </w:rPr>
          <w:t>10.1126/science.aek0196</w:t>
        </w:r>
      </w:hyperlink>
    </w:p>
    <w:p>
      <w:pPr>
        <w:spacing w:before="0" w:after="120"/>
      </w:pPr>
      <w:r>
        <w:rPr>
          <w:b/>
        </w:rPr>
        <w:t xml:space="preserve">Notes: </w:t>
      </w:r>
      <w:r>
        <w:t>abstract_source=crossref</w:t>
      </w:r>
    </w:p>
    <w:p>
      <w:pPr>
        <w:spacing w:before="0" w:after="80" w:lineRule="auto" w:line="276"/>
      </w:pPr>
      <w:r>
        <w:rPr>
          <w:b/>
        </w:rPr>
        <w:t xml:space="preserve">摘要（ZH）: </w:t>
      </w:r>
      <w:r>
        <w:t>化学抑制</w:t>
      </w:r>
      <w:r>
        <w:t xml:space="preserve"> </w:t>
      </w:r>
      <w:r>
        <w:t>疟原虫</w:t>
      </w:r>
      <w:r>
        <w:t xml:space="preserve"> </w:t>
      </w:r>
      <w:r>
        <w:t>血浆蛋白酶蛋白为基于药物的疟疾疫苗接种提供了新途径</w:t>
      </w:r>
    </w:p>
    <w:p>
      <w:pPr>
        <w:spacing w:before="0" w:after="200" w:lineRule="auto" w:line="276"/>
      </w:pPr>
      <w:r>
        <w:rPr>
          <w:b/>
        </w:rPr>
        <w:t xml:space="preserve">Abstract (EN): </w:t>
      </w:r>
      <w:r>
        <w:t>Chemical inhibition of</w:t>
      </w:r>
      <w:r>
        <w:t xml:space="preserve"> </w:t>
      </w:r>
      <w:r>
        <w:t>Plasmodium</w:t>
      </w:r>
      <w:r>
        <w:t xml:space="preserve"> </w:t>
      </w:r>
      <w:r>
        <w:t>plasmepsin proteins offers a new path for drug-based malaria vaccination</w:t>
      </w:r>
    </w:p>
    <w:p>
      <w:pPr>
        <w:spacing w:before="120" w:after="120"/>
      </w:pPr>
      <w:r>
        <w:rPr>
          <w:sz w:val="18"/>
        </w:rPr>
        <w:t>——————————————————————————————————————————————————————————————————————</w:t>
      </w:r>
    </w:p>
    <w:p>
      <w:pPr>
        <w:spacing w:before="160" w:after="40" w:line="240" w:lineRule="auto"/>
      </w:pPr>
      <w:r>
        <w:rPr>
          <w:b/>
        </w:rPr>
        <w:t xml:space="preserve">[765] </w:t>
      </w:r>
      <w:hyperlink r:id="rId1983">
        <w:r>
          <w:rPr>
            <w:color w:val="1155CC"/>
            <w:u w:val="single"/>
          </w:rPr>
          <w:t>染色体的相移结构</w:t>
        </w:r>
      </w:hyperlink>
    </w:p>
    <w:p>
      <w:pPr>
        <w:spacing w:before="0" w:after="80"/>
      </w:pPr>
      <w:r>
        <w:rPr>
          <w:i/>
          <w:sz w:val="20"/>
        </w:rPr>
        <w:t>EN: The phase-shifting architecture of chromosomes</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84">
        <w:r>
          <w:rPr>
            <w:color w:val="1155CC"/>
            <w:u w:val="single"/>
          </w:rPr>
          <w:t>10.1126/science.aek0561</w:t>
        </w:r>
      </w:hyperlink>
    </w:p>
    <w:p>
      <w:pPr>
        <w:spacing w:before="0" w:after="120"/>
      </w:pPr>
      <w:r>
        <w:rPr>
          <w:b/>
        </w:rPr>
        <w:t xml:space="preserve">Notes: </w:t>
      </w:r>
      <w:r>
        <w:t>abstract_source=crossref</w:t>
      </w:r>
    </w:p>
    <w:p>
      <w:pPr>
        <w:spacing w:before="0" w:after="80" w:lineRule="auto" w:line="276"/>
      </w:pPr>
      <w:r>
        <w:rPr>
          <w:b/>
        </w:rPr>
        <w:t xml:space="preserve">摘要（ZH）: </w:t>
      </w:r>
      <w:r>
        <w:t>有丝分裂染色体的大小和形状受到控制离子水凝胶的条件的影响</w:t>
      </w:r>
    </w:p>
    <w:p>
      <w:pPr>
        <w:spacing w:before="0" w:after="200" w:lineRule="auto" w:line="276"/>
      </w:pPr>
      <w:r>
        <w:rPr>
          <w:b/>
        </w:rPr>
        <w:t xml:space="preserve">Abstract (EN): </w:t>
      </w:r>
      <w:r>
        <w:t>Mitotic chromosome size and shape are influenced by conditions that control ionic hydrogels</w:t>
      </w:r>
    </w:p>
    <w:p>
      <w:pPr>
        <w:spacing w:before="120" w:after="120"/>
      </w:pPr>
      <w:r>
        <w:rPr>
          <w:sz w:val="18"/>
        </w:rPr>
        <w:t>——————————————————————————————————————————————————————————————————————</w:t>
      </w:r>
    </w:p>
    <w:p>
      <w:pPr>
        <w:spacing w:before="160" w:after="40" w:line="240" w:lineRule="auto"/>
      </w:pPr>
      <w:r>
        <w:rPr>
          <w:b/>
        </w:rPr>
        <w:t xml:space="preserve">[766] </w:t>
      </w:r>
      <w:hyperlink r:id="rId1985">
        <w:r>
          <w:rPr>
            <w:color w:val="1155CC"/>
            <w:u w:val="single"/>
          </w:rPr>
          <w:t>质子的下一个秘密</w:t>
        </w:r>
      </w:hyperlink>
    </w:p>
    <w:p>
      <w:pPr>
        <w:spacing w:before="0" w:after="80"/>
      </w:pPr>
      <w:r>
        <w:rPr>
          <w:i/>
          <w:sz w:val="20"/>
        </w:rPr>
        <w:t>EN: The proton’s next secret</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86">
        <w:r>
          <w:rPr>
            <w:color w:val="1155CC"/>
            <w:u w:val="single"/>
          </w:rPr>
          <w:t>10.1126/science.aek0574</w:t>
        </w:r>
      </w:hyperlink>
    </w:p>
    <w:p>
      <w:pPr>
        <w:spacing w:before="0" w:after="120"/>
      </w:pPr>
      <w:r>
        <w:rPr>
          <w:b/>
        </w:rPr>
        <w:t xml:space="preserve">Notes: </w:t>
      </w:r>
      <w:r>
        <w:t>abstract_source=crossref</w:t>
      </w:r>
    </w:p>
    <w:p>
      <w:pPr>
        <w:spacing w:before="0" w:after="80" w:lineRule="auto" w:line="276"/>
      </w:pPr>
      <w:r>
        <w:rPr>
          <w:b/>
        </w:rPr>
        <w:t xml:space="preserve">摘要（ZH）: </w:t>
      </w:r>
      <w:r>
        <w:t>新的测量结果检验了几十年前关于质子身份的假设</w:t>
      </w:r>
    </w:p>
    <w:p>
      <w:pPr>
        <w:spacing w:before="0" w:after="200" w:lineRule="auto" w:line="276"/>
      </w:pPr>
      <w:r>
        <w:rPr>
          <w:b/>
        </w:rPr>
        <w:t xml:space="preserve">Abstract (EN): </w:t>
      </w:r>
      <w:r>
        <w:t>New measurements test a decades-old hypothesis about the proton’s identity</w:t>
      </w:r>
    </w:p>
    <w:p>
      <w:pPr>
        <w:spacing w:before="120" w:after="120"/>
      </w:pPr>
      <w:r>
        <w:rPr>
          <w:sz w:val="18"/>
        </w:rPr>
        <w:t>——————————————————————————————————————————————————————————————————————</w:t>
      </w:r>
    </w:p>
    <w:p>
      <w:pPr>
        <w:spacing w:before="160" w:after="40" w:line="240" w:lineRule="auto"/>
      </w:pPr>
      <w:r>
        <w:rPr>
          <w:b/>
        </w:rPr>
        <w:t xml:space="preserve">[767] </w:t>
      </w:r>
      <w:hyperlink r:id="rId1987">
        <w:r>
          <w:rPr>
            <w:color w:val="1155CC"/>
            <w:u w:val="single"/>
          </w:rPr>
          <w:t>鲨鱼承受的压力</w:t>
        </w:r>
      </w:hyperlink>
    </w:p>
    <w:p>
      <w:pPr>
        <w:spacing w:before="0" w:after="80"/>
      </w:pPr>
      <w:r>
        <w:rPr>
          <w:i/>
          <w:sz w:val="20"/>
        </w:rPr>
        <w:t>EN: The scales of strain on sharks</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88">
        <w:r>
          <w:rPr>
            <w:color w:val="1155CC"/>
            <w:u w:val="single"/>
          </w:rPr>
          <w:t>10.1126/science.aek0549</w:t>
        </w:r>
      </w:hyperlink>
    </w:p>
    <w:p>
      <w:pPr>
        <w:spacing w:before="0" w:after="120"/>
      </w:pPr>
      <w:r>
        <w:rPr>
          <w:b/>
        </w:rPr>
        <w:t xml:space="preserve">Notes: </w:t>
      </w:r>
      <w:r>
        <w:t>abstract_source=crossref</w:t>
      </w:r>
    </w:p>
    <w:p>
      <w:pPr>
        <w:spacing w:before="0" w:after="80" w:lineRule="auto" w:line="276"/>
      </w:pPr>
      <w:r>
        <w:rPr>
          <w:b/>
        </w:rPr>
        <w:t xml:space="preserve">摘要（ZH）: </w:t>
      </w:r>
      <w:r>
        <w:t>化石记录将加勒比地区鲨鱼的减少归因于人类活动</w:t>
      </w:r>
    </w:p>
    <w:p>
      <w:pPr>
        <w:spacing w:before="0" w:after="200" w:lineRule="auto" w:line="276"/>
      </w:pPr>
      <w:r>
        <w:rPr>
          <w:b/>
        </w:rPr>
        <w:t xml:space="preserve">Abstract (EN): </w:t>
      </w:r>
      <w:r>
        <w:t>The fossil record attributes shark decline in the Caribbean to human activity</w:t>
      </w:r>
    </w:p>
    <w:p>
      <w:pPr>
        <w:spacing w:before="120" w:after="120"/>
      </w:pPr>
      <w:r>
        <w:rPr>
          <w:sz w:val="18"/>
        </w:rPr>
        <w:t>——————————————————————————————————————————————————————————————————————</w:t>
      </w:r>
    </w:p>
    <w:p>
      <w:pPr>
        <w:spacing w:before="160" w:after="40" w:line="240" w:lineRule="auto"/>
      </w:pPr>
      <w:r>
        <w:rPr>
          <w:b/>
        </w:rPr>
        <w:t xml:space="preserve">[768] </w:t>
      </w:r>
      <w:hyperlink r:id="rId1989">
        <w:r>
          <w:rPr>
            <w:color w:val="1155CC"/>
            <w:u w:val="single"/>
          </w:rPr>
          <w:t>鲨鱼治理需要物种身份</w:t>
        </w:r>
      </w:hyperlink>
    </w:p>
    <w:p>
      <w:pPr>
        <w:spacing w:before="0" w:after="80"/>
      </w:pPr>
      <w:r>
        <w:rPr>
          <w:i/>
          <w:sz w:val="20"/>
        </w:rPr>
        <w:t>EN: Shark governance requires species identity</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90">
        <w:r>
          <w:rPr>
            <w:color w:val="1155CC"/>
            <w:u w:val="single"/>
          </w:rPr>
          <w:t>10.1126/science.aek7995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[769] </w:t>
      </w:r>
      <w:hyperlink r:id="rId1991">
        <w:r>
          <w:rPr>
            <w:color w:val="1155CC"/>
            <w:u w:val="single"/>
          </w:rPr>
          <w:t>病原体基因组监测的公平性</w:t>
        </w:r>
      </w:hyperlink>
    </w:p>
    <w:p>
      <w:pPr>
        <w:spacing w:before="0" w:after="80"/>
      </w:pPr>
      <w:r>
        <w:rPr>
          <w:i/>
          <w:sz w:val="20"/>
        </w:rPr>
        <w:t>EN: Equity in pathogen genomic surveillance</w:t>
      </w:r>
    </w:p>
    <w:p>
      <w:pPr>
        <w:spacing w:before="0" w:after="120"/>
      </w:pPr>
      <w:r>
        <w:rPr>
          <w:b/>
        </w:rPr>
        <w:t xml:space="preserve">Source: </w:t>
      </w:r>
      <w:r>
        <w:t>AAAS: Science: Table of Contents</w:t>
      </w:r>
      <w:r>
        <w:t xml:space="preserve">    </w:t>
      </w:r>
      <w:r>
        <w:rPr>
          <w:b/>
        </w:rPr>
        <w:t xml:space="preserve">Pub date: </w:t>
      </w:r>
      <w:r>
        <w:t>2026-08-13 06:00:12+00:00</w:t>
      </w:r>
      <w:r>
        <w:t xml:space="preserve">    </w:t>
      </w:r>
      <w:r>
        <w:rPr>
          <w:b/>
        </w:rPr>
        <w:t xml:space="preserve">DOI: </w:t>
      </w:r>
      <w:hyperlink r:id="rId1992">
        <w:r>
          <w:rPr>
            <w:color w:val="1155CC"/>
            <w:u w:val="single"/>
          </w:rPr>
          <w:t>10.1126/science.aej6968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[770] </w:t>
      </w:r>
      <w:hyperlink r:id="rId1993">
        <w:r>
          <w:rPr>
            <w:color w:val="1155CC"/>
            <w:u w:val="single"/>
          </w:rPr>
          <w:t>密码子优化消除了蛋白质编码核酸疗法替代阅读框中的终止密码子</w:t>
        </w:r>
      </w:hyperlink>
    </w:p>
    <w:p>
      <w:pPr>
        <w:spacing w:before="0" w:after="80"/>
      </w:pPr>
      <w:r>
        <w:rPr>
          <w:i/>
          <w:sz w:val="20"/>
        </w:rPr>
        <w:t>EN: Codon optimization depletes stop codons in alternative reading frames of protein-coding nucleic acid therapeutics</w:t>
      </w:r>
    </w:p>
    <w:p>
      <w:pPr>
        <w:spacing w:before="0" w:after="120"/>
      </w:pPr>
      <w:r>
        <w:rPr>
          <w:b/>
        </w:rPr>
        <w:t xml:space="preserve">Source: </w:t>
      </w:r>
      <w:r>
        <w:t>Proceedings of the National Academy of Sciences: Keyword search for query</w:t>
      </w:r>
      <w:r>
        <w:t xml:space="preserve">    </w:t>
      </w:r>
      <w:r>
        <w:rPr>
          <w:b/>
        </w:rPr>
        <w:t xml:space="preserve">Pub date: </w:t>
      </w:r>
      <w:r>
        <w:t>2026-08-13 07:00:00+00:00</w:t>
      </w:r>
      <w:r>
        <w:t xml:space="preserve">    </w:t>
      </w:r>
      <w:r>
        <w:rPr>
          <w:b/>
        </w:rPr>
        <w:t xml:space="preserve">DOI: </w:t>
      </w:r>
      <w:hyperlink r:id="rId1994">
        <w:r>
          <w:rPr>
            <w:color w:val="1155CC"/>
            <w:u w:val="single"/>
          </w:rPr>
          <w:t>10.1073/pnas.2606609123</w:t>
        </w:r>
      </w:hyperlink>
    </w:p>
    <w:p>
      <w:pPr>
        <w:spacing w:before="0" w:after="120"/>
      </w:pPr>
      <w:r>
        <w:rPr>
          <w:b/>
        </w:rPr>
        <w:t xml:space="preserve">Notes: </w:t>
      </w:r>
      <w:r>
        <w:t>abstract_source=crossref</w:t>
      </w:r>
    </w:p>
    <w:p>
      <w:pPr>
        <w:spacing w:before="0" w:after="80" w:lineRule="auto" w:line="276"/>
      </w:pPr>
      <w:r>
        <w:rPr>
          <w:b/>
        </w:rPr>
        <w:t xml:space="preserve">摘要（ZH）: </w:t>
      </w:r>
      <w:r>
        <w:t>由核糖体移码或非规范起始引起的框架外翻译事件是翻译不可避免的特征。它们的后果取决于终止密码子在替代阅读框架中的分布，这决定了这些框架的许可性：框架外翻译是否快速终止或生成扩展产物。使用定量双荧光报告基因，我们证明这些终止密码子充当终止框外翻译的分子检查点。对 10 种生物体的全基因组分析表明，天然编码序列在替代框架中保持密集的终止密码子分布，中位间隔约为 20 个氨基酸。密码子优化是增强翻译的标准方法，系统地耗尽了这种保护措施。由于所有三个终止密码子（UAA、UAG、UGA）均以尿苷开头，而最佳人类密码子将尿苷从第三位排除，因此 -1 阅读框中的终止密码子在密码子优化序列中在结构上变得不可能。对 120 个治疗序列（包括 FDA 批准的 COVID-19 信使 RNA (mRNA) 疫苗）的分析证实了广泛的 -1 框终止密码子缺失：框外产物平均有 164 个氨基酸，比天然人类基因长六倍。通过同义替换策略性恢复终止密码子，消除了质谱可检测到的框外产物，同时保留了预期的蛋白质。尽管已在 COVID-19 mRNA 疫苗接受者中检测到此类产品和免疫反应，但没有证据表明它们可以</w:t>
      </w:r>
    </w:p>
    <w:p>
      <w:pPr>
        <w:spacing w:before="0" w:after="200" w:lineRule="auto" w:line="276"/>
      </w:pPr>
      <w:r>
        <w:rPr>
          <w:b/>
        </w:rPr>
        <w:t xml:space="preserve">Abstract (EN): </w:t>
      </w:r>
      <w:r>
        <w:t>Out-of-frame translation events, arising from ribosomal frameshifting or noncanonical initiation, are an unavoidable feature of translation. Their consequences depend on the distribution of stop codons in alternative reading frames, which determines the permissiveness of those frames: whether out-of-frame translation terminates quickly or generates extended products. Using quantitative dual-fluorescence reporters, we show that these stop codons function as molecular checkpoints that terminate out-of-frame translation. Genome-wide analysis across 10 organisms reveals that natural coding sequences maintain dense stop codon distributions in alternative frames, with a median spacing of approximately 20 amino acids. Codon optimization, the standard method for enhancing translation, systematically depletes this safeguard. Because all three stop codons (UAA, UAG, UGA) begin with uridine, and optimal human codons exclude uridine from third positions, stop codons in the −1 reading frame become structurally impossible in codon-optimized sequences. Analysis of 120 therapeutic sequences, including FDA-approved COVID-19 messenger RNA (mRNA) vaccines, confirms widespread −1 frame stop codon depletion: out-of-frame products average 164 amino acids, sixfold longer than in natural human genes. Strategic restoration of stop codons through synonymous substitutions eliminates detectable out-of-frame products by mass spectrometry while preserving the intended protein. Although such products and immune responses have been detected in COVID-19 mRNA vaccine recipients, there is no evidence they cause clinical harm; nonetheless, our approach offers a simple way to eliminate them through informed sequence design alone, without changes to manufacturing or regulatory frameworks. Our findings establish stop codon distribution as a critical design parameter for protein-coding nucleic acid therapeutics.</w:t>
      </w:r>
    </w:p>
    <w:p>
      <w:pPr>
        <w:spacing w:before="120" w:after="120"/>
      </w:pPr>
      <w:r>
        <w:rPr>
          <w:sz w:val="18"/>
        </w:rPr>
        <w:t>——————————————————————————————————————————————————————————————————————</w:t>
      </w:r>
    </w:p>
    <w:p>
      <w:pPr>
        <w:spacing w:before="160" w:after="40" w:line="240" w:lineRule="auto"/>
      </w:pPr>
      <w:r>
        <w:rPr>
          <w:b/>
        </w:rPr>
        <w:t xml:space="preserve">[771] </w:t>
      </w:r>
      <w:hyperlink r:id="rId1995">
        <w:r>
          <w:rPr>
            <w:color w:val="1155CC"/>
            <w:u w:val="single"/>
          </w:rPr>
          <w:t>量子化学的随机张量收缩</w:t>
        </w:r>
      </w:hyperlink>
    </w:p>
    <w:p>
      <w:pPr>
        <w:spacing w:before="0" w:after="80"/>
      </w:pPr>
      <w:r>
        <w:rPr>
          <w:i/>
          <w:sz w:val="20"/>
        </w:rPr>
        <w:t>EN: Stochastic tensor contraction for quantum chemistry</w:t>
      </w:r>
    </w:p>
    <w:p>
      <w:pPr>
        <w:spacing w:before="0" w:after="120"/>
      </w:pPr>
      <w:r>
        <w:rPr>
          <w:b/>
        </w:rPr>
        <w:t xml:space="preserve">Source: </w:t>
      </w:r>
      <w:r>
        <w:t>Proceedings of the National Academy of Sciences: Keyword search for query</w:t>
      </w:r>
      <w:r>
        <w:t xml:space="preserve">    </w:t>
      </w:r>
      <w:r>
        <w:rPr>
          <w:b/>
        </w:rPr>
        <w:t xml:space="preserve">Pub date: </w:t>
      </w:r>
      <w:r>
        <w:t>2026-08-13 07:00:00+00:00</w:t>
      </w:r>
      <w:r>
        <w:t xml:space="preserve">    </w:t>
      </w:r>
      <w:r>
        <w:rPr>
          <w:b/>
        </w:rPr>
        <w:t xml:space="preserve">DOI: </w:t>
      </w:r>
      <w:hyperlink r:id="rId1996">
        <w:r>
          <w:rPr>
            <w:color w:val="1155CC"/>
            <w:u w:val="single"/>
          </w:rPr>
          <w:t>10.1073/pnas.2609149123</w:t>
        </w:r>
      </w:hyperlink>
    </w:p>
    <w:p>
      <w:pPr>
        <w:spacing w:before="0" w:after="120"/>
      </w:pPr>
      <w:r>
        <w:rPr>
          <w:b/>
        </w:rPr>
        <w:t xml:space="preserve">Notes: </w:t>
      </w:r>
      <w:r>
        <w:t>abstract_source=crossref</w:t>
      </w:r>
    </w:p>
    <w:p>
      <w:pPr>
        <w:spacing w:before="0" w:after="80" w:lineRule="auto" w:line="276"/>
      </w:pPr>
      <w:r>
        <w:rPr>
          <w:b/>
        </w:rPr>
        <w:t xml:space="preserve">摘要（ZH）: </w:t>
      </w:r>
      <w:r>
        <w:t>从头算量子化学中的许多计算方法都是根据高阶张量收缩来制定的，其成本决定了可以研究的系统的大小。我们引入随机张量收缩来以大大降低的成本执行此类操作，并将其应用于黄金标准量子化学方法、耦合簇理论以及微扰三元组。对于比化学精度更严格的总能量误差，我们将计算比例降低到精确平均场理论的计算比例，同时开始接近实际的平均场绝对成本，从而挑战现有的成本精度格局。针对最先进的局部相关近似的基准进一步表明，我们在总计算时间和误差方面实现了数量级的改进，同时显着降低了对系统维数和电子离域的敏感性。我们得出的结论是，随机张量收缩是加速广泛量子化学的强大计算原语。</w:t>
      </w:r>
    </w:p>
    <w:p>
      <w:pPr>
        <w:spacing w:before="0" w:after="200" w:lineRule="auto" w:line="276"/>
      </w:pPr>
      <w:r>
        <w:rPr>
          <w:b/>
        </w:rPr>
        <w:t xml:space="preserve">Abstract (EN): </w:t>
      </w:r>
      <w:r>
        <w:t>Many computational methods in ab initio quantum chemistry are formulated in terms of high-order tensor contractions, whose cost determines the size of system that can be studied. We introduce stochastic tensor contraction to perform such operations with greatly reduced cost, and present its application to the gold-standard quantum chemistry method, coupled cluster theory with up to perturbative triples. For total energy errors more stringent than chemical accuracy, we reduce the computational scaling to that of exact mean-field theory, while starting to approach the practical mean-field absolute cost, thereby challenging the existing cost-to-accuracy landscape. Benchmarks against state-of-the-art local correlation approximations further show that we achieve an order-of-magnitude improvement in both total computation time and error, with significantly reduced sensitivity to system dimensionality and electron delocalization. We conclude that stochastic tensor contraction is a powerful computational primitive to accelerate a wide range of quantum chemistry.</w:t>
      </w:r>
    </w:p>
    <w:p>
      <w:pPr>
        <w:spacing w:before="120" w:after="120"/>
      </w:pPr>
      <w:r>
        <w:rPr>
          <w:sz w:val="18"/>
        </w:rPr>
        <w:t>——————————————————————————————————————————————————————————————————————</w:t>
      </w:r>
    </w:p>
    <w:p>
      <w:pPr>
        <w:spacing w:before="160" w:after="40" w:line="240" w:lineRule="auto"/>
      </w:pPr>
      <w:r>
        <w:rPr>
          <w:b/>
        </w:rPr>
        <w:t xml:space="preserve">[772] </w:t>
      </w:r>
      <w:hyperlink r:id="rId1997">
        <w:r>
          <w:rPr>
            <w:color w:val="1155CC"/>
            <w:u w:val="single"/>
          </w:rPr>
          <w:t>反应壁增强并延长扩散电泳传输至死端通道</w:t>
        </w:r>
      </w:hyperlink>
    </w:p>
    <w:p>
      <w:pPr>
        <w:spacing w:before="0" w:after="80"/>
      </w:pPr>
      <w:r>
        <w:rPr>
          <w:i/>
          <w:sz w:val="20"/>
        </w:rPr>
        <w:t>EN: Reactive walls enhance and prolong diffusiophoretic transport into dead-end channels</w:t>
      </w:r>
    </w:p>
    <w:p>
      <w:pPr>
        <w:spacing w:before="0" w:after="120"/>
      </w:pPr>
      <w:r>
        <w:rPr>
          <w:b/>
        </w:rPr>
        <w:t xml:space="preserve">Source: </w:t>
      </w:r>
      <w:r>
        <w:t>Proceedings of the National Academy of Sciences: Keyword search for query</w:t>
      </w:r>
      <w:r>
        <w:t xml:space="preserve">    </w:t>
      </w:r>
      <w:r>
        <w:rPr>
          <w:b/>
        </w:rPr>
        <w:t xml:space="preserve">Pub date: </w:t>
      </w:r>
      <w:r>
        <w:t>2026-08-13 07:00:00+00:00</w:t>
      </w:r>
      <w:r>
        <w:t xml:space="preserve">    </w:t>
      </w:r>
      <w:r>
        <w:rPr>
          <w:b/>
        </w:rPr>
        <w:t xml:space="preserve">DOI: </w:t>
      </w:r>
      <w:hyperlink r:id="rId1998">
        <w:r>
          <w:rPr>
            <w:color w:val="1155CC"/>
            <w:u w:val="single"/>
          </w:rPr>
          <w:t>10.1073/pnas.2529109123</w:t>
        </w:r>
      </w:hyperlink>
    </w:p>
    <w:p>
      <w:pPr>
        <w:spacing w:before="0" w:after="120"/>
      </w:pPr>
      <w:r>
        <w:rPr>
          <w:b/>
        </w:rPr>
        <w:t xml:space="preserve">Notes: </w:t>
      </w:r>
      <w:r>
        <w:t>abstract_source=crossref</w:t>
      </w:r>
    </w:p>
    <w:p>
      <w:pPr>
        <w:spacing w:before="0" w:after="80" w:lineRule="auto" w:line="276"/>
      </w:pPr>
      <w:r>
        <w:rPr>
          <w:b/>
        </w:rPr>
        <w:t xml:space="preserve">摘要（ZH）: </w:t>
      </w:r>
      <w:r>
        <w:t>扩散电泳和马兰戈尼传输等非平衡胶体传输机制可以通过利用原位或外部施加的化学梯度来快速、有针对性地输送胶体，特别是在压力驱动流无效的死端孔等系统中。然而，这种运输的持续时间受到驱动梯度持续时间的限制。在这里，我们提出了一种通用策略，使用优先吸附驱动溶质的通道壁来延长死端通道中梯度驱动的胶体运输。溶质分配降低了横截面平均溶质场的有效扩散率，从而减慢了溶质场的演变，而不减少颗粒扩散泳动。我们在受控微流体系统中演示了这一概念，其中聚苯乙烯颗粒沿着十二烷基硫酸钠梯度扩散电泳迁移，其演变可以通过用聚乙二醇二丙烯酸酯水凝胶层涂覆通道壁来控制。研究表明，吸收壁可以增强颗粒向死端孔隙的输送，颗粒速度场和颗粒输送量的增加在定性和定量上与理论预测一致。这种方法提供了一个控制和指导复杂几何形状的微尺度传输的通用框架，在提高石油采收率、药物输送和消费品设计方面具有潜在的应用。</w:t>
      </w:r>
    </w:p>
    <w:p>
      <w:pPr>
        <w:spacing w:before="0" w:after="200" w:lineRule="auto" w:line="276"/>
      </w:pPr>
      <w:r>
        <w:rPr>
          <w:b/>
        </w:rPr>
        <w:t xml:space="preserve">Abstract (EN): </w:t>
      </w:r>
      <w:r>
        <w:t>Nonequilibrium colloidal transport mechanisms such as diffusiophoresis and Marangoni transport enable rapid and targeted delivery of colloids by exploiting in-situ or externally imposed chemical gradients, particularly in systems like dead-end pores where pressure-driven flow is ineffective. However, the duration of such transport is limited by how long the driving gradient persists. Here, we present a general strategy to prolong gradient-driven colloidal transport in dead-end channels using channel walls that preferentially adsorb the driving solute. Solute partitioning reduces the effective diffusivity of the cross-sectionally averaged solute field, slowing the evolution of the solute field without reducing particle diffusiophoresis. We demonstrate this concept in a controlled microfluidic system, where polystyrene particles migrate diffusiophoretically down sodium dodecyl sulfate gradients whose evolution can be controlled by coating channel walls with polyethylene diacrylate hydrogel layers. Absorbing walls are shown to enhance particle delivery into dead-end pores, with particle velocity fields and increases in particle deliveries that agree qualitatively and quantitatively with theoretical predictions. This approach offers a general framework to control and direct microscale transport in complex geometries, with potential applications in enhanced oil recovery, drug delivery, and consumer product design.</w:t>
      </w:r>
    </w:p>
    <w:p>
      <w:pPr>
        <w:spacing w:before="120" w:after="120"/>
      </w:pPr>
      <w:r>
        <w:rPr>
          <w:sz w:val="18"/>
        </w:rPr>
        <w:t>——————————————————————————————————————————————————————————————————————</w:t>
      </w:r>
    </w:p>
    <w:p>
      <w:pPr>
        <w:spacing w:before="160" w:after="40" w:line="240" w:lineRule="auto"/>
      </w:pPr>
      <w:r>
        <w:rPr>
          <w:b/>
        </w:rPr>
        <w:t xml:space="preserve">[773] </w:t>
      </w:r>
      <w:hyperlink r:id="rId1999">
        <w:r>
          <w:rPr>
            <w:color w:val="1155CC"/>
            <w:u w:val="single"/>
          </w:rPr>
          <w:t>RAD51 的 AAA+ 解折叠酶的调节接头可促进同源重组介导的 DNA 修复和基因组稳定性</w:t>
        </w:r>
      </w:hyperlink>
    </w:p>
    <w:p>
      <w:pPr>
        <w:spacing w:before="0" w:after="80"/>
      </w:pPr>
      <w:r>
        <w:rPr>
          <w:i/>
          <w:sz w:val="20"/>
        </w:rPr>
        <w:t>EN: A regulatory adaptor for RAD51’s AAA+ unfoldase promotes homologous recombination–mediated DNA repair and genome stability</w:t>
      </w:r>
    </w:p>
    <w:p>
      <w:pPr>
        <w:spacing w:before="0" w:after="120"/>
      </w:pPr>
      <w:r>
        <w:rPr>
          <w:b/>
        </w:rPr>
        <w:t xml:space="preserve">Source: </w:t>
      </w:r>
      <w:r>
        <w:t>Proceedings of the National Academy of Sciences: Keyword search for query</w:t>
      </w:r>
      <w:r>
        <w:t xml:space="preserve">    </w:t>
      </w:r>
      <w:r>
        <w:rPr>
          <w:b/>
        </w:rPr>
        <w:t xml:space="preserve">Pub date: </w:t>
      </w:r>
      <w:r>
        <w:t>2026-08-13 07:00:00+00:00</w:t>
      </w:r>
      <w:r>
        <w:t xml:space="preserve">    </w:t>
      </w:r>
      <w:r>
        <w:rPr>
          <w:b/>
        </w:rPr>
        <w:t xml:space="preserve">DOI: </w:t>
      </w:r>
      <w:hyperlink r:id="rId2000">
        <w:r>
          <w:rPr>
            <w:color w:val="1155CC"/>
            <w:u w:val="single"/>
          </w:rPr>
          <w:t>10.1073/pnas.2531632123</w:t>
        </w:r>
      </w:hyperlink>
    </w:p>
    <w:p>
      <w:pPr>
        <w:spacing w:before="0" w:after="120"/>
      </w:pPr>
      <w:r>
        <w:rPr>
          <w:b/>
        </w:rPr>
        <w:t xml:space="preserve">Notes: </w:t>
      </w:r>
      <w:r>
        <w:t>abstract_source=crossref</w:t>
      </w:r>
    </w:p>
    <w:p>
      <w:pPr>
        <w:spacing w:before="0" w:after="80" w:lineRule="auto" w:line="276"/>
      </w:pPr>
      <w:r>
        <w:rPr>
          <w:b/>
        </w:rPr>
        <w:t xml:space="preserve">摘要（ZH）: </w:t>
      </w:r>
      <w:r>
        <w:t>DNA 双链断裂，包括 DNA 链间交联引起的断裂，是 DNA 损伤的高细胞毒性形式。它们通过同源重组 (HR) 进行的精确修复对于维持基因组稳定性至关重要。在 HR 过程中，及时拆卸核心机械 RAD51 核蛋白丝至关重要。 FigNL1–FIRRM（也称为 C1orf112）AAA+ ATPase 最近被我们和其他人鉴定为一种新型抗重组酶，它通过 ATPase 驱动的解折叠机制促进 RAD51 分解，该机制不同于所有先前表征的途径。在本研究中，我们将 MACIR/C5orf30 确定为 FigNL1-FIRRM 解折叠酶的接头。 MACIR 直接结合 FIRRM，形成三元复合物，促进 RAD51 细丝分解，并促进醛类和铂类药物等药物诱导的 DNA 损伤的修复。 MACIR 缺失导致 DNA 损伤积累和基因组不稳定，激活炎症信号，将 MACIR 缺陷与自身免疫和肿瘤相关病理联系起来。我们进一步表明，MACIR 与 FIRRM 和 DNA 的直接相互作用都是 DNA 修复所必需的，这表明 MACIR 在功能上连接了这些组件。 MACIR-FIRRM-FIGNL1 的高表达与卵巢癌患者的不良预后相关，我们鉴定出该复合物与抑制剂（小分子化合物 8 和 10）的药理学靶向可使卵巢癌细胞对铂类药物敏感。因此，我们的研究结果表明 MACIR 是 RAD51 展开复合体中的一个关键调节适配器，它在 c 的附加层中发挥作用。</w:t>
      </w:r>
    </w:p>
    <w:p>
      <w:pPr>
        <w:spacing w:before="0" w:after="200" w:lineRule="auto" w:line="276"/>
      </w:pPr>
      <w:r>
        <w:rPr>
          <w:b/>
        </w:rPr>
        <w:t xml:space="preserve">Abstract (EN): </w:t>
      </w:r>
      <w:r>
        <w:t>DNA double-strand breaks, including those arising from DNA interstrand crosslinks, are highly cytotoxic forms of DNA damage. Their precise repair by homologous recombination (HR) is essential for maintaining genomic stability. During HR, timely disassembly of the core machinery, RAD51 nucleoprotein filaments, is critical. The FIGNL1–FIRRM (also known as C1orf112) AAA+ ATPase has recently been identified by us and others as a novel anti-recombinase that facilitates RAD51 disassembly via an ATPase-driven unfolding mechanism distinct from all previously characterized pathways. In this study, we identify MACIR/C5orf30 as an adaptor for FIGNL1–FIRRM unfoldase. MACIR directly binds FIRRM, forming a ternary complex that promotes RAD51 filament disassembly and facilitates repair of DNA damage induced by agents including aldehydes and platinum drugs. MACIR loss leads to DNA damage accumulation and genome instability, activates inflammatory signaling, linking MACIR deficiency to autoimmune and tumor-related pathologies. We further show that MACIR’s direct interactions with FIRRM and DNA are both required for DNA repair, indicating that MACIR functionally links these components. High expression of MACIR–FIRRM–FIGNL1 correlates with poor prognosis in ovarian cancer patients, and pharmacological targeting of this complex with the inhibitors (small-molecule compound 8 and 10) we identified sensitizes ovarian cancer cells to platinum drugs. Therefore, our findings reveal MACIR as a critical regulatory adaptor within this RAD51-unfolding complex, which functions in an additional layer of control over DNA repair and genome stability, and suggest that its inhibition could enhance chemotherapeutic efficacy in cancer treatment.</w:t>
      </w:r>
    </w:p>
    <w:p>
      <w:pPr>
        <w:spacing w:before="120" w:after="120"/>
      </w:pPr>
      <w:r>
        <w:rPr>
          <w:sz w:val="18"/>
        </w:rPr>
        <w:t>——————————————————————————————————————————————————————————————————————</w:t>
      </w:r>
    </w:p>
    <w:p>
      <w:pPr>
        <w:spacing w:before="160" w:after="40" w:line="240" w:lineRule="auto"/>
      </w:pPr>
      <w:r>
        <w:rPr>
          <w:b/>
        </w:rPr>
        <w:t xml:space="preserve">[774] </w:t>
      </w:r>
      <w:hyperlink r:id="rId2001">
        <w:r>
          <w:rPr>
            <w:color w:val="1155CC"/>
            <w:u w:val="single"/>
          </w:rPr>
          <w:t>人工冬眠揭示了与记忆保留相关的突触印迹结构</w:t>
        </w:r>
      </w:hyperlink>
    </w:p>
    <w:p>
      <w:pPr>
        <w:spacing w:before="0" w:after="80"/>
      </w:pPr>
      <w:r>
        <w:rPr>
          <w:i/>
          <w:sz w:val="20"/>
        </w:rPr>
        <w:t>EN: Artificial hibernation reveals synaptic engram architecture associated with memory retention</w:t>
      </w:r>
    </w:p>
    <w:p>
      <w:pPr>
        <w:spacing w:before="0" w:after="120"/>
      </w:pPr>
      <w:r>
        <w:rPr>
          <w:b/>
        </w:rPr>
        <w:t xml:space="preserve">Source: </w:t>
      </w:r>
      <w:r>
        <w:t>AAAS: Science: Table of Contents</w:t>
      </w:r>
      <w:r>
        <w:t xml:space="preserve">    </w:t>
      </w:r>
      <w:r>
        <w:rPr>
          <w:b/>
        </w:rPr>
        <w:t xml:space="preserve">Pub date: </w:t>
      </w:r>
      <w:r>
        <w:t>2026-08-13 07:00:00+00:00</w:t>
      </w:r>
      <w:r>
        <w:t xml:space="preserve">    </w:t>
      </w:r>
      <w:r>
        <w:rPr>
          <w:b/>
        </w:rPr>
        <w:t xml:space="preserve">DOI: </w:t>
      </w:r>
      <w:hyperlink r:id="rId2002">
        <w:r>
          <w:rPr>
            <w:color w:val="1155CC"/>
            <w:u w:val="single"/>
          </w:rPr>
          <w:t>10.1126/science.aee7004</w:t>
        </w:r>
      </w:hyperlink>
    </w:p>
    <w:p>
      <w:pPr>
        <w:spacing w:before="0" w:after="120"/>
      </w:pPr>
      <w:r>
        <w:rPr>
          <w:b/>
        </w:rPr>
        <w:t xml:space="preserve">Notes: </w:t>
      </w:r>
      <w:r>
        <w:t>abstract_source=crossref</w:t>
      </w:r>
    </w:p>
    <w:p>
      <w:pPr>
        <w:spacing w:before="0" w:after="80" w:lineRule="auto" w:line="276"/>
      </w:pPr>
      <w:r>
        <w:rPr>
          <w:b/>
        </w:rPr>
        <w:t xml:space="preserve">摘要（ZH）: </w:t>
      </w:r>
      <w:r>
        <w:t>记忆会在突触层面留下持久的物理变化。尽管稳定、较大的树突棘被认为支持记忆，但树突棘的高周转率和记忆形成后神经元表征的漂移表明了其他可能性。为了阐明记忆保留背后的结构痕迹，我们使用了人工冬眠的小鼠模型。在冬眠期间，海马神经元的活性显着降低，树突棘和突触广泛消除。尽管发生了这些变化，他们的记忆和相关的海马神经元表征仍然完好无损。我们发现，以与多突触按钮的突触接触为特征的棘子集在冬眠期间得以维持。这些发现表明，突触印迹结构（而不​​是较大的刺本身）对网络重塑具有弹性，并与长期记忆保留相关。</w:t>
      </w:r>
    </w:p>
    <w:p>
      <w:pPr>
        <w:spacing w:before="0" w:after="200" w:lineRule="auto" w:line="276"/>
      </w:pPr>
      <w:r>
        <w:rPr>
          <w:b/>
        </w:rPr>
        <w:t xml:space="preserve">Abstract (EN): </w:t>
      </w:r>
      <w:r>
        <w:t>Memories leave lasting physical changes at the synaptic level. Although stable, larger spines are thought to support memory, the high turnover of dendritic spines and the drifting of neuronal representations after memory formation suggest alternative possibilities. To elucidate the structural trace underlying memory retention, we used a mouse model of artificial hibernation. During hibernation, hippocampal neurons exhibited a substantial reduction in their activity and an extensive elimination of dendritic spines and synapses. Despite these changes, their memory and associated hippocampal neuronal representations remained intact. We found that a subset of spines characterized by synaptic contacts with multisynaptic boutons is maintained during hibernation. These findings suggest that synaptic engram architecture, rather than larger spines per se, is resilient to network remodeling and associated with long-term memory retention.</w:t>
      </w:r>
    </w:p>
    <w:p>
      <w:pPr>
        <w:spacing w:before="120" w:after="120"/>
      </w:pPr>
      <w:r>
        <w:rPr>
          <w:sz w:val="18"/>
        </w:rPr>
        <w:t>——————————————————————————————————————————————————————————————————————</w:t>
      </w:r>
    </w:p>
    <w:p>
      <w:pPr>
        <w:spacing w:before="160" w:after="40" w:line="240" w:lineRule="auto"/>
      </w:pPr>
      <w:r>
        <w:rPr>
          <w:b/>
        </w:rPr>
        <w:t xml:space="preserve">[775] </w:t>
      </w:r>
      <w:hyperlink r:id="rId2003">
        <w:r>
          <w:rPr>
            <w:color w:val="1155CC"/>
            <w:u w:val="single"/>
          </w:rPr>
          <w:t>组蛋白 H3K27M 变异决定弥漫性中线神经胶质瘤的骨髓亚群依赖性和免疫重编程</w:t>
        </w:r>
      </w:hyperlink>
    </w:p>
    <w:p>
      <w:pPr>
        <w:spacing w:before="0" w:after="80"/>
      </w:pPr>
      <w:r>
        <w:rPr>
          <w:i/>
          <w:sz w:val="20"/>
        </w:rPr>
        <w:t>EN: Histone H3K27M variants determine myeloid subset dependencies and immune reprogramming in diffuse midline glioma</w:t>
      </w:r>
    </w:p>
    <w:p>
      <w:pPr>
        <w:spacing w:before="0" w:after="120"/>
      </w:pPr>
      <w:r>
        <w:rPr>
          <w:b/>
        </w:rPr>
        <w:t xml:space="preserve">Source: </w:t>
      </w:r>
      <w:r>
        <w:t>Proceedings of the National Academy of Sciences: Keyword search for query</w:t>
      </w:r>
      <w:r>
        <w:t xml:space="preserve">    </w:t>
      </w:r>
      <w:r>
        <w:rPr>
          <w:b/>
        </w:rPr>
        <w:t xml:space="preserve">Pub date: </w:t>
      </w:r>
      <w:r>
        <w:t>2026-08-13 07:00:00+00:00</w:t>
      </w:r>
      <w:r>
        <w:t xml:space="preserve">    </w:t>
      </w:r>
      <w:r>
        <w:rPr>
          <w:b/>
        </w:rPr>
        <w:t xml:space="preserve">DOI: </w:t>
      </w:r>
      <w:hyperlink r:id="rId2004">
        <w:r>
          <w:rPr>
            <w:color w:val="1155CC"/>
            <w:u w:val="single"/>
          </w:rPr>
          <w:t>10.1073/pnas.2537768123</w:t>
        </w:r>
      </w:hyperlink>
    </w:p>
    <w:p>
      <w:pPr>
        <w:spacing w:before="0" w:after="120"/>
      </w:pPr>
      <w:r>
        <w:rPr>
          <w:b/>
        </w:rPr>
        <w:t xml:space="preserve">Notes: </w:t>
      </w:r>
      <w:r>
        <w:t>abstract_source=crossref</w:t>
      </w:r>
    </w:p>
    <w:p>
      <w:pPr>
        <w:spacing w:before="0" w:after="80" w:lineRule="auto" w:line="276"/>
      </w:pPr>
      <w:r>
        <w:rPr>
          <w:b/>
        </w:rPr>
        <w:t xml:space="preserve">摘要（ZH）: </w:t>
      </w:r>
      <w:r>
        <w:t>弥漫性中线神经胶质瘤 (DMG) 是一种高度侵袭性的 WHO 4 级神经胶质瘤，产生于中线中枢神经系统结构，由组蛋白 H3 基因中的 K27M 突变定义。这些 K27M 突变塑造了 DMG 中瘤内骨髓细胞的组成。在 H3.1K27M DMG 中，单核细胞募集的基因消融通过减少单核细胞源性巨噬细胞 (MDM) 并增加小胶质细胞和中性粒细胞的存在来重塑肿瘤微环境 (TME)，而总体生存率保持不变，表明代偿性骨髓重塑正在发生。在这里，通过使用基于 CRISPR/Cas9 的基因组编辑，我们生成了 CCR1/CCR2/CCR3/CCR5 缺陷的小鼠模型 (Δ1235)。使用该菌株，我们有效地消除了单核细胞和 MDM 浸润，并逆转了 CCR1+ 中性粒细胞的代偿性募集。消除肿瘤中的 MDM 可使剩余的中性粒细胞和小胶质细胞趋于稳态，减少 T 细胞上免疫检查点分子的表达，并延长 H3.1K27M DMG 小鼠的生存期。相比之下，H3.3K27M DMG 显示出独立于 MDM 募集，表明依赖于其他 TME 驱动的信号传导。最后，H3.1K27M DMG 表现出小胶质细胞减少，并且辐射后 MDM 浸润呈剂量依赖性增加。 MDM 消耗并没有进一步增强放射疗效，这可能是由于经典中性粒细胞的补偿性募集所致。总的来说，这些数据揭示了 DMG 中的组蛋白突变特异性骨髓依赖性，突出了 H3.3K27M 肿瘤中的 MDM 独立机制和 H3.1K27M 肿瘤中的 MDM 依赖性途径。</w:t>
      </w:r>
    </w:p>
    <w:p>
      <w:pPr>
        <w:spacing w:before="0" w:after="200" w:lineRule="auto" w:line="276"/>
      </w:pPr>
      <w:r>
        <w:rPr>
          <w:b/>
        </w:rPr>
        <w:t xml:space="preserve">Abstract (EN): </w:t>
      </w:r>
      <w:r>
        <w:t>Diffuse midline gliomas (DMGs) are highly aggressive, WHO grade 4 glial tumors that arise in midline central nervous system structures and are defined by K27M mutations in histone H3 genes. These K27M mutations shape intratumoral myeloid cell composition in DMG. In H3.1K27M DMGs, genetic ablation of monocyte recruitment reshapes the tumor microenvironment (TME) by reducing monocyte-derived macrophages (MDMs) and increasing microglia and neutrophil presence, with overall survival remaining unchanged, indicating compensatory myeloid remodeling is occurring. Here, by using CRISPR/Cas9-based genome editing, we generated a mouse model deficient for CCR1/CCR2/CCR3/CCR5 (Δ1235). Using this strain, we effectively abolished monocyte and MDM infiltration and reversed compensatory recruitment of CCR1+ neutrophils. Abolishing MDMs in tumors skewed remaining neutrophils and microglia toward a homeostatic state, reduced expression of immune checkpoint molecules on T cells, and extended the survival of H3.1K27M DMG-bearing mice. In contrast, H3.3K27M DMG showed independence from MDM recruitment, suggesting reliance on other TME-driven signaling. Last, H3.1K27M DMGs exhibited reduced microglia presence and a dose-dependent increase in MDM infiltration postirradiation. MDM depletion did not further enhance radiation efficacy, potentially due to compensatory recruitment of classical neutrophils. Collectively, these data reveal histone mutation–specific myeloid dependencies in DMG, highlighting MDM-independent mechanisms in H3.3K27M tumors and MDM-dependent pathways in H3.1K27M tumors.</w:t>
      </w:r>
    </w:p>
    <w:p>
      <w:pPr>
        <w:spacing w:before="120" w:after="120"/>
      </w:pPr>
      <w:r>
        <w:rPr>
          <w:sz w:val="18"/>
        </w:rPr>
        <w:t>——————————————————————————————————————————————————————————————————————</w:t>
      </w:r>
    </w:p>
    <w:p>
      <w:pPr>
        <w:spacing w:before="160" w:after="40" w:line="240" w:lineRule="auto"/>
      </w:pPr>
      <w:r>
        <w:rPr>
          <w:b/>
        </w:rPr>
        <w:t xml:space="preserve">[776] </w:t>
      </w:r>
      <w:hyperlink r:id="rId2005">
        <w:r>
          <w:rPr>
            <w:color w:val="1155CC"/>
            <w:u w:val="single"/>
          </w:rPr>
          <w:t>生物网络中不可逆转变的结构起源</w:t>
        </w:r>
      </w:hyperlink>
    </w:p>
    <w:p>
      <w:pPr>
        <w:spacing w:before="0" w:after="80"/>
      </w:pPr>
      <w:r>
        <w:rPr>
          <w:i/>
          <w:sz w:val="20"/>
        </w:rPr>
        <w:t>EN: The structural origin of irreversible transitions in biological networks</w:t>
      </w:r>
    </w:p>
    <w:p>
      <w:pPr>
        <w:spacing w:before="0" w:after="120"/>
      </w:pPr>
      <w:r>
        <w:rPr>
          <w:b/>
        </w:rPr>
        <w:t xml:space="preserve">Source: </w:t>
      </w:r>
      <w:r>
        <w:t>Proceedings of the National Academy of Sciences: Keyword search for query</w:t>
      </w:r>
      <w:r>
        <w:t xml:space="preserve">    </w:t>
      </w:r>
      <w:r>
        <w:rPr>
          <w:b/>
        </w:rPr>
        <w:t xml:space="preserve">Pub date: </w:t>
      </w:r>
      <w:r>
        <w:t>2026-08-13 07:00:00+00:00</w:t>
      </w:r>
      <w:r>
        <w:t xml:space="preserve">    </w:t>
      </w:r>
      <w:r>
        <w:rPr>
          <w:b/>
        </w:rPr>
        <w:t xml:space="preserve">DOI: </w:t>
      </w:r>
      <w:hyperlink r:id="rId2006">
        <w:r>
          <w:rPr>
            <w:color w:val="1155CC"/>
            <w:u w:val="single"/>
          </w:rPr>
          <w:t>10.1073/pnas.2600800123</w:t>
        </w:r>
      </w:hyperlink>
    </w:p>
    <w:p>
      <w:pPr>
        <w:spacing w:before="0" w:after="120"/>
      </w:pPr>
      <w:r>
        <w:rPr>
          <w:b/>
        </w:rPr>
        <w:t xml:space="preserve">Notes: </w:t>
      </w:r>
      <w:r>
        <w:t>abstract_source=crossref</w:t>
      </w:r>
    </w:p>
    <w:p>
      <w:pPr>
        <w:spacing w:before="0" w:after="80" w:lineRule="auto" w:line="276"/>
      </w:pPr>
      <w:r>
        <w:rPr>
          <w:b/>
        </w:rPr>
        <w:t xml:space="preserve">摘要（ZH）: </w:t>
      </w:r>
      <w:r>
        <w:t>即使在负责转变的外部信号被撤回之后，细胞过程也经常表现出不可逆的状态转变。长期存在的问题仍然存在：这种不可逆转性从何而来以及可以逆转吗？尽管已知细胞成分之间的正反馈电路与不可逆性相关，但在大型复杂分子网络中哪些电路保持这种不可逆性的动态起源仍然未知。此外，识别不可逆性的结构起源为操纵不可逆性的控制方法打开了大门。在这里，我们提出了不可逆转变原始电路（ROOT）的启示，它从逻辑网络模型中识别了不可逆转变背后的分子成分及其控制。具体来说，ROOT 查明了在功能上负责不可逆转变的反馈循环，并提出了将系统恢复到不可逆转变之前的状态同时保持不可逆性的策略，或者消除不可逆性本身的策略。 ROOT应用于不同的生物过程，识别不可逆性核和反向控制策略，并通过生物学文献和现有实验验证，为揭示不可逆性的起源并利用其调节不可逆的细胞过程提供定量基础。</w:t>
      </w:r>
    </w:p>
    <w:p>
      <w:pPr>
        <w:spacing w:before="0" w:after="200" w:lineRule="auto" w:line="276"/>
      </w:pPr>
      <w:r>
        <w:rPr>
          <w:b/>
        </w:rPr>
        <w:t xml:space="preserve">Abstract (EN): </w:t>
      </w:r>
      <w:r>
        <w:t>Cellular processes often exhibit irreversible state transitions even after external signals responsible for a transition are withdrawn. Long-standing questions remain: Where does such irreversibility originate from and can it be reversed? Although positive-feedback circuits among cellular components are known to relate to irreversibility, which circuits hold the dynamical origin of such irreversibility within large complex molecular networks remains unknown. Moreover, identifying the structural origin of irreversibility opens the door for control approaches to manipulate irreversibility. Here, we present Revelation Of the Original circuit of irreversible Transition (ROOT), which identifies molecular components underlying irreversible transitions and their control from logical network models. Specifically, ROOT pinpoints feedback loops functionally responsible for irreversible transitions and proposes strategies either for restoring the system to a state prior to the irreversible transition while preserving irreversibility, or for eliminating irreversibility itself. Applied to diverse biological processes, ROOT identifies irreversibility kernels and reverse control strategies that are validated by biological literature and existing experiments, providing a quantitative basis for revealing the origin of irreversibility and leveraging it to modulate irreversible cellular processes.</w:t>
      </w:r>
    </w:p>
    <w:p>
      <w:pPr>
        <w:spacing w:before="120" w:after="120"/>
      </w:pPr>
      <w:r>
        <w:rPr>
          <w:sz w:val="18"/>
        </w:rPr>
        <w:t>——————————————————————————————————————————————————————————————————————</w:t>
      </w:r>
    </w:p>
    <w:p>
      <w:pPr>
        <w:spacing w:before="160" w:after="40" w:line="240" w:lineRule="auto"/>
      </w:pPr>
      <w:r>
        <w:rPr>
          <w:b/>
        </w:rPr>
        <w:t xml:space="preserve">[777] </w:t>
      </w:r>
      <w:hyperlink r:id="rId2007">
        <w:r>
          <w:rPr>
            <w:color w:val="1155CC"/>
            <w:u w:val="single"/>
          </w:rPr>
          <w:t>扁桃体类器官模型揭示了初次感染期间 Epstein-Barr 病毒感染的生发中心 B 细胞状态</w:t>
        </w:r>
      </w:hyperlink>
    </w:p>
    <w:p>
      <w:pPr>
        <w:spacing w:before="0" w:after="80"/>
      </w:pPr>
      <w:r>
        <w:rPr>
          <w:i/>
          <w:sz w:val="20"/>
        </w:rPr>
        <w:t>EN: A tonsil organoid model reveals Epstein–Barr virus–infected germinal center B cell states during primary infection</w:t>
      </w:r>
    </w:p>
    <w:p>
      <w:pPr>
        <w:spacing w:before="0" w:after="120"/>
      </w:pPr>
      <w:r>
        <w:rPr>
          <w:b/>
        </w:rPr>
        <w:t xml:space="preserve">Source: </w:t>
      </w:r>
      <w:r>
        <w:t>Proceedings of the National Academy of Sciences: Keyword search for query</w:t>
      </w:r>
      <w:r>
        <w:t xml:space="preserve">    </w:t>
      </w:r>
      <w:r>
        <w:rPr>
          <w:b/>
        </w:rPr>
        <w:t xml:space="preserve">Pub date: </w:t>
      </w:r>
      <w:r>
        <w:t>2026-08-13 07:00:00+00:00</w:t>
      </w:r>
      <w:r>
        <w:t xml:space="preserve">    </w:t>
      </w:r>
      <w:r>
        <w:rPr>
          <w:b/>
        </w:rPr>
        <w:t xml:space="preserve">DOI: </w:t>
      </w:r>
      <w:hyperlink r:id="rId2008">
        <w:r>
          <w:rPr>
            <w:color w:val="1155CC"/>
            <w:u w:val="single"/>
          </w:rPr>
          <w:t>10.1073/pnas.2603586123</w:t>
        </w:r>
      </w:hyperlink>
    </w:p>
    <w:p>
      <w:pPr>
        <w:spacing w:before="0" w:after="120"/>
      </w:pPr>
      <w:r>
        <w:rPr>
          <w:b/>
        </w:rPr>
        <w:t xml:space="preserve">Notes: </w:t>
      </w:r>
      <w:r>
        <w:t>abstract_source=crossref</w:t>
      </w:r>
    </w:p>
    <w:p>
      <w:pPr>
        <w:spacing w:before="0" w:after="80" w:lineRule="auto" w:line="276"/>
      </w:pPr>
      <w:r>
        <w:rPr>
          <w:b/>
        </w:rPr>
        <w:t xml:space="preserve">摘要（ZH）: </w:t>
      </w:r>
      <w:r>
        <w:t>EB 病毒 (EBV) 定殖于次级淋巴组织以建立持续感染，并与恶性肿瘤和自身免疫密切相关。由于缺乏捕获淋巴组织微环境中受感染 B 细胞活性的模型，阻碍了我们对 EBV 感染生物学的理解。因此，我们开发了 EBV 人扁桃体类器官模型来评估关键 B 细胞状态和抗病毒反应，包括初次感染后的反应。 EBV 促进 B 细胞分化为生发中心样表型，转录组分析强调了 EBV 感染细胞特有的许多 B 细胞转录程序。 B 细胞受体库分析显示，大多数 EBV</w:t>
      </w:r>
      <w:r>
        <w:t xml:space="preserve"> </w:t>
      </w:r>
      <w:r>
        <w:t>+</w:t>
      </w:r>
      <w:r>
        <w:t xml:space="preserve"> </w:t>
      </w:r>
      <w:r>
        <w:t>B 细胞经历了类别转换，但很少参与体细胞超突变。 CD4 T 细胞，因类器官感染而高度激活，EBV 有限</w:t>
      </w:r>
      <w:r>
        <w:t xml:space="preserve"> </w:t>
      </w:r>
      <w:r>
        <w:t>+</w:t>
      </w:r>
      <w:r>
        <w:t xml:space="preserve"> </w:t>
      </w:r>
      <w:r>
        <w:t>原发性和继发性 EBV 感染中 B 细胞的生长。我们的研究结果表明，人类扁桃体类器官可以作为生理相关模型来研究 EBV 免疫和发病机制的关键方面。</w:t>
      </w:r>
    </w:p>
    <w:p>
      <w:pPr>
        <w:spacing w:before="0" w:after="200" w:lineRule="auto" w:line="276"/>
      </w:pPr>
      <w:r>
        <w:rPr>
          <w:b/>
        </w:rPr>
        <w:t xml:space="preserve">Abstract (EN): </w:t>
      </w:r>
      <w:r>
        <w:t>Epstein–Barr virus (EBV) colonizes secondary lymphoid tissues to establish persistent infection and is strongly associated with malignancy and autoimmunity. Our understanding of EBV infection biology is hindered by a lack of models that capture infected B cell activity in the lymphoid tissue microenvironment. We therefore developed an EBV human tonsil organoid model to evaluate key B cell states and antiviral responses, including after primary infection. EBV promoted B cell differentiation into germinal center-like phenotypes and transcriptomic analyses highlighted numerous B cell transcriptional programs unique to EBV-infected cells. B cell receptor repertoire analysis revealed that most EBV</w:t>
      </w:r>
      <w:r>
        <w:t xml:space="preserve"> </w:t>
      </w:r>
      <w:r>
        <w:t>+</w:t>
      </w:r>
      <w:r>
        <w:t xml:space="preserve"> </w:t>
      </w:r>
      <w:r>
        <w:t>B cells underwent class switching but only rarely participated in somatic hypermutation. CD4 T cells, highly activated by organoid infection, limited EBV</w:t>
      </w:r>
      <w:r>
        <w:t xml:space="preserve"> </w:t>
      </w:r>
      <w:r>
        <w:t>+</w:t>
      </w:r>
      <w:r>
        <w:t xml:space="preserve"> </w:t>
      </w:r>
      <w:r>
        <w:t>B cell outgrowth in both primary and secondary EBV infection. Our findings demonstrate human tonsil organoids as a physiologically relevant model to investigate key aspects of EBV immunity and pathogenesis.</w:t>
      </w:r>
    </w:p>
    <w:p>
      <w:pPr>
        <w:spacing w:before="120" w:after="120"/>
      </w:pPr>
      <w:r>
        <w:rPr>
          <w:sz w:val="18"/>
        </w:rPr>
        <w:t>——————————————————————————————————————————————————————————————————————</w:t>
      </w:r>
    </w:p>
    <w:p>
      <w:pPr>
        <w:spacing w:before="160" w:after="40" w:line="240" w:lineRule="auto"/>
      </w:pPr>
      <w:r>
        <w:rPr>
          <w:b/>
        </w:rPr>
        <w:t xml:space="preserve">[778] </w:t>
      </w:r>
      <w:hyperlink r:id="rId2009">
        <w:r>
          <w:rPr>
            <w:color w:val="1155CC"/>
            <w:u w:val="single"/>
          </w:rPr>
          <w:t>晚期肝期抗疟药物的化学疫苗接种可诱导针对疟疾的持久免疫力</w:t>
        </w:r>
      </w:hyperlink>
    </w:p>
    <w:p>
      <w:pPr>
        <w:spacing w:before="0" w:after="80"/>
      </w:pPr>
      <w:r>
        <w:rPr>
          <w:i/>
          <w:sz w:val="20"/>
        </w:rPr>
        <w:t>EN: Chemovaccination with a late-liver-stage antimalarial induces durable immunity against malaria</w:t>
      </w:r>
    </w:p>
    <w:p>
      <w:pPr>
        <w:spacing w:before="0" w:after="120"/>
      </w:pPr>
      <w:r>
        <w:rPr>
          <w:b/>
        </w:rPr>
        <w:t xml:space="preserve">Source: </w:t>
      </w:r>
      <w:r>
        <w:t>AAAS: Science: Table of Contents</w:t>
      </w:r>
      <w:r>
        <w:t xml:space="preserve">    </w:t>
      </w:r>
      <w:r>
        <w:rPr>
          <w:b/>
        </w:rPr>
        <w:t xml:space="preserve">Pub date: </w:t>
      </w:r>
      <w:r>
        <w:t>2026-08-13 07:00:00+00:00</w:t>
      </w:r>
      <w:r>
        <w:t xml:space="preserve">    </w:t>
      </w:r>
      <w:r>
        <w:rPr>
          <w:b/>
        </w:rPr>
        <w:t xml:space="preserve">DOI: </w:t>
      </w:r>
      <w:hyperlink r:id="rId2010">
        <w:r>
          <w:rPr>
            <w:color w:val="1155CC"/>
            <w:u w:val="single"/>
          </w:rPr>
          <w:t>10.1126/science.aea7605</w:t>
        </w:r>
      </w:hyperlink>
    </w:p>
    <w:p>
      <w:pPr>
        <w:spacing w:before="0" w:after="120"/>
      </w:pPr>
      <w:r>
        <w:rPr>
          <w:b/>
        </w:rPr>
        <w:t xml:space="preserve">Notes: </w:t>
      </w:r>
      <w:r>
        <w:t>abstract_source=crossref</w:t>
      </w:r>
    </w:p>
    <w:p>
      <w:pPr>
        <w:spacing w:before="0" w:after="80" w:lineRule="auto" w:line="276"/>
      </w:pPr>
      <w:r>
        <w:rPr>
          <w:b/>
        </w:rPr>
        <w:t xml:space="preserve">摘要（ZH）: </w:t>
      </w:r>
      <w:r>
        <w:t>恶性疟原虫</w:t>
      </w:r>
      <w:r>
        <w:t xml:space="preserve"> </w:t>
      </w:r>
      <w:r>
        <w:t>子孢子疫苗的寄生虫在肝脏阶段被减毒，具有很高的功效，但需要复杂的制造和静脉注射高剂量的子孢子。我们发现，单次低剂量</w:t>
      </w:r>
      <w:r>
        <w:t xml:space="preserve"> </w:t>
      </w:r>
      <w:r>
        <w:t>伯氏对虾</w:t>
      </w:r>
      <w:r>
        <w:t xml:space="preserve"> </w:t>
      </w:r>
      <w:r>
        <w:t>子孢子暴露（静脉注射或蚊虫叮咬）以及用血浆蛋白酶 IX 和 X (PMIX/X) 抑制剂（WM382 或 MK-7602）治疗，产生“化疗减毒的肝脏裂殖子”（CALM），可诱导小鼠产生长达 21 个月的无菌免疫力。保护涉及抗环子孢子蛋白 (CSP) 抗体和 CD8</w:t>
      </w:r>
      <w:r>
        <w:t xml:space="preserve"> </w:t>
      </w:r>
      <w:r>
        <w:t>+</w:t>
      </w:r>
      <w:r>
        <w:t xml:space="preserve"> </w:t>
      </w:r>
      <w:r>
        <w:t>T 细胞，包括识别不同抗原（SERA1、RPL6、GAP50、RNT、PHIST、S20 和 RBP）的肝脏驻留记忆子集。 WM382也衰减了</w:t>
      </w:r>
      <w:r>
        <w:t xml:space="preserve"> </w:t>
      </w:r>
      <w:r>
        <w:t>恶性疟原虫</w:t>
      </w:r>
      <w:r>
        <w:t xml:space="preserve"> </w:t>
      </w:r>
      <w:r>
        <w:t>肝脏裂殖子和 PMIX/X 活性位点的保护支持泛-</w:t>
      </w:r>
      <w:r>
        <w:t>疟原虫</w:t>
      </w:r>
      <w:r>
        <w:t xml:space="preserve"> </w:t>
      </w:r>
      <w:r>
        <w:t>预防疟疾的潜力。 CALM 疫苗接种值得临床评估，包括如果长效注射 PMIX/X 抑制剂制剂被证明可行的话，通过自然蚊子暴露进行评估。</w:t>
      </w:r>
    </w:p>
    <w:p>
      <w:pPr>
        <w:spacing w:before="0" w:after="200" w:lineRule="auto" w:line="276"/>
      </w:pPr>
      <w:r>
        <w:rPr>
          <w:b/>
        </w:rPr>
        <w:t xml:space="preserve">Abstract (EN): </w:t>
      </w:r>
      <w:r>
        <w:t>Plasmodium falciparum</w:t>
      </w:r>
      <w:r>
        <w:t xml:space="preserve"> </w:t>
      </w:r>
      <w:r>
        <w:t>sporozoite vaccines, in which parasites are attenuated at the liver stage, provide high efficacy but require complex manufacture and intravenous administration of high sporozoite doses. We found that a single low-dose</w:t>
      </w:r>
      <w:r>
        <w:t xml:space="preserve"> </w:t>
      </w:r>
      <w:r>
        <w:t>P. berghei</w:t>
      </w:r>
      <w:r>
        <w:t xml:space="preserve"> </w:t>
      </w:r>
      <w:r>
        <w:t>sporozoite exposure (intravenous or mosquito bite) and treatment with a plasmepsin IX and X (PMIX/X) inhibitor, either WM382 or MK-7602, that produced “chemo-attenuated liver merozoites” (CALM) induced sterile immunity in mice for up to 21 months. Protection involved anti–circumsporozoite protein (CSP) antibodies and CD8</w:t>
      </w:r>
      <w:r>
        <w:t xml:space="preserve"> </w:t>
      </w:r>
      <w:r>
        <w:t>+</w:t>
      </w:r>
      <w:r>
        <w:t xml:space="preserve"> </w:t>
      </w:r>
      <w:r>
        <w:t>T cells, including liver-resident memory subsets that recognized diverse antigens (SERA1, RPL6, GAP50, RNT, PHIST, S20, and RBP). WM382 also attenuated</w:t>
      </w:r>
      <w:r>
        <w:t xml:space="preserve"> </w:t>
      </w:r>
      <w:r>
        <w:t>P. falciparum</w:t>
      </w:r>
      <w:r>
        <w:t xml:space="preserve"> </w:t>
      </w:r>
      <w:r>
        <w:t>liver merozoites, and conservation of PMIX/X active sites supports pan-</w:t>
      </w:r>
      <w:r>
        <w:t>Plasmodium</w:t>
      </w:r>
      <w:r>
        <w:t xml:space="preserve"> </w:t>
      </w:r>
      <w:r>
        <w:t>potential for preventing malaria. CALM vaccination merits clinical evaluation, including by natural mosquito exposure if long-acting injectable PMIX/X inhibitor formulations prove feasible.</w:t>
      </w:r>
    </w:p>
    <w:p>
      <w:pPr>
        <w:spacing w:before="120" w:after="120"/>
      </w:pPr>
      <w:r>
        <w:rPr>
          <w:sz w:val="18"/>
        </w:rPr>
        <w:t>——————————————————————————————————————————————————————————————————————</w:t>
      </w:r>
    </w:p>
    <w:p>
      <w:pPr>
        <w:spacing w:before="160" w:after="40" w:line="240" w:lineRule="auto"/>
      </w:pPr>
      <w:r>
        <w:rPr>
          <w:b/>
        </w:rPr>
        <w:t xml:space="preserve">[779] </w:t>
      </w:r>
      <w:hyperlink r:id="rId2011">
        <w:r>
          <w:rPr>
            <w:color w:val="1155CC"/>
            <w:u w:val="single"/>
          </w:rPr>
          <w:t>解码植物液泡磷酸盐流出：水稻 VPE2 的结构和动态见解</w:t>
        </w:r>
      </w:hyperlink>
    </w:p>
    <w:p>
      <w:pPr>
        <w:spacing w:before="0" w:after="80"/>
      </w:pPr>
      <w:r>
        <w:rPr>
          <w:i/>
          <w:sz w:val="20"/>
        </w:rPr>
        <w:t>EN: Decoding plant vacuolar phosphate efflux: Structural and dynamic insights from rice VPE2</w:t>
      </w:r>
    </w:p>
    <w:p>
      <w:pPr>
        <w:spacing w:before="0" w:after="120"/>
      </w:pPr>
      <w:r>
        <w:rPr>
          <w:b/>
        </w:rPr>
        <w:t xml:space="preserve">Source: </w:t>
      </w:r>
      <w:r>
        <w:t>Proceedings of the National Academy of Sciences: Keyword search for query</w:t>
      </w:r>
      <w:r>
        <w:t xml:space="preserve">    </w:t>
      </w:r>
      <w:r>
        <w:rPr>
          <w:b/>
        </w:rPr>
        <w:t xml:space="preserve">Pub date: </w:t>
      </w:r>
      <w:r>
        <w:t>2026-08-13 07:00:00+00:00</w:t>
      </w:r>
      <w:r>
        <w:t xml:space="preserve">    </w:t>
      </w:r>
      <w:r>
        <w:rPr>
          <w:b/>
        </w:rPr>
        <w:t xml:space="preserve">DOI: </w:t>
      </w:r>
      <w:hyperlink r:id="rId2012">
        <w:r>
          <w:rPr>
            <w:color w:val="1155CC"/>
            <w:u w:val="single"/>
          </w:rPr>
          <w:t>10.1073/pnas.2611598123</w:t>
        </w:r>
      </w:hyperlink>
    </w:p>
    <w:p>
      <w:pPr>
        <w:spacing w:before="0" w:after="120"/>
      </w:pPr>
      <w:r>
        <w:rPr>
          <w:b/>
        </w:rPr>
        <w:t xml:space="preserve">Notes: </w:t>
      </w:r>
      <w:r>
        <w:t>abstract_source=crossref</w:t>
      </w:r>
    </w:p>
    <w:p>
      <w:pPr>
        <w:spacing w:before="0" w:after="80" w:lineRule="auto" w:line="276"/>
      </w:pPr>
      <w:r>
        <w:rPr>
          <w:b/>
        </w:rPr>
        <w:t xml:space="preserve">摘要（ZH）: </w:t>
      </w:r>
      <w:r>
        <w:t>液泡储存植物中高达 90% 的细胞磷，在环境营养胁迫期间充当细胞质波动的关键缓冲液。尽管具有这一核心作用，但通过液泡 Pi 外排转运蛋白 (VPE) 控制液泡无机磷酸盐 (Pi) 释放的分子机制仍不清楚。通过综合结构生物学，我们阐明了水稻转运蛋白 OsVPE2 如何将 Pi 从液泡中转运出来。冷冻电子显微镜结构捕获了不同的功能状态，揭示了 Pi 结合袋和独特的液泡耦合螺旋 (VCH) 基序，该基序经历 pH 依赖性构象转换。单分子荧光共振能量转移分析揭示了 VCH 的内在动力学，证明其运动与转运蛋白的构象变化有关。这种动态 VCH 充当构象开关，调节转运蛋白周期：其嵌入跨膜前庭可稳定转运蛋白的向外闭塞状态，而其位移则可实现向内开放构象的转变。功能研究表明，VCH 的灵活性（而不仅仅是存在）对于运输至关重要，它的破坏会损害功能。我们的工作建立了液泡 Pi 流出的分子蓝图，将 VPE 中这种进化保守的调节 VCH 确定为结构引导工程的潜在目标，以优化植物磷的回收和利用效率。</w:t>
      </w:r>
    </w:p>
    <w:p>
      <w:pPr>
        <w:spacing w:before="0" w:after="200" w:lineRule="auto" w:line="276"/>
      </w:pPr>
      <w:r>
        <w:rPr>
          <w:b/>
        </w:rPr>
        <w:t xml:space="preserve">Abstract (EN): </w:t>
      </w:r>
      <w:r>
        <w:t>Vacuoles store up to 90% of cellular phosphorus in plants, serving as a critical buffer against cytosolic fluctuations during environmental nutrient stress. Despite this central role, the molecular mechanisms governing vacuolar inorganic phosphate (Pi) release through vacuolar Pi efflux transporters (VPEs) remain unclear. Through integrative structural biology, we elucidate how the rice transporter OsVPE2 transports Pi out of vacuoles. Cryoelectron microscopy structures capture distinct functional states, revealing a Pi-binding pocket and a unique vacuolar coupling helix (VCH) motif that undergoes pH-dependent conformational switching. Single-molecule fluorescence resonance energy transfer analyses reveal the intrinsic dynamics of the VCH, demonstrating that its movement is coupled with the transporter’s conformational changes. This dynamic VCH functions as a conformational switch, regulating the transporter cycle: its embedding into the transmembrane vestibule stabilizes transporter’s outward-occluded state, while its displacement enables the transition to the inward-open conformation. Functional studies demonstrate that VCH flexibility—not mere presence—is essential for transport, and its disruption impairs function. Our work establishes the molecular blueprint for vacuolar Pi efflux, identifying this evolutionarily conserved regulatory VCH among VPEs as a potential target for structure-guided engineering to optimize plant phosphorus recycling and use efficiency.</w:t>
      </w:r>
    </w:p>
    <w:p>
      <w:pPr>
        <w:spacing w:before="120" w:after="120"/>
      </w:pPr>
      <w:r>
        <w:rPr>
          <w:sz w:val="18"/>
        </w:rPr>
        <w:t>——————————————————————————————————————————————————————————————————————</w:t>
      </w:r>
    </w:p>
    <w:p>
      <w:pPr>
        <w:spacing w:before="160" w:after="40" w:line="240" w:lineRule="auto"/>
      </w:pPr>
      <w:r>
        <w:rPr>
          <w:b/>
        </w:rPr>
        <w:t xml:space="preserve">[780] </w:t>
      </w:r>
      <w:hyperlink r:id="rId2013">
        <w:r>
          <w:rPr>
            <w:color w:val="1155CC"/>
            <w:u w:val="single"/>
          </w:rPr>
          <w:t>真核生物染色体，一种通过体积相变相互转换的二态系统</w:t>
        </w:r>
      </w:hyperlink>
    </w:p>
    <w:p>
      <w:pPr>
        <w:spacing w:before="0" w:after="80"/>
      </w:pPr>
      <w:r>
        <w:rPr>
          <w:i/>
          <w:sz w:val="20"/>
        </w:rPr>
        <w:t>EN: The eukaryote chromosome, a two-state system with interconversion by a volume phase transition</w:t>
      </w:r>
    </w:p>
    <w:p>
      <w:pPr>
        <w:spacing w:before="0" w:after="120"/>
      </w:pPr>
      <w:r>
        <w:rPr>
          <w:b/>
        </w:rPr>
        <w:t xml:space="preserve">Source: </w:t>
      </w:r>
      <w:r>
        <w:t>AAAS: Science: Table of Contents</w:t>
      </w:r>
      <w:r>
        <w:t xml:space="preserve">    </w:t>
      </w:r>
      <w:r>
        <w:rPr>
          <w:b/>
        </w:rPr>
        <w:t xml:space="preserve">Pub date: </w:t>
      </w:r>
      <w:r>
        <w:t>2026-08-13 07:00:00+00:00</w:t>
      </w:r>
      <w:r>
        <w:t xml:space="preserve">    </w:t>
      </w:r>
      <w:r>
        <w:rPr>
          <w:b/>
        </w:rPr>
        <w:t xml:space="preserve">DOI: </w:t>
      </w:r>
      <w:hyperlink r:id="rId2014">
        <w:r>
          <w:rPr>
            <w:color w:val="1155CC"/>
            <w:u w:val="single"/>
          </w:rPr>
          <w:t>10.1126/science.adz1083</w:t>
        </w:r>
      </w:hyperlink>
    </w:p>
    <w:p>
      <w:pPr>
        <w:spacing w:before="0" w:after="120"/>
      </w:pPr>
      <w:r>
        <w:rPr>
          <w:b/>
        </w:rPr>
        <w:t xml:space="preserve">Notes: </w:t>
      </w:r>
      <w:r>
        <w:t>abstract_source=crossref</w:t>
      </w:r>
    </w:p>
    <w:p>
      <w:pPr>
        <w:spacing w:before="0" w:after="80" w:lineRule="auto" w:line="276"/>
      </w:pPr>
      <w:r>
        <w:rPr>
          <w:b/>
        </w:rPr>
        <w:t xml:space="preserve">摘要（ZH）: </w:t>
      </w:r>
      <w:r>
        <w:t>中期染色体的形成需要缩合蛋白（DNA 转位酶）的活性，通过环挤出过程缩短染色体长度。然而，长度的减少并不能解释凝聚态染色质密度的增加。在这里，我们证明真核染色体是离子水凝胶，并且染色体材料是一个双态系统，通过体积相变在凝聚态和解凝聚态之间进行相互转换，类似于液-气转变。组蛋白尾部和 DNA 之间的离子接触（由组蛋白乙酰化和脱乙酰化形成和破坏）可能控制转变并负责异染色质的缩合和常染色质的解缩合。</w:t>
      </w:r>
    </w:p>
    <w:p>
      <w:pPr>
        <w:spacing w:before="0" w:after="200" w:lineRule="auto" w:line="276"/>
      </w:pPr>
      <w:r>
        <w:rPr>
          <w:b/>
        </w:rPr>
        <w:t xml:space="preserve">Abstract (EN): </w:t>
      </w:r>
      <w:r>
        <w:t>The formation of metaphase chromosomes requires the activity of condensins, DNA translocases that reduce chromosomal length through the process of loop extrusion. Reduction of length, however, does not account for the increase in density of chromatin in condensed states. Here, we show that eukaryotic chromosomes are ionic hydrogels and that the chromosomal material is a two-state system, with interconversion between condensed and decondensed states through a volume phase transition, analogous to a liquid-gas transition. Ionic contacts between histone tails and DNA, formed and broken by histone acetylation and deacetylation, may control the transition and be responsible for condensation in heterochromatin and decondensation in euchromatin.</w:t>
      </w:r>
    </w:p>
    <w:p>
      <w:pPr>
        <w:spacing w:before="120" w:after="120"/>
      </w:pPr>
      <w:r>
        <w:rPr>
          <w:sz w:val="18"/>
        </w:rPr>
        <w:t>——————————————————————————————————————————————————————————————————————</w:t>
      </w:r>
    </w:p>
    <w:p>
      <w:pPr>
        <w:spacing w:before="160" w:after="40" w:line="240" w:lineRule="auto"/>
      </w:pPr>
      <w:r>
        <w:rPr>
          <w:b/>
        </w:rPr>
        <w:t xml:space="preserve">[781] </w:t>
      </w:r>
      <w:hyperlink r:id="rId2015">
        <w:r>
          <w:rPr>
            <w:color w:val="1155CC"/>
            <w:u w:val="single"/>
          </w:rPr>
          <w:t>用于近源空气采样的薄膜破裂驱动无泵毛细管富集</w:t>
        </w:r>
      </w:hyperlink>
    </w:p>
    <w:p>
      <w:pPr>
        <w:spacing w:before="0" w:after="80"/>
      </w:pPr>
      <w:r>
        <w:rPr>
          <w:i/>
          <w:sz w:val="20"/>
        </w:rPr>
        <w:t>EN: Film-rupture actuated pump-free capillary enrichment for near-source airborne sampling</w:t>
      </w:r>
    </w:p>
    <w:p>
      <w:pPr>
        <w:spacing w:before="0" w:after="120"/>
      </w:pPr>
      <w:r>
        <w:rPr>
          <w:b/>
        </w:rPr>
        <w:t xml:space="preserve">Source: </w:t>
      </w:r>
      <w:r>
        <w:t>Proceedings of the National Academy of Sciences: Keyword search for query</w:t>
      </w:r>
      <w:r>
        <w:t xml:space="preserve">    </w:t>
      </w:r>
      <w:r>
        <w:rPr>
          <w:b/>
        </w:rPr>
        <w:t xml:space="preserve">Pub date: </w:t>
      </w:r>
      <w:r>
        <w:t>2026-08-13 07:00:00+00:00</w:t>
      </w:r>
      <w:r>
        <w:t xml:space="preserve">    </w:t>
      </w:r>
      <w:r>
        <w:rPr>
          <w:b/>
        </w:rPr>
        <w:t xml:space="preserve">DOI: </w:t>
      </w:r>
      <w:hyperlink r:id="rId2016">
        <w:r>
          <w:rPr>
            <w:color w:val="1155CC"/>
            <w:u w:val="single"/>
          </w:rPr>
          <w:t>10.1073/pnas.2615727123</w:t>
        </w:r>
      </w:hyperlink>
    </w:p>
    <w:p>
      <w:pPr>
        <w:spacing w:before="0" w:after="120"/>
      </w:pPr>
      <w:r>
        <w:rPr>
          <w:b/>
        </w:rPr>
        <w:t xml:space="preserve">Notes: </w:t>
      </w:r>
      <w:r>
        <w:t>abstract_source=crossref</w:t>
      </w:r>
    </w:p>
    <w:p>
      <w:pPr>
        <w:spacing w:before="0" w:after="80" w:lineRule="auto" w:line="276"/>
      </w:pPr>
      <w:r>
        <w:rPr>
          <w:b/>
        </w:rPr>
        <w:t xml:space="preserve">摘要（ZH）: </w:t>
      </w:r>
      <w:r>
        <w:t>由于严重呼吸道疾病和空气污染物的持续威胁，全世界数十亿人无法及时获得基本诊断服务，特别是在实验室基础设施匮乏的资源匮乏地区。传统的泵吸机载采样器面临着成本、功率依赖性以及复杂系统中不可避免的分析物损失等挑战。在这里，我们演示了一种薄膜破裂驱动毛细管富集 (FACE) 机载采样器，它用破裂液膜固有的表面能释放代替外部吸力，将收集、回收和读数统一到一个无泵事件中。在对盘绕蝴蝶长鼻“薄膜破裂”饮用模式和仿生环和毛细管设计的原位观察的指导下，FACE采样器将用于高面积收集的悬浮液膜与用于自主恢复的薄膜破裂增强毛细管传输结合起来。薄膜破裂增强 Washburn 模型和具有优化双出口的“空效应”设计标准、特斯拉引导架构定量解释了亚毫秒触发 (&lt;0.5 ms)、高速富集 (&gt;50 mm s)</w:t>
      </w:r>
      <w:r>
        <w:t xml:space="preserve"> </w:t>
      </w:r>
      <w:r>
        <w:t>−1</w:t>
      </w:r>
      <w:r>
        <w:t xml:space="preserve"> </w:t>
      </w:r>
      <w:r>
        <w:t>），并以接近零残留的方式完成抽空。由低成本聚合物（约 0.12 美元）制成的无泵便携式 FACE 采样器具有坚固的液膜，经过演示并适用于不同的目标、场景和检测方法。在近源演示中，FACE 采样器在提高采样效率和最小化稀释方面优于泵吸装置，例如</w:t>
      </w:r>
    </w:p>
    <w:p>
      <w:pPr>
        <w:spacing w:before="0" w:after="200" w:lineRule="auto" w:line="276"/>
      </w:pPr>
      <w:r>
        <w:rPr>
          <w:b/>
        </w:rPr>
        <w:t xml:space="preserve">Abstract (EN): </w:t>
      </w:r>
      <w:r>
        <w:t>With the persistent threats from severe respiratory diseases and airborne pollutants, billions of people worldwide lack timely access to essential diagnostic services, particularly in low-resource regions where laboratory infrastructure is scarce. Conventional pump-suction airborne samplers face challenges including cost, power dependency, and unavoidable analyte loss in complex systems. Here, we demonstrate a film-rupture actuated capillary enrichment (FACE) airborne sampler that replaces external suction with inherent surface-energy release of a rupturing liquid film, unifying collection, recovery, and readout into a single, pump-free event. Guided by in situ observations of a coiled-butterfly-proboscis “film-rupture” drinking mode and a biomimetic ring-and-capillary design, the FACE sampler couples a suspending liquid film for high-area collection with film-rupture-augmented capillary transport for autonomous recovery. A film-rupture augmented Washburn model and an “empty-effect” design criterion with optimized double-outlet, Tesla-guided architecture quantitatively explain submillisecond triggering (&amp;lt;0.5 ms), high-velocity enrichment (&amp;gt;50 mm s</w:t>
      </w:r>
      <w:r>
        <w:t xml:space="preserve"> </w:t>
      </w:r>
      <w:r>
        <w:t>−1</w:t>
      </w:r>
      <w:r>
        <w:t xml:space="preserve"> </w:t>
      </w:r>
      <w:r>
        <w:t>), and complete evacuation with near-zero residue. Built from low-cost polymers (~$0.12), the pump-free and portable FACE sampler with a robust liquid film is demonstrated and adapted for diverse targets, scenarios, and detection methods. In the near-source demonstration, the FACE sampler outperforms the pump-suction device in improving sampling efficiency and minimizing dilution, enabling visual detection at two orders of magnitude lower analyte levels. We envision broad applications of the FACE airborne sampler in environmental monitoring, agricultural safety, and public healthcare, providing a sustainable and scalable approach toward equitable access to high-performance point-of-care technologies.</w:t>
      </w:r>
    </w:p>
    <w:p>
      <w:pPr>
        <w:spacing w:before="120" w:after="120"/>
      </w:pPr>
      <w:r>
        <w:rPr>
          <w:sz w:val="18"/>
        </w:rPr>
        <w:t>——————————————————————————————————————————————————————————————————————</w:t>
      </w:r>
    </w:p>
    <w:p>
      <w:pPr>
        <w:spacing w:before="160" w:after="40" w:line="240" w:lineRule="auto"/>
      </w:pPr>
      <w:r>
        <w:rPr>
          <w:b/>
        </w:rPr>
        <w:t xml:space="preserve">[782] </w:t>
      </w:r>
      <w:hyperlink r:id="rId2017">
        <w:r>
          <w:rPr>
            <w:color w:val="1155CC"/>
            <w:u w:val="single"/>
          </w:rPr>
          <w:t>更正 Qiu 等人的观点，小白蛋白通过调节抑制性神经元的放电模式来控制慢性疼痛</w:t>
        </w:r>
      </w:hyperlink>
    </w:p>
    <w:p>
      <w:pPr>
        <w:spacing w:before="0" w:after="80"/>
      </w:pPr>
      <w:r>
        <w:rPr>
          <w:i/>
          <w:sz w:val="20"/>
        </w:rPr>
        <w:t>EN: Correction for Qiu et al., Parvalbumin gates chronic pain through the modulation of firing patterns in inhibitory neurons</w:t>
      </w:r>
    </w:p>
    <w:p>
      <w:pPr>
        <w:spacing w:before="0" w:after="120"/>
      </w:pPr>
      <w:r>
        <w:rPr>
          <w:b/>
        </w:rPr>
        <w:t xml:space="preserve">Source: </w:t>
      </w:r>
      <w:r>
        <w:t>Proceedings of the National Academy of Sciences: Keyword search for query</w:t>
      </w:r>
      <w:r>
        <w:t xml:space="preserve">    </w:t>
      </w:r>
      <w:r>
        <w:rPr>
          <w:b/>
        </w:rPr>
        <w:t xml:space="preserve">Pub date: </w:t>
      </w:r>
      <w:r>
        <w:t>2026-08-13 07:00:00+00:00</w:t>
      </w:r>
      <w:r>
        <w:t xml:space="preserve">    </w:t>
      </w:r>
      <w:r>
        <w:rPr>
          <w:b/>
        </w:rPr>
        <w:t xml:space="preserve">DOI: </w:t>
      </w:r>
      <w:hyperlink r:id="rId2018">
        <w:r>
          <w:rPr>
            <w:color w:val="1155CC"/>
            <w:u w:val="single"/>
          </w:rPr>
          <w:t>10.1073/pnas.2626378123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[783] </w:t>
      </w:r>
      <w:hyperlink r:id="rId2019">
        <w:r>
          <w:rPr>
            <w:color w:val="1155CC"/>
            <w:u w:val="single"/>
          </w:rPr>
          <w:t>更正 Chi 等人的观点，Caspase-8 促进急性青光眼中 NLRP1/NLRP3 炎性体激活和 IL-1β 产生</w:t>
        </w:r>
      </w:hyperlink>
    </w:p>
    <w:p>
      <w:pPr>
        <w:spacing w:before="0" w:after="80"/>
      </w:pPr>
      <w:r>
        <w:rPr>
          <w:i/>
          <w:sz w:val="20"/>
        </w:rPr>
        <w:t>EN: Correction for Chi et al., Caspase-8 promotes NLRP1/NLRP3 inflammasome activation and IL-1β production in acute glaucoma</w:t>
      </w:r>
    </w:p>
    <w:p>
      <w:pPr>
        <w:spacing w:before="0" w:after="120"/>
      </w:pPr>
      <w:r>
        <w:rPr>
          <w:b/>
        </w:rPr>
        <w:t xml:space="preserve">Source: </w:t>
      </w:r>
      <w:r>
        <w:t>Proceedings of the National Academy of Sciences: Keyword search for query</w:t>
      </w:r>
      <w:r>
        <w:t xml:space="preserve">    </w:t>
      </w:r>
      <w:r>
        <w:rPr>
          <w:b/>
        </w:rPr>
        <w:t xml:space="preserve">Pub date: </w:t>
      </w:r>
      <w:r>
        <w:t>2026-08-13 07:00:00+00:00</w:t>
      </w:r>
      <w:r>
        <w:t xml:space="preserve">    </w:t>
      </w:r>
      <w:r>
        <w:rPr>
          <w:b/>
        </w:rPr>
        <w:t xml:space="preserve">DOI: </w:t>
      </w:r>
      <w:hyperlink r:id="rId2020">
        <w:r>
          <w:rPr>
            <w:color w:val="1155CC"/>
            <w:u w:val="single"/>
          </w:rPr>
          <w:t>10.1073/pnas.2626527123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[784] </w:t>
      </w:r>
      <w:hyperlink r:id="rId2021">
        <w:r>
          <w:rPr>
            <w:color w:val="1155CC"/>
            <w:u w:val="single"/>
          </w:rPr>
          <w:t>人形机器人真的应该成为每个家庭的首要任务吗？</w:t>
        </w:r>
      </w:hyperlink>
    </w:p>
    <w:p>
      <w:pPr>
        <w:spacing w:before="0" w:after="80"/>
      </w:pPr>
      <w:r>
        <w:rPr>
          <w:i/>
          <w:sz w:val="20"/>
        </w:rPr>
        <w:t>EN: Should humanoid robots in every household really be a top priority?</w:t>
      </w:r>
    </w:p>
    <w:p>
      <w:pPr>
        <w:spacing w:before="0" w:after="120"/>
      </w:pPr>
      <w:r>
        <w:rPr>
          <w:b/>
        </w:rPr>
        <w:t xml:space="preserve">Source: </w:t>
      </w:r>
      <w:r>
        <w:t>AAAS: Science: Table of Contents</w:t>
      </w:r>
      <w:r>
        <w:t xml:space="preserve">    </w:t>
      </w:r>
      <w:r>
        <w:rPr>
          <w:b/>
        </w:rPr>
        <w:t xml:space="preserve">Pub date: </w:t>
      </w:r>
      <w:r>
        <w:t>2026-08-13 07:00:00+00:00</w:t>
      </w:r>
      <w:r>
        <w:t xml:space="preserve">    </w:t>
      </w:r>
      <w:r>
        <w:rPr>
          <w:b/>
        </w:rPr>
        <w:t xml:space="preserve">DOI: </w:t>
      </w:r>
      <w:hyperlink r:id="rId2022">
        <w:r>
          <w:rPr>
            <w:color w:val="1155CC"/>
            <w:u w:val="single"/>
          </w:rPr>
          <w:t>10.1126/science.aek2193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[785] </w:t>
      </w:r>
      <w:hyperlink r:id="rId2023">
        <w:r>
          <w:rPr>
            <w:color w:val="1155CC"/>
            <w:u w:val="single"/>
          </w:rPr>
          <w:t>CDK1 磷酸开关重新编程 TRAIP 以在有丝分裂中卸载复制体</w:t>
        </w:r>
      </w:hyperlink>
    </w:p>
    <w:p>
      <w:pPr>
        <w:spacing w:before="0" w:after="80"/>
      </w:pPr>
      <w:r>
        <w:rPr>
          <w:i/>
          <w:sz w:val="20"/>
        </w:rPr>
        <w:t>EN: A CDK1 phospho-switch reprograms TRAIP to unload replisomes in mitosis</w:t>
      </w:r>
    </w:p>
    <w:p>
      <w:pPr>
        <w:spacing w:before="0" w:after="120"/>
      </w:pPr>
      <w:r>
        <w:rPr>
          <w:b/>
        </w:rPr>
        <w:t xml:space="preserve">Source: </w:t>
      </w:r>
      <w:r>
        <w:t>AAAS: Science: Table of Contents</w:t>
      </w:r>
      <w:r>
        <w:t xml:space="preserve">    </w:t>
      </w:r>
      <w:r>
        <w:rPr>
          <w:b/>
        </w:rPr>
        <w:t xml:space="preserve">Pub date: </w:t>
      </w:r>
      <w:r>
        <w:t>2026-08-13 07:00:00+00:00</w:t>
      </w:r>
      <w:r>
        <w:t xml:space="preserve">    </w:t>
      </w:r>
      <w:r>
        <w:rPr>
          <w:b/>
        </w:rPr>
        <w:t xml:space="preserve">DOI: </w:t>
      </w:r>
      <w:hyperlink r:id="rId2024">
        <w:r>
          <w:rPr>
            <w:color w:val="1155CC"/>
            <w:u w:val="single"/>
          </w:rPr>
          <w:t>10.1126/science.aeh1834</w:t>
        </w:r>
      </w:hyperlink>
    </w:p>
    <w:p>
      <w:pPr>
        <w:spacing w:before="0" w:after="120"/>
      </w:pPr>
      <w:r>
        <w:rPr>
          <w:b/>
        </w:rPr>
        <w:t xml:space="preserve">Notes: </w:t>
      </w:r>
      <w:r>
        <w:t>abstract_source=crossref</w:t>
      </w:r>
    </w:p>
    <w:p>
      <w:pPr>
        <w:spacing w:before="0" w:after="80" w:lineRule="auto" w:line="276"/>
      </w:pPr>
      <w:r>
        <w:rPr>
          <w:b/>
        </w:rPr>
        <w:t xml:space="preserve">摘要（ZH）: </w:t>
      </w:r>
      <w:r>
        <w:t>进入有丝分裂且 DNA 复制不完全的细胞将面临灾难性的染色体分离失败。在间期期间，复制体相关的 E3 泛素连接酶 TRAIP 泛素化叉前的屏障，以允许复制体进展。在有丝分裂中，TRAIP 从反式作用连接酶重新编程为顺式作用连接酶，可以泛素化复制体本身。这可以通过促进复制体分解、分叉断裂和断裂染色体臂的连接来处理未复制的 DNA。在这里，我们描述了这种重编程的机制：腺苷三磷酸酶转录终止因子 2 (TTF2) 被招募到复制体中，其中其非催化 N 末端结构域将细胞周期蛋白 B 细胞周期蛋白依赖性激酶 1 磷酸化 TRAIP 与前导链 DNA 聚合酶 ε 以允许复制体泛素化的几何结构连接。因此，磷酸调节的结构开关改变有丝分裂中的复制体组织，以在染色体分离之前保护基因组完整性。</w:t>
      </w:r>
    </w:p>
    <w:p>
      <w:pPr>
        <w:spacing w:before="0" w:after="200" w:lineRule="auto" w:line="276"/>
      </w:pPr>
      <w:r>
        <w:rPr>
          <w:b/>
        </w:rPr>
        <w:t xml:space="preserve">Abstract (EN): </w:t>
      </w:r>
      <w:r>
        <w:t>Cells entering mitosis with incompletely replicated DNA face catastrophic chromosome segregation failure. During interphase, the replisome-associated E3 ubiquitin ligase TRAIP ubiquitylates barriers in front of the fork to allow replisome progression. In mitosis, TRAIP is reprogrammed from a trans-acting to a cis-acting ligase that can ubiquitylate the replisome itself. This enables the processing of unreplicated DNA by promoting replisome disassembly, fork breakage, and joining of the broken chromosome arms. Here, we describe a mechanism for this reprogramming: The adenosine triphosphatase transcription termination factor 2 (TTF2) is recruited to the replisome, where its noncatalytic N-terminal domain tethers cyclin B-cyclin–dependent kinase 1–phosphorylated TRAIP to the leading strand DNA polymerase ε in a geometry that allows replisome ubiquitylation. Thus, a phosphoregulated architectural switch alters replisome organization in mitosis to safeguard genome integrity before chromosome segregation.</w:t>
      </w:r>
    </w:p>
    <w:p>
      <w:pPr>
        <w:spacing w:before="120" w:after="120"/>
      </w:pPr>
      <w:r>
        <w:rPr>
          <w:sz w:val="18"/>
        </w:rPr>
        <w:t>——————————————————————————————————————————————————————————————————————</w:t>
      </w:r>
    </w:p>
    <w:p>
      <w:pPr>
        <w:spacing w:before="160" w:after="40" w:line="240" w:lineRule="auto"/>
      </w:pPr>
      <w:r>
        <w:rPr>
          <w:b/>
        </w:rPr>
        <w:t xml:space="preserve">[786] </w:t>
      </w:r>
      <w:hyperlink r:id="rId2025">
        <w:r>
          <w:rPr>
            <w:color w:val="1155CC"/>
            <w:u w:val="single"/>
          </w:rPr>
          <w:t>丘脑皮质回路编码感觉历史的偏差</w:t>
        </w:r>
      </w:hyperlink>
    </w:p>
    <w:p>
      <w:pPr>
        <w:spacing w:before="0" w:after="80"/>
      </w:pPr>
      <w:r>
        <w:rPr>
          <w:i/>
          <w:sz w:val="20"/>
        </w:rPr>
        <w:t>EN: A thalamocortical circuit encoding deviations from sensory history</w:t>
      </w:r>
    </w:p>
    <w:p>
      <w:pPr>
        <w:spacing w:before="0" w:after="120"/>
      </w:pPr>
      <w:r>
        <w:rPr>
          <w:b/>
        </w:rPr>
        <w:t xml:space="preserve">Source: </w:t>
      </w:r>
      <w:r>
        <w:t>AAAS: Science: Table of Contents</w:t>
      </w:r>
      <w:r>
        <w:t xml:space="preserve">    </w:t>
      </w:r>
      <w:r>
        <w:rPr>
          <w:b/>
        </w:rPr>
        <w:t xml:space="preserve">Pub date: </w:t>
      </w:r>
      <w:r>
        <w:t>2026-08-13 07:00:00+00:00</w:t>
      </w:r>
      <w:r>
        <w:t xml:space="preserve">    </w:t>
      </w:r>
      <w:r>
        <w:rPr>
          <w:b/>
        </w:rPr>
        <w:t xml:space="preserve">DOI: </w:t>
      </w:r>
      <w:hyperlink r:id="rId2026">
        <w:r>
          <w:rPr>
            <w:color w:val="1155CC"/>
            <w:u w:val="single"/>
          </w:rPr>
          <w:t>10.1126/science.aeg4720</w:t>
        </w:r>
      </w:hyperlink>
    </w:p>
    <w:p>
      <w:pPr>
        <w:spacing w:before="0" w:after="120"/>
      </w:pPr>
      <w:r>
        <w:rPr>
          <w:b/>
        </w:rPr>
        <w:t xml:space="preserve">Notes: </w:t>
      </w:r>
      <w:r>
        <w:t>abstract_source=crossref</w:t>
      </w:r>
    </w:p>
    <w:p>
      <w:pPr>
        <w:spacing w:before="0" w:after="80" w:lineRule="auto" w:line="276"/>
      </w:pPr>
      <w:r>
        <w:rPr>
          <w:b/>
        </w:rPr>
        <w:t xml:space="preserve">摘要（ZH）: </w:t>
      </w:r>
      <w:r>
        <w:t>先前的期望引导注意力并支持决策过程中的感知过滤。在执行视觉辨别任务的小鼠中，选择取决于连续刺激之间的逐次试验差异（|ΔDir|）。我们假设丘脑外侧后部（LP；啮齿动物枕部）对前额叶区域（例如前扣带皮层（ACC））的投射（先前与选择性注意和预测处理有关）可以支持对当前感觉证据的历史依赖性评估。在这项工作中，我们报告说，LP-ACC 轴突的光遗传学操作破坏了对当前感官证据的历史依赖性评估，产生 |ΔDir| 依赖性选择偏差。双光子成像显示 LP-ACC 轴突代表沿着依赖于任务的低维弯曲流形的刺激，其几何形状随 |ΔDir| 缩放，强调与最近证据的较大偏差。这些发现将 LP-ACC 确定为丘脑皮质通路，在决策过程中实现感官证据的对比性、参考历史的表示。</w:t>
      </w:r>
    </w:p>
    <w:p>
      <w:pPr>
        <w:spacing w:before="0" w:after="200" w:lineRule="auto" w:line="276"/>
      </w:pPr>
      <w:r>
        <w:rPr>
          <w:b/>
        </w:rPr>
        <w:t xml:space="preserve">Abstract (EN): </w:t>
      </w:r>
      <w:r>
        <w:t>Prior expectations guide attention and support perceptual filtering during decision-making. In mice performing a visual discrimination task, choices depended on trial-by-trial differences between consecutive stimuli (|ΔDir|). We hypothesized that thalamic lateral posterior (LP; rodent pulvinar) projections to prefrontal areas such as the anterior cingulate cortex (ACC), previously implicated in selective attention and predictive processing, could support history-dependent evaluation of current sensory evidence. In this work, we report that optogenetic manipulations of LP-ACC axons disrupted history-dependent evaluation of current sensory evidence, producing |ΔDir|-dependent choice biases. Two-photon imaging showed that LP-ACC axons represented stimuli along a task-dependent low-dimensional curved manifold whose geometry scaled with |ΔDir|, emphasizing larger deviations from recent evidence. These findings identify the LP-ACC as a thalamocortical pathway that implements a contrastive, history-referenced representation of sensory evidence during decisions.</w:t>
      </w:r>
    </w:p>
    <w:p>
      <w:pPr>
        <w:spacing w:before="120" w:after="120"/>
      </w:pPr>
      <w:r>
        <w:rPr>
          <w:sz w:val="18"/>
        </w:rPr>
        <w:t>——————————————————————————————————————————————————————————————————————</w:t>
      </w:r>
    </w:p>
    <w:p>
      <w:pPr>
        <w:spacing w:before="160" w:after="40" w:line="240" w:lineRule="auto"/>
      </w:pPr>
      <w:r>
        <w:rPr>
          <w:b/>
        </w:rPr>
        <w:t xml:space="preserve">[787] </w:t>
      </w:r>
      <w:hyperlink r:id="rId2027">
        <w:r>
          <w:rPr>
            <w:color w:val="1155CC"/>
            <w:u w:val="single"/>
          </w:rPr>
          <w:t>高血压的跨器官单细胞分析</w:t>
        </w:r>
      </w:hyperlink>
    </w:p>
    <w:p>
      <w:pPr>
        <w:spacing w:before="0" w:after="80"/>
      </w:pPr>
      <w:r>
        <w:rPr>
          <w:i/>
          <w:sz w:val="20"/>
        </w:rPr>
        <w:t>EN: A cross-organ single-cell analysis of hypertension</w:t>
      </w:r>
    </w:p>
    <w:p>
      <w:pPr>
        <w:spacing w:before="0" w:after="120"/>
      </w:pPr>
      <w:r>
        <w:rPr>
          <w:b/>
        </w:rPr>
        <w:t xml:space="preserve">Source: </w:t>
      </w:r>
      <w:r>
        <w:t>AAAS: Science: Table of Contents</w:t>
      </w:r>
      <w:r>
        <w:t xml:space="preserve">    </w:t>
      </w:r>
      <w:r>
        <w:rPr>
          <w:b/>
        </w:rPr>
        <w:t xml:space="preserve">Pub date: </w:t>
      </w:r>
      <w:r>
        <w:t>2026-08-13 07:00:00+00:00</w:t>
      </w:r>
      <w:r>
        <w:t xml:space="preserve">    </w:t>
      </w:r>
      <w:r>
        <w:rPr>
          <w:b/>
        </w:rPr>
        <w:t xml:space="preserve">DOI: </w:t>
      </w:r>
      <w:hyperlink r:id="rId2028">
        <w:r>
          <w:rPr>
            <w:color w:val="1155CC"/>
            <w:u w:val="single"/>
          </w:rPr>
          <w:t>10.1126/science.aea6187</w:t>
        </w:r>
      </w:hyperlink>
    </w:p>
    <w:p>
      <w:pPr>
        <w:spacing w:before="0" w:after="120"/>
      </w:pPr>
      <w:r>
        <w:rPr>
          <w:b/>
        </w:rPr>
        <w:t xml:space="preserve">Notes: </w:t>
      </w:r>
      <w:r>
        <w:t>abstract_source=crossref</w:t>
      </w:r>
    </w:p>
    <w:p>
      <w:pPr>
        <w:spacing w:before="0" w:after="80" w:lineRule="auto" w:line="276"/>
      </w:pPr>
      <w:r>
        <w:rPr>
          <w:b/>
        </w:rPr>
        <w:t xml:space="preserve">摘要（ZH）: </w:t>
      </w:r>
      <w:r>
        <w:t>高血压是疾病负担和死亡的主要原因。在这里，我们对血管紧张素 II 治疗的小鼠、达尔盐敏感大鼠和自发性高血压大鼠的六个器官和组织的高血压和终末器官损伤进行了单细胞分析。我们确定了与血压和肾损伤相关的基因程序，包括保守的血管平滑肌细胞程序和跨段肾小管程序，以及组织特异性内皮适应和选定器官中细胞类型的协调变化。与人类基因组数据的整合揭示了模型特异性和共享的细胞类型-性状联系。我们优先考虑非编码变体 (rs28451064)，并使用基因组编辑来证明其对血压和局部基因的等位基因特异性调节的体内影响。我们的研究为高血压研究提供了多模型、跨器官细胞资源。</w:t>
      </w:r>
    </w:p>
    <w:p>
      <w:pPr>
        <w:spacing w:before="0" w:after="200" w:lineRule="auto" w:line="276"/>
      </w:pPr>
      <w:r>
        <w:rPr>
          <w:b/>
        </w:rPr>
        <w:t xml:space="preserve">Abstract (EN): </w:t>
      </w:r>
      <w:r>
        <w:t>Hypertension is a leading cause of disease burden and mortality. Here, we present a single-cell analysis of hypertension and end-organ damage across six organs and tissues in angiotensin II–treated mice, Dahl salt–sensitive rats, and spontaneously hypertensive rats. We identified gene programs associated with blood pressure and renal injury, including a conserved vascular smooth muscle cell program and cross-segment renal tubular programs, along with tissue-specialized endothelial adaptations and coordinated changes across cell types in select organs. Integration with human genomic data revealed model-specific and shared cell type–trait links. We prioritized a noncoding variant (rs28451064) and used genome editing to demonstrate its in vivo effect on blood pressure and allele-specific regulation of local genes. Our study provides a multimodel, cross-organ cellular resource for hypertension research.</w:t>
      </w:r>
    </w:p>
    <w:p>
      <w:pPr>
        <w:spacing w:before="120" w:after="120"/>
      </w:pPr>
      <w:r>
        <w:rPr>
          <w:sz w:val="18"/>
        </w:rPr>
        <w:t>——————————————————————————————————————————————————————————————————————</w:t>
      </w:r>
    </w:p>
    <w:p>
      <w:pPr>
        <w:spacing w:before="160" w:after="40" w:line="240" w:lineRule="auto"/>
      </w:pPr>
      <w:r>
        <w:rPr>
          <w:b/>
        </w:rPr>
        <w:t xml:space="preserve">[788] </w:t>
      </w:r>
      <w:hyperlink r:id="rId2029">
        <w:r>
          <w:rPr>
            <w:color w:val="1155CC"/>
            <w:u w:val="single"/>
          </w:rPr>
          <w:t>TTF2 通过姐妹染色单体交换处理有丝分裂期间不完整的 DNA 复制位点</w:t>
        </w:r>
      </w:hyperlink>
    </w:p>
    <w:p>
      <w:pPr>
        <w:spacing w:before="0" w:after="80"/>
      </w:pPr>
      <w:r>
        <w:rPr>
          <w:i/>
          <w:sz w:val="20"/>
        </w:rPr>
        <w:t>EN: TTF2 processes sites of incomplete DNA replication during mitosis via sister-chromatid exchanges</w:t>
      </w:r>
    </w:p>
    <w:p>
      <w:pPr>
        <w:spacing w:before="0" w:after="120"/>
      </w:pPr>
      <w:r>
        <w:rPr>
          <w:b/>
        </w:rPr>
        <w:t xml:space="preserve">Source: </w:t>
      </w:r>
      <w:r>
        <w:t>AAAS: Science: Table of Contents</w:t>
      </w:r>
      <w:r>
        <w:t xml:space="preserve">    </w:t>
      </w:r>
      <w:r>
        <w:rPr>
          <w:b/>
        </w:rPr>
        <w:t xml:space="preserve">Pub date: </w:t>
      </w:r>
      <w:r>
        <w:t>2026-08-13 07:00:00+00:00</w:t>
      </w:r>
      <w:r>
        <w:t xml:space="preserve">    </w:t>
      </w:r>
      <w:r>
        <w:rPr>
          <w:b/>
        </w:rPr>
        <w:t xml:space="preserve">DOI: </w:t>
      </w:r>
      <w:hyperlink r:id="rId2030">
        <w:r>
          <w:rPr>
            <w:color w:val="1155CC"/>
            <w:u w:val="single"/>
          </w:rPr>
          <w:t>10.1126/science.aeh2300</w:t>
        </w:r>
      </w:hyperlink>
    </w:p>
    <w:p>
      <w:pPr>
        <w:spacing w:before="0" w:after="120"/>
      </w:pPr>
      <w:r>
        <w:rPr>
          <w:b/>
        </w:rPr>
        <w:t xml:space="preserve">Notes: </w:t>
      </w:r>
      <w:r>
        <w:t>abstract_source=crossref</w:t>
      </w:r>
    </w:p>
    <w:p>
      <w:pPr>
        <w:spacing w:before="0" w:after="80" w:lineRule="auto" w:line="276"/>
      </w:pPr>
      <w:r>
        <w:rPr>
          <w:b/>
        </w:rPr>
        <w:t xml:space="preserve">摘要（ZH）: </w:t>
      </w:r>
      <w:r>
        <w:t>哺乳动物细胞经常在 DNA 复制完成之前进入有丝分裂，因此需要快速处理未复制的基因座以促进染色体分离。 TRAIP 泛素连接酶在有丝分裂过程中诱导复制体分解，引发 DNA 复制叉的裂解。到目前为止，调节 TRAIP 和处理切割 DNA 复制叉的机制尚不清楚。在这项研究中，我们证明转录终止因子 2 (TTF2) 三磷酸腺苷酶是一种新型磷酸感受器，在有丝分裂过程中结合 TRAIP 上的保守磷酸化位点。 TTF2 将磷酸化的 TRAIP 与复制体中的 DNA 聚合酶 ε (Pol ε) 偶联，导致 TRAIP 泛素化 CDC45-MCM-GINS (CMG) 解旋酶。这会触发有丝分裂复制体解体和产生姐妹染色单体交换的修复途径，支持叉分裂如何促进哺乳动物细胞中复制不足基因座分离的模型。</w:t>
      </w:r>
    </w:p>
    <w:p>
      <w:pPr>
        <w:spacing w:before="0" w:after="200" w:lineRule="auto" w:line="276"/>
      </w:pPr>
      <w:r>
        <w:rPr>
          <w:b/>
        </w:rPr>
        <w:t xml:space="preserve">Abstract (EN): </w:t>
      </w:r>
      <w:r>
        <w:t>Mammalian cells frequently enter mitosis before DNA replication has finished, necessitating the rapid processing of unreplicated loci to facilitate chromosome segregation. The TRAIP ubiquitin ligase induces replisome disassembly during mitosis, triggering the cleavage of DNA replication forks. Until now, the mechanisms that regulate TRAIP and process cleaved DNA replication forks were unclear. In this study, we show that the transcription termination factor 2 (TTF2) adenosine triphosphatase is a new type of phosphoreceptor that binds a conserved phosphorylation site on TRAIP during mitosis. TTF2 couples phosphorylated TRAIP to DNA polymerase ε (Pol ε) in the replisome, leading TRAIP to ubiquitylate the CDC45-MCM-GINS (CMG) helicase. This triggers mitotic replisome disassembly and a repair pathway that produces sister-chromatid exchanges, supporting a model for how fork cleavage promotes the segregation of underreplicated loci in mammalian cells.</w:t>
      </w:r>
    </w:p>
    <w:p>
      <w:pPr>
        <w:spacing w:before="120" w:after="120"/>
      </w:pPr>
      <w:r>
        <w:rPr>
          <w:sz w:val="18"/>
        </w:rPr>
        <w:t>——————————————————————————————————————————————————————————————————————</w:t>
      </w:r>
    </w:p>
    <w:p>
      <w:pPr>
        <w:spacing w:before="160" w:after="40" w:line="240" w:lineRule="auto"/>
      </w:pPr>
      <w:r>
        <w:rPr>
          <w:b/>
        </w:rPr>
        <w:t xml:space="preserve">[789] </w:t>
      </w:r>
      <w:hyperlink r:id="rId2031">
        <w:r>
          <w:rPr>
            <w:color w:val="1155CC"/>
            <w:u w:val="single"/>
          </w:rPr>
          <w:t>报告勘误“拮抗受体的表观遗传调控赋予稻瘟病抗性和产量平衡”</w:t>
        </w:r>
      </w:hyperlink>
    </w:p>
    <w:p>
      <w:pPr>
        <w:spacing w:before="0" w:after="80"/>
      </w:pPr>
      <w:r>
        <w:rPr>
          <w:i/>
          <w:sz w:val="20"/>
        </w:rPr>
        <w:t>EN: Erratum for the Report “Epigenetic regulation of antagonistic receptors confers rice blast resistance with yield balance”</w:t>
      </w:r>
    </w:p>
    <w:p>
      <w:pPr>
        <w:spacing w:before="0" w:after="120"/>
      </w:pPr>
      <w:r>
        <w:rPr>
          <w:b/>
        </w:rPr>
        <w:t xml:space="preserve">Source: </w:t>
      </w:r>
      <w:r>
        <w:t>AAAS: Science: Table of Contents</w:t>
      </w:r>
      <w:r>
        <w:t xml:space="preserve">    </w:t>
      </w:r>
      <w:r>
        <w:rPr>
          <w:b/>
        </w:rPr>
        <w:t xml:space="preserve">Pub date: </w:t>
      </w:r>
      <w:r>
        <w:t>2026-08-13 07:00:00+00:00</w:t>
      </w:r>
      <w:r>
        <w:t xml:space="preserve">    </w:t>
      </w:r>
      <w:r>
        <w:rPr>
          <w:b/>
        </w:rPr>
        <w:t xml:space="preserve">DOI: </w:t>
      </w:r>
      <w:hyperlink r:id="rId2032">
        <w:r>
          <w:rPr>
            <w:color w:val="1155CC"/>
            <w:u w:val="single"/>
          </w:rPr>
          <w:t>10.1126/science.ael2764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1467-026-76489-1" TargetMode="External"/><Relationship Id="rId10" Type="http://schemas.openxmlformats.org/officeDocument/2006/relationships/hyperlink" Target="https://pubs.acs.org/aelccp/article/doi/10.1021/acsenergylett.6c01444/5250496/Controlling-Interfacial-Hole-Tunneling-To-Mitigate" TargetMode="External"/><Relationship Id="rId11" Type="http://schemas.openxmlformats.org/officeDocument/2006/relationships/hyperlink" Target="https://doi.org/10.1021/acsenergylett.6c01444" TargetMode="External"/><Relationship Id="rId12" Type="http://schemas.openxmlformats.org/officeDocument/2006/relationships/hyperlink" Target="https://advanced.onlinelibrary.wiley.com/doi/10.1002/adma.74497?af=R" TargetMode="External"/><Relationship Id="rId13" Type="http://schemas.openxmlformats.org/officeDocument/2006/relationships/hyperlink" Target="https://doi.org/10.1002/adma.74497" TargetMode="External"/><Relationship Id="rId14" Type="http://schemas.openxmlformats.org/officeDocument/2006/relationships/hyperlink" Target="https://advanced.onlinelibrary.wiley.com/doi/10.1002/adma.74464?af=R" TargetMode="External"/><Relationship Id="rId15" Type="http://schemas.openxmlformats.org/officeDocument/2006/relationships/hyperlink" Target="https://doi.org/10.1002/adma.74464" TargetMode="External"/><Relationship Id="rId16" Type="http://schemas.openxmlformats.org/officeDocument/2006/relationships/hyperlink" Target="https://advanced.onlinelibrary.wiley.com/doi/10.1002/aenm.71415?af=R" TargetMode="External"/><Relationship Id="rId17" Type="http://schemas.openxmlformats.org/officeDocument/2006/relationships/hyperlink" Target="https://doi.org/10.1002/aenm.71415" TargetMode="External"/><Relationship Id="rId18" Type="http://schemas.openxmlformats.org/officeDocument/2006/relationships/hyperlink" Target="https://advanced.onlinelibrary.wiley.com/doi/10.1002/aenm.71419?af=R" TargetMode="External"/><Relationship Id="rId19" Type="http://schemas.openxmlformats.org/officeDocument/2006/relationships/hyperlink" Target="https://doi.org/10.1002/aenm.71419" TargetMode="External"/><Relationship Id="rId20" Type="http://schemas.openxmlformats.org/officeDocument/2006/relationships/hyperlink" Target="https://advanced.onlinelibrary.wiley.com/doi/10.1002/aenm.71396?af=R" TargetMode="External"/><Relationship Id="rId21" Type="http://schemas.openxmlformats.org/officeDocument/2006/relationships/hyperlink" Target="https://doi.org/10.1002/aenm.71396" TargetMode="External"/><Relationship Id="rId22" Type="http://schemas.openxmlformats.org/officeDocument/2006/relationships/hyperlink" Target="https://advanced.onlinelibrary.wiley.com/doi/10.1002/adma.74429?af=R" TargetMode="External"/><Relationship Id="rId23" Type="http://schemas.openxmlformats.org/officeDocument/2006/relationships/hyperlink" Target="https://doi.org/10.1002/adma.74429" TargetMode="External"/><Relationship Id="rId24" Type="http://schemas.openxmlformats.org/officeDocument/2006/relationships/hyperlink" Target="https://onlinelibrary.wiley.com/doi/10.1002/anie.6932848?af=R" TargetMode="External"/><Relationship Id="rId25" Type="http://schemas.openxmlformats.org/officeDocument/2006/relationships/hyperlink" Target="https://doi.org/10.1002/anie.6932848" TargetMode="External"/><Relationship Id="rId26" Type="http://schemas.openxmlformats.org/officeDocument/2006/relationships/hyperlink" Target="https://www.sciencedirect.com/science/article/pii/S0306261926013061?dgcid=rss_sd_all" TargetMode="External"/><Relationship Id="rId27" Type="http://schemas.openxmlformats.org/officeDocument/2006/relationships/hyperlink" Target="https://doi.org/10.1016/j.apenergy.2026.128650" TargetMode="External"/><Relationship Id="rId28" Type="http://schemas.openxmlformats.org/officeDocument/2006/relationships/hyperlink" Target="https://www.nature.com/articles/s41467-026-76497-1" TargetMode="External"/><Relationship Id="rId29" Type="http://schemas.openxmlformats.org/officeDocument/2006/relationships/hyperlink" Target="https://www.sciencedirect.com/science/article/pii/S0306261926012390?dgcid=rss_sd_all" TargetMode="External"/><Relationship Id="rId30" Type="http://schemas.openxmlformats.org/officeDocument/2006/relationships/hyperlink" Target="https://doi.org/10.1016/j.apenergy.2026.128583" TargetMode="External"/><Relationship Id="rId31" Type="http://schemas.openxmlformats.org/officeDocument/2006/relationships/hyperlink" Target="https://pubs.acs.org/aelccp/article/doi/10.1021/acsenergylett.6c01363/5250772/Material-Selection-through-Accelerated-Aging" TargetMode="External"/><Relationship Id="rId32" Type="http://schemas.openxmlformats.org/officeDocument/2006/relationships/hyperlink" Target="https://doi.org/10.1021/acsenergylett.6c01363" TargetMode="External"/><Relationship Id="rId33" Type="http://schemas.openxmlformats.org/officeDocument/2006/relationships/hyperlink" Target="https://www.sciencedirect.com/science/article/pii/S0306261926012456?dgcid=rss_sd_all" TargetMode="External"/><Relationship Id="rId34" Type="http://schemas.openxmlformats.org/officeDocument/2006/relationships/hyperlink" Target="https://doi.org/10.1016/j.apenergy.2026.128589" TargetMode="External"/><Relationship Id="rId35" Type="http://schemas.openxmlformats.org/officeDocument/2006/relationships/hyperlink" Target="https://advanced.onlinelibrary.wiley.com/doi/10.1002/adma.74538?af=R" TargetMode="External"/><Relationship Id="rId36" Type="http://schemas.openxmlformats.org/officeDocument/2006/relationships/hyperlink" Target="https://doi.org/10.1002/adma.74538" TargetMode="External"/><Relationship Id="rId37" Type="http://schemas.openxmlformats.org/officeDocument/2006/relationships/hyperlink" Target="https://www.nature.com/articles/s41586-026-10984-9" TargetMode="External"/><Relationship Id="rId38" Type="http://schemas.openxmlformats.org/officeDocument/2006/relationships/hyperlink" Target="https://doi.org/10.1038/s41586-026-10984-9" TargetMode="External"/><Relationship Id="rId39" Type="http://schemas.openxmlformats.org/officeDocument/2006/relationships/hyperlink" Target="https://www.nmlett.org/index.php/nml/article/view/2627" TargetMode="External"/><Relationship Id="rId40" Type="http://schemas.openxmlformats.org/officeDocument/2006/relationships/hyperlink" Target="https://doi.org/10.1007/s40820-026-02327-0" TargetMode="External"/><Relationship Id="rId41" Type="http://schemas.openxmlformats.org/officeDocument/2006/relationships/hyperlink" Target="https://pubs.acs.org/aamick/article/doi/10.1021/acsami.6c13441/5250780/Selenium-Solar-Cells-for-Semi-Transparent" TargetMode="External"/><Relationship Id="rId42" Type="http://schemas.openxmlformats.org/officeDocument/2006/relationships/hyperlink" Target="https://doi.org/10.1021/acsami.6c13441" TargetMode="External"/><Relationship Id="rId43" Type="http://schemas.openxmlformats.org/officeDocument/2006/relationships/hyperlink" Target="https://pubs.acs.org/aamick/article/doi/10.1021/acsami.6c08519/5250814/In-Device-Assessment-of-the-Nanometric-i-ZnO-Layer" TargetMode="External"/><Relationship Id="rId44" Type="http://schemas.openxmlformats.org/officeDocument/2006/relationships/hyperlink" Target="https://doi.org/10.1021/acsami.6c08519" TargetMode="External"/><Relationship Id="rId45" Type="http://schemas.openxmlformats.org/officeDocument/2006/relationships/hyperlink" Target="https://pubs.acs.org/aamick/article/doi/10.1021/acsami.6c07306/5250778/Solvent-Mediated-Diffusion-Enables-Directed" TargetMode="External"/><Relationship Id="rId46" Type="http://schemas.openxmlformats.org/officeDocument/2006/relationships/hyperlink" Target="https://doi.org/10.1021/acsami.6c07306" TargetMode="External"/><Relationship Id="rId47" Type="http://schemas.openxmlformats.org/officeDocument/2006/relationships/hyperlink" Target="https://pubs.acs.org/jacsat/article/doi/10.1021/jacs.6c07715/5252976/Understanding-the-Ultrafast-Crystallization" TargetMode="External"/><Relationship Id="rId48" Type="http://schemas.openxmlformats.org/officeDocument/2006/relationships/hyperlink" Target="https://doi.org/10.1021/jacs.6c07715" TargetMode="External"/><Relationship Id="rId49" Type="http://schemas.openxmlformats.org/officeDocument/2006/relationships/hyperlink" Target="https://www.nature.com/articles/s41467-026-76713-y" TargetMode="External"/><Relationship Id="rId50" Type="http://schemas.openxmlformats.org/officeDocument/2006/relationships/hyperlink" Target="https://www.nature.com/articles/s41467-026-76425-3" TargetMode="External"/><Relationship Id="rId51" Type="http://schemas.openxmlformats.org/officeDocument/2006/relationships/hyperlink" Target="https://pubs.acs.org/aamick/article/doi/10.1021/acsami.6c12892/5252989/Environmentally-Friendly-UV-NIR-Dual-Wavelength" TargetMode="External"/><Relationship Id="rId52" Type="http://schemas.openxmlformats.org/officeDocument/2006/relationships/hyperlink" Target="https://doi.org/10.1021/acsami.6c12892" TargetMode="External"/><Relationship Id="rId53" Type="http://schemas.openxmlformats.org/officeDocument/2006/relationships/hyperlink" Target="https://pubs.acs.org/jacsat/article/doi/10.1021/jacs.6c09938/5253660/Kinetically-Arrested-Twin-Domain-State-in" TargetMode="External"/><Relationship Id="rId54" Type="http://schemas.openxmlformats.org/officeDocument/2006/relationships/hyperlink" Target="https://doi.org/10.1021/jacs.6c09938" TargetMode="External"/><Relationship Id="rId55" Type="http://schemas.openxmlformats.org/officeDocument/2006/relationships/hyperlink" Target="https://www.sciencedirect.com/science/article/pii/S0306261926012389?dgcid=rss_sd_all" TargetMode="External"/><Relationship Id="rId56" Type="http://schemas.openxmlformats.org/officeDocument/2006/relationships/hyperlink" Target="https://doi.org/10.1016/j.apenergy.2026.128582" TargetMode="External"/><Relationship Id="rId57" Type="http://schemas.openxmlformats.org/officeDocument/2006/relationships/hyperlink" Target="https://www.nature.com/articles/s41467-026-76786-9" TargetMode="External"/><Relationship Id="rId58" Type="http://schemas.openxmlformats.org/officeDocument/2006/relationships/hyperlink" Target="https://www.sciencedirect.com/science/article/pii/S0306261926011864?dgcid=rss_sd_all" TargetMode="External"/><Relationship Id="rId59" Type="http://schemas.openxmlformats.org/officeDocument/2006/relationships/hyperlink" Target="https://doi.org/10.1016/j.apenergy.2026.128530" TargetMode="External"/><Relationship Id="rId60" Type="http://schemas.openxmlformats.org/officeDocument/2006/relationships/hyperlink" Target="https://www.nature.com/articles/s41586-026-10994-7" TargetMode="External"/><Relationship Id="rId61" Type="http://schemas.openxmlformats.org/officeDocument/2006/relationships/hyperlink" Target="https://doi.org/10.1038/s41586-026-10994-7" TargetMode="External"/><Relationship Id="rId62" Type="http://schemas.openxmlformats.org/officeDocument/2006/relationships/hyperlink" Target="https://advanced.onlinelibrary.wiley.com/doi/10.1002/aenm.71424?af=R" TargetMode="External"/><Relationship Id="rId63" Type="http://schemas.openxmlformats.org/officeDocument/2006/relationships/hyperlink" Target="https://doi.org/10.1002/aenm.71424" TargetMode="External"/><Relationship Id="rId64" Type="http://schemas.openxmlformats.org/officeDocument/2006/relationships/hyperlink" Target="https://onlinelibrary.wiley.com/doi/10.1002/anie.8256065?af=R" TargetMode="External"/><Relationship Id="rId65" Type="http://schemas.openxmlformats.org/officeDocument/2006/relationships/hyperlink" Target="https://doi.org/10.1002/anie.8256065" TargetMode="External"/><Relationship Id="rId66" Type="http://schemas.openxmlformats.org/officeDocument/2006/relationships/hyperlink" Target="https://advanced.onlinelibrary.wiley.com/doi/10.1002/aenm.71269?af=R" TargetMode="External"/><Relationship Id="rId67" Type="http://schemas.openxmlformats.org/officeDocument/2006/relationships/hyperlink" Target="https://doi.org/10.1002/aenm.71269" TargetMode="External"/><Relationship Id="rId68" Type="http://schemas.openxmlformats.org/officeDocument/2006/relationships/hyperlink" Target="https://www.nmlett.org/index.php/nml/article/view/2634" TargetMode="External"/><Relationship Id="rId69" Type="http://schemas.openxmlformats.org/officeDocument/2006/relationships/hyperlink" Target="https://doi.org/10.1007/s40820-026-02330-5" TargetMode="External"/><Relationship Id="rId70" Type="http://schemas.openxmlformats.org/officeDocument/2006/relationships/hyperlink" Target="https://www.nature.com/articles/s41467-026-75666-6" TargetMode="External"/><Relationship Id="rId71" Type="http://schemas.openxmlformats.org/officeDocument/2006/relationships/hyperlink" Target="https://advanced.onlinelibrary.wiley.com/doi/10.1002/adma.74632?af=R" TargetMode="External"/><Relationship Id="rId72" Type="http://schemas.openxmlformats.org/officeDocument/2006/relationships/hyperlink" Target="https://doi.org/10.1002/adma.74632" TargetMode="External"/><Relationship Id="rId73" Type="http://schemas.openxmlformats.org/officeDocument/2006/relationships/hyperlink" Target="https://advanced.onlinelibrary.wiley.com/doi/10.1002/adma.74643?af=R" TargetMode="External"/><Relationship Id="rId74" Type="http://schemas.openxmlformats.org/officeDocument/2006/relationships/hyperlink" Target="https://doi.org/10.1002/adma.74643" TargetMode="External"/><Relationship Id="rId75" Type="http://schemas.openxmlformats.org/officeDocument/2006/relationships/hyperlink" Target="https://www.nature.com/articles/s41467-026-76496-2" TargetMode="External"/><Relationship Id="rId76" Type="http://schemas.openxmlformats.org/officeDocument/2006/relationships/hyperlink" Target="https://pubs.acs.org/jacsat/article/doi/10.1021/jacs.6c08026/5250125/High-Voltage-Sodium-Metal-Batteries-with" TargetMode="External"/><Relationship Id="rId77" Type="http://schemas.openxmlformats.org/officeDocument/2006/relationships/hyperlink" Target="https://doi.org/10.1021/jacs.6c08026" TargetMode="External"/><Relationship Id="rId78" Type="http://schemas.openxmlformats.org/officeDocument/2006/relationships/hyperlink" Target="https://pubs.acs.org/jacsat/article/doi/10.1021/jacs.6c09703/5250185/Electron-Deficient-Species-Driven-Interphase" TargetMode="External"/><Relationship Id="rId79" Type="http://schemas.openxmlformats.org/officeDocument/2006/relationships/hyperlink" Target="https://doi.org/10.1021/jacs.6c09703" TargetMode="External"/><Relationship Id="rId80" Type="http://schemas.openxmlformats.org/officeDocument/2006/relationships/hyperlink" Target="https://advanced.onlinelibrary.wiley.com/doi/10.1002/aenm.71399?af=R" TargetMode="External"/><Relationship Id="rId81" Type="http://schemas.openxmlformats.org/officeDocument/2006/relationships/hyperlink" Target="https://doi.org/10.1002/aenm.71399" TargetMode="External"/><Relationship Id="rId82" Type="http://schemas.openxmlformats.org/officeDocument/2006/relationships/hyperlink" Target="https://advanced.onlinelibrary.wiley.com/doi/10.1002/aenm.71298?af=R" TargetMode="External"/><Relationship Id="rId83" Type="http://schemas.openxmlformats.org/officeDocument/2006/relationships/hyperlink" Target="https://doi.org/10.1002/aenm.71298" TargetMode="External"/><Relationship Id="rId84" Type="http://schemas.openxmlformats.org/officeDocument/2006/relationships/hyperlink" Target="https://onlinelibrary.wiley.com/doi/10.1002/anie.3474461?af=R" TargetMode="External"/><Relationship Id="rId85" Type="http://schemas.openxmlformats.org/officeDocument/2006/relationships/hyperlink" Target="https://doi.org/10.1002/anie.3474461" TargetMode="External"/><Relationship Id="rId86" Type="http://schemas.openxmlformats.org/officeDocument/2006/relationships/hyperlink" Target="https://pubs.acs.org/aamick/article/doi/10.1021/acsami.6c07999/5250620/Pillaring-Effect-of-Li-in-a-Mn-Rich-P2-Type" TargetMode="External"/><Relationship Id="rId87" Type="http://schemas.openxmlformats.org/officeDocument/2006/relationships/hyperlink" Target="https://doi.org/10.1021/acsami.6c07999" TargetMode="External"/><Relationship Id="rId88" Type="http://schemas.openxmlformats.org/officeDocument/2006/relationships/hyperlink" Target="https://advanced.onlinelibrary.wiley.com/doi/10.1002/aenm.71423?af=R" TargetMode="External"/><Relationship Id="rId89" Type="http://schemas.openxmlformats.org/officeDocument/2006/relationships/hyperlink" Target="https://doi.org/10.1002/aenm.71423" TargetMode="External"/><Relationship Id="rId90" Type="http://schemas.openxmlformats.org/officeDocument/2006/relationships/hyperlink" Target="https://advanced.onlinelibrary.wiley.com/doi/10.1002/aenm.71370?af=R" TargetMode="External"/><Relationship Id="rId91" Type="http://schemas.openxmlformats.org/officeDocument/2006/relationships/hyperlink" Target="https://doi.org/10.1002/aenm.71370" TargetMode="External"/><Relationship Id="rId92" Type="http://schemas.openxmlformats.org/officeDocument/2006/relationships/hyperlink" Target="https://advanced.onlinelibrary.wiley.com/doi/10.1002/aenm.71402?af=R" TargetMode="External"/><Relationship Id="rId93" Type="http://schemas.openxmlformats.org/officeDocument/2006/relationships/hyperlink" Target="https://doi.org/10.1002/aenm.71402" TargetMode="External"/><Relationship Id="rId94" Type="http://schemas.openxmlformats.org/officeDocument/2006/relationships/hyperlink" Target="https://advanced.onlinelibrary.wiley.com/doi/10.1002/aenm.71421?af=R" TargetMode="External"/><Relationship Id="rId95" Type="http://schemas.openxmlformats.org/officeDocument/2006/relationships/hyperlink" Target="https://doi.org/10.1002/aenm.71421" TargetMode="External"/><Relationship Id="rId96" Type="http://schemas.openxmlformats.org/officeDocument/2006/relationships/hyperlink" Target="https://advanced.onlinelibrary.wiley.com/doi/10.1002/adma.74525?af=R" TargetMode="External"/><Relationship Id="rId97" Type="http://schemas.openxmlformats.org/officeDocument/2006/relationships/hyperlink" Target="https://doi.org/10.1002/adma.74525" TargetMode="External"/><Relationship Id="rId98" Type="http://schemas.openxmlformats.org/officeDocument/2006/relationships/hyperlink" Target="https://onlinelibrary.wiley.com/doi/10.1002/anie.9631813?af=R" TargetMode="External"/><Relationship Id="rId99" Type="http://schemas.openxmlformats.org/officeDocument/2006/relationships/hyperlink" Target="https://doi.org/10.1002/anie.9631813" TargetMode="External"/><Relationship Id="rId100" Type="http://schemas.openxmlformats.org/officeDocument/2006/relationships/hyperlink" Target="https://www.nature.com/articles/s41467-026-76348-z" TargetMode="External"/><Relationship Id="rId101" Type="http://schemas.openxmlformats.org/officeDocument/2006/relationships/hyperlink" Target="https://www.nmlett.org/index.php/nml/article/view/2625" TargetMode="External"/><Relationship Id="rId102" Type="http://schemas.openxmlformats.org/officeDocument/2006/relationships/hyperlink" Target="https://doi.org/10.1007/s40820-026-02328-z" TargetMode="External"/><Relationship Id="rId103" Type="http://schemas.openxmlformats.org/officeDocument/2006/relationships/hyperlink" Target="https://advanced.onlinelibrary.wiley.com/doi/10.1002/aenm.71420?af=R" TargetMode="External"/><Relationship Id="rId104" Type="http://schemas.openxmlformats.org/officeDocument/2006/relationships/hyperlink" Target="https://doi.org/10.1002/aenm.71420" TargetMode="External"/><Relationship Id="rId105" Type="http://schemas.openxmlformats.org/officeDocument/2006/relationships/hyperlink" Target="https://advanced.onlinelibrary.wiley.com/doi/10.1002/adma.74572?af=R" TargetMode="External"/><Relationship Id="rId106" Type="http://schemas.openxmlformats.org/officeDocument/2006/relationships/hyperlink" Target="https://doi.org/10.1002/adma.74572" TargetMode="External"/><Relationship Id="rId107" Type="http://schemas.openxmlformats.org/officeDocument/2006/relationships/hyperlink" Target="https://advanced.onlinelibrary.wiley.com/doi/10.1002/adma.74533?af=R" TargetMode="External"/><Relationship Id="rId108" Type="http://schemas.openxmlformats.org/officeDocument/2006/relationships/hyperlink" Target="https://doi.org/10.1002/adma.74533" TargetMode="External"/><Relationship Id="rId109" Type="http://schemas.openxmlformats.org/officeDocument/2006/relationships/hyperlink" Target="https://pubs.acs.org/jacsat/article/doi/10.1021/jacs.6c07357/5251761/Reversible-Oxygen-Redox-in-High-Voltage-for" TargetMode="External"/><Relationship Id="rId110" Type="http://schemas.openxmlformats.org/officeDocument/2006/relationships/hyperlink" Target="https://doi.org/10.1021/jacs.6c07357" TargetMode="External"/><Relationship Id="rId111" Type="http://schemas.openxmlformats.org/officeDocument/2006/relationships/hyperlink" Target="https://advanced.onlinelibrary.wiley.com/doi/10.1002/adma.74611?af=R" TargetMode="External"/><Relationship Id="rId112" Type="http://schemas.openxmlformats.org/officeDocument/2006/relationships/hyperlink" Target="https://doi.org/10.1002/adma.74611" TargetMode="External"/><Relationship Id="rId113" Type="http://schemas.openxmlformats.org/officeDocument/2006/relationships/hyperlink" Target="https://advanced.onlinelibrary.wiley.com/doi/10.1002/adma.74630?af=R" TargetMode="External"/><Relationship Id="rId114" Type="http://schemas.openxmlformats.org/officeDocument/2006/relationships/hyperlink" Target="https://doi.org/10.1002/adma.74630" TargetMode="External"/><Relationship Id="rId115" Type="http://schemas.openxmlformats.org/officeDocument/2006/relationships/hyperlink" Target="https://pubs.acs.org/aamick/article/doi/10.1021/acsami.6c09783/5254974/Oxidative-Electrochemical-Coupling-Between-Bi-and" TargetMode="External"/><Relationship Id="rId116" Type="http://schemas.openxmlformats.org/officeDocument/2006/relationships/hyperlink" Target="https://doi.org/10.1021/acsami.6c09783" TargetMode="External"/><Relationship Id="rId117" Type="http://schemas.openxmlformats.org/officeDocument/2006/relationships/hyperlink" Target="https://advanced.onlinelibrary.wiley.com/doi/10.1002/adma.74616?af=R" TargetMode="External"/><Relationship Id="rId118" Type="http://schemas.openxmlformats.org/officeDocument/2006/relationships/hyperlink" Target="https://doi.org/10.1002/adma.74616" TargetMode="External"/><Relationship Id="rId119" Type="http://schemas.openxmlformats.org/officeDocument/2006/relationships/hyperlink" Target="https://www.nature.com/articles/s41467-026-76591-4" TargetMode="External"/><Relationship Id="rId120" Type="http://schemas.openxmlformats.org/officeDocument/2006/relationships/hyperlink" Target="https://www.sciencedirect.com/science/article/pii/S0306261926012298?dgcid=rss_sd_all" TargetMode="External"/><Relationship Id="rId121" Type="http://schemas.openxmlformats.org/officeDocument/2006/relationships/hyperlink" Target="https://doi.org/10.1016/j.apenergy.2026.128573" TargetMode="External"/><Relationship Id="rId122" Type="http://schemas.openxmlformats.org/officeDocument/2006/relationships/hyperlink" Target="https://advanced.onlinelibrary.wiley.com/doi/10.1002/adma.74484?af=R" TargetMode="External"/><Relationship Id="rId123" Type="http://schemas.openxmlformats.org/officeDocument/2006/relationships/hyperlink" Target="https://doi.org/10.1002/adma.74484" TargetMode="External"/><Relationship Id="rId124" Type="http://schemas.openxmlformats.org/officeDocument/2006/relationships/hyperlink" Target="https://advanced.onlinelibrary.wiley.com/doi/10.1002/aenm.71387?af=R" TargetMode="External"/><Relationship Id="rId125" Type="http://schemas.openxmlformats.org/officeDocument/2006/relationships/hyperlink" Target="https://doi.org/10.1002/aenm.71387" TargetMode="External"/><Relationship Id="rId126" Type="http://schemas.openxmlformats.org/officeDocument/2006/relationships/hyperlink" Target="https://pubs.acs.org/jacsat/article/doi/10.1021/jacs.6c08057/5250759/An-Electronically-Coupled-Interfacial-Energy" TargetMode="External"/><Relationship Id="rId127" Type="http://schemas.openxmlformats.org/officeDocument/2006/relationships/hyperlink" Target="https://doi.org/10.1021/jacs.6c08057" TargetMode="External"/><Relationship Id="rId128" Type="http://schemas.openxmlformats.org/officeDocument/2006/relationships/hyperlink" Target="https://pubs.acs.org/aamick/article/doi/10.1021/acsami.6c09535/5250623/Tailoring-Water-Shielding-Electric-Double-Layer" TargetMode="External"/><Relationship Id="rId129" Type="http://schemas.openxmlformats.org/officeDocument/2006/relationships/hyperlink" Target="https://doi.org/10.1021/acsami.6c09535" TargetMode="External"/><Relationship Id="rId130" Type="http://schemas.openxmlformats.org/officeDocument/2006/relationships/hyperlink" Target="https://www.nmlett.org/index.php/nml/article/view/2624" TargetMode="External"/><Relationship Id="rId131" Type="http://schemas.openxmlformats.org/officeDocument/2006/relationships/hyperlink" Target="https://doi.org/10.1007/s40820-026-02306-5" TargetMode="External"/><Relationship Id="rId132" Type="http://schemas.openxmlformats.org/officeDocument/2006/relationships/hyperlink" Target="https://pubs.acs.org/aelccp/article/doi/10.1021/acsenergylett.6c00721/5252797/Decoding-a-Galvanic-Corrosion-Driven-Lithium" TargetMode="External"/><Relationship Id="rId133" Type="http://schemas.openxmlformats.org/officeDocument/2006/relationships/hyperlink" Target="https://doi.org/10.1021/acsenergylett.6c00721" TargetMode="External"/><Relationship Id="rId134" Type="http://schemas.openxmlformats.org/officeDocument/2006/relationships/hyperlink" Target="https://pubs.acs.org/aamick/article/doi/10.1021/acsami.6c06437/5251857/Time-and-Geometry-Driven-Void-Dynamics-at-the" TargetMode="External"/><Relationship Id="rId135" Type="http://schemas.openxmlformats.org/officeDocument/2006/relationships/hyperlink" Target="https://doi.org/10.1021/acsami.6c06437" TargetMode="External"/><Relationship Id="rId136" Type="http://schemas.openxmlformats.org/officeDocument/2006/relationships/hyperlink" Target="https://pubs.acs.org/aamick/article/doi/10.1021/acsami.6c10310/5252865/Net-like-Al-Si-Anode-Integrating-Structural" TargetMode="External"/><Relationship Id="rId137" Type="http://schemas.openxmlformats.org/officeDocument/2006/relationships/hyperlink" Target="https://doi.org/10.1021/acsami.6c10310" TargetMode="External"/><Relationship Id="rId138" Type="http://schemas.openxmlformats.org/officeDocument/2006/relationships/hyperlink" Target="https://pubs.acs.org/jacsat/article/doi/10.1021/jacs.6c08495/5251768/Enhanced-Sodium-Ion-Transport-across-Solid" TargetMode="External"/><Relationship Id="rId139" Type="http://schemas.openxmlformats.org/officeDocument/2006/relationships/hyperlink" Target="https://doi.org/10.1021/jacs.6c08495" TargetMode="External"/><Relationship Id="rId140" Type="http://schemas.openxmlformats.org/officeDocument/2006/relationships/hyperlink" Target="https://pubs.acs.org/aamick/article/doi/10.1021/acsami.6c09879/5252866/Heterostructure-Engineering-of-FeS2-MoS2-with" TargetMode="External"/><Relationship Id="rId141" Type="http://schemas.openxmlformats.org/officeDocument/2006/relationships/hyperlink" Target="https://doi.org/10.1021/acsami.6c09879" TargetMode="External"/><Relationship Id="rId142" Type="http://schemas.openxmlformats.org/officeDocument/2006/relationships/hyperlink" Target="https://www.science.org/doi/abs/10.1126/sciadv.aeh1116?af=R" TargetMode="External"/><Relationship Id="rId143" Type="http://schemas.openxmlformats.org/officeDocument/2006/relationships/hyperlink" Target="https://doi.org/10.1126/sciadv.aeh1116" TargetMode="External"/><Relationship Id="rId144" Type="http://schemas.openxmlformats.org/officeDocument/2006/relationships/hyperlink" Target="https://advanced.onlinelibrary.wiley.com/doi/10.1002/adma.74588?af=R" TargetMode="External"/><Relationship Id="rId145" Type="http://schemas.openxmlformats.org/officeDocument/2006/relationships/hyperlink" Target="https://doi.org/10.1002/adma.74588" TargetMode="External"/><Relationship Id="rId146" Type="http://schemas.openxmlformats.org/officeDocument/2006/relationships/hyperlink" Target="https://advanced.onlinelibrary.wiley.com/doi/10.1002/adma.74587?af=R" TargetMode="External"/><Relationship Id="rId147" Type="http://schemas.openxmlformats.org/officeDocument/2006/relationships/hyperlink" Target="https://doi.org/10.1002/adma.74587" TargetMode="External"/><Relationship Id="rId148" Type="http://schemas.openxmlformats.org/officeDocument/2006/relationships/hyperlink" Target="https://advanced.onlinelibrary.wiley.com/doi/10.1002/adma.74590?af=R" TargetMode="External"/><Relationship Id="rId149" Type="http://schemas.openxmlformats.org/officeDocument/2006/relationships/hyperlink" Target="https://doi.org/10.1002/adma.74590" TargetMode="External"/><Relationship Id="rId150" Type="http://schemas.openxmlformats.org/officeDocument/2006/relationships/hyperlink" Target="https://onlinelibrary.wiley.com/doi/10.1002/anie.6458234?af=R" TargetMode="External"/><Relationship Id="rId151" Type="http://schemas.openxmlformats.org/officeDocument/2006/relationships/hyperlink" Target="https://doi.org/10.1002/anie.6458234" TargetMode="External"/><Relationship Id="rId152" Type="http://schemas.openxmlformats.org/officeDocument/2006/relationships/hyperlink" Target="https://advanced.onlinelibrary.wiley.com/doi/10.1002/aenm.71384?af=R" TargetMode="External"/><Relationship Id="rId153" Type="http://schemas.openxmlformats.org/officeDocument/2006/relationships/hyperlink" Target="https://doi.org/10.1002/aenm.71384" TargetMode="External"/><Relationship Id="rId154" Type="http://schemas.openxmlformats.org/officeDocument/2006/relationships/hyperlink" Target="https://advanced.onlinelibrary.wiley.com/doi/10.1002/aenm.71430?af=R" TargetMode="External"/><Relationship Id="rId155" Type="http://schemas.openxmlformats.org/officeDocument/2006/relationships/hyperlink" Target="https://doi.org/10.1002/aenm.71430" TargetMode="External"/><Relationship Id="rId156" Type="http://schemas.openxmlformats.org/officeDocument/2006/relationships/hyperlink" Target="https://www.nature.com/articles/s41467-026-76505-4" TargetMode="External"/><Relationship Id="rId157" Type="http://schemas.openxmlformats.org/officeDocument/2006/relationships/hyperlink" Target="https://pubs.acs.org/jacsat/article/doi/10.1021/jacs.6c10148/5250148/Prismatic-Na-Ion-Coordination-in-the-Sulfide" TargetMode="External"/><Relationship Id="rId158" Type="http://schemas.openxmlformats.org/officeDocument/2006/relationships/hyperlink" Target="https://doi.org/10.1021/jacs.6c10148" TargetMode="External"/><Relationship Id="rId159" Type="http://schemas.openxmlformats.org/officeDocument/2006/relationships/hyperlink" Target="https://www.science.org/doi/abs/10.1126/sciadv.aee4959?af=R" TargetMode="External"/><Relationship Id="rId160" Type="http://schemas.openxmlformats.org/officeDocument/2006/relationships/hyperlink" Target="https://doi.org/10.1126/sciadv.aee4959" TargetMode="External"/><Relationship Id="rId161" Type="http://schemas.openxmlformats.org/officeDocument/2006/relationships/hyperlink" Target="https://www.nature.com/articles/s41467-026-76381-y" TargetMode="External"/><Relationship Id="rId162" Type="http://schemas.openxmlformats.org/officeDocument/2006/relationships/hyperlink" Target="https://advanced.onlinelibrary.wiley.com/doi/10.1002/aenm.71406?af=R" TargetMode="External"/><Relationship Id="rId163" Type="http://schemas.openxmlformats.org/officeDocument/2006/relationships/hyperlink" Target="https://doi.org/10.1002/aenm.71406" TargetMode="External"/><Relationship Id="rId164" Type="http://schemas.openxmlformats.org/officeDocument/2006/relationships/hyperlink" Target="https://advanced.onlinelibrary.wiley.com/doi/10.1002/aenm.71414?af=R" TargetMode="External"/><Relationship Id="rId165" Type="http://schemas.openxmlformats.org/officeDocument/2006/relationships/hyperlink" Target="https://doi.org/10.1002/aenm.71414" TargetMode="External"/><Relationship Id="rId166" Type="http://schemas.openxmlformats.org/officeDocument/2006/relationships/hyperlink" Target="https://onlinelibrary.wiley.com/doi/10.1002/anie.2602693?af=R" TargetMode="External"/><Relationship Id="rId167" Type="http://schemas.openxmlformats.org/officeDocument/2006/relationships/hyperlink" Target="https://doi.org/10.1002/anie.2602693" TargetMode="External"/><Relationship Id="rId168" Type="http://schemas.openxmlformats.org/officeDocument/2006/relationships/hyperlink" Target="https://onlinelibrary.wiley.com/doi/10.1002/anie.7793957?af=R" TargetMode="External"/><Relationship Id="rId169" Type="http://schemas.openxmlformats.org/officeDocument/2006/relationships/hyperlink" Target="https://doi.org/10.1002/anie.7793957" TargetMode="External"/><Relationship Id="rId170" Type="http://schemas.openxmlformats.org/officeDocument/2006/relationships/hyperlink" Target="https://advanced.onlinelibrary.wiley.com/doi/10.1002/adma.74493?af=R" TargetMode="External"/><Relationship Id="rId171" Type="http://schemas.openxmlformats.org/officeDocument/2006/relationships/hyperlink" Target="https://doi.org/10.1002/adma.74493" TargetMode="External"/><Relationship Id="rId172" Type="http://schemas.openxmlformats.org/officeDocument/2006/relationships/hyperlink" Target="https://pubs.acs.org/aamick/article/doi/10.1021/acsami.6c12095/5252999/Redox-Active-Ion-Gels-with-Light-Driven" TargetMode="External"/><Relationship Id="rId173" Type="http://schemas.openxmlformats.org/officeDocument/2006/relationships/hyperlink" Target="https://doi.org/10.1021/acsami.6c12095" TargetMode="External"/><Relationship Id="rId174" Type="http://schemas.openxmlformats.org/officeDocument/2006/relationships/hyperlink" Target="https://pubs.acs.org/aamick/article/doi/10.1021/acsami.6c02369/5253842/Li-Transport-in-Ca-Substituted-Li3PS4-Role-of-PS43" TargetMode="External"/><Relationship Id="rId175" Type="http://schemas.openxmlformats.org/officeDocument/2006/relationships/hyperlink" Target="https://doi.org/10.1021/acsami.6c02369" TargetMode="External"/><Relationship Id="rId176" Type="http://schemas.openxmlformats.org/officeDocument/2006/relationships/hyperlink" Target="https://pubs.acs.org/aamick/article/doi/10.1021/acsami.6c06410/5253710/Entropy-Driven-Polymer-like-Aqueous-Electrolytes" TargetMode="External"/><Relationship Id="rId177" Type="http://schemas.openxmlformats.org/officeDocument/2006/relationships/hyperlink" Target="https://doi.org/10.1021/acsami.6c06410" TargetMode="External"/><Relationship Id="rId178" Type="http://schemas.openxmlformats.org/officeDocument/2006/relationships/hyperlink" Target="https://pubs.acs.org/aamick/article/doi/10.1021/acsami.6c08647/5253835/Amorphous-Multianion-Electrolytes-with-High" TargetMode="External"/><Relationship Id="rId179" Type="http://schemas.openxmlformats.org/officeDocument/2006/relationships/hyperlink" Target="https://doi.org/10.1021/acsami.6c08647" TargetMode="External"/><Relationship Id="rId180" Type="http://schemas.openxmlformats.org/officeDocument/2006/relationships/hyperlink" Target="https://pubs.acs.org/aelccp/article/doi/10.1021/acsenergylett.6c01466/5253017/Coupling-LiF-Dissolution-Chemistry-with-Solvation" TargetMode="External"/><Relationship Id="rId181" Type="http://schemas.openxmlformats.org/officeDocument/2006/relationships/hyperlink" Target="https://doi.org/10.1021/acsenergylett.6c01466" TargetMode="External"/><Relationship Id="rId182" Type="http://schemas.openxmlformats.org/officeDocument/2006/relationships/hyperlink" Target="https://advanced.onlinelibrary.wiley.com/doi/10.1002/adma.74586?af=R" TargetMode="External"/><Relationship Id="rId183" Type="http://schemas.openxmlformats.org/officeDocument/2006/relationships/hyperlink" Target="https://doi.org/10.1002/adma.74586" TargetMode="External"/><Relationship Id="rId184" Type="http://schemas.openxmlformats.org/officeDocument/2006/relationships/hyperlink" Target="https://advanced.onlinelibrary.wiley.com/doi/10.1002/adma.74606?af=R" TargetMode="External"/><Relationship Id="rId185" Type="http://schemas.openxmlformats.org/officeDocument/2006/relationships/hyperlink" Target="https://doi.org/10.1002/adma.74606" TargetMode="External"/><Relationship Id="rId186" Type="http://schemas.openxmlformats.org/officeDocument/2006/relationships/hyperlink" Target="https://onlinelibrary.wiley.com/doi/10.1002/anie.4522198?af=R" TargetMode="External"/><Relationship Id="rId187" Type="http://schemas.openxmlformats.org/officeDocument/2006/relationships/hyperlink" Target="https://doi.org/10.1002/anie.4522198" TargetMode="External"/><Relationship Id="rId188" Type="http://schemas.openxmlformats.org/officeDocument/2006/relationships/hyperlink" Target="https://www.nature.com/articles/s41467-026-76659-1" TargetMode="External"/><Relationship Id="rId189" Type="http://schemas.openxmlformats.org/officeDocument/2006/relationships/hyperlink" Target="https://advanced.onlinelibrary.wiley.com/doi/10.1002/adma.74634?af=R" TargetMode="External"/><Relationship Id="rId190" Type="http://schemas.openxmlformats.org/officeDocument/2006/relationships/hyperlink" Target="https://doi.org/10.1002/adma.74634" TargetMode="External"/><Relationship Id="rId191" Type="http://schemas.openxmlformats.org/officeDocument/2006/relationships/hyperlink" Target="https://www.sciencedirect.com/science/article/pii/S0306261926012675?dgcid=rss_sd_all" TargetMode="External"/><Relationship Id="rId192" Type="http://schemas.openxmlformats.org/officeDocument/2006/relationships/hyperlink" Target="https://doi.org/10.1016/j.apenergy.2026.128611" TargetMode="External"/><Relationship Id="rId193" Type="http://schemas.openxmlformats.org/officeDocument/2006/relationships/hyperlink" Target="https://www.sciencedirect.com/science/article/pii/S030626192601264X?dgcid=rss_sd_all" TargetMode="External"/><Relationship Id="rId194" Type="http://schemas.openxmlformats.org/officeDocument/2006/relationships/hyperlink" Target="https://doi.org/10.1016/j.apenergy.2026.128608" TargetMode="External"/><Relationship Id="rId195" Type="http://schemas.openxmlformats.org/officeDocument/2006/relationships/hyperlink" Target="https://advanced.onlinelibrary.wiley.com/doi/10.1002/aenm.71401?af=R" TargetMode="External"/><Relationship Id="rId196" Type="http://schemas.openxmlformats.org/officeDocument/2006/relationships/hyperlink" Target="https://doi.org/10.1002/aenm.71401" TargetMode="External"/><Relationship Id="rId197" Type="http://schemas.openxmlformats.org/officeDocument/2006/relationships/hyperlink" Target="https://onlinelibrary.wiley.com/doi/10.1002/anie.4035251?af=R" TargetMode="External"/><Relationship Id="rId198" Type="http://schemas.openxmlformats.org/officeDocument/2006/relationships/hyperlink" Target="https://doi.org/10.1002/anie.4035251" TargetMode="External"/><Relationship Id="rId199" Type="http://schemas.openxmlformats.org/officeDocument/2006/relationships/hyperlink" Target="https://advanced.onlinelibrary.wiley.com/doi/10.1002/adma.74531?af=R" TargetMode="External"/><Relationship Id="rId200" Type="http://schemas.openxmlformats.org/officeDocument/2006/relationships/hyperlink" Target="https://doi.org/10.1002/adma.74531" TargetMode="External"/><Relationship Id="rId201" Type="http://schemas.openxmlformats.org/officeDocument/2006/relationships/hyperlink" Target="https://www.sciencedirect.com/science/article/pii/S030626192601305X?dgcid=rss_sd_all" TargetMode="External"/><Relationship Id="rId202" Type="http://schemas.openxmlformats.org/officeDocument/2006/relationships/hyperlink" Target="https://doi.org/10.1016/j.apenergy.2026.128649" TargetMode="External"/><Relationship Id="rId203" Type="http://schemas.openxmlformats.org/officeDocument/2006/relationships/hyperlink" Target="https://pubs.acs.org/aamick/article/doi/10.1021/acsami.6c08395/5250549/Layered-Cu7-2S4-N-Doped-Carbon-Hybrid-as-a" TargetMode="External"/><Relationship Id="rId204" Type="http://schemas.openxmlformats.org/officeDocument/2006/relationships/hyperlink" Target="https://doi.org/10.1021/acsami.6c08395" TargetMode="External"/><Relationship Id="rId205" Type="http://schemas.openxmlformats.org/officeDocument/2006/relationships/hyperlink" Target="https://www.sciencedirect.com/science/article/pii/S0306261926012687?dgcid=rss_sd_all" TargetMode="External"/><Relationship Id="rId206" Type="http://schemas.openxmlformats.org/officeDocument/2006/relationships/hyperlink" Target="https://doi.org/10.1016/j.apenergy.2026.128612" TargetMode="External"/><Relationship Id="rId207" Type="http://schemas.openxmlformats.org/officeDocument/2006/relationships/hyperlink" Target="https://www.nature.com/articles/s41467-026-76535-y" TargetMode="External"/><Relationship Id="rId208" Type="http://schemas.openxmlformats.org/officeDocument/2006/relationships/hyperlink" Target="https://www.sciencedirect.com/science/article/pii/S0306261926013127?dgcid=rss_sd_all" TargetMode="External"/><Relationship Id="rId209" Type="http://schemas.openxmlformats.org/officeDocument/2006/relationships/hyperlink" Target="https://doi.org/10.1016/j.apenergy.2026.128656" TargetMode="External"/><Relationship Id="rId210" Type="http://schemas.openxmlformats.org/officeDocument/2006/relationships/hyperlink" Target="https://www.sciencedirect.com/science/article/pii/S0306261926013115?dgcid=rss_sd_all" TargetMode="External"/><Relationship Id="rId211" Type="http://schemas.openxmlformats.org/officeDocument/2006/relationships/hyperlink" Target="https://doi.org/10.1016/j.apenergy.2026.128655" TargetMode="External"/><Relationship Id="rId212" Type="http://schemas.openxmlformats.org/officeDocument/2006/relationships/hyperlink" Target="https://academic.oup.com/nsr/advance-article/doi/10.1093/nsr/nwag483/8759690?rss=1" TargetMode="External"/><Relationship Id="rId213" Type="http://schemas.openxmlformats.org/officeDocument/2006/relationships/hyperlink" Target="https://doi.org/10.1093/nsr/nwag483" TargetMode="External"/><Relationship Id="rId214" Type="http://schemas.openxmlformats.org/officeDocument/2006/relationships/hyperlink" Target="https://www.nature.com/articles/s41586-026-10905-w" TargetMode="External"/><Relationship Id="rId215" Type="http://schemas.openxmlformats.org/officeDocument/2006/relationships/hyperlink" Target="https://doi.org/10.1038/s41586-026-10905-w" TargetMode="External"/><Relationship Id="rId216" Type="http://schemas.openxmlformats.org/officeDocument/2006/relationships/hyperlink" Target="https://pubs.acs.org/jacsat/article/doi/10.1021/jacs.6c06934/5254654/Quantitative-Dielectric-Constant-Engineering-of" TargetMode="External"/><Relationship Id="rId217" Type="http://schemas.openxmlformats.org/officeDocument/2006/relationships/hyperlink" Target="https://doi.org/10.1021/jacs.6c06934" TargetMode="External"/><Relationship Id="rId218" Type="http://schemas.openxmlformats.org/officeDocument/2006/relationships/hyperlink" Target="https://www.sciencedirect.com/science/article/pii/S0306261926013085?dgcid=rss_sd_all" TargetMode="External"/><Relationship Id="rId219" Type="http://schemas.openxmlformats.org/officeDocument/2006/relationships/hyperlink" Target="https://doi.org/10.1016/j.apenergy.2026.128652" TargetMode="External"/><Relationship Id="rId220" Type="http://schemas.openxmlformats.org/officeDocument/2006/relationships/hyperlink" Target="https://www.sciencedirect.com/science/article/pii/S0306261926012791?dgcid=rss_sd_all" TargetMode="External"/><Relationship Id="rId221" Type="http://schemas.openxmlformats.org/officeDocument/2006/relationships/hyperlink" Target="https://doi.org/10.1016/j.apenergy.2026.128623" TargetMode="External"/><Relationship Id="rId222" Type="http://schemas.openxmlformats.org/officeDocument/2006/relationships/hyperlink" Target="https://pubs.acs.org/aelccp/article/doi/10.1021/acsenergylett.6c01791/5254242/Standardizing-Operando-Diffraction-Studies-for" TargetMode="External"/><Relationship Id="rId223" Type="http://schemas.openxmlformats.org/officeDocument/2006/relationships/hyperlink" Target="https://doi.org/10.1021/acsenergylett.6c01791" TargetMode="External"/><Relationship Id="rId224" Type="http://schemas.openxmlformats.org/officeDocument/2006/relationships/hyperlink" Target="https://www.nature.com/articles/s41467-026-76481-9" TargetMode="External"/><Relationship Id="rId225" Type="http://schemas.openxmlformats.org/officeDocument/2006/relationships/hyperlink" Target="https://www.nature.com/articles/s41467-026-76426-2" TargetMode="External"/><Relationship Id="rId226" Type="http://schemas.openxmlformats.org/officeDocument/2006/relationships/hyperlink" Target="https://www.sciencedirect.com/science/article/pii/S0306261926011773?dgcid=rss_sd_all" TargetMode="External"/><Relationship Id="rId227" Type="http://schemas.openxmlformats.org/officeDocument/2006/relationships/hyperlink" Target="https://doi.org/10.1016/j.apenergy.2026.128521" TargetMode="External"/><Relationship Id="rId228" Type="http://schemas.openxmlformats.org/officeDocument/2006/relationships/hyperlink" Target="https://pubs.acs.org/jacsat/article/doi/10.1021/jacs.6c01996/5250375/Activity-Stability-Volcano-in-Supported" TargetMode="External"/><Relationship Id="rId229" Type="http://schemas.openxmlformats.org/officeDocument/2006/relationships/hyperlink" Target="https://doi.org/10.1021/jacs.6c01996" TargetMode="External"/><Relationship Id="rId230" Type="http://schemas.openxmlformats.org/officeDocument/2006/relationships/hyperlink" Target="https://pubs.acs.org/jacsat/article/doi/10.1021/jacs.6c07373/5249871/Bioinspired-Large-Area-Polymeric-Cucurbituril" TargetMode="External"/><Relationship Id="rId231" Type="http://schemas.openxmlformats.org/officeDocument/2006/relationships/hyperlink" Target="https://doi.org/10.1021/jacs.6c07373" TargetMode="External"/><Relationship Id="rId232" Type="http://schemas.openxmlformats.org/officeDocument/2006/relationships/hyperlink" Target="https://advanced.onlinelibrary.wiley.com/doi/10.1002/adma.74449?af=R" TargetMode="External"/><Relationship Id="rId233" Type="http://schemas.openxmlformats.org/officeDocument/2006/relationships/hyperlink" Target="https://doi.org/10.1002/adma.74449" TargetMode="External"/><Relationship Id="rId234" Type="http://schemas.openxmlformats.org/officeDocument/2006/relationships/hyperlink" Target="https://onlinelibrary.wiley.com/doi/10.1002/anie.7713214?af=R" TargetMode="External"/><Relationship Id="rId235" Type="http://schemas.openxmlformats.org/officeDocument/2006/relationships/hyperlink" Target="https://doi.org/10.1002/anie.7713214" TargetMode="External"/><Relationship Id="rId236" Type="http://schemas.openxmlformats.org/officeDocument/2006/relationships/hyperlink" Target="https://onlinelibrary.wiley.com/doi/10.1002/anie.6292528?af=R" TargetMode="External"/><Relationship Id="rId237" Type="http://schemas.openxmlformats.org/officeDocument/2006/relationships/hyperlink" Target="https://doi.org/10.1002/anie.6292528" TargetMode="External"/><Relationship Id="rId238" Type="http://schemas.openxmlformats.org/officeDocument/2006/relationships/hyperlink" Target="https://www.sciencedirect.com/science/article/pii/S0306261926012006?dgcid=rss_sd_all" TargetMode="External"/><Relationship Id="rId239" Type="http://schemas.openxmlformats.org/officeDocument/2006/relationships/hyperlink" Target="https://doi.org/10.1016/j.apenergy.2026.128544" TargetMode="External"/><Relationship Id="rId240" Type="http://schemas.openxmlformats.org/officeDocument/2006/relationships/hyperlink" Target="https://www.nature.com/articles/s41467-026-76539-8" TargetMode="External"/><Relationship Id="rId241" Type="http://schemas.openxmlformats.org/officeDocument/2006/relationships/hyperlink" Target="https://advanced.onlinelibrary.wiley.com/doi/10.1002/adma.202523659?af=R" TargetMode="External"/><Relationship Id="rId242" Type="http://schemas.openxmlformats.org/officeDocument/2006/relationships/hyperlink" Target="https://doi.org/10.1002/adma.202523659" TargetMode="External"/><Relationship Id="rId243" Type="http://schemas.openxmlformats.org/officeDocument/2006/relationships/hyperlink" Target="https://onlinelibrary.wiley.com/doi/10.1002/anie.3048454?af=R" TargetMode="External"/><Relationship Id="rId244" Type="http://schemas.openxmlformats.org/officeDocument/2006/relationships/hyperlink" Target="https://doi.org/10.1002/anie.3048454" TargetMode="External"/><Relationship Id="rId245" Type="http://schemas.openxmlformats.org/officeDocument/2006/relationships/hyperlink" Target="https://www.nmlett.org/index.php/nml/article/view/2626" TargetMode="External"/><Relationship Id="rId246" Type="http://schemas.openxmlformats.org/officeDocument/2006/relationships/hyperlink" Target="https://doi.org/10.1007/s40820-026-02319-0" TargetMode="External"/><Relationship Id="rId247" Type="http://schemas.openxmlformats.org/officeDocument/2006/relationships/hyperlink" Target="https://pubs.acs.org/aamick/article/doi/10.1021/acsami.6c06900/5251625/Simulation-Guided-Engineering-of-Hierarchical" TargetMode="External"/><Relationship Id="rId248" Type="http://schemas.openxmlformats.org/officeDocument/2006/relationships/hyperlink" Target="https://doi.org/10.1021/acsami.6c06900" TargetMode="External"/><Relationship Id="rId249" Type="http://schemas.openxmlformats.org/officeDocument/2006/relationships/hyperlink" Target="https://pubs.acs.org/aamick/article/doi/10.1021/acsami.6c09280/5250822/A-Fully-Biodegradable-Hybrid-Nanogenerator-with-Mo" TargetMode="External"/><Relationship Id="rId250" Type="http://schemas.openxmlformats.org/officeDocument/2006/relationships/hyperlink" Target="https://doi.org/10.1021/acsami.6c09280" TargetMode="External"/><Relationship Id="rId251" Type="http://schemas.openxmlformats.org/officeDocument/2006/relationships/hyperlink" Target="https://www.sciencedirect.com/science/article/pii/S0306261926013139?dgcid=rss_sd_all" TargetMode="External"/><Relationship Id="rId252" Type="http://schemas.openxmlformats.org/officeDocument/2006/relationships/hyperlink" Target="https://doi.org/10.1016/j.apenergy.2026.128657" TargetMode="External"/><Relationship Id="rId253" Type="http://schemas.openxmlformats.org/officeDocument/2006/relationships/hyperlink" Target="https://pubs.acs.org/aelccp/article/doi/10.1021/acsenergylett.6c01274/5251937/Recyclable-Zinc-Ion-Structural-Supercapacitor" TargetMode="External"/><Relationship Id="rId254" Type="http://schemas.openxmlformats.org/officeDocument/2006/relationships/hyperlink" Target="https://doi.org/10.1021/acsenergylett.6c01274" TargetMode="External"/><Relationship Id="rId255" Type="http://schemas.openxmlformats.org/officeDocument/2006/relationships/hyperlink" Target="https://www.sciencedirect.com/science/article/pii/S0306261926012602?dgcid=rss_sd_all" TargetMode="External"/><Relationship Id="rId256" Type="http://schemas.openxmlformats.org/officeDocument/2006/relationships/hyperlink" Target="https://doi.org/10.1016/j.apenergy.2026.128604" TargetMode="External"/><Relationship Id="rId257" Type="http://schemas.openxmlformats.org/officeDocument/2006/relationships/hyperlink" Target="https://pubs.acs.org/aamick/article/doi/10.1021/acsami.6c10724/5253000/Interlocked-Hemispherical-Conical-Porous" TargetMode="External"/><Relationship Id="rId258" Type="http://schemas.openxmlformats.org/officeDocument/2006/relationships/hyperlink" Target="https://doi.org/10.1021/acsami.6c10724" TargetMode="External"/><Relationship Id="rId259" Type="http://schemas.openxmlformats.org/officeDocument/2006/relationships/hyperlink" Target="https://www.nature.com/articles/s41467-026-76585-2" TargetMode="External"/><Relationship Id="rId260" Type="http://schemas.openxmlformats.org/officeDocument/2006/relationships/hyperlink" Target="https://www.cell.com/joule/fulltext/S2542-4351(26)00313-2?rss=yes" TargetMode="External"/><Relationship Id="rId261" Type="http://schemas.openxmlformats.org/officeDocument/2006/relationships/hyperlink" Target="https://doi.org/10.1016/j.joule.2026.102629" TargetMode="External"/><Relationship Id="rId262" Type="http://schemas.openxmlformats.org/officeDocument/2006/relationships/hyperlink" Target="https://pubs.acs.org/aamick/article/doi/10.1021/acsami.6c13985/5253041/Sodium-Alginate-Reinforced-PAAKS-Hydrogel" TargetMode="External"/><Relationship Id="rId263" Type="http://schemas.openxmlformats.org/officeDocument/2006/relationships/hyperlink" Target="https://doi.org/10.1021/acsami.6c13985" TargetMode="External"/><Relationship Id="rId264" Type="http://schemas.openxmlformats.org/officeDocument/2006/relationships/hyperlink" Target="https://advanced.onlinelibrary.wiley.com/doi/10.1002/adma.74566?af=R" TargetMode="External"/><Relationship Id="rId265" Type="http://schemas.openxmlformats.org/officeDocument/2006/relationships/hyperlink" Target="https://doi.org/10.1002/adma.74566" TargetMode="External"/><Relationship Id="rId266" Type="http://schemas.openxmlformats.org/officeDocument/2006/relationships/hyperlink" Target="https://advanced.onlinelibrary.wiley.com/doi/10.1002/adma.74600?af=R" TargetMode="External"/><Relationship Id="rId267" Type="http://schemas.openxmlformats.org/officeDocument/2006/relationships/hyperlink" Target="https://doi.org/10.1002/adma.74600" TargetMode="External"/><Relationship Id="rId268" Type="http://schemas.openxmlformats.org/officeDocument/2006/relationships/hyperlink" Target="https://advanced.onlinelibrary.wiley.com/doi/10.1002/aenm.71441?af=R" TargetMode="External"/><Relationship Id="rId269" Type="http://schemas.openxmlformats.org/officeDocument/2006/relationships/hyperlink" Target="https://doi.org/10.1002/aenm.71441" TargetMode="External"/><Relationship Id="rId270" Type="http://schemas.openxmlformats.org/officeDocument/2006/relationships/hyperlink" Target="https://onlinelibrary.wiley.com/doi/10.1002/anie.9721428?af=R" TargetMode="External"/><Relationship Id="rId271" Type="http://schemas.openxmlformats.org/officeDocument/2006/relationships/hyperlink" Target="https://doi.org/10.1002/anie.9721428" TargetMode="External"/><Relationship Id="rId272" Type="http://schemas.openxmlformats.org/officeDocument/2006/relationships/hyperlink" Target="https://www.sciencedirect.com/science/article/pii/S0306261926013334?dgcid=rss_sd_all" TargetMode="External"/><Relationship Id="rId273" Type="http://schemas.openxmlformats.org/officeDocument/2006/relationships/hyperlink" Target="https://doi.org/10.1016/j.apenergy.2026.128677" TargetMode="External"/><Relationship Id="rId274" Type="http://schemas.openxmlformats.org/officeDocument/2006/relationships/hyperlink" Target="https://pubs.acs.org/jacsat/article/doi/10.1021/jacs.6c08895/5254038/Solvent-Assisted-Delamination-of-Boridene-toward" TargetMode="External"/><Relationship Id="rId275" Type="http://schemas.openxmlformats.org/officeDocument/2006/relationships/hyperlink" Target="https://doi.org/10.1021/jacs.6c08895" TargetMode="External"/><Relationship Id="rId276" Type="http://schemas.openxmlformats.org/officeDocument/2006/relationships/hyperlink" Target="https://pubs.acs.org/aamick/article/doi/10.1021/acsami.6c08189/5254055/Defect-Engineering-of-Mott-Schottky" TargetMode="External"/><Relationship Id="rId277" Type="http://schemas.openxmlformats.org/officeDocument/2006/relationships/hyperlink" Target="https://doi.org/10.1021/acsami.6c08189" TargetMode="External"/><Relationship Id="rId278" Type="http://schemas.openxmlformats.org/officeDocument/2006/relationships/hyperlink" Target="https://pubs.acs.org/aamick/article/doi/10.1021/acsami.6c09595/5254075/Synergistic-Strategy-of-Oriented-Structure-and" TargetMode="External"/><Relationship Id="rId279" Type="http://schemas.openxmlformats.org/officeDocument/2006/relationships/hyperlink" Target="https://doi.org/10.1021/acsami.6c09595" TargetMode="External"/><Relationship Id="rId280" Type="http://schemas.openxmlformats.org/officeDocument/2006/relationships/hyperlink" Target="https://advanced.onlinelibrary.wiley.com/doi/10.1002/adma.74624?af=R" TargetMode="External"/><Relationship Id="rId281" Type="http://schemas.openxmlformats.org/officeDocument/2006/relationships/hyperlink" Target="https://doi.org/10.1002/adma.74624" TargetMode="External"/><Relationship Id="rId282" Type="http://schemas.openxmlformats.org/officeDocument/2006/relationships/hyperlink" Target="https://www.science.org/doi/abs/10.1126/science.aei0475?af=R" TargetMode="External"/><Relationship Id="rId283" Type="http://schemas.openxmlformats.org/officeDocument/2006/relationships/hyperlink" Target="https://doi.org/10.1126/science.aei0475" TargetMode="External"/><Relationship Id="rId284" Type="http://schemas.openxmlformats.org/officeDocument/2006/relationships/hyperlink" Target="https://www.sciencedirect.com/science/article/pii/S0306261926012493?dgcid=rss_sd_all" TargetMode="External"/><Relationship Id="rId285" Type="http://schemas.openxmlformats.org/officeDocument/2006/relationships/hyperlink" Target="https://doi.org/10.1016/j.apenergy.2026.128593" TargetMode="External"/><Relationship Id="rId286" Type="http://schemas.openxmlformats.org/officeDocument/2006/relationships/hyperlink" Target="https://pubs.acs.org/aamick/article/doi/10.1021/acsami.6c12312/5250484/Weft-Backed-Cooling-Fabric-for-Personal-Thermal" TargetMode="External"/><Relationship Id="rId287" Type="http://schemas.openxmlformats.org/officeDocument/2006/relationships/hyperlink" Target="https://doi.org/10.1021/acsami.6c12312" TargetMode="External"/><Relationship Id="rId288" Type="http://schemas.openxmlformats.org/officeDocument/2006/relationships/hyperlink" Target="https://pubs.acs.org/aamick/article/doi/10.1021/acsami.6c09651/5250515/Photosensitive-Polyimides-as-Enabling-Materials" TargetMode="External"/><Relationship Id="rId289" Type="http://schemas.openxmlformats.org/officeDocument/2006/relationships/hyperlink" Target="https://doi.org/10.1021/acsami.6c09651" TargetMode="External"/><Relationship Id="rId290" Type="http://schemas.openxmlformats.org/officeDocument/2006/relationships/hyperlink" Target="https://pubs.acs.org/aamick/article/doi/10.1021/acsami.6c08479/5249790/Electro-and-Magneto-Responsive-Superhydrophobic" TargetMode="External"/><Relationship Id="rId291" Type="http://schemas.openxmlformats.org/officeDocument/2006/relationships/hyperlink" Target="https://doi.org/10.1021/acsami.6c08479" TargetMode="External"/><Relationship Id="rId292" Type="http://schemas.openxmlformats.org/officeDocument/2006/relationships/hyperlink" Target="https://www.sciencedirect.com/science/article/pii/S0306261926012651?dgcid=rss_sd_all" TargetMode="External"/><Relationship Id="rId293" Type="http://schemas.openxmlformats.org/officeDocument/2006/relationships/hyperlink" Target="https://doi.org/10.1016/j.apenergy.2026.128609" TargetMode="External"/><Relationship Id="rId294" Type="http://schemas.openxmlformats.org/officeDocument/2006/relationships/hyperlink" Target="https://advanced.onlinelibrary.wiley.com/doi/10.1002/adma.74427?af=R" TargetMode="External"/><Relationship Id="rId295" Type="http://schemas.openxmlformats.org/officeDocument/2006/relationships/hyperlink" Target="https://doi.org/10.1002/adma.74427" TargetMode="External"/><Relationship Id="rId296" Type="http://schemas.openxmlformats.org/officeDocument/2006/relationships/hyperlink" Target="https://onlinelibrary.wiley.com/doi/10.1002/anie.2408330?af=R" TargetMode="External"/><Relationship Id="rId297" Type="http://schemas.openxmlformats.org/officeDocument/2006/relationships/hyperlink" Target="https://doi.org/10.1002/anie.2408330" TargetMode="External"/><Relationship Id="rId298" Type="http://schemas.openxmlformats.org/officeDocument/2006/relationships/hyperlink" Target="https://www.sciencedirect.com/science/article/pii/S0306261926011232?dgcid=rss_sd_all" TargetMode="External"/><Relationship Id="rId299" Type="http://schemas.openxmlformats.org/officeDocument/2006/relationships/hyperlink" Target="https://doi.org/10.1016/j.apenergy.2026.128467" TargetMode="External"/><Relationship Id="rId300" Type="http://schemas.openxmlformats.org/officeDocument/2006/relationships/hyperlink" Target="https://www.sciencedirect.com/science/article/pii/S0301421526004799?dgcid=rss_sd_all" TargetMode="External"/><Relationship Id="rId301" Type="http://schemas.openxmlformats.org/officeDocument/2006/relationships/hyperlink" Target="https://doi.org/10.1016/j.enpol.2026.115545" TargetMode="External"/><Relationship Id="rId302" Type="http://schemas.openxmlformats.org/officeDocument/2006/relationships/hyperlink" Target="https://advanced.onlinelibrary.wiley.com/doi/10.1002/aenm.71397?af=R" TargetMode="External"/><Relationship Id="rId303" Type="http://schemas.openxmlformats.org/officeDocument/2006/relationships/hyperlink" Target="https://doi.org/10.1002/aenm.71397" TargetMode="External"/><Relationship Id="rId304" Type="http://schemas.openxmlformats.org/officeDocument/2006/relationships/hyperlink" Target="https://onlinelibrary.wiley.com/doi/10.1002/anie.7946369?af=R" TargetMode="External"/><Relationship Id="rId305" Type="http://schemas.openxmlformats.org/officeDocument/2006/relationships/hyperlink" Target="https://doi.org/10.1002/anie.7946369" TargetMode="External"/><Relationship Id="rId306" Type="http://schemas.openxmlformats.org/officeDocument/2006/relationships/hyperlink" Target="https://www.nature.com/articles/s41563-026-02706-3" TargetMode="External"/><Relationship Id="rId307" Type="http://schemas.openxmlformats.org/officeDocument/2006/relationships/hyperlink" Target="https://doi.org/10.1038/s41563-026-02706-3" TargetMode="External"/><Relationship Id="rId308" Type="http://schemas.openxmlformats.org/officeDocument/2006/relationships/hyperlink" Target="https://www.nature.com/articles/s41467-026-75731-0" TargetMode="External"/><Relationship Id="rId309" Type="http://schemas.openxmlformats.org/officeDocument/2006/relationships/hyperlink" Target="https://www.nmlett.org/index.php/nml/article/view/2623" TargetMode="External"/><Relationship Id="rId310" Type="http://schemas.openxmlformats.org/officeDocument/2006/relationships/hyperlink" Target="https://doi.org/10.1007/s40820-026-02332-3" TargetMode="External"/><Relationship Id="rId311" Type="http://schemas.openxmlformats.org/officeDocument/2006/relationships/hyperlink" Target="https://pubs.acs.org/aamick/article/doi/10.1021/acsami.6c07853/5250768/Counterintuitive-Temperature-Dependent-Interfacial" TargetMode="External"/><Relationship Id="rId312" Type="http://schemas.openxmlformats.org/officeDocument/2006/relationships/hyperlink" Target="https://doi.org/10.1021/acsami.6c07853" TargetMode="External"/><Relationship Id="rId313" Type="http://schemas.openxmlformats.org/officeDocument/2006/relationships/hyperlink" Target="https://pubs.acs.org/aamick/article/doi/10.1021/acsami.6c10369/5252126/Structural-Thermal-Decoupled-Cement-Based-Aerogels" TargetMode="External"/><Relationship Id="rId314" Type="http://schemas.openxmlformats.org/officeDocument/2006/relationships/hyperlink" Target="https://doi.org/10.1021/acsami.6c10369" TargetMode="External"/><Relationship Id="rId315" Type="http://schemas.openxmlformats.org/officeDocument/2006/relationships/hyperlink" Target="https://www.nature.com/articles/s41467-026-76588-z" TargetMode="External"/><Relationship Id="rId316" Type="http://schemas.openxmlformats.org/officeDocument/2006/relationships/hyperlink" Target="https://www.nature.com/articles/s41467-026-76616-y" TargetMode="External"/><Relationship Id="rId317" Type="http://schemas.openxmlformats.org/officeDocument/2006/relationships/hyperlink" Target="https://www.sciencedirect.com/science/article/pii/S030626192601322X?dgcid=rss_sd_all" TargetMode="External"/><Relationship Id="rId318" Type="http://schemas.openxmlformats.org/officeDocument/2006/relationships/hyperlink" Target="https://doi.org/10.1016/j.apenergy.2026.128666" TargetMode="External"/><Relationship Id="rId319" Type="http://schemas.openxmlformats.org/officeDocument/2006/relationships/hyperlink" Target="https://pubs.acs.org/aamick/article/doi/10.1021/acsami.6c08276/5253603/A-Composite-Coating-of-Octadecane-SiO2-ZnO" TargetMode="External"/><Relationship Id="rId320" Type="http://schemas.openxmlformats.org/officeDocument/2006/relationships/hyperlink" Target="https://doi.org/10.1021/acsami.6c08276" TargetMode="External"/><Relationship Id="rId321" Type="http://schemas.openxmlformats.org/officeDocument/2006/relationships/hyperlink" Target="https://academic.oup.com/nsr/advance-article/doi/10.1093/nsr/nwag482/8759688?rss=1" TargetMode="External"/><Relationship Id="rId322" Type="http://schemas.openxmlformats.org/officeDocument/2006/relationships/hyperlink" Target="https://doi.org/10.1093/nsr/nwag482" TargetMode="External"/><Relationship Id="rId323" Type="http://schemas.openxmlformats.org/officeDocument/2006/relationships/hyperlink" Target="https://pubs.acs.org/aamick/article/doi/10.1021/acsami.6c13619/5253739/Biomimetic-Design-of-Photothermal-Superhydrophobic" TargetMode="External"/><Relationship Id="rId324" Type="http://schemas.openxmlformats.org/officeDocument/2006/relationships/hyperlink" Target="https://doi.org/10.1021/acsami.6c13619" TargetMode="External"/><Relationship Id="rId325" Type="http://schemas.openxmlformats.org/officeDocument/2006/relationships/hyperlink" Target="https://www.sciencedirect.com/science/article/pii/S0301421526004805?dgcid=rss_sd_all" TargetMode="External"/><Relationship Id="rId326" Type="http://schemas.openxmlformats.org/officeDocument/2006/relationships/hyperlink" Target="https://doi.org/10.1016/j.enpol.2026.115546" TargetMode="External"/><Relationship Id="rId327" Type="http://schemas.openxmlformats.org/officeDocument/2006/relationships/hyperlink" Target="https://advanced.onlinelibrary.wiley.com/doi/10.1002/adma.74574?af=R" TargetMode="External"/><Relationship Id="rId328" Type="http://schemas.openxmlformats.org/officeDocument/2006/relationships/hyperlink" Target="https://doi.org/10.1002/adma.74574" TargetMode="External"/><Relationship Id="rId329" Type="http://schemas.openxmlformats.org/officeDocument/2006/relationships/hyperlink" Target="https://advanced.onlinelibrary.wiley.com/doi/10.1002/aenm.71408?af=R" TargetMode="External"/><Relationship Id="rId330" Type="http://schemas.openxmlformats.org/officeDocument/2006/relationships/hyperlink" Target="https://doi.org/10.1002/aenm.71408" TargetMode="External"/><Relationship Id="rId331" Type="http://schemas.openxmlformats.org/officeDocument/2006/relationships/hyperlink" Target="https://pubs.acs.org/jacsat/article/doi/10.1021/jacs.6c09635/5254961/Colossal-and-Reversible-Barocaloric-and-Solvent" TargetMode="External"/><Relationship Id="rId332" Type="http://schemas.openxmlformats.org/officeDocument/2006/relationships/hyperlink" Target="https://doi.org/10.1021/jacs.6c09635" TargetMode="External"/><Relationship Id="rId333" Type="http://schemas.openxmlformats.org/officeDocument/2006/relationships/hyperlink" Target="https://www.sciencedirect.com/science/article/pii/S0306261926012341?dgcid=rss_sd_all" TargetMode="External"/><Relationship Id="rId334" Type="http://schemas.openxmlformats.org/officeDocument/2006/relationships/hyperlink" Target="https://doi.org/10.1016/j.apenergy.2026.128578" TargetMode="External"/><Relationship Id="rId335" Type="http://schemas.openxmlformats.org/officeDocument/2006/relationships/hyperlink" Target="https://advanced.onlinelibrary.wiley.com/doi/10.1002/adma.74476?af=R" TargetMode="External"/><Relationship Id="rId336" Type="http://schemas.openxmlformats.org/officeDocument/2006/relationships/hyperlink" Target="https://doi.org/10.1002/adma.74476" TargetMode="External"/><Relationship Id="rId337" Type="http://schemas.openxmlformats.org/officeDocument/2006/relationships/hyperlink" Target="https://advanced.onlinelibrary.wiley.com/doi/10.1002/aenm.71460?af=R" TargetMode="External"/><Relationship Id="rId338" Type="http://schemas.openxmlformats.org/officeDocument/2006/relationships/hyperlink" Target="https://doi.org/10.1002/aenm.71460" TargetMode="External"/><Relationship Id="rId339" Type="http://schemas.openxmlformats.org/officeDocument/2006/relationships/hyperlink" Target="http://link.aps.org/doi/10.1103/n7gk-922h" TargetMode="External"/><Relationship Id="rId340" Type="http://schemas.openxmlformats.org/officeDocument/2006/relationships/hyperlink" Target="https://doi.org/10.1103/n7gk-922h" TargetMode="External"/><Relationship Id="rId341" Type="http://schemas.openxmlformats.org/officeDocument/2006/relationships/hyperlink" Target="http://link.aps.org/doi/10.1103/v7jd-l94j" TargetMode="External"/><Relationship Id="rId342" Type="http://schemas.openxmlformats.org/officeDocument/2006/relationships/hyperlink" Target="https://doi.org/10.1103/v7jd-l94j" TargetMode="External"/><Relationship Id="rId343" Type="http://schemas.openxmlformats.org/officeDocument/2006/relationships/hyperlink" Target="https://pubs.acs.org/jacsat/article/doi/10.1021/jacs.6c11091/5251740/A-Smart-Biomimetic-Supramolecular-Adsorbent-for" TargetMode="External"/><Relationship Id="rId344" Type="http://schemas.openxmlformats.org/officeDocument/2006/relationships/hyperlink" Target="https://doi.org/10.1021/jacs.6c11091" TargetMode="External"/><Relationship Id="rId345" Type="http://schemas.openxmlformats.org/officeDocument/2006/relationships/hyperlink" Target="https://iopscience.iop.org/article/10.1088/1741-4326/ae8f58" TargetMode="External"/><Relationship Id="rId346" Type="http://schemas.openxmlformats.org/officeDocument/2006/relationships/hyperlink" Target="https://doi.org/10.1088/1741-4326/ae8f58" TargetMode="External"/><Relationship Id="rId347" Type="http://schemas.openxmlformats.org/officeDocument/2006/relationships/hyperlink" Target="https://iopscience.iop.org/article/10.1088/1741-4326/ae8ccb" TargetMode="External"/><Relationship Id="rId348" Type="http://schemas.openxmlformats.org/officeDocument/2006/relationships/hyperlink" Target="https://doi.org/10.1088/1741-4326/ae8ccb" TargetMode="External"/><Relationship Id="rId349" Type="http://schemas.openxmlformats.org/officeDocument/2006/relationships/hyperlink" Target="https://iopscience.iop.org/article/10.1088/1741-4326/ae90c1" TargetMode="External"/><Relationship Id="rId350" Type="http://schemas.openxmlformats.org/officeDocument/2006/relationships/hyperlink" Target="https://doi.org/10.1088/1741-4326/ae90c1" TargetMode="External"/><Relationship Id="rId351" Type="http://schemas.openxmlformats.org/officeDocument/2006/relationships/hyperlink" Target="https://iopscience.iop.org/article/10.1088/1741-4326/ae8bbe" TargetMode="External"/><Relationship Id="rId352" Type="http://schemas.openxmlformats.org/officeDocument/2006/relationships/hyperlink" Target="https://doi.org/10.1088/1741-4326/ae8bbe" TargetMode="External"/><Relationship Id="rId353" Type="http://schemas.openxmlformats.org/officeDocument/2006/relationships/hyperlink" Target="https://iopscience.iop.org/article/10.1088/1741-4326/ae91fd" TargetMode="External"/><Relationship Id="rId354" Type="http://schemas.openxmlformats.org/officeDocument/2006/relationships/hyperlink" Target="https://doi.org/10.1088/1741-4326/ae91fd" TargetMode="External"/><Relationship Id="rId355" Type="http://schemas.openxmlformats.org/officeDocument/2006/relationships/hyperlink" Target="https://iopscience.iop.org/article/10.1088/1741-4326/ae91fc" TargetMode="External"/><Relationship Id="rId356" Type="http://schemas.openxmlformats.org/officeDocument/2006/relationships/hyperlink" Target="https://doi.org/10.1088/1741-4326/ae91fc" TargetMode="External"/><Relationship Id="rId357" Type="http://schemas.openxmlformats.org/officeDocument/2006/relationships/hyperlink" Target="https://iopscience.iop.org/article/10.1088/1741-4326/ae91fa" TargetMode="External"/><Relationship Id="rId358" Type="http://schemas.openxmlformats.org/officeDocument/2006/relationships/hyperlink" Target="https://doi.org/10.1088/1741-4326/ae91fa" TargetMode="External"/><Relationship Id="rId359" Type="http://schemas.openxmlformats.org/officeDocument/2006/relationships/hyperlink" Target="https://iopscience.iop.org/article/10.1088/1741-4326/ae93dc" TargetMode="External"/><Relationship Id="rId360" Type="http://schemas.openxmlformats.org/officeDocument/2006/relationships/hyperlink" Target="https://doi.org/10.1088/1741-4326/ae93dc" TargetMode="External"/><Relationship Id="rId361" Type="http://schemas.openxmlformats.org/officeDocument/2006/relationships/hyperlink" Target="https://iopscience.iop.org/article/10.1088/1741-4326/ae9326" TargetMode="External"/><Relationship Id="rId362" Type="http://schemas.openxmlformats.org/officeDocument/2006/relationships/hyperlink" Target="https://doi.org/10.1088/1741-4326/ae9326" TargetMode="External"/><Relationship Id="rId363" Type="http://schemas.openxmlformats.org/officeDocument/2006/relationships/hyperlink" Target="https://iopscience.iop.org/article/10.1088/1741-4326/ae9324" TargetMode="External"/><Relationship Id="rId364" Type="http://schemas.openxmlformats.org/officeDocument/2006/relationships/hyperlink" Target="https://doi.org/10.1088/1741-4326/ae9324" TargetMode="External"/><Relationship Id="rId365" Type="http://schemas.openxmlformats.org/officeDocument/2006/relationships/hyperlink" Target="https://iopscience.iop.org/article/10.1088/1741-4326/ae91f8" TargetMode="External"/><Relationship Id="rId366" Type="http://schemas.openxmlformats.org/officeDocument/2006/relationships/hyperlink" Target="https://doi.org/10.1088/1741-4326/ae91f8" TargetMode="External"/><Relationship Id="rId367" Type="http://schemas.openxmlformats.org/officeDocument/2006/relationships/hyperlink" Target="https://iopscience.iop.org/article/10.1088/1741-4326/ae8d38" TargetMode="External"/><Relationship Id="rId368" Type="http://schemas.openxmlformats.org/officeDocument/2006/relationships/hyperlink" Target="https://doi.org/10.1088/1741-4326/ae8d38" TargetMode="External"/><Relationship Id="rId369" Type="http://schemas.openxmlformats.org/officeDocument/2006/relationships/hyperlink" Target="https://iopscience.iop.org/article/10.1088/1741-4326/ae9322" TargetMode="External"/><Relationship Id="rId370" Type="http://schemas.openxmlformats.org/officeDocument/2006/relationships/hyperlink" Target="https://doi.org/10.1088/1741-4326/ae9322" TargetMode="External"/><Relationship Id="rId371" Type="http://schemas.openxmlformats.org/officeDocument/2006/relationships/hyperlink" Target="http://link.aps.org/doi/10.1103/4ydv-bc75" TargetMode="External"/><Relationship Id="rId372" Type="http://schemas.openxmlformats.org/officeDocument/2006/relationships/hyperlink" Target="https://doi.org/10.1103/4ydv-bc75" TargetMode="External"/><Relationship Id="rId373" Type="http://schemas.openxmlformats.org/officeDocument/2006/relationships/hyperlink" Target="https://iopscience.iop.org/article/10.1088/1741-4326/ae91fb" TargetMode="External"/><Relationship Id="rId374" Type="http://schemas.openxmlformats.org/officeDocument/2006/relationships/hyperlink" Target="https://doi.org/10.1088/1741-4326/ae91fb" TargetMode="External"/><Relationship Id="rId375" Type="http://schemas.openxmlformats.org/officeDocument/2006/relationships/hyperlink" Target="https://iopscience.iop.org/article/10.1088/1741-4326/ae9325" TargetMode="External"/><Relationship Id="rId376" Type="http://schemas.openxmlformats.org/officeDocument/2006/relationships/hyperlink" Target="https://doi.org/10.1088/1741-4326/ae9325" TargetMode="External"/><Relationship Id="rId377" Type="http://schemas.openxmlformats.org/officeDocument/2006/relationships/hyperlink" Target="https://www.nature.com/articles/s41467-026-75977-8" TargetMode="External"/><Relationship Id="rId378" Type="http://schemas.openxmlformats.org/officeDocument/2006/relationships/hyperlink" Target="https://www.sciencedirect.com/science/article/pii/S0306261926011669?dgcid=rss_sd_all" TargetMode="External"/><Relationship Id="rId379" Type="http://schemas.openxmlformats.org/officeDocument/2006/relationships/hyperlink" Target="https://doi.org/10.1016/j.apenergy.2026.128510" TargetMode="External"/><Relationship Id="rId380" Type="http://schemas.openxmlformats.org/officeDocument/2006/relationships/hyperlink" Target="https://academic.oup.com/nsr/advance-article/doi/10.1093/nsr/nwag479/8754131?rss=1" TargetMode="External"/><Relationship Id="rId381" Type="http://schemas.openxmlformats.org/officeDocument/2006/relationships/hyperlink" Target="https://doi.org/10.1093/nsr/nwag479" TargetMode="External"/><Relationship Id="rId382" Type="http://schemas.openxmlformats.org/officeDocument/2006/relationships/hyperlink" Target="https://www.sciencedirect.com/science/article/pii/S0306261926011852?dgcid=rss_sd_all" TargetMode="External"/><Relationship Id="rId383" Type="http://schemas.openxmlformats.org/officeDocument/2006/relationships/hyperlink" Target="https://doi.org/10.1016/j.apenergy.2026.128529" TargetMode="External"/><Relationship Id="rId384" Type="http://schemas.openxmlformats.org/officeDocument/2006/relationships/hyperlink" Target="https://www.sciencedirect.com/science/article/pii/S0301421526004593?dgcid=rss_sd_all" TargetMode="External"/><Relationship Id="rId385" Type="http://schemas.openxmlformats.org/officeDocument/2006/relationships/hyperlink" Target="https://doi.org/10.1016/j.enpol.2026.115525" TargetMode="External"/><Relationship Id="rId386" Type="http://schemas.openxmlformats.org/officeDocument/2006/relationships/hyperlink" Target="https://pubs.acs.org/jacsat/article/doi/10.1021/jacs.6c03518/5250592/Essential-Role-of-Ionic-Surfactants-in-Nitrogen" TargetMode="External"/><Relationship Id="rId387" Type="http://schemas.openxmlformats.org/officeDocument/2006/relationships/hyperlink" Target="https://doi.org/10.1021/jacs.6c03518" TargetMode="External"/><Relationship Id="rId388" Type="http://schemas.openxmlformats.org/officeDocument/2006/relationships/hyperlink" Target="https://www.sciencedirect.com/science/article/pii/S0301421526004635?dgcid=rss_sd_all" TargetMode="External"/><Relationship Id="rId389" Type="http://schemas.openxmlformats.org/officeDocument/2006/relationships/hyperlink" Target="https://doi.org/10.1016/j.enpol.2026.115529" TargetMode="External"/><Relationship Id="rId390" Type="http://schemas.openxmlformats.org/officeDocument/2006/relationships/hyperlink" Target="https://advanced.onlinelibrary.wiley.com/doi/10.1002/aenm.71412?af=R" TargetMode="External"/><Relationship Id="rId391" Type="http://schemas.openxmlformats.org/officeDocument/2006/relationships/hyperlink" Target="https://doi.org/10.1002/aenm.71412" TargetMode="External"/><Relationship Id="rId392" Type="http://schemas.openxmlformats.org/officeDocument/2006/relationships/hyperlink" Target="https://onlinelibrary.wiley.com/doi/10.1002/anie.2636151?af=R" TargetMode="External"/><Relationship Id="rId393" Type="http://schemas.openxmlformats.org/officeDocument/2006/relationships/hyperlink" Target="https://doi.org/10.1002/anie.2636151" TargetMode="External"/><Relationship Id="rId394" Type="http://schemas.openxmlformats.org/officeDocument/2006/relationships/hyperlink" Target="https://onlinelibrary.wiley.com/doi/10.1002/anie.7158452?af=R" TargetMode="External"/><Relationship Id="rId395" Type="http://schemas.openxmlformats.org/officeDocument/2006/relationships/hyperlink" Target="https://doi.org/10.1002/anie.7158452" TargetMode="External"/><Relationship Id="rId396" Type="http://schemas.openxmlformats.org/officeDocument/2006/relationships/hyperlink" Target="https://onlinelibrary.wiley.com/doi/10.1002/anie.3914874?af=R" TargetMode="External"/><Relationship Id="rId397" Type="http://schemas.openxmlformats.org/officeDocument/2006/relationships/hyperlink" Target="https://doi.org/10.1002/anie.3914874" TargetMode="External"/><Relationship Id="rId398" Type="http://schemas.openxmlformats.org/officeDocument/2006/relationships/hyperlink" Target="https://www.nature.com/articles/s41467-026-76516-1" TargetMode="External"/><Relationship Id="rId399" Type="http://schemas.openxmlformats.org/officeDocument/2006/relationships/hyperlink" Target="https://www.nature.com/articles/s41467-026-76265-1" TargetMode="External"/><Relationship Id="rId400" Type="http://schemas.openxmlformats.org/officeDocument/2006/relationships/hyperlink" Target="https://advanced.onlinelibrary.wiley.com/doi/10.1002/aenm.71403?af=R" TargetMode="External"/><Relationship Id="rId401" Type="http://schemas.openxmlformats.org/officeDocument/2006/relationships/hyperlink" Target="https://doi.org/10.1002/aenm.71403" TargetMode="External"/><Relationship Id="rId402" Type="http://schemas.openxmlformats.org/officeDocument/2006/relationships/hyperlink" Target="https://advanced.onlinelibrary.wiley.com/doi/10.1002/aenm.71260?af=R" TargetMode="External"/><Relationship Id="rId403" Type="http://schemas.openxmlformats.org/officeDocument/2006/relationships/hyperlink" Target="https://doi.org/10.1002/aenm.71260" TargetMode="External"/><Relationship Id="rId404" Type="http://schemas.openxmlformats.org/officeDocument/2006/relationships/hyperlink" Target="https://onlinelibrary.wiley.com/doi/10.1002/anie.9991550?af=R" TargetMode="External"/><Relationship Id="rId405" Type="http://schemas.openxmlformats.org/officeDocument/2006/relationships/hyperlink" Target="https://doi.org/10.1002/anie.9991550" TargetMode="External"/><Relationship Id="rId406" Type="http://schemas.openxmlformats.org/officeDocument/2006/relationships/hyperlink" Target="https://pubs.acs.org/aamick/article/doi/10.1021/acsami.6c10823/5250807/Decouple-Intrinsic-Activity-and-Mass-Transfer" TargetMode="External"/><Relationship Id="rId407" Type="http://schemas.openxmlformats.org/officeDocument/2006/relationships/hyperlink" Target="https://doi.org/10.1021/acsami.6c10823" TargetMode="External"/><Relationship Id="rId408" Type="http://schemas.openxmlformats.org/officeDocument/2006/relationships/hyperlink" Target="https://pubs.acs.org/jacsat/article/doi/10.1021/jacs.6c09149/5251473/Programmable-Vacancy-Topology-in-High-Entropy" TargetMode="External"/><Relationship Id="rId409" Type="http://schemas.openxmlformats.org/officeDocument/2006/relationships/hyperlink" Target="https://doi.org/10.1021/jacs.6c09149" TargetMode="External"/><Relationship Id="rId410" Type="http://schemas.openxmlformats.org/officeDocument/2006/relationships/hyperlink" Target="https://pubs.acs.org/jacsat/article/doi/10.1021/jacs.6c10350/5251319/Aligning-H2-Activation-with-Functional-Group" TargetMode="External"/><Relationship Id="rId411" Type="http://schemas.openxmlformats.org/officeDocument/2006/relationships/hyperlink" Target="https://doi.org/10.1021/jacs.6c10350" TargetMode="External"/><Relationship Id="rId412" Type="http://schemas.openxmlformats.org/officeDocument/2006/relationships/hyperlink" Target="https://pubs.acs.org/jacsat/article/doi/10.1021/jacs.6c14322/5250950/A-Dual-Interlocked-Electrocatalyst-Design" TargetMode="External"/><Relationship Id="rId413" Type="http://schemas.openxmlformats.org/officeDocument/2006/relationships/hyperlink" Target="https://doi.org/10.1021/jacs.6c14322" TargetMode="External"/><Relationship Id="rId414" Type="http://schemas.openxmlformats.org/officeDocument/2006/relationships/hyperlink" Target="https://www.nature.com/articles/s41467-026-75473-z" TargetMode="External"/><Relationship Id="rId415" Type="http://schemas.openxmlformats.org/officeDocument/2006/relationships/hyperlink" Target="https://pubs.acs.org/aamick/article/doi/10.1021/acsami.6c09696/5250811/Electrostatically-Limited-PFSA-Ionomer-Adsorption" TargetMode="External"/><Relationship Id="rId416" Type="http://schemas.openxmlformats.org/officeDocument/2006/relationships/hyperlink" Target="https://doi.org/10.1021/acsami.6c09696" TargetMode="External"/><Relationship Id="rId417" Type="http://schemas.openxmlformats.org/officeDocument/2006/relationships/hyperlink" Target="https://www.sciencedirect.com/science/article/pii/S0306261926012249?dgcid=rss_sd_all" TargetMode="External"/><Relationship Id="rId418" Type="http://schemas.openxmlformats.org/officeDocument/2006/relationships/hyperlink" Target="https://doi.org/10.1016/j.apenergy.2026.128568" TargetMode="External"/><Relationship Id="rId419" Type="http://schemas.openxmlformats.org/officeDocument/2006/relationships/hyperlink" Target="https://advanced.onlinelibrary.wiley.com/doi/10.1002/adma.74459?af=R" TargetMode="External"/><Relationship Id="rId420" Type="http://schemas.openxmlformats.org/officeDocument/2006/relationships/hyperlink" Target="https://doi.org/10.1002/adma.74459" TargetMode="External"/><Relationship Id="rId421" Type="http://schemas.openxmlformats.org/officeDocument/2006/relationships/hyperlink" Target="https://www.sciencedirect.com/science/article/pii/S0306261926011633?dgcid=rss_sd_all" TargetMode="External"/><Relationship Id="rId422" Type="http://schemas.openxmlformats.org/officeDocument/2006/relationships/hyperlink" Target="https://doi.org/10.1016/j.apenergy.2026.128507" TargetMode="External"/><Relationship Id="rId423" Type="http://schemas.openxmlformats.org/officeDocument/2006/relationships/hyperlink" Target="https://www.sciencedirect.com/science/article/pii/S0306261926013292?dgcid=rss_sd_all" TargetMode="External"/><Relationship Id="rId424" Type="http://schemas.openxmlformats.org/officeDocument/2006/relationships/hyperlink" Target="https://doi.org/10.1016/j.apenergy.2026.128673" TargetMode="External"/><Relationship Id="rId425" Type="http://schemas.openxmlformats.org/officeDocument/2006/relationships/hyperlink" Target="https://www.nature.com/articles/s41467-026-76617-x" TargetMode="External"/><Relationship Id="rId426" Type="http://schemas.openxmlformats.org/officeDocument/2006/relationships/hyperlink" Target="https://www.sciencedirect.com/science/article/pii/S030626192601278X?dgcid=rss_sd_all" TargetMode="External"/><Relationship Id="rId427" Type="http://schemas.openxmlformats.org/officeDocument/2006/relationships/hyperlink" Target="https://doi.org/10.1016/j.apenergy.2026.128622" TargetMode="External"/><Relationship Id="rId428" Type="http://schemas.openxmlformats.org/officeDocument/2006/relationships/hyperlink" Target="https://www.sciencedirect.com/science/article/pii/S0306261926012936?dgcid=rss_sd_all" TargetMode="External"/><Relationship Id="rId429" Type="http://schemas.openxmlformats.org/officeDocument/2006/relationships/hyperlink" Target="https://doi.org/10.1016/j.apenergy.2026.128637" TargetMode="External"/><Relationship Id="rId430" Type="http://schemas.openxmlformats.org/officeDocument/2006/relationships/hyperlink" Target="https://pubs.acs.org/aamick/article/doi/10.1021/acsami.6c08743/5253263/Toward-Low-Pt-PEMWE-Components-Determining-the" TargetMode="External"/><Relationship Id="rId431" Type="http://schemas.openxmlformats.org/officeDocument/2006/relationships/hyperlink" Target="https://doi.org/10.1021/acsami.6c08743" TargetMode="External"/><Relationship Id="rId432" Type="http://schemas.openxmlformats.org/officeDocument/2006/relationships/hyperlink" Target="https://advanced.onlinelibrary.wiley.com/doi/10.1002/adma.74561?af=R" TargetMode="External"/><Relationship Id="rId433" Type="http://schemas.openxmlformats.org/officeDocument/2006/relationships/hyperlink" Target="https://doi.org/10.1002/adma.74561" TargetMode="External"/><Relationship Id="rId434" Type="http://schemas.openxmlformats.org/officeDocument/2006/relationships/hyperlink" Target="https://advanced.onlinelibrary.wiley.com/doi/10.1002/adma.74595?af=R" TargetMode="External"/><Relationship Id="rId435" Type="http://schemas.openxmlformats.org/officeDocument/2006/relationships/hyperlink" Target="https://doi.org/10.1002/adma.74595" TargetMode="External"/><Relationship Id="rId436" Type="http://schemas.openxmlformats.org/officeDocument/2006/relationships/hyperlink" Target="https://advanced.onlinelibrary.wiley.com/doi/10.1002/adma.74593?af=R" TargetMode="External"/><Relationship Id="rId437" Type="http://schemas.openxmlformats.org/officeDocument/2006/relationships/hyperlink" Target="https://doi.org/10.1002/adma.74593" TargetMode="External"/><Relationship Id="rId438" Type="http://schemas.openxmlformats.org/officeDocument/2006/relationships/hyperlink" Target="https://advanced.onlinelibrary.wiley.com/doi/10.1002/aenm.71379?af=R" TargetMode="External"/><Relationship Id="rId439" Type="http://schemas.openxmlformats.org/officeDocument/2006/relationships/hyperlink" Target="https://doi.org/10.1002/aenm.71379" TargetMode="External"/><Relationship Id="rId440" Type="http://schemas.openxmlformats.org/officeDocument/2006/relationships/hyperlink" Target="https://advanced.onlinelibrary.wiley.com/doi/10.1002/aenm.71426?af=R" TargetMode="External"/><Relationship Id="rId441" Type="http://schemas.openxmlformats.org/officeDocument/2006/relationships/hyperlink" Target="https://doi.org/10.1002/aenm.71426" TargetMode="External"/><Relationship Id="rId442" Type="http://schemas.openxmlformats.org/officeDocument/2006/relationships/hyperlink" Target="https://advanced.onlinelibrary.wiley.com/doi/10.1002/aenm.71444?af=R" TargetMode="External"/><Relationship Id="rId443" Type="http://schemas.openxmlformats.org/officeDocument/2006/relationships/hyperlink" Target="https://doi.org/10.1002/aenm.71444" TargetMode="External"/><Relationship Id="rId444" Type="http://schemas.openxmlformats.org/officeDocument/2006/relationships/hyperlink" Target="https://advanced.onlinelibrary.wiley.com/doi/10.1002/aenm.71361?af=R" TargetMode="External"/><Relationship Id="rId445" Type="http://schemas.openxmlformats.org/officeDocument/2006/relationships/hyperlink" Target="https://doi.org/10.1002/aenm.71361" TargetMode="External"/><Relationship Id="rId446" Type="http://schemas.openxmlformats.org/officeDocument/2006/relationships/hyperlink" Target="https://onlinelibrary.wiley.com/doi/10.1002/anie.6236000?af=R" TargetMode="External"/><Relationship Id="rId447" Type="http://schemas.openxmlformats.org/officeDocument/2006/relationships/hyperlink" Target="https://doi.org/10.1002/anie.6236000" TargetMode="External"/><Relationship Id="rId448" Type="http://schemas.openxmlformats.org/officeDocument/2006/relationships/hyperlink" Target="https://onlinelibrary.wiley.com/doi/10.1002/anie.9873433?af=R" TargetMode="External"/><Relationship Id="rId449" Type="http://schemas.openxmlformats.org/officeDocument/2006/relationships/hyperlink" Target="https://doi.org/10.1002/anie.9873433" TargetMode="External"/><Relationship Id="rId450" Type="http://schemas.openxmlformats.org/officeDocument/2006/relationships/hyperlink" Target="https://onlinelibrary.wiley.com/doi/10.1002/anie.2044894?af=R" TargetMode="External"/><Relationship Id="rId451" Type="http://schemas.openxmlformats.org/officeDocument/2006/relationships/hyperlink" Target="https://doi.org/10.1002/anie.2044894" TargetMode="External"/><Relationship Id="rId452" Type="http://schemas.openxmlformats.org/officeDocument/2006/relationships/hyperlink" Target="https://pubs.acs.org/jacsat/article/doi/10.1021/jacs.6c09690/5254014/Hydrogel-Empowered-Interfacial-Reactive-Hydrogen" TargetMode="External"/><Relationship Id="rId453" Type="http://schemas.openxmlformats.org/officeDocument/2006/relationships/hyperlink" Target="https://doi.org/10.1021/jacs.6c09690" TargetMode="External"/><Relationship Id="rId454" Type="http://schemas.openxmlformats.org/officeDocument/2006/relationships/hyperlink" Target="https://pubs.acs.org/jacsat/article/doi/10.1021/jacs.6c12699/5254731/Toward-In-Situ-Programming-Ligand-Desorption" TargetMode="External"/><Relationship Id="rId455" Type="http://schemas.openxmlformats.org/officeDocument/2006/relationships/hyperlink" Target="https://doi.org/10.1021/jacs.6c12699" TargetMode="External"/><Relationship Id="rId456" Type="http://schemas.openxmlformats.org/officeDocument/2006/relationships/hyperlink" Target="https://www.sciencedirect.com/science/article/pii/S0306261926012882?dgcid=rss_sd_all" TargetMode="External"/><Relationship Id="rId457" Type="http://schemas.openxmlformats.org/officeDocument/2006/relationships/hyperlink" Target="https://doi.org/10.1016/j.apenergy.2026.128632" TargetMode="External"/><Relationship Id="rId458" Type="http://schemas.openxmlformats.org/officeDocument/2006/relationships/hyperlink" Target="https://www.sciencedirect.com/science/article/pii/S0306261926013279?dgcid=rss_sd_all" TargetMode="External"/><Relationship Id="rId459" Type="http://schemas.openxmlformats.org/officeDocument/2006/relationships/hyperlink" Target="https://doi.org/10.1016/j.apenergy.2026.128671" TargetMode="External"/><Relationship Id="rId460" Type="http://schemas.openxmlformats.org/officeDocument/2006/relationships/hyperlink" Target="https://www.sciencedirect.com/science/article/pii/S0306261926012808?dgcid=rss_sd_all" TargetMode="External"/><Relationship Id="rId461" Type="http://schemas.openxmlformats.org/officeDocument/2006/relationships/hyperlink" Target="https://doi.org/10.1016/j.apenergy.2026.128624" TargetMode="External"/><Relationship Id="rId462" Type="http://schemas.openxmlformats.org/officeDocument/2006/relationships/hyperlink" Target="https://www.sciencedirect.com/science/article/pii/S0306261926013255?dgcid=rss_sd_all" TargetMode="External"/><Relationship Id="rId463" Type="http://schemas.openxmlformats.org/officeDocument/2006/relationships/hyperlink" Target="https://doi.org/10.1016/j.apenergy.2026.128669" TargetMode="External"/><Relationship Id="rId464" Type="http://schemas.openxmlformats.org/officeDocument/2006/relationships/hyperlink" Target="https://www.nature.com/articles/s41467-026-76635-9" TargetMode="External"/><Relationship Id="rId465" Type="http://schemas.openxmlformats.org/officeDocument/2006/relationships/hyperlink" Target="https://www.nature.com/articles/s41467-026-76679-x" TargetMode="External"/><Relationship Id="rId466" Type="http://schemas.openxmlformats.org/officeDocument/2006/relationships/hyperlink" Target="https://advanced.onlinelibrary.wiley.com/doi/10.1002/adma.74591?af=R" TargetMode="External"/><Relationship Id="rId467" Type="http://schemas.openxmlformats.org/officeDocument/2006/relationships/hyperlink" Target="https://doi.org/10.1002/adma.74591" TargetMode="External"/><Relationship Id="rId468" Type="http://schemas.openxmlformats.org/officeDocument/2006/relationships/hyperlink" Target="https://advanced.onlinelibrary.wiley.com/doi/10.1002/adma.74515?af=R" TargetMode="External"/><Relationship Id="rId469" Type="http://schemas.openxmlformats.org/officeDocument/2006/relationships/hyperlink" Target="https://doi.org/10.1002/adma.74515" TargetMode="External"/><Relationship Id="rId470" Type="http://schemas.openxmlformats.org/officeDocument/2006/relationships/hyperlink" Target="https://advanced.onlinelibrary.wiley.com/doi/10.1002/aenm.71437?af=R" TargetMode="External"/><Relationship Id="rId471" Type="http://schemas.openxmlformats.org/officeDocument/2006/relationships/hyperlink" Target="https://doi.org/10.1002/aenm.71437" TargetMode="External"/><Relationship Id="rId472" Type="http://schemas.openxmlformats.org/officeDocument/2006/relationships/hyperlink" Target="https://www.sciencedirect.com/science/article/pii/S030626192601247X?dgcid=rss_sd_all" TargetMode="External"/><Relationship Id="rId473" Type="http://schemas.openxmlformats.org/officeDocument/2006/relationships/hyperlink" Target="https://doi.org/10.1016/j.apenergy.2026.128591" TargetMode="External"/><Relationship Id="rId474" Type="http://schemas.openxmlformats.org/officeDocument/2006/relationships/hyperlink" Target="https://www.sciencedirect.com/science/article/pii/S0306261926012560?dgcid=rss_sd_all" TargetMode="External"/><Relationship Id="rId475" Type="http://schemas.openxmlformats.org/officeDocument/2006/relationships/hyperlink" Target="https://doi.org/10.1016/j.apenergy.2026.128600" TargetMode="External"/><Relationship Id="rId476" Type="http://schemas.openxmlformats.org/officeDocument/2006/relationships/hyperlink" Target="https://www.sciencedirect.com/science/article/pii/S0306261926012845?dgcid=rss_sd_all" TargetMode="External"/><Relationship Id="rId477" Type="http://schemas.openxmlformats.org/officeDocument/2006/relationships/hyperlink" Target="https://doi.org/10.1016/j.apenergy.2026.128628" TargetMode="External"/><Relationship Id="rId478" Type="http://schemas.openxmlformats.org/officeDocument/2006/relationships/hyperlink" Target="https://www.sciencedirect.com/science/article/pii/S0306261926012572?dgcid=rss_sd_all" TargetMode="External"/><Relationship Id="rId479" Type="http://schemas.openxmlformats.org/officeDocument/2006/relationships/hyperlink" Target="https://doi.org/10.1016/j.apenergy.2026.128601" TargetMode="External"/><Relationship Id="rId480" Type="http://schemas.openxmlformats.org/officeDocument/2006/relationships/hyperlink" Target="https://www.sciencedirect.com/science/article/pii/S0306261926012742?dgcid=rss_sd_all" TargetMode="External"/><Relationship Id="rId481" Type="http://schemas.openxmlformats.org/officeDocument/2006/relationships/hyperlink" Target="https://doi.org/10.1016/j.apenergy.2026.128618" TargetMode="External"/><Relationship Id="rId482" Type="http://schemas.openxmlformats.org/officeDocument/2006/relationships/hyperlink" Target="https://www.sciencedirect.com/science/article/pii/S0301421526004519?dgcid=rss_sd_all" TargetMode="External"/><Relationship Id="rId483" Type="http://schemas.openxmlformats.org/officeDocument/2006/relationships/hyperlink" Target="https://doi.org/10.1016/j.enpol.2026.115517" TargetMode="External"/><Relationship Id="rId484" Type="http://schemas.openxmlformats.org/officeDocument/2006/relationships/hyperlink" Target="https://www.sciencedirect.com/science/article/pii/S0306261926012468?dgcid=rss_sd_all" TargetMode="External"/><Relationship Id="rId485" Type="http://schemas.openxmlformats.org/officeDocument/2006/relationships/hyperlink" Target="https://www.sciencedirect.com/science/article/pii/S0306261926012584?dgcid=rss_sd_all" TargetMode="External"/><Relationship Id="rId486" Type="http://schemas.openxmlformats.org/officeDocument/2006/relationships/hyperlink" Target="https://doi.org/10.1016/j.apenergy.2026.128602" TargetMode="External"/><Relationship Id="rId487" Type="http://schemas.openxmlformats.org/officeDocument/2006/relationships/hyperlink" Target="https://www.sciencedirect.com/science/article/pii/S0306261926011591?dgcid=rss_sd_all" TargetMode="External"/><Relationship Id="rId488" Type="http://schemas.openxmlformats.org/officeDocument/2006/relationships/hyperlink" Target="https://doi.org/10.1016/j.apenergy.2026.128503" TargetMode="External"/><Relationship Id="rId489" Type="http://schemas.openxmlformats.org/officeDocument/2006/relationships/hyperlink" Target="https://www.sciencedirect.com/science/article/pii/S0306261926012729?dgcid=rss_sd_all" TargetMode="External"/><Relationship Id="rId490" Type="http://schemas.openxmlformats.org/officeDocument/2006/relationships/hyperlink" Target="https://doi.org/10.1016/j.apenergy.2026.128616" TargetMode="External"/><Relationship Id="rId491" Type="http://schemas.openxmlformats.org/officeDocument/2006/relationships/hyperlink" Target="https://www.sciencedirect.com/science/article/pii/S0306261926012055?dgcid=rss_sd_all" TargetMode="External"/><Relationship Id="rId492" Type="http://schemas.openxmlformats.org/officeDocument/2006/relationships/hyperlink" Target="https://doi.org/10.1016/j.apenergy.2026.128549" TargetMode="External"/><Relationship Id="rId493" Type="http://schemas.openxmlformats.org/officeDocument/2006/relationships/hyperlink" Target="https://www.sciencedirect.com/science/article/pii/S0306261926012195?dgcid=rss_sd_all" TargetMode="External"/><Relationship Id="rId494" Type="http://schemas.openxmlformats.org/officeDocument/2006/relationships/hyperlink" Target="https://doi.org/10.1016/j.apenergy.2026.128563" TargetMode="External"/><Relationship Id="rId495" Type="http://schemas.openxmlformats.org/officeDocument/2006/relationships/hyperlink" Target="https://advanced.onlinelibrary.wiley.com/doi/10.1002/adma.74530?af=R" TargetMode="External"/><Relationship Id="rId496" Type="http://schemas.openxmlformats.org/officeDocument/2006/relationships/hyperlink" Target="https://doi.org/10.1002/adma.74530" TargetMode="External"/><Relationship Id="rId497" Type="http://schemas.openxmlformats.org/officeDocument/2006/relationships/hyperlink" Target="https://www.sciencedirect.com/science/article/pii/S0306261926012766?dgcid=rss_sd_all" TargetMode="External"/><Relationship Id="rId498" Type="http://schemas.openxmlformats.org/officeDocument/2006/relationships/hyperlink" Target="https://doi.org/10.1016/j.apenergy.2026.128620" TargetMode="External"/><Relationship Id="rId499" Type="http://schemas.openxmlformats.org/officeDocument/2006/relationships/hyperlink" Target="https://www.sciencedirect.com/science/article/pii/S0306261926012638?dgcid=rss_sd_all" TargetMode="External"/><Relationship Id="rId500" Type="http://schemas.openxmlformats.org/officeDocument/2006/relationships/hyperlink" Target="https://doi.org/10.1016/j.apenergy.2026.128607" TargetMode="External"/><Relationship Id="rId501" Type="http://schemas.openxmlformats.org/officeDocument/2006/relationships/hyperlink" Target="https://advanced.onlinelibrary.wiley.com/doi/10.1002/adma.74543?af=R" TargetMode="External"/><Relationship Id="rId502" Type="http://schemas.openxmlformats.org/officeDocument/2006/relationships/hyperlink" Target="https://doi.org/10.1002/adma.74543" TargetMode="External"/><Relationship Id="rId503" Type="http://schemas.openxmlformats.org/officeDocument/2006/relationships/hyperlink" Target="https://onlinelibrary.wiley.com/doi/10.1002/anie.4329489?af=R" TargetMode="External"/><Relationship Id="rId504" Type="http://schemas.openxmlformats.org/officeDocument/2006/relationships/hyperlink" Target="https://doi.org/10.1002/anie.4329489" TargetMode="External"/><Relationship Id="rId505" Type="http://schemas.openxmlformats.org/officeDocument/2006/relationships/hyperlink" Target="https://www.sciencedirect.com/science/article/pii/S0301421526004751?dgcid=rss_sd_all" TargetMode="External"/><Relationship Id="rId506" Type="http://schemas.openxmlformats.org/officeDocument/2006/relationships/hyperlink" Target="https://doi.org/10.1016/j.enpol.2026.115541" TargetMode="External"/><Relationship Id="rId507" Type="http://schemas.openxmlformats.org/officeDocument/2006/relationships/hyperlink" Target="https://www.nature.com/articles/s41467-026-76500-9" TargetMode="External"/><Relationship Id="rId508" Type="http://schemas.openxmlformats.org/officeDocument/2006/relationships/hyperlink" Target="https://www.nature.com/articles/s41467-026-76638-6" TargetMode="External"/><Relationship Id="rId509" Type="http://schemas.openxmlformats.org/officeDocument/2006/relationships/hyperlink" Target="https://pubs.acs.org/jacsat/article/doi/10.1021/jacs.6c12379/5251000/One-Pot-Sequential-Alkaline-Acid-Route-to-ZSM-5" TargetMode="External"/><Relationship Id="rId510" Type="http://schemas.openxmlformats.org/officeDocument/2006/relationships/hyperlink" Target="https://doi.org/10.1021/jacs.6c12379" TargetMode="External"/><Relationship Id="rId511" Type="http://schemas.openxmlformats.org/officeDocument/2006/relationships/hyperlink" Target="https://advanced.onlinelibrary.wiley.com/doi/10.1002/adma.74471?af=R" TargetMode="External"/><Relationship Id="rId512" Type="http://schemas.openxmlformats.org/officeDocument/2006/relationships/hyperlink" Target="https://doi.org/10.1002/adma.74471" TargetMode="External"/><Relationship Id="rId513" Type="http://schemas.openxmlformats.org/officeDocument/2006/relationships/hyperlink" Target="https://www.nature.com/articles/d41586-026-02431-6" TargetMode="External"/><Relationship Id="rId514" Type="http://schemas.openxmlformats.org/officeDocument/2006/relationships/hyperlink" Target="https://doi.org/10.1038/d41586-026-02431-6" TargetMode="External"/><Relationship Id="rId515" Type="http://schemas.openxmlformats.org/officeDocument/2006/relationships/hyperlink" Target="https://www.sciencedirect.com/science/article/pii/S0306261926013048?dgcid=rss_sd_all" TargetMode="External"/><Relationship Id="rId516" Type="http://schemas.openxmlformats.org/officeDocument/2006/relationships/hyperlink" Target="https://doi.org/10.1016/j.apenergy.2026.128648" TargetMode="External"/><Relationship Id="rId517" Type="http://schemas.openxmlformats.org/officeDocument/2006/relationships/hyperlink" Target="https://www.sciencedirect.com/science/article/pii/S0306261926012912?dgcid=rss_sd_all" TargetMode="External"/><Relationship Id="rId518" Type="http://schemas.openxmlformats.org/officeDocument/2006/relationships/hyperlink" Target="https://doi.org/10.1016/j.apenergy.2026.128635" TargetMode="External"/><Relationship Id="rId519" Type="http://schemas.openxmlformats.org/officeDocument/2006/relationships/hyperlink" Target="https://www.sciencedirect.com/science/article/pii/S0301421526004684?dgcid=rss_sd_all" TargetMode="External"/><Relationship Id="rId520" Type="http://schemas.openxmlformats.org/officeDocument/2006/relationships/hyperlink" Target="https://doi.org/10.1016/j.enpol.2026.115534" TargetMode="External"/><Relationship Id="rId521" Type="http://schemas.openxmlformats.org/officeDocument/2006/relationships/hyperlink" Target="https://www.nature.com/articles/s41467-026-76709-8" TargetMode="External"/><Relationship Id="rId522" Type="http://schemas.openxmlformats.org/officeDocument/2006/relationships/hyperlink" Target="https://www.sciencedirect.com/science/article/pii/S0306261926012869?dgcid=rss_sd_all" TargetMode="External"/><Relationship Id="rId523" Type="http://schemas.openxmlformats.org/officeDocument/2006/relationships/hyperlink" Target="https://doi.org/10.1016/j.apenergy.2026.128630" TargetMode="External"/><Relationship Id="rId524" Type="http://schemas.openxmlformats.org/officeDocument/2006/relationships/hyperlink" Target="https://www.nature.com/articles/s41467-026-76719-6" TargetMode="External"/><Relationship Id="rId525" Type="http://schemas.openxmlformats.org/officeDocument/2006/relationships/hyperlink" Target="https://www.sciencedirect.com/science/article/pii/S0306261926013231?dgcid=rss_sd_all" TargetMode="External"/><Relationship Id="rId526" Type="http://schemas.openxmlformats.org/officeDocument/2006/relationships/hyperlink" Target="https://doi.org/10.1016/j.apenergy.2026.128667" TargetMode="External"/><Relationship Id="rId527" Type="http://schemas.openxmlformats.org/officeDocument/2006/relationships/hyperlink" Target="https://www.sciencedirect.com/science/article/pii/S0306261926012778?dgcid=rss_sd_all" TargetMode="External"/><Relationship Id="rId528" Type="http://schemas.openxmlformats.org/officeDocument/2006/relationships/hyperlink" Target="https://doi.org/10.1016/j.apenergy.2026.128621" TargetMode="External"/><Relationship Id="rId529" Type="http://schemas.openxmlformats.org/officeDocument/2006/relationships/hyperlink" Target="https://academic.oup.com/nsr/advance-article/doi/10.1093/nsr/nwag488/8759696?rss=1" TargetMode="External"/><Relationship Id="rId530" Type="http://schemas.openxmlformats.org/officeDocument/2006/relationships/hyperlink" Target="https://doi.org/10.1093/nsr/nwag488" TargetMode="External"/><Relationship Id="rId531" Type="http://schemas.openxmlformats.org/officeDocument/2006/relationships/hyperlink" Target="https://onlinelibrary.wiley.com/doi/10.1002/anie.7111765?af=R" TargetMode="External"/><Relationship Id="rId532" Type="http://schemas.openxmlformats.org/officeDocument/2006/relationships/hyperlink" Target="https://doi.org/10.1002/anie.7111765" TargetMode="External"/><Relationship Id="rId533" Type="http://schemas.openxmlformats.org/officeDocument/2006/relationships/hyperlink" Target="https://www.sciencedirect.com/science/article/pii/S0306261926013152?dgcid=rss_sd_all" TargetMode="External"/><Relationship Id="rId534" Type="http://schemas.openxmlformats.org/officeDocument/2006/relationships/hyperlink" Target="https://www.sciencedirect.com/science/article/pii/S030626192601175X?dgcid=rss_sd_all" TargetMode="External"/><Relationship Id="rId535" Type="http://schemas.openxmlformats.org/officeDocument/2006/relationships/hyperlink" Target="https://doi.org/10.1016/j.apenergy.2026.128519" TargetMode="External"/><Relationship Id="rId536" Type="http://schemas.openxmlformats.org/officeDocument/2006/relationships/hyperlink" Target="https://pubs.acs.org/aamick/article/doi/10.1021/acsami.6c05840/5254922/Surface-Redox-Behavior-of-a-High-Entropy-Spinel" TargetMode="External"/><Relationship Id="rId537" Type="http://schemas.openxmlformats.org/officeDocument/2006/relationships/hyperlink" Target="https://doi.org/10.1021/acsami.6c05840" TargetMode="External"/><Relationship Id="rId538" Type="http://schemas.openxmlformats.org/officeDocument/2006/relationships/hyperlink" Target="https://pubs.acs.org/aamick/article/doi/10.1021/acsami.6c11022/5254064/Structurally-Tailoring-Cage-like-MOFs-via-Methyl" TargetMode="External"/><Relationship Id="rId539" Type="http://schemas.openxmlformats.org/officeDocument/2006/relationships/hyperlink" Target="https://doi.org/10.1021/acsami.6c11022" TargetMode="External"/><Relationship Id="rId540" Type="http://schemas.openxmlformats.org/officeDocument/2006/relationships/hyperlink" Target="https://www.nature.com/articles/s41467-026-76717-8" TargetMode="External"/><Relationship Id="rId541" Type="http://schemas.openxmlformats.org/officeDocument/2006/relationships/hyperlink" Target="https://www.nature.com/articles/s41467-026-76432-4" TargetMode="External"/><Relationship Id="rId542" Type="http://schemas.openxmlformats.org/officeDocument/2006/relationships/hyperlink" Target="https://pubs.acs.org/jacsat/article/doi/10.1021/jacs.6c11963/5250557/Colloidal-Synthesis-Enables-Indium-Solubility" TargetMode="External"/><Relationship Id="rId543" Type="http://schemas.openxmlformats.org/officeDocument/2006/relationships/hyperlink" Target="https://doi.org/10.1021/jacs.6c11963" TargetMode="External"/><Relationship Id="rId544" Type="http://schemas.openxmlformats.org/officeDocument/2006/relationships/hyperlink" Target="https://onlinelibrary.wiley.com/doi/10.1002/anie.7758933?af=R" TargetMode="External"/><Relationship Id="rId545" Type="http://schemas.openxmlformats.org/officeDocument/2006/relationships/hyperlink" Target="https://doi.org/10.1002/anie.7758933" TargetMode="External"/><Relationship Id="rId546" Type="http://schemas.openxmlformats.org/officeDocument/2006/relationships/hyperlink" Target="https://advanced.onlinelibrary.wiley.com/doi/10.1002/adma.74545?af=R" TargetMode="External"/><Relationship Id="rId547" Type="http://schemas.openxmlformats.org/officeDocument/2006/relationships/hyperlink" Target="https://doi.org/10.1002/adma.74545" TargetMode="External"/><Relationship Id="rId548" Type="http://schemas.openxmlformats.org/officeDocument/2006/relationships/hyperlink" Target="https://onlinelibrary.wiley.com/doi/10.1002/anie.5594041?af=R" TargetMode="External"/><Relationship Id="rId549" Type="http://schemas.openxmlformats.org/officeDocument/2006/relationships/hyperlink" Target="https://doi.org/10.1002/anie.5594041" TargetMode="External"/><Relationship Id="rId550" Type="http://schemas.openxmlformats.org/officeDocument/2006/relationships/hyperlink" Target="https://onlinelibrary.wiley.com/doi/10.1002/anie.3659056?af=R" TargetMode="External"/><Relationship Id="rId551" Type="http://schemas.openxmlformats.org/officeDocument/2006/relationships/hyperlink" Target="https://doi.org/10.1002/anie.3659056" TargetMode="External"/><Relationship Id="rId552" Type="http://schemas.openxmlformats.org/officeDocument/2006/relationships/hyperlink" Target="https://pubs.acs.org/jacsat/article/doi/10.1021/jacs.6c11164/5251627/Photocatalytic-Aminocarboxylation-of-Unactivated" TargetMode="External"/><Relationship Id="rId553" Type="http://schemas.openxmlformats.org/officeDocument/2006/relationships/hyperlink" Target="https://doi.org/10.1021/jacs.6c11164" TargetMode="External"/><Relationship Id="rId554" Type="http://schemas.openxmlformats.org/officeDocument/2006/relationships/hyperlink" Target="https://pubs.acs.org/aamick/article/doi/10.1021/acsami.6c10729/5250784/Dual-Ligand-Synergistic-Construction-of-Double" TargetMode="External"/><Relationship Id="rId555" Type="http://schemas.openxmlformats.org/officeDocument/2006/relationships/hyperlink" Target="https://doi.org/10.1021/acsami.6c10729" TargetMode="External"/><Relationship Id="rId556" Type="http://schemas.openxmlformats.org/officeDocument/2006/relationships/hyperlink" Target="https://advanced.onlinelibrary.wiley.com/doi/10.1002/aenm.71413?af=R" TargetMode="External"/><Relationship Id="rId557" Type="http://schemas.openxmlformats.org/officeDocument/2006/relationships/hyperlink" Target="https://doi.org/10.1002/aenm.71413" TargetMode="External"/><Relationship Id="rId558" Type="http://schemas.openxmlformats.org/officeDocument/2006/relationships/hyperlink" Target="https://pubs.acs.org/jacsat/article/doi/10.1021/jacs.6c10649/5251923/Artificial-Photosynthetic-Hydrogel-Microspheres-as" TargetMode="External"/><Relationship Id="rId559" Type="http://schemas.openxmlformats.org/officeDocument/2006/relationships/hyperlink" Target="https://doi.org/10.1021/jacs.6c10649" TargetMode="External"/><Relationship Id="rId560" Type="http://schemas.openxmlformats.org/officeDocument/2006/relationships/hyperlink" Target="https://www.pnas.org/doi/abs/10.1073/pnas.2535684123?mi=eymic2&amp;af=R&amp;access=on&amp;content=articlesChapters&amp;publication=pnas&amp;sortBy=Earliest&amp;target=default" TargetMode="External"/><Relationship Id="rId561" Type="http://schemas.openxmlformats.org/officeDocument/2006/relationships/hyperlink" Target="https://doi.org/10.1073/pnas.2535684123" TargetMode="External"/><Relationship Id="rId562" Type="http://schemas.openxmlformats.org/officeDocument/2006/relationships/hyperlink" Target="https://pubs.acs.org/jacsat/article/doi/10.1021/jacs.6c05473/5253173/Vacancy-Engineered-Perovskite-Ferrites-Stabilize" TargetMode="External"/><Relationship Id="rId563" Type="http://schemas.openxmlformats.org/officeDocument/2006/relationships/hyperlink" Target="https://doi.org/10.1021/jacs.6c05473" TargetMode="External"/><Relationship Id="rId564" Type="http://schemas.openxmlformats.org/officeDocument/2006/relationships/hyperlink" Target="https://pubs.acs.org/jacsat/article/doi/10.1021/jacs.6c08177/5253498/Functionality-over-Order-Decoupling-Chemical-and" TargetMode="External"/><Relationship Id="rId565" Type="http://schemas.openxmlformats.org/officeDocument/2006/relationships/hyperlink" Target="https://doi.org/10.1021/jacs.6c08177" TargetMode="External"/><Relationship Id="rId566" Type="http://schemas.openxmlformats.org/officeDocument/2006/relationships/hyperlink" Target="https://www.cell.com/joule/fulltext/S2542-4351(26)00310-7?rss=yes" TargetMode="External"/><Relationship Id="rId567" Type="http://schemas.openxmlformats.org/officeDocument/2006/relationships/hyperlink" Target="https://doi.org/10.1016/j.joule.2026.102626" TargetMode="External"/><Relationship Id="rId568" Type="http://schemas.openxmlformats.org/officeDocument/2006/relationships/hyperlink" Target="https://pubs.acs.org/aelccp/article/doi/10.1021/acsenergylett.6c01954/5253417/Nanowire-Based-Composite-Electrodes-for-Ampere" TargetMode="External"/><Relationship Id="rId569" Type="http://schemas.openxmlformats.org/officeDocument/2006/relationships/hyperlink" Target="https://doi.org/10.1021/acsenergylett.6c01954" TargetMode="External"/><Relationship Id="rId570" Type="http://schemas.openxmlformats.org/officeDocument/2006/relationships/hyperlink" Target="https://onlinelibrary.wiley.com/doi/10.1002/anie.5628406?af=R" TargetMode="External"/><Relationship Id="rId571" Type="http://schemas.openxmlformats.org/officeDocument/2006/relationships/hyperlink" Target="https://doi.org/10.1002/anie.5628406" TargetMode="External"/><Relationship Id="rId572" Type="http://schemas.openxmlformats.org/officeDocument/2006/relationships/hyperlink" Target="https://advanced.onlinelibrary.wiley.com/doi/10.1002/aenm.71270?af=R" TargetMode="External"/><Relationship Id="rId573" Type="http://schemas.openxmlformats.org/officeDocument/2006/relationships/hyperlink" Target="https://doi.org/10.1002/aenm.71270" TargetMode="External"/><Relationship Id="rId574" Type="http://schemas.openxmlformats.org/officeDocument/2006/relationships/hyperlink" Target="https://pubs.acs.org/jacsat/article/doi/10.1021/jacs.6c07627/5254960/Ionization-Driven-Oxygen-Oxygen-Bond-Formation-in" TargetMode="External"/><Relationship Id="rId575" Type="http://schemas.openxmlformats.org/officeDocument/2006/relationships/hyperlink" Target="https://doi.org/10.1021/jacs.6c07627" TargetMode="External"/><Relationship Id="rId576" Type="http://schemas.openxmlformats.org/officeDocument/2006/relationships/hyperlink" Target="https://pubs.acs.org/jacsat/article/doi/10.1021/jacs.6c12712/5254095/Hydroxyl-Defined-Lewis-Base-Interface-Directs-Hole" TargetMode="External"/><Relationship Id="rId577" Type="http://schemas.openxmlformats.org/officeDocument/2006/relationships/hyperlink" Target="https://doi.org/10.1021/jacs.6c12712" TargetMode="External"/><Relationship Id="rId578" Type="http://schemas.openxmlformats.org/officeDocument/2006/relationships/hyperlink" Target="https://pubs.acs.org/jacsat/article/doi/10.1021/jacs.6c09949/5254162/Product-Selectivity-Switching-between-CO-and" TargetMode="External"/><Relationship Id="rId579" Type="http://schemas.openxmlformats.org/officeDocument/2006/relationships/hyperlink" Target="https://doi.org/10.1021/jacs.6c09949" TargetMode="External"/><Relationship Id="rId580" Type="http://schemas.openxmlformats.org/officeDocument/2006/relationships/hyperlink" Target="https://www.sciencedirect.com/science/article/pii/S030626192601202X?dgcid=rss_sd_all" TargetMode="External"/><Relationship Id="rId581" Type="http://schemas.openxmlformats.org/officeDocument/2006/relationships/hyperlink" Target="https://doi.org/10.1016/j.apenergy.2026.128546" TargetMode="External"/><Relationship Id="rId582" Type="http://schemas.openxmlformats.org/officeDocument/2006/relationships/hyperlink" Target="https://advanced.onlinelibrary.wiley.com/doi/10.1002/adma.74524?af=R" TargetMode="External"/><Relationship Id="rId583" Type="http://schemas.openxmlformats.org/officeDocument/2006/relationships/hyperlink" Target="https://doi.org/10.1002/adma.74524" TargetMode="External"/><Relationship Id="rId584" Type="http://schemas.openxmlformats.org/officeDocument/2006/relationships/hyperlink" Target="https://www.nature.com/articles/s41467-026-76281-1" TargetMode="External"/><Relationship Id="rId585" Type="http://schemas.openxmlformats.org/officeDocument/2006/relationships/hyperlink" Target="https://onlinelibrary.wiley.com/doi/10.1002/anie.7228967?af=R" TargetMode="External"/><Relationship Id="rId586" Type="http://schemas.openxmlformats.org/officeDocument/2006/relationships/hyperlink" Target="https://doi.org/10.1002/anie.7228967" TargetMode="External"/><Relationship Id="rId587" Type="http://schemas.openxmlformats.org/officeDocument/2006/relationships/hyperlink" Target="https://onlinelibrary.wiley.com/doi/10.1002/anie.7449383?af=R" TargetMode="External"/><Relationship Id="rId588" Type="http://schemas.openxmlformats.org/officeDocument/2006/relationships/hyperlink" Target="https://doi.org/10.1002/anie.7449383" TargetMode="External"/><Relationship Id="rId589" Type="http://schemas.openxmlformats.org/officeDocument/2006/relationships/hyperlink" Target="https://pubs.acs.org/aamick/article/doi/10.1021/acsami.6c13885/5250730/Curvature-Programmable-Sheet-to-3D-Morphing-of" TargetMode="External"/><Relationship Id="rId590" Type="http://schemas.openxmlformats.org/officeDocument/2006/relationships/hyperlink" Target="https://doi.org/10.1021/acsami.6c13885" TargetMode="External"/><Relationship Id="rId591" Type="http://schemas.openxmlformats.org/officeDocument/2006/relationships/hyperlink" Target="https://advanced.onlinelibrary.wiley.com/doi/10.1002/aenm.71417?af=R" TargetMode="External"/><Relationship Id="rId592" Type="http://schemas.openxmlformats.org/officeDocument/2006/relationships/hyperlink" Target="https://doi.org/10.1002/aenm.71417" TargetMode="External"/><Relationship Id="rId593" Type="http://schemas.openxmlformats.org/officeDocument/2006/relationships/hyperlink" Target="https://pubs.acs.org/jacsat/article/doi/10.1021/jacs.6c13807/5251948/Correction-to-In-Situ-SERS-Monitoring-of-Plasmon" TargetMode="External"/><Relationship Id="rId594" Type="http://schemas.openxmlformats.org/officeDocument/2006/relationships/hyperlink" Target="https://doi.org/10.1021/jacs.6c13807" TargetMode="External"/><Relationship Id="rId595" Type="http://schemas.openxmlformats.org/officeDocument/2006/relationships/hyperlink" Target="https://pubs.acs.org/jacsat/article/doi/10.1021/jacs.6c13232/5253174/Hydrophobic-Nanodomains-and-Bulky-Anion-Mediated" TargetMode="External"/><Relationship Id="rId596" Type="http://schemas.openxmlformats.org/officeDocument/2006/relationships/hyperlink" Target="https://doi.org/10.1021/jacs.6c13232" TargetMode="External"/><Relationship Id="rId597" Type="http://schemas.openxmlformats.org/officeDocument/2006/relationships/hyperlink" Target="https://www.cell.com/chem/fulltext/S2451-9294(26)00267-6?rss=yes" TargetMode="External"/><Relationship Id="rId598" Type="http://schemas.openxmlformats.org/officeDocument/2006/relationships/hyperlink" Target="https://doi.org/10.1016/j.chempr.2026.103201" TargetMode="External"/><Relationship Id="rId599" Type="http://schemas.openxmlformats.org/officeDocument/2006/relationships/hyperlink" Target="https://advanced.onlinelibrary.wiley.com/doi/10.1002/adma.74578?af=R" TargetMode="External"/><Relationship Id="rId600" Type="http://schemas.openxmlformats.org/officeDocument/2006/relationships/hyperlink" Target="https://doi.org/10.1002/adma.74578" TargetMode="External"/><Relationship Id="rId601" Type="http://schemas.openxmlformats.org/officeDocument/2006/relationships/hyperlink" Target="https://onlinelibrary.wiley.com/doi/10.1002/anie.3700101?af=R" TargetMode="External"/><Relationship Id="rId602" Type="http://schemas.openxmlformats.org/officeDocument/2006/relationships/hyperlink" Target="https://doi.org/10.1002/anie.3700101" TargetMode="External"/><Relationship Id="rId603" Type="http://schemas.openxmlformats.org/officeDocument/2006/relationships/hyperlink" Target="https://www.sciencedirect.com/science/article/pii/S0301421526004088?dgcid=rss_sd_all" TargetMode="External"/><Relationship Id="rId604" Type="http://schemas.openxmlformats.org/officeDocument/2006/relationships/hyperlink" Target="https://doi.org/10.1016/j.enpol.2026.115474" TargetMode="External"/><Relationship Id="rId605" Type="http://schemas.openxmlformats.org/officeDocument/2006/relationships/hyperlink" Target="https://www.nature.com/articles/s41467-026-76295-9" TargetMode="External"/><Relationship Id="rId606" Type="http://schemas.openxmlformats.org/officeDocument/2006/relationships/hyperlink" Target="https://www.nature.com/articles/s41467-026-76524-1" TargetMode="External"/><Relationship Id="rId607" Type="http://schemas.openxmlformats.org/officeDocument/2006/relationships/hyperlink" Target="https://www.nature.com/articles/s41467-026-76523-2" TargetMode="External"/><Relationship Id="rId608" Type="http://schemas.openxmlformats.org/officeDocument/2006/relationships/hyperlink" Target="https://www.nature.com/articles/s41467-026-75331-y" TargetMode="External"/><Relationship Id="rId609" Type="http://schemas.openxmlformats.org/officeDocument/2006/relationships/hyperlink" Target="https://www.nature.com/articles/s41467-026-76488-2" TargetMode="External"/><Relationship Id="rId610" Type="http://schemas.openxmlformats.org/officeDocument/2006/relationships/hyperlink" Target="https://www.nature.com/articles/s41467-026-76325-6" TargetMode="External"/><Relationship Id="rId611" Type="http://schemas.openxmlformats.org/officeDocument/2006/relationships/hyperlink" Target="https://www.sciencedirect.com/science/article/pii/S0306261926012304?dgcid=rss_sd_all" TargetMode="External"/><Relationship Id="rId612" Type="http://schemas.openxmlformats.org/officeDocument/2006/relationships/hyperlink" Target="https://doi.org/10.1016/j.apenergy.2026.128574" TargetMode="External"/><Relationship Id="rId613" Type="http://schemas.openxmlformats.org/officeDocument/2006/relationships/hyperlink" Target="https://www.sciencedirect.com/science/article/pii/S0306261926012730?dgcid=rss_sd_all" TargetMode="External"/><Relationship Id="rId614" Type="http://schemas.openxmlformats.org/officeDocument/2006/relationships/hyperlink" Target="https://doi.org/10.1016/j.apenergy.2026.128617" TargetMode="External"/><Relationship Id="rId615" Type="http://schemas.openxmlformats.org/officeDocument/2006/relationships/hyperlink" Target="https://www.sciencedirect.com/science/article/pii/S0306261926011992?dgcid=rss_sd_all" TargetMode="External"/><Relationship Id="rId616" Type="http://schemas.openxmlformats.org/officeDocument/2006/relationships/hyperlink" Target="https://doi.org/10.1016/j.apenergy.2026.128543" TargetMode="External"/><Relationship Id="rId617" Type="http://schemas.openxmlformats.org/officeDocument/2006/relationships/hyperlink" Target="https://www.sciencedirect.com/science/article/pii/S0306261926012717?dgcid=rss_sd_all" TargetMode="External"/><Relationship Id="rId618" Type="http://schemas.openxmlformats.org/officeDocument/2006/relationships/hyperlink" Target="https://doi.org/10.1016/j.apenergy.2026.128615" TargetMode="External"/><Relationship Id="rId619" Type="http://schemas.openxmlformats.org/officeDocument/2006/relationships/hyperlink" Target="https://www.nature.com/articles/s41467-026-76511-6" TargetMode="External"/><Relationship Id="rId620" Type="http://schemas.openxmlformats.org/officeDocument/2006/relationships/hyperlink" Target="https://www.nature.com/articles/s41467-026-76495-3" TargetMode="External"/><Relationship Id="rId621" Type="http://schemas.openxmlformats.org/officeDocument/2006/relationships/hyperlink" Target="https://www.nature.com/articles/s41467-026-76313-w" TargetMode="External"/><Relationship Id="rId622" Type="http://schemas.openxmlformats.org/officeDocument/2006/relationships/hyperlink" Target="https://www.nature.com/articles/s41467-026-76200-4" TargetMode="External"/><Relationship Id="rId623" Type="http://schemas.openxmlformats.org/officeDocument/2006/relationships/hyperlink" Target="https://www.nature.com/articles/s41467-026-76289-7" TargetMode="External"/><Relationship Id="rId624" Type="http://schemas.openxmlformats.org/officeDocument/2006/relationships/hyperlink" Target="https://www.nature.com/articles/s41467-026-76442-2" TargetMode="External"/><Relationship Id="rId625" Type="http://schemas.openxmlformats.org/officeDocument/2006/relationships/hyperlink" Target="https://www.nature.com/articles/s41467-026-76199-8" TargetMode="External"/><Relationship Id="rId626" Type="http://schemas.openxmlformats.org/officeDocument/2006/relationships/hyperlink" Target="https://www.nature.com/articles/s41467-026-76402-w" TargetMode="External"/><Relationship Id="rId627" Type="http://schemas.openxmlformats.org/officeDocument/2006/relationships/hyperlink" Target="https://www.nature.com/articles/s41467-026-75365-2" TargetMode="External"/><Relationship Id="rId628" Type="http://schemas.openxmlformats.org/officeDocument/2006/relationships/hyperlink" Target="https://www.nature.com/articles/s41467-026-76301-0" TargetMode="External"/><Relationship Id="rId629" Type="http://schemas.openxmlformats.org/officeDocument/2006/relationships/hyperlink" Target="https://www.nature.com/articles/s41467-026-76409-3" TargetMode="External"/><Relationship Id="rId630" Type="http://schemas.openxmlformats.org/officeDocument/2006/relationships/hyperlink" Target="https://www.nature.com/articles/s41467-026-76485-5" TargetMode="External"/><Relationship Id="rId631" Type="http://schemas.openxmlformats.org/officeDocument/2006/relationships/hyperlink" Target="https://www.nature.com/articles/s41467-026-76345-2" TargetMode="External"/><Relationship Id="rId632" Type="http://schemas.openxmlformats.org/officeDocument/2006/relationships/hyperlink" Target="https://www.nature.com/articles/s41467-026-76207-x" TargetMode="External"/><Relationship Id="rId633" Type="http://schemas.openxmlformats.org/officeDocument/2006/relationships/hyperlink" Target="https://www.nature.com/articles/s41467-026-76454-y" TargetMode="External"/><Relationship Id="rId634" Type="http://schemas.openxmlformats.org/officeDocument/2006/relationships/hyperlink" Target="https://www.nature.com/articles/s41467-026-76046-w" TargetMode="External"/><Relationship Id="rId635" Type="http://schemas.openxmlformats.org/officeDocument/2006/relationships/hyperlink" Target="https://www.nature.com/articles/s41467-026-76138-7" TargetMode="External"/><Relationship Id="rId636" Type="http://schemas.openxmlformats.org/officeDocument/2006/relationships/hyperlink" Target="https://www.nature.com/articles/s41467-026-76376-9" TargetMode="External"/><Relationship Id="rId637" Type="http://schemas.openxmlformats.org/officeDocument/2006/relationships/hyperlink" Target="https://www.nature.com/articles/s41467-026-76280-2" TargetMode="External"/><Relationship Id="rId638" Type="http://schemas.openxmlformats.org/officeDocument/2006/relationships/hyperlink" Target="https://www.nature.com/articles/s41467-026-76267-z" TargetMode="External"/><Relationship Id="rId639" Type="http://schemas.openxmlformats.org/officeDocument/2006/relationships/hyperlink" Target="https://www.nature.com/articles/s41467-026-76246-4" TargetMode="External"/><Relationship Id="rId640" Type="http://schemas.openxmlformats.org/officeDocument/2006/relationships/hyperlink" Target="https://www.nature.com/articles/s41467-026-75503-w" TargetMode="External"/><Relationship Id="rId641" Type="http://schemas.openxmlformats.org/officeDocument/2006/relationships/hyperlink" Target="https://www.nature.com/articles/s41467-026-76536-x" TargetMode="External"/><Relationship Id="rId642" Type="http://schemas.openxmlformats.org/officeDocument/2006/relationships/hyperlink" Target="https://www.nature.com/articles/s41467-026-76526-z" TargetMode="External"/><Relationship Id="rId643" Type="http://schemas.openxmlformats.org/officeDocument/2006/relationships/hyperlink" Target="https://pubs.acs.org/jacsat/article/doi/10.1021/jacs.6c11149/5250471/Synthesis-of-Less-Substituted-Borirenes-Enabled-by" TargetMode="External"/><Relationship Id="rId644" Type="http://schemas.openxmlformats.org/officeDocument/2006/relationships/hyperlink" Target="https://doi.org/10.1021/jacs.6c11149" TargetMode="External"/><Relationship Id="rId645" Type="http://schemas.openxmlformats.org/officeDocument/2006/relationships/hyperlink" Target="https://www.sciencedirect.com/science/article/pii/S0306261926012559?dgcid=rss_sd_all" TargetMode="External"/><Relationship Id="rId646" Type="http://schemas.openxmlformats.org/officeDocument/2006/relationships/hyperlink" Target="https://doi.org/10.1016/j.apenergy.2026.128599" TargetMode="External"/><Relationship Id="rId647" Type="http://schemas.openxmlformats.org/officeDocument/2006/relationships/hyperlink" Target="https://www.nature.com/articles/d41586-026-02488-3" TargetMode="External"/><Relationship Id="rId648" Type="http://schemas.openxmlformats.org/officeDocument/2006/relationships/hyperlink" Target="https://doi.org/10.1038/d41586-026-02488-3" TargetMode="External"/><Relationship Id="rId649" Type="http://schemas.openxmlformats.org/officeDocument/2006/relationships/hyperlink" Target="https://www.nature.com/articles/d41586-026-02462-z" TargetMode="External"/><Relationship Id="rId650" Type="http://schemas.openxmlformats.org/officeDocument/2006/relationships/hyperlink" Target="https://doi.org/10.1038/d41586-026-02462-z" TargetMode="External"/><Relationship Id="rId651" Type="http://schemas.openxmlformats.org/officeDocument/2006/relationships/hyperlink" Target="https://academic.oup.com/nsr/advance-article/doi/10.1093/nsr/nwag477/8754130?rss=1" TargetMode="External"/><Relationship Id="rId652" Type="http://schemas.openxmlformats.org/officeDocument/2006/relationships/hyperlink" Target="https://doi.org/10.1093/nsr/nwag477" TargetMode="External"/><Relationship Id="rId653" Type="http://schemas.openxmlformats.org/officeDocument/2006/relationships/hyperlink" Target="https://academic.oup.com/nsr/advance-article/doi/10.1093/nsr/nwag465/8754117?rss=1" TargetMode="External"/><Relationship Id="rId654" Type="http://schemas.openxmlformats.org/officeDocument/2006/relationships/hyperlink" Target="https://doi.org/10.1093/nsr/nwag465" TargetMode="External"/><Relationship Id="rId655" Type="http://schemas.openxmlformats.org/officeDocument/2006/relationships/hyperlink" Target="https://pubs.acs.org/aamick/article/doi/10.1021/acsami.6c10789/5250201/Tetraniline-Engineered-Nickel-Molecular-Frameworks" TargetMode="External"/><Relationship Id="rId656" Type="http://schemas.openxmlformats.org/officeDocument/2006/relationships/hyperlink" Target="https://doi.org/10.1021/acsami.6c10789" TargetMode="External"/><Relationship Id="rId657" Type="http://schemas.openxmlformats.org/officeDocument/2006/relationships/hyperlink" Target="https://www.sciencedirect.com/science/article/pii/S0301421526004544?dgcid=rss_sd_all" TargetMode="External"/><Relationship Id="rId658" Type="http://schemas.openxmlformats.org/officeDocument/2006/relationships/hyperlink" Target="https://doi.org/10.1016/j.enpol.2026.115520" TargetMode="External"/><Relationship Id="rId659" Type="http://schemas.openxmlformats.org/officeDocument/2006/relationships/hyperlink" Target="https://pubs.acs.org/aamick/article/doi/10.1021/acsami.6c09833/5250411/An-Adhesive-Multifunctional-Hydrogel-for" TargetMode="External"/><Relationship Id="rId660" Type="http://schemas.openxmlformats.org/officeDocument/2006/relationships/hyperlink" Target="https://doi.org/10.1021/acsami.6c09833" TargetMode="External"/><Relationship Id="rId661" Type="http://schemas.openxmlformats.org/officeDocument/2006/relationships/hyperlink" Target="https://pubs.acs.org/aamick/article/doi/10.1021/acsami.6c11910/5250477/Machine-Learning-Enhanced-Three-Channel-Cu-Pt" TargetMode="External"/><Relationship Id="rId662" Type="http://schemas.openxmlformats.org/officeDocument/2006/relationships/hyperlink" Target="https://doi.org/10.1021/acsami.6c11910" TargetMode="External"/><Relationship Id="rId663" Type="http://schemas.openxmlformats.org/officeDocument/2006/relationships/hyperlink" Target="https://pubs.acs.org/aamick/article/doi/10.1021/acsami.6c04050/5250382/Polysaccharide-Nanocomposite-Hydrogel-Prevents-the" TargetMode="External"/><Relationship Id="rId664" Type="http://schemas.openxmlformats.org/officeDocument/2006/relationships/hyperlink" Target="https://doi.org/10.1021/acsami.6c04050" TargetMode="External"/><Relationship Id="rId665" Type="http://schemas.openxmlformats.org/officeDocument/2006/relationships/hyperlink" Target="https://pubs.acs.org/aamick/article/doi/10.1021/acsami.6c05802/5250510/One-Arrow-Three-Hawks-Antibiotic-Derived" TargetMode="External"/><Relationship Id="rId666" Type="http://schemas.openxmlformats.org/officeDocument/2006/relationships/hyperlink" Target="https://doi.org/10.1021/acsami.6c05802" TargetMode="External"/><Relationship Id="rId667" Type="http://schemas.openxmlformats.org/officeDocument/2006/relationships/hyperlink" Target="https://pubs.acs.org/aamick/article/doi/10.1021/acsami.6c07169/5249785/Ultra-high-Omnidirectional-and-Space-Service" TargetMode="External"/><Relationship Id="rId668" Type="http://schemas.openxmlformats.org/officeDocument/2006/relationships/hyperlink" Target="https://doi.org/10.1021/acsami.6c07169" TargetMode="External"/><Relationship Id="rId669" Type="http://schemas.openxmlformats.org/officeDocument/2006/relationships/hyperlink" Target="https://www.sciencedirect.com/science/article/pii/S0306261926012894?dgcid=rss_sd_all" TargetMode="External"/><Relationship Id="rId670" Type="http://schemas.openxmlformats.org/officeDocument/2006/relationships/hyperlink" Target="https://doi.org/10.1016/j.apenergy.2026.128633" TargetMode="External"/><Relationship Id="rId671" Type="http://schemas.openxmlformats.org/officeDocument/2006/relationships/hyperlink" Target="https://pubs.acs.org/aamick/article/doi/10.1021/acsami.6c04069/5250403/Pico-Molar-Sensing-of-Reactive-Oxygen-Species" TargetMode="External"/><Relationship Id="rId672" Type="http://schemas.openxmlformats.org/officeDocument/2006/relationships/hyperlink" Target="https://doi.org/10.1021/acsami.6c04069" TargetMode="External"/><Relationship Id="rId673" Type="http://schemas.openxmlformats.org/officeDocument/2006/relationships/hyperlink" Target="https://www.sciencedirect.com/science/article/pii/S0306261926012596?dgcid=rss_sd_all" TargetMode="External"/><Relationship Id="rId674" Type="http://schemas.openxmlformats.org/officeDocument/2006/relationships/hyperlink" Target="https://doi.org/10.1016/j.apenergy.2026.128603" TargetMode="External"/><Relationship Id="rId675" Type="http://schemas.openxmlformats.org/officeDocument/2006/relationships/hyperlink" Target="https://www.sciencedirect.com/science/article/pii/S0306261926012365?dgcid=rss_sd_all" TargetMode="External"/><Relationship Id="rId676" Type="http://schemas.openxmlformats.org/officeDocument/2006/relationships/hyperlink" Target="https://doi.org/10.1016/j.apenergy.2026.128580" TargetMode="External"/><Relationship Id="rId677" Type="http://schemas.openxmlformats.org/officeDocument/2006/relationships/hyperlink" Target="https://pubs.acs.org/jacsat/article/doi/10.1021/jacs.6c10375/5249851/Enantiodivergent-Carbon-Phosphorus-Bond-Formation" TargetMode="External"/><Relationship Id="rId678" Type="http://schemas.openxmlformats.org/officeDocument/2006/relationships/hyperlink" Target="https://doi.org/10.1021/jacs.6c10375" TargetMode="External"/><Relationship Id="rId679" Type="http://schemas.openxmlformats.org/officeDocument/2006/relationships/hyperlink" Target="https://pubs.acs.org/jacsat/article/doi/10.1021/jacs.6c11600/5250263/Expanded-Aza-Helicenes-Featuring-Inner-Rim-Metal" TargetMode="External"/><Relationship Id="rId680" Type="http://schemas.openxmlformats.org/officeDocument/2006/relationships/hyperlink" Target="https://doi.org/10.1021/jacs.6c11600" TargetMode="External"/><Relationship Id="rId681" Type="http://schemas.openxmlformats.org/officeDocument/2006/relationships/hyperlink" Target="https://pubs.acs.org/jacsat/article/doi/10.1021/jacs.6c10267/5249873/Pressure-Selective-Magnetic-Switching-via" TargetMode="External"/><Relationship Id="rId682" Type="http://schemas.openxmlformats.org/officeDocument/2006/relationships/hyperlink" Target="https://doi.org/10.1021/jacs.6c10267" TargetMode="External"/><Relationship Id="rId683" Type="http://schemas.openxmlformats.org/officeDocument/2006/relationships/hyperlink" Target="https://pubs.acs.org/jacsat/article/doi/10.1021/jacs.6c10477/5250186/Liquid-Dependent-Structural-Responses-of-a-Metal" TargetMode="External"/><Relationship Id="rId684" Type="http://schemas.openxmlformats.org/officeDocument/2006/relationships/hyperlink" Target="https://doi.org/10.1021/jacs.6c10477" TargetMode="External"/><Relationship Id="rId685" Type="http://schemas.openxmlformats.org/officeDocument/2006/relationships/hyperlink" Target="https://pubs.acs.org/jacsat/article/doi/10.1021/jacs.6c11351/5250228/Hydration-and-Amination-of-Phosphorus-Mononitride" TargetMode="External"/><Relationship Id="rId686" Type="http://schemas.openxmlformats.org/officeDocument/2006/relationships/hyperlink" Target="https://doi.org/10.1021/jacs.6c11351" TargetMode="External"/><Relationship Id="rId687" Type="http://schemas.openxmlformats.org/officeDocument/2006/relationships/hyperlink" Target="https://pubs.acs.org/jacsat/article/doi/10.1021/jacs.6c02367/5250400/Tandem-Ring-Closing-Ring-Opening-Chemistry-for" TargetMode="External"/><Relationship Id="rId688" Type="http://schemas.openxmlformats.org/officeDocument/2006/relationships/hyperlink" Target="https://doi.org/10.1021/jacs.6c02367" TargetMode="External"/><Relationship Id="rId689" Type="http://schemas.openxmlformats.org/officeDocument/2006/relationships/hyperlink" Target="https://www.sciencedirect.com/science/article/pii/S0306261926012407?dgcid=rss_sd_all" TargetMode="External"/><Relationship Id="rId690" Type="http://schemas.openxmlformats.org/officeDocument/2006/relationships/hyperlink" Target="https://www.sciencedirect.com/science/article/pii/S0306261926012432?dgcid=rss_sd_all" TargetMode="External"/><Relationship Id="rId691" Type="http://schemas.openxmlformats.org/officeDocument/2006/relationships/hyperlink" Target="https://doi.org/10.1016/j.apenergy.2026.128587" TargetMode="External"/><Relationship Id="rId692" Type="http://schemas.openxmlformats.org/officeDocument/2006/relationships/hyperlink" Target="https://www.sciencedirect.com/science/article/pii/S0301421526004672?dgcid=rss_sd_all" TargetMode="External"/><Relationship Id="rId693" Type="http://schemas.openxmlformats.org/officeDocument/2006/relationships/hyperlink" Target="https://doi.org/10.1016/j.enpol.2026.115533" TargetMode="External"/><Relationship Id="rId694" Type="http://schemas.openxmlformats.org/officeDocument/2006/relationships/hyperlink" Target="https://www.sciencedirect.com/science/article/pii/S0301421526004556?dgcid=rss_sd_all" TargetMode="External"/><Relationship Id="rId695" Type="http://schemas.openxmlformats.org/officeDocument/2006/relationships/hyperlink" Target="https://doi.org/10.1016/j.enpol.2026.115521" TargetMode="External"/><Relationship Id="rId696" Type="http://schemas.openxmlformats.org/officeDocument/2006/relationships/hyperlink" Target="https://pubs.acs.org/jacsat/article/doi/10.1021/jacs.6c07195/5250147/Mussel-Inspired-Membrane-Encapsulation-Strategy" TargetMode="External"/><Relationship Id="rId697" Type="http://schemas.openxmlformats.org/officeDocument/2006/relationships/hyperlink" Target="https://doi.org/10.1021/jacs.6c07195" TargetMode="External"/><Relationship Id="rId698" Type="http://schemas.openxmlformats.org/officeDocument/2006/relationships/hyperlink" Target="https://advanced.onlinelibrary.wiley.com/doi/10.1002/adma.74398?af=R" TargetMode="External"/><Relationship Id="rId699" Type="http://schemas.openxmlformats.org/officeDocument/2006/relationships/hyperlink" Target="https://doi.org/10.1002/adma.74398" TargetMode="External"/><Relationship Id="rId700" Type="http://schemas.openxmlformats.org/officeDocument/2006/relationships/hyperlink" Target="https://advanced.onlinelibrary.wiley.com/doi/10.1002/adma.74564?af=R" TargetMode="External"/><Relationship Id="rId701" Type="http://schemas.openxmlformats.org/officeDocument/2006/relationships/hyperlink" Target="https://doi.org/10.1002/adma.74564" TargetMode="External"/><Relationship Id="rId702" Type="http://schemas.openxmlformats.org/officeDocument/2006/relationships/hyperlink" Target="https://advanced.onlinelibrary.wiley.com/doi/10.1002/adma.74534?af=R" TargetMode="External"/><Relationship Id="rId703" Type="http://schemas.openxmlformats.org/officeDocument/2006/relationships/hyperlink" Target="https://doi.org/10.1002/adma.74534" TargetMode="External"/><Relationship Id="rId704" Type="http://schemas.openxmlformats.org/officeDocument/2006/relationships/hyperlink" Target="https://advanced.onlinelibrary.wiley.com/doi/10.1002/adma.202521971?af=R" TargetMode="External"/><Relationship Id="rId705" Type="http://schemas.openxmlformats.org/officeDocument/2006/relationships/hyperlink" Target="https://doi.org/10.1002/adma.202521971" TargetMode="External"/><Relationship Id="rId706" Type="http://schemas.openxmlformats.org/officeDocument/2006/relationships/hyperlink" Target="https://advanced.onlinelibrary.wiley.com/doi/10.1002/adma.74520?af=R" TargetMode="External"/><Relationship Id="rId707" Type="http://schemas.openxmlformats.org/officeDocument/2006/relationships/hyperlink" Target="https://doi.org/10.1002/adma.74520" TargetMode="External"/><Relationship Id="rId708" Type="http://schemas.openxmlformats.org/officeDocument/2006/relationships/hyperlink" Target="https://advanced.onlinelibrary.wiley.com/doi/10.1002/adma.74154?af=R" TargetMode="External"/><Relationship Id="rId709" Type="http://schemas.openxmlformats.org/officeDocument/2006/relationships/hyperlink" Target="https://doi.org/10.1002/adma.74154" TargetMode="External"/><Relationship Id="rId710" Type="http://schemas.openxmlformats.org/officeDocument/2006/relationships/hyperlink" Target="https://www.science.org/doi/abs/10.1126/sciadv.aee2515?af=R" TargetMode="External"/><Relationship Id="rId711" Type="http://schemas.openxmlformats.org/officeDocument/2006/relationships/hyperlink" Target="https://doi.org/10.1126/sciadv.aee2515" TargetMode="External"/><Relationship Id="rId712" Type="http://schemas.openxmlformats.org/officeDocument/2006/relationships/hyperlink" Target="https://www.science.org/doi/abs/10.1126/sciadv.aef5518?af=R" TargetMode="External"/><Relationship Id="rId713" Type="http://schemas.openxmlformats.org/officeDocument/2006/relationships/hyperlink" Target="https://doi.org/10.1126/sciadv.aef5518" TargetMode="External"/><Relationship Id="rId714" Type="http://schemas.openxmlformats.org/officeDocument/2006/relationships/hyperlink" Target="https://www.science.org/doi/abs/10.1126/sciadv.aee9271?af=R" TargetMode="External"/><Relationship Id="rId715" Type="http://schemas.openxmlformats.org/officeDocument/2006/relationships/hyperlink" Target="https://doi.org/10.1126/sciadv.aee9271" TargetMode="External"/><Relationship Id="rId716" Type="http://schemas.openxmlformats.org/officeDocument/2006/relationships/hyperlink" Target="https://www.science.org/doi/abs/10.1126/sciadv.aef3201?af=R" TargetMode="External"/><Relationship Id="rId717" Type="http://schemas.openxmlformats.org/officeDocument/2006/relationships/hyperlink" Target="https://doi.org/10.1126/sciadv.aef3201" TargetMode="External"/><Relationship Id="rId718" Type="http://schemas.openxmlformats.org/officeDocument/2006/relationships/hyperlink" Target="https://www.science.org/doi/abs/10.1126/sciadv.aee1791?af=R" TargetMode="External"/><Relationship Id="rId719" Type="http://schemas.openxmlformats.org/officeDocument/2006/relationships/hyperlink" Target="https://doi.org/10.1126/sciadv.aee1791" TargetMode="External"/><Relationship Id="rId720" Type="http://schemas.openxmlformats.org/officeDocument/2006/relationships/hyperlink" Target="https://www.science.org/doi/abs/10.1126/sciadv.aeb1136?af=R" TargetMode="External"/><Relationship Id="rId721" Type="http://schemas.openxmlformats.org/officeDocument/2006/relationships/hyperlink" Target="https://doi.org/10.1126/sciadv.aeb1136" TargetMode="External"/><Relationship Id="rId722" Type="http://schemas.openxmlformats.org/officeDocument/2006/relationships/hyperlink" Target="https://www.science.org/doi/abs/10.1126/sciadv.aeb9309?af=R" TargetMode="External"/><Relationship Id="rId723" Type="http://schemas.openxmlformats.org/officeDocument/2006/relationships/hyperlink" Target="https://doi.org/10.1126/sciadv.aeb9309" TargetMode="External"/><Relationship Id="rId724" Type="http://schemas.openxmlformats.org/officeDocument/2006/relationships/hyperlink" Target="https://www.science.org/doi/abs/10.1126/sciadv.aec2253?af=R" TargetMode="External"/><Relationship Id="rId725" Type="http://schemas.openxmlformats.org/officeDocument/2006/relationships/hyperlink" Target="https://doi.org/10.1126/sciadv.aec2253" TargetMode="External"/><Relationship Id="rId726" Type="http://schemas.openxmlformats.org/officeDocument/2006/relationships/hyperlink" Target="https://www.science.org/doi/abs/10.1126/sciadv.aec2331?af=R" TargetMode="External"/><Relationship Id="rId727" Type="http://schemas.openxmlformats.org/officeDocument/2006/relationships/hyperlink" Target="https://doi.org/10.1126/sciadv.aec2331" TargetMode="External"/><Relationship Id="rId728" Type="http://schemas.openxmlformats.org/officeDocument/2006/relationships/hyperlink" Target="https://www.science.org/doi/abs/10.1126/sciadv.aec4563?af=R" TargetMode="External"/><Relationship Id="rId729" Type="http://schemas.openxmlformats.org/officeDocument/2006/relationships/hyperlink" Target="https://doi.org/10.1126/sciadv.aec4563" TargetMode="External"/><Relationship Id="rId730" Type="http://schemas.openxmlformats.org/officeDocument/2006/relationships/hyperlink" Target="https://www.science.org/doi/abs/10.1126/sciadv.aef0501?af=R" TargetMode="External"/><Relationship Id="rId731" Type="http://schemas.openxmlformats.org/officeDocument/2006/relationships/hyperlink" Target="https://doi.org/10.1126/sciadv.aef0501" TargetMode="External"/><Relationship Id="rId732" Type="http://schemas.openxmlformats.org/officeDocument/2006/relationships/hyperlink" Target="https://www.science.org/doi/abs/10.1126/sciadv.aee9489?af=R" TargetMode="External"/><Relationship Id="rId733" Type="http://schemas.openxmlformats.org/officeDocument/2006/relationships/hyperlink" Target="https://doi.org/10.1126/sciadv.aee9489" TargetMode="External"/><Relationship Id="rId734" Type="http://schemas.openxmlformats.org/officeDocument/2006/relationships/hyperlink" Target="https://www.science.org/doi/abs/10.1126/sciadv.aec5359?af=R" TargetMode="External"/><Relationship Id="rId735" Type="http://schemas.openxmlformats.org/officeDocument/2006/relationships/hyperlink" Target="https://doi.org/10.1126/sciadv.aec5359" TargetMode="External"/><Relationship Id="rId736" Type="http://schemas.openxmlformats.org/officeDocument/2006/relationships/hyperlink" Target="https://www.pnas.org/doi/abs/10.1073/pnas.2520215123?mi=eymic2&amp;af=R&amp;access=on&amp;content=articlesChapters&amp;publication=pnas&amp;sortBy=Earliest&amp;target=default" TargetMode="External"/><Relationship Id="rId737" Type="http://schemas.openxmlformats.org/officeDocument/2006/relationships/hyperlink" Target="https://doi.org/10.1073/pnas.2520215123" TargetMode="External"/><Relationship Id="rId738" Type="http://schemas.openxmlformats.org/officeDocument/2006/relationships/hyperlink" Target="https://www.pnas.org/doi/abs/10.1073/pnas.2528246123?mi=eymic2&amp;af=R&amp;access=on&amp;content=articlesChapters&amp;publication=pnas&amp;sortBy=Earliest&amp;target=default" TargetMode="External"/><Relationship Id="rId739" Type="http://schemas.openxmlformats.org/officeDocument/2006/relationships/hyperlink" Target="https://doi.org/10.1073/pnas.2528246123" TargetMode="External"/><Relationship Id="rId740" Type="http://schemas.openxmlformats.org/officeDocument/2006/relationships/hyperlink" Target="https://www.pnas.org/doi/abs/10.1073/pnas.2530125123?mi=eymic2&amp;af=R&amp;access=on&amp;content=articlesChapters&amp;publication=pnas&amp;sortBy=Earliest&amp;target=default" TargetMode="External"/><Relationship Id="rId741" Type="http://schemas.openxmlformats.org/officeDocument/2006/relationships/hyperlink" Target="https://doi.org/10.1073/pnas.2530125123" TargetMode="External"/><Relationship Id="rId742" Type="http://schemas.openxmlformats.org/officeDocument/2006/relationships/hyperlink" Target="https://www.pnas.org/doi/abs/10.1073/pnas.2530214123?mi=eymic2&amp;af=R&amp;access=on&amp;content=articlesChapters&amp;publication=pnas&amp;sortBy=Earliest&amp;target=default" TargetMode="External"/><Relationship Id="rId743" Type="http://schemas.openxmlformats.org/officeDocument/2006/relationships/hyperlink" Target="https://doi.org/10.1073/pnas.2530214123" TargetMode="External"/><Relationship Id="rId744" Type="http://schemas.openxmlformats.org/officeDocument/2006/relationships/hyperlink" Target="https://www.pnas.org/doi/abs/10.1073/pnas.2532230123?mi=eymic2&amp;af=R&amp;access=on&amp;content=articlesChapters&amp;publication=pnas&amp;sortBy=Earliest&amp;target=default" TargetMode="External"/><Relationship Id="rId745" Type="http://schemas.openxmlformats.org/officeDocument/2006/relationships/hyperlink" Target="https://doi.org/10.1073/pnas.2532230123" TargetMode="External"/><Relationship Id="rId746" Type="http://schemas.openxmlformats.org/officeDocument/2006/relationships/hyperlink" Target="https://www.pnas.org/doi/abs/10.1073/pnas.2536213123?mi=eymic2&amp;af=R&amp;access=on&amp;content=articlesChapters&amp;publication=pnas&amp;sortBy=Earliest&amp;target=default" TargetMode="External"/><Relationship Id="rId747" Type="http://schemas.openxmlformats.org/officeDocument/2006/relationships/hyperlink" Target="https://doi.org/10.1073/pnas.2536213123" TargetMode="External"/><Relationship Id="rId748" Type="http://schemas.openxmlformats.org/officeDocument/2006/relationships/hyperlink" Target="https://www.pnas.org/doi/abs/10.1073/pnas.2601801123?mi=eymic2&amp;af=R&amp;access=on&amp;content=articlesChapters&amp;publication=pnas&amp;sortBy=Earliest&amp;target=default" TargetMode="External"/><Relationship Id="rId749" Type="http://schemas.openxmlformats.org/officeDocument/2006/relationships/hyperlink" Target="https://doi.org/10.1073/pnas.2601801123" TargetMode="External"/><Relationship Id="rId750" Type="http://schemas.openxmlformats.org/officeDocument/2006/relationships/hyperlink" Target="https://www.science.org/doi/abs/10.1126/sciadv.aee7036?af=R" TargetMode="External"/><Relationship Id="rId751" Type="http://schemas.openxmlformats.org/officeDocument/2006/relationships/hyperlink" Target="https://doi.org/10.1126/sciadv.aee7036" TargetMode="External"/><Relationship Id="rId752" Type="http://schemas.openxmlformats.org/officeDocument/2006/relationships/hyperlink" Target="https://www.science.org/doi/abs/10.1126/sciadv.aee8327?af=R" TargetMode="External"/><Relationship Id="rId753" Type="http://schemas.openxmlformats.org/officeDocument/2006/relationships/hyperlink" Target="https://doi.org/10.1126/sciadv.aee8327" TargetMode="External"/><Relationship Id="rId754" Type="http://schemas.openxmlformats.org/officeDocument/2006/relationships/hyperlink" Target="https://www.science.org/doi/abs/10.1126/sciadv.aec9545?af=R" TargetMode="External"/><Relationship Id="rId755" Type="http://schemas.openxmlformats.org/officeDocument/2006/relationships/hyperlink" Target="https://doi.org/10.1126/sciadv.aec9545" TargetMode="External"/><Relationship Id="rId756" Type="http://schemas.openxmlformats.org/officeDocument/2006/relationships/hyperlink" Target="https://www.pnas.org/doi/abs/10.1073/pnas.2624722123?mi=eymic2&amp;af=R&amp;access=on&amp;content=articlesChapters&amp;publication=pnas&amp;sortBy=Earliest&amp;target=default" TargetMode="External"/><Relationship Id="rId757" Type="http://schemas.openxmlformats.org/officeDocument/2006/relationships/hyperlink" Target="https://doi.org/10.1073/pnas.2624722123" TargetMode="External"/><Relationship Id="rId758" Type="http://schemas.openxmlformats.org/officeDocument/2006/relationships/hyperlink" Target="https://www.science.org/doi/abs/10.1126/sciadv.aed0733?af=R" TargetMode="External"/><Relationship Id="rId759" Type="http://schemas.openxmlformats.org/officeDocument/2006/relationships/hyperlink" Target="https://doi.org/10.1126/sciadv.aed0733" TargetMode="External"/><Relationship Id="rId760" Type="http://schemas.openxmlformats.org/officeDocument/2006/relationships/hyperlink" Target="https://www.science.org/doi/abs/10.1126/sciadv.aea3015?af=R" TargetMode="External"/><Relationship Id="rId761" Type="http://schemas.openxmlformats.org/officeDocument/2006/relationships/hyperlink" Target="https://doi.org/10.1126/sciadv.aea3015" TargetMode="External"/><Relationship Id="rId762" Type="http://schemas.openxmlformats.org/officeDocument/2006/relationships/hyperlink" Target="https://www.science.org/doi/abs/10.1126/sciadv.aef2184?af=R" TargetMode="External"/><Relationship Id="rId763" Type="http://schemas.openxmlformats.org/officeDocument/2006/relationships/hyperlink" Target="https://doi.org/10.1126/sciadv.aef2184" TargetMode="External"/><Relationship Id="rId764" Type="http://schemas.openxmlformats.org/officeDocument/2006/relationships/hyperlink" Target="https://www.science.org/doi/abs/10.1126/sciadv.aeg5930?af=R" TargetMode="External"/><Relationship Id="rId765" Type="http://schemas.openxmlformats.org/officeDocument/2006/relationships/hyperlink" Target="https://doi.org/10.1126/sciadv.aeg5930" TargetMode="External"/><Relationship Id="rId766" Type="http://schemas.openxmlformats.org/officeDocument/2006/relationships/hyperlink" Target="https://www.science.org/doi/abs/10.1126/sciadv.aeb3005?af=R" TargetMode="External"/><Relationship Id="rId767" Type="http://schemas.openxmlformats.org/officeDocument/2006/relationships/hyperlink" Target="https://doi.org/10.1126/sciadv.aeb3005" TargetMode="External"/><Relationship Id="rId768" Type="http://schemas.openxmlformats.org/officeDocument/2006/relationships/hyperlink" Target="https://www.science.org/doi/abs/10.1126/sciadv.aej3478?af=R" TargetMode="External"/><Relationship Id="rId769" Type="http://schemas.openxmlformats.org/officeDocument/2006/relationships/hyperlink" Target="https://doi.org/10.1126/sciadv.aej3478" TargetMode="External"/><Relationship Id="rId770" Type="http://schemas.openxmlformats.org/officeDocument/2006/relationships/hyperlink" Target="https://www.science.org/doi/abs/10.1126/sciadv.aea8281?af=R" TargetMode="External"/><Relationship Id="rId771" Type="http://schemas.openxmlformats.org/officeDocument/2006/relationships/hyperlink" Target="https://doi.org/10.1126/sciadv.aea8281" TargetMode="External"/><Relationship Id="rId772" Type="http://schemas.openxmlformats.org/officeDocument/2006/relationships/hyperlink" Target="https://www.science.org/doi/abs/10.1126/sciadv.aea2075?af=R" TargetMode="External"/><Relationship Id="rId773" Type="http://schemas.openxmlformats.org/officeDocument/2006/relationships/hyperlink" Target="https://doi.org/10.1126/sciadv.aea2075" TargetMode="External"/><Relationship Id="rId774" Type="http://schemas.openxmlformats.org/officeDocument/2006/relationships/hyperlink" Target="https://www.science.org/doi/abs/10.1126/sciadv.adz1325?af=R" TargetMode="External"/><Relationship Id="rId775" Type="http://schemas.openxmlformats.org/officeDocument/2006/relationships/hyperlink" Target="https://doi.org/10.1126/sciadv.adz1325" TargetMode="External"/><Relationship Id="rId776" Type="http://schemas.openxmlformats.org/officeDocument/2006/relationships/hyperlink" Target="https://www.science.org/doi/abs/10.1126/sciadv.adt2097?af=R" TargetMode="External"/><Relationship Id="rId777" Type="http://schemas.openxmlformats.org/officeDocument/2006/relationships/hyperlink" Target="https://doi.org/10.1126/sciadv.adt2097" TargetMode="External"/><Relationship Id="rId778" Type="http://schemas.openxmlformats.org/officeDocument/2006/relationships/hyperlink" Target="https://www.science.org/doi/abs/10.1126/sciadv.aec6963?af=R" TargetMode="External"/><Relationship Id="rId779" Type="http://schemas.openxmlformats.org/officeDocument/2006/relationships/hyperlink" Target="https://doi.org/10.1126/sciadv.aec6963" TargetMode="External"/><Relationship Id="rId780" Type="http://schemas.openxmlformats.org/officeDocument/2006/relationships/hyperlink" Target="https://www.science.org/doi/abs/10.1126/sciadv.adp2955?af=R" TargetMode="External"/><Relationship Id="rId781" Type="http://schemas.openxmlformats.org/officeDocument/2006/relationships/hyperlink" Target="https://doi.org/10.1126/sciadv.adp2955" TargetMode="External"/><Relationship Id="rId782" Type="http://schemas.openxmlformats.org/officeDocument/2006/relationships/hyperlink" Target="https://www.science.org/doi/abs/10.1126/sciadv.adx9022?af=R" TargetMode="External"/><Relationship Id="rId783" Type="http://schemas.openxmlformats.org/officeDocument/2006/relationships/hyperlink" Target="https://doi.org/10.1126/sciadv.adx9022" TargetMode="External"/><Relationship Id="rId784" Type="http://schemas.openxmlformats.org/officeDocument/2006/relationships/hyperlink" Target="https://www.science.org/doi/abs/10.1126/sciadv.adz8270?af=R" TargetMode="External"/><Relationship Id="rId785" Type="http://schemas.openxmlformats.org/officeDocument/2006/relationships/hyperlink" Target="https://doi.org/10.1126/sciadv.adz8270" TargetMode="External"/><Relationship Id="rId786" Type="http://schemas.openxmlformats.org/officeDocument/2006/relationships/hyperlink" Target="https://www.science.org/doi/abs/10.1126/sciadv.aed0772?af=R" TargetMode="External"/><Relationship Id="rId787" Type="http://schemas.openxmlformats.org/officeDocument/2006/relationships/hyperlink" Target="https://doi.org/10.1126/sciadv.aed0772" TargetMode="External"/><Relationship Id="rId788" Type="http://schemas.openxmlformats.org/officeDocument/2006/relationships/hyperlink" Target="https://www.science.org/doi/abs/10.1126/sciadv.aed0057?af=R" TargetMode="External"/><Relationship Id="rId789" Type="http://schemas.openxmlformats.org/officeDocument/2006/relationships/hyperlink" Target="https://doi.org/10.1126/sciadv.aed0057" TargetMode="External"/><Relationship Id="rId790" Type="http://schemas.openxmlformats.org/officeDocument/2006/relationships/hyperlink" Target="https://www.science.org/doi/abs/10.1126/sciadv.aed1634?af=R" TargetMode="External"/><Relationship Id="rId791" Type="http://schemas.openxmlformats.org/officeDocument/2006/relationships/hyperlink" Target="https://doi.org/10.1126/sciadv.aed1634" TargetMode="External"/><Relationship Id="rId792" Type="http://schemas.openxmlformats.org/officeDocument/2006/relationships/hyperlink" Target="https://www.science.org/doi/abs/10.1126/sciadv.aed5470?af=R" TargetMode="External"/><Relationship Id="rId793" Type="http://schemas.openxmlformats.org/officeDocument/2006/relationships/hyperlink" Target="https://doi.org/10.1126/sciadv.aed5470" TargetMode="External"/><Relationship Id="rId794" Type="http://schemas.openxmlformats.org/officeDocument/2006/relationships/hyperlink" Target="https://www.science.org/doi/abs/10.1126/sciadv.aed6236?af=R" TargetMode="External"/><Relationship Id="rId795" Type="http://schemas.openxmlformats.org/officeDocument/2006/relationships/hyperlink" Target="https://doi.org/10.1126/sciadv.aed6236" TargetMode="External"/><Relationship Id="rId796" Type="http://schemas.openxmlformats.org/officeDocument/2006/relationships/hyperlink" Target="https://www.science.org/doi/abs/10.1126/sciadv.aed1318?af=R" TargetMode="External"/><Relationship Id="rId797" Type="http://schemas.openxmlformats.org/officeDocument/2006/relationships/hyperlink" Target="https://doi.org/10.1126/sciadv.aed1318" TargetMode="External"/><Relationship Id="rId798" Type="http://schemas.openxmlformats.org/officeDocument/2006/relationships/hyperlink" Target="https://www.science.org/doi/abs/10.1126/sciadv.aef7696?af=R" TargetMode="External"/><Relationship Id="rId799" Type="http://schemas.openxmlformats.org/officeDocument/2006/relationships/hyperlink" Target="https://doi.org/10.1126/sciadv.aef7696" TargetMode="External"/><Relationship Id="rId800" Type="http://schemas.openxmlformats.org/officeDocument/2006/relationships/hyperlink" Target="https://www.science.org/doi/abs/10.1126/sciadv.aef9469?af=R" TargetMode="External"/><Relationship Id="rId801" Type="http://schemas.openxmlformats.org/officeDocument/2006/relationships/hyperlink" Target="https://doi.org/10.1126/sciadv.aef9469" TargetMode="External"/><Relationship Id="rId802" Type="http://schemas.openxmlformats.org/officeDocument/2006/relationships/hyperlink" Target="https://www.science.org/doi/abs/10.1126/sciadv.aef3194?af=R" TargetMode="External"/><Relationship Id="rId803" Type="http://schemas.openxmlformats.org/officeDocument/2006/relationships/hyperlink" Target="https://doi.org/10.1126/sciadv.aef3194" TargetMode="External"/><Relationship Id="rId804" Type="http://schemas.openxmlformats.org/officeDocument/2006/relationships/hyperlink" Target="https://www.science.org/doi/abs/10.1126/sciadv.aee0923?af=R" TargetMode="External"/><Relationship Id="rId805" Type="http://schemas.openxmlformats.org/officeDocument/2006/relationships/hyperlink" Target="https://doi.org/10.1126/sciadv.aee0923" TargetMode="External"/><Relationship Id="rId806" Type="http://schemas.openxmlformats.org/officeDocument/2006/relationships/hyperlink" Target="http://link.aps.org/doi/10.1103/5n46-717z" TargetMode="External"/><Relationship Id="rId807" Type="http://schemas.openxmlformats.org/officeDocument/2006/relationships/hyperlink" Target="https://doi.org/10.1103/5n46-717z" TargetMode="External"/><Relationship Id="rId808" Type="http://schemas.openxmlformats.org/officeDocument/2006/relationships/hyperlink" Target="http://link.aps.org/doi/10.1103/jlvb-t2xl" TargetMode="External"/><Relationship Id="rId809" Type="http://schemas.openxmlformats.org/officeDocument/2006/relationships/hyperlink" Target="https://doi.org/10.1103/jlvb-t2xl" TargetMode="External"/><Relationship Id="rId810" Type="http://schemas.openxmlformats.org/officeDocument/2006/relationships/hyperlink" Target="http://link.aps.org/doi/10.1103/scjl-5ygh" TargetMode="External"/><Relationship Id="rId811" Type="http://schemas.openxmlformats.org/officeDocument/2006/relationships/hyperlink" Target="https://doi.org/10.1103/scjl-5ygh" TargetMode="External"/><Relationship Id="rId812" Type="http://schemas.openxmlformats.org/officeDocument/2006/relationships/hyperlink" Target="http://link.aps.org/doi/10.1103/sgm7-181s" TargetMode="External"/><Relationship Id="rId813" Type="http://schemas.openxmlformats.org/officeDocument/2006/relationships/hyperlink" Target="https://doi.org/10.1103/sgm7-181s" TargetMode="External"/><Relationship Id="rId814" Type="http://schemas.openxmlformats.org/officeDocument/2006/relationships/hyperlink" Target="http://link.aps.org/doi/10.1103/q4p2-r1bt" TargetMode="External"/><Relationship Id="rId815" Type="http://schemas.openxmlformats.org/officeDocument/2006/relationships/hyperlink" Target="https://doi.org/10.1103/q4p2-r1bt" TargetMode="External"/><Relationship Id="rId816" Type="http://schemas.openxmlformats.org/officeDocument/2006/relationships/hyperlink" Target="http://link.aps.org/doi/10.1103/5rsv-mb6x" TargetMode="External"/><Relationship Id="rId817" Type="http://schemas.openxmlformats.org/officeDocument/2006/relationships/hyperlink" Target="https://doi.org/10.1103/5rsv-mb6x" TargetMode="External"/><Relationship Id="rId818" Type="http://schemas.openxmlformats.org/officeDocument/2006/relationships/hyperlink" Target="http://link.aps.org/doi/10.1103/wq3w-cb7f" TargetMode="External"/><Relationship Id="rId819" Type="http://schemas.openxmlformats.org/officeDocument/2006/relationships/hyperlink" Target="https://doi.org/10.1103/wq3w-cb7f" TargetMode="External"/><Relationship Id="rId820" Type="http://schemas.openxmlformats.org/officeDocument/2006/relationships/hyperlink" Target="http://link.aps.org/doi/10.1103/1nhc-ds19" TargetMode="External"/><Relationship Id="rId821" Type="http://schemas.openxmlformats.org/officeDocument/2006/relationships/hyperlink" Target="https://doi.org/10.1103/1nhc-ds19" TargetMode="External"/><Relationship Id="rId822" Type="http://schemas.openxmlformats.org/officeDocument/2006/relationships/hyperlink" Target="http://link.aps.org/doi/10.1103/xyx5-3tz3" TargetMode="External"/><Relationship Id="rId823" Type="http://schemas.openxmlformats.org/officeDocument/2006/relationships/hyperlink" Target="https://doi.org/10.1103/xyx5-3tz3" TargetMode="External"/><Relationship Id="rId824" Type="http://schemas.openxmlformats.org/officeDocument/2006/relationships/hyperlink" Target="http://link.aps.org/doi/10.1103/gqr8-vjxy" TargetMode="External"/><Relationship Id="rId825" Type="http://schemas.openxmlformats.org/officeDocument/2006/relationships/hyperlink" Target="https://doi.org/10.1103/gqr8-vjxy" TargetMode="External"/><Relationship Id="rId826" Type="http://schemas.openxmlformats.org/officeDocument/2006/relationships/hyperlink" Target="http://link.aps.org/doi/10.1103/21nh-lrvx" TargetMode="External"/><Relationship Id="rId827" Type="http://schemas.openxmlformats.org/officeDocument/2006/relationships/hyperlink" Target="https://doi.org/10.1103/21nh-lrvx" TargetMode="External"/><Relationship Id="rId828" Type="http://schemas.openxmlformats.org/officeDocument/2006/relationships/hyperlink" Target="http://link.aps.org/doi/10.1103/7rqh-fxvn" TargetMode="External"/><Relationship Id="rId829" Type="http://schemas.openxmlformats.org/officeDocument/2006/relationships/hyperlink" Target="https://doi.org/10.1103/7rqh-fxvn" TargetMode="External"/><Relationship Id="rId830" Type="http://schemas.openxmlformats.org/officeDocument/2006/relationships/hyperlink" Target="http://link.aps.org/doi/10.1103/wfy7-zbwf" TargetMode="External"/><Relationship Id="rId831" Type="http://schemas.openxmlformats.org/officeDocument/2006/relationships/hyperlink" Target="https://doi.org/10.1103/wfy7-zbwf" TargetMode="External"/><Relationship Id="rId832" Type="http://schemas.openxmlformats.org/officeDocument/2006/relationships/hyperlink" Target="http://link.aps.org/doi/10.1103/x8xt-y8dr" TargetMode="External"/><Relationship Id="rId833" Type="http://schemas.openxmlformats.org/officeDocument/2006/relationships/hyperlink" Target="https://doi.org/10.1103/x8xt-y8dr" TargetMode="External"/><Relationship Id="rId834" Type="http://schemas.openxmlformats.org/officeDocument/2006/relationships/hyperlink" Target="http://link.aps.org/doi/10.1103/j7nh-jzdd" TargetMode="External"/><Relationship Id="rId835" Type="http://schemas.openxmlformats.org/officeDocument/2006/relationships/hyperlink" Target="https://doi.org/10.1103/j7nh-jzdd" TargetMode="External"/><Relationship Id="rId836" Type="http://schemas.openxmlformats.org/officeDocument/2006/relationships/hyperlink" Target="https://advanced.onlinelibrary.wiley.com/doi/10.1002/adma.74426?af=R" TargetMode="External"/><Relationship Id="rId837" Type="http://schemas.openxmlformats.org/officeDocument/2006/relationships/hyperlink" Target="https://doi.org/10.1002/adma.74426" TargetMode="External"/><Relationship Id="rId838" Type="http://schemas.openxmlformats.org/officeDocument/2006/relationships/hyperlink" Target="https://advanced.onlinelibrary.wiley.com/doi/10.1002/adma.74428?af=R" TargetMode="External"/><Relationship Id="rId839" Type="http://schemas.openxmlformats.org/officeDocument/2006/relationships/hyperlink" Target="https://doi.org/10.1002/adma.74428" TargetMode="External"/><Relationship Id="rId840" Type="http://schemas.openxmlformats.org/officeDocument/2006/relationships/hyperlink" Target="https://advanced.onlinelibrary.wiley.com/doi/10.1002/adma.74425?af=R" TargetMode="External"/><Relationship Id="rId841" Type="http://schemas.openxmlformats.org/officeDocument/2006/relationships/hyperlink" Target="https://doi.org/10.1002/adma.74425" TargetMode="External"/><Relationship Id="rId842" Type="http://schemas.openxmlformats.org/officeDocument/2006/relationships/hyperlink" Target="https://onlinelibrary.wiley.com/doi/10.1002/anie.5917916?af=R" TargetMode="External"/><Relationship Id="rId843" Type="http://schemas.openxmlformats.org/officeDocument/2006/relationships/hyperlink" Target="https://doi.org/10.1002/anie.5917916" TargetMode="External"/><Relationship Id="rId844" Type="http://schemas.openxmlformats.org/officeDocument/2006/relationships/hyperlink" Target="https://onlinelibrary.wiley.com/doi/10.1002/anie.8511383?af=R" TargetMode="External"/><Relationship Id="rId845" Type="http://schemas.openxmlformats.org/officeDocument/2006/relationships/hyperlink" Target="https://doi.org/10.1002/anie.8511383" TargetMode="External"/><Relationship Id="rId846" Type="http://schemas.openxmlformats.org/officeDocument/2006/relationships/hyperlink" Target="https://onlinelibrary.wiley.com/doi/10.1002/anie.3999519?af=R" TargetMode="External"/><Relationship Id="rId847" Type="http://schemas.openxmlformats.org/officeDocument/2006/relationships/hyperlink" Target="https://doi.org/10.1002/anie.3999519" TargetMode="External"/><Relationship Id="rId848" Type="http://schemas.openxmlformats.org/officeDocument/2006/relationships/hyperlink" Target="https://onlinelibrary.wiley.com/doi/10.1002/anie.1256471?af=R" TargetMode="External"/><Relationship Id="rId849" Type="http://schemas.openxmlformats.org/officeDocument/2006/relationships/hyperlink" Target="https://doi.org/10.1002/anie.1256471" TargetMode="External"/><Relationship Id="rId850" Type="http://schemas.openxmlformats.org/officeDocument/2006/relationships/hyperlink" Target="https://onlinelibrary.wiley.com/doi/10.1002/anie.7564970?af=R" TargetMode="External"/><Relationship Id="rId851" Type="http://schemas.openxmlformats.org/officeDocument/2006/relationships/hyperlink" Target="https://doi.org/10.1002/anie.7564970" TargetMode="External"/><Relationship Id="rId852" Type="http://schemas.openxmlformats.org/officeDocument/2006/relationships/hyperlink" Target="https://onlinelibrary.wiley.com/doi/10.1002/anie.4052926?af=R" TargetMode="External"/><Relationship Id="rId853" Type="http://schemas.openxmlformats.org/officeDocument/2006/relationships/hyperlink" Target="https://doi.org/10.1002/anie.4052926" TargetMode="External"/><Relationship Id="rId854" Type="http://schemas.openxmlformats.org/officeDocument/2006/relationships/hyperlink" Target="https://onlinelibrary.wiley.com/doi/10.1002/anie.9925574?af=R" TargetMode="External"/><Relationship Id="rId855" Type="http://schemas.openxmlformats.org/officeDocument/2006/relationships/hyperlink" Target="https://doi.org/10.1002/anie.9925574" TargetMode="External"/><Relationship Id="rId856" Type="http://schemas.openxmlformats.org/officeDocument/2006/relationships/hyperlink" Target="https://onlinelibrary.wiley.com/doi/10.1002/anie.1446100?af=R" TargetMode="External"/><Relationship Id="rId857" Type="http://schemas.openxmlformats.org/officeDocument/2006/relationships/hyperlink" Target="https://doi.org/10.1002/anie.1446100" TargetMode="External"/><Relationship Id="rId858" Type="http://schemas.openxmlformats.org/officeDocument/2006/relationships/hyperlink" Target="https://onlinelibrary.wiley.com/doi/10.1002/anie.7867481?af=R" TargetMode="External"/><Relationship Id="rId859" Type="http://schemas.openxmlformats.org/officeDocument/2006/relationships/hyperlink" Target="https://doi.org/10.1002/anie.7867481" TargetMode="External"/><Relationship Id="rId860" Type="http://schemas.openxmlformats.org/officeDocument/2006/relationships/hyperlink" Target="https://onlinelibrary.wiley.com/doi/10.1002/anie.6030123?af=R" TargetMode="External"/><Relationship Id="rId861" Type="http://schemas.openxmlformats.org/officeDocument/2006/relationships/hyperlink" Target="https://doi.org/10.1002/anie.6030123" TargetMode="External"/><Relationship Id="rId862" Type="http://schemas.openxmlformats.org/officeDocument/2006/relationships/hyperlink" Target="https://onlinelibrary.wiley.com/doi/10.1002/anie.6334998?af=R" TargetMode="External"/><Relationship Id="rId863" Type="http://schemas.openxmlformats.org/officeDocument/2006/relationships/hyperlink" Target="https://doi.org/10.1002/anie.6334998" TargetMode="External"/><Relationship Id="rId864" Type="http://schemas.openxmlformats.org/officeDocument/2006/relationships/hyperlink" Target="https://onlinelibrary.wiley.com/doi/10.1002/anie.5082047?af=R" TargetMode="External"/><Relationship Id="rId865" Type="http://schemas.openxmlformats.org/officeDocument/2006/relationships/hyperlink" Target="https://doi.org/10.1002/anie.5082047" TargetMode="External"/><Relationship Id="rId866" Type="http://schemas.openxmlformats.org/officeDocument/2006/relationships/hyperlink" Target="https://onlinelibrary.wiley.com/doi/10.1002/anie.6963058?af=R" TargetMode="External"/><Relationship Id="rId867" Type="http://schemas.openxmlformats.org/officeDocument/2006/relationships/hyperlink" Target="https://doi.org/10.1002/anie.6963058" TargetMode="External"/><Relationship Id="rId868" Type="http://schemas.openxmlformats.org/officeDocument/2006/relationships/hyperlink" Target="https://pubs.acs.org/jacsat/article/doi/10.1021/jacs.6c07424/5250725/A-Heterogeneous-Metal-Ligand-Bifunctional-Catalyst" TargetMode="External"/><Relationship Id="rId869" Type="http://schemas.openxmlformats.org/officeDocument/2006/relationships/hyperlink" Target="https://doi.org/10.1021/jacs.6c07424" TargetMode="External"/><Relationship Id="rId870" Type="http://schemas.openxmlformats.org/officeDocument/2006/relationships/hyperlink" Target="https://pubs.acs.org/jacsat/article/doi/10.1021/jacs.6c08126/5250659/Simultaneously-Strong-Charge-Transfer-Absorption" TargetMode="External"/><Relationship Id="rId871" Type="http://schemas.openxmlformats.org/officeDocument/2006/relationships/hyperlink" Target="https://doi.org/10.1021/jacs.6c08126" TargetMode="External"/><Relationship Id="rId872" Type="http://schemas.openxmlformats.org/officeDocument/2006/relationships/hyperlink" Target="https://pubs.acs.org/jacsat/article/doi/10.1021/jacs.6c08189/5250661/An-Explicit-Interaction-Prompted-Diffusion" TargetMode="External"/><Relationship Id="rId873" Type="http://schemas.openxmlformats.org/officeDocument/2006/relationships/hyperlink" Target="https://doi.org/10.1021/jacs.6c08189" TargetMode="External"/><Relationship Id="rId874" Type="http://schemas.openxmlformats.org/officeDocument/2006/relationships/hyperlink" Target="https://pubs.acs.org/jacsat/article/doi/10.1021/jacs.6c09101/5250711/Methyl-Selective-Radical-Sorting-for-the-Regio-and" TargetMode="External"/><Relationship Id="rId875" Type="http://schemas.openxmlformats.org/officeDocument/2006/relationships/hyperlink" Target="https://doi.org/10.1021/jacs.6c09101" TargetMode="External"/><Relationship Id="rId876" Type="http://schemas.openxmlformats.org/officeDocument/2006/relationships/hyperlink" Target="https://pubs.acs.org/jacsat/article/doi/10.1021/jacs.6c09740/5250662/Photo-CIDNP-Enhanced-19F-NMR-for-Rapid-Protein" TargetMode="External"/><Relationship Id="rId877" Type="http://schemas.openxmlformats.org/officeDocument/2006/relationships/hyperlink" Target="https://doi.org/10.1021/jacs.6c09740" TargetMode="External"/><Relationship Id="rId878" Type="http://schemas.openxmlformats.org/officeDocument/2006/relationships/hyperlink" Target="https://pubs.acs.org/jacsat/article/doi/10.1021/jacs.6c13532/5250664/Photocatalytic-Golgi-Proteomics-Reveals" TargetMode="External"/><Relationship Id="rId879" Type="http://schemas.openxmlformats.org/officeDocument/2006/relationships/hyperlink" Target="https://doi.org/10.1021/jacs.6c13532" TargetMode="External"/><Relationship Id="rId880" Type="http://schemas.openxmlformats.org/officeDocument/2006/relationships/hyperlink" Target="https://pubs.acs.org/jacsat/article/doi/10.1021/jacs.6c08355/5250607/Identifying-Quantum-Tunneling-at-Ambient" TargetMode="External"/><Relationship Id="rId881" Type="http://schemas.openxmlformats.org/officeDocument/2006/relationships/hyperlink" Target="https://doi.org/10.1021/jacs.6c08355" TargetMode="External"/><Relationship Id="rId882" Type="http://schemas.openxmlformats.org/officeDocument/2006/relationships/hyperlink" Target="https://pubs.acs.org/jacsat/article/doi/10.1021/jacs.6c11340/5250703/A-New-Class-of-Bond-Length-Engineered-Transition" TargetMode="External"/><Relationship Id="rId883" Type="http://schemas.openxmlformats.org/officeDocument/2006/relationships/hyperlink" Target="https://doi.org/10.1021/jacs.6c11340" TargetMode="External"/><Relationship Id="rId884" Type="http://schemas.openxmlformats.org/officeDocument/2006/relationships/hyperlink" Target="https://www.nature.com/articles/s41467-026-76179-y" TargetMode="External"/><Relationship Id="rId885" Type="http://schemas.openxmlformats.org/officeDocument/2006/relationships/hyperlink" Target="https://pubs.acs.org/jacsat/article/doi/10.1021/jacs.6c10775/5250663/Total-Synthesis-of-CC-1065" TargetMode="External"/><Relationship Id="rId886" Type="http://schemas.openxmlformats.org/officeDocument/2006/relationships/hyperlink" Target="https://doi.org/10.1021/jacs.6c10775" TargetMode="External"/><Relationship Id="rId887" Type="http://schemas.openxmlformats.org/officeDocument/2006/relationships/hyperlink" Target="https://pubs.acs.org/jacsat/article/doi/10.1021/jacs.6c10676/5250599/Correction-to-Probing-Valence-Orbital-Composition" TargetMode="External"/><Relationship Id="rId888" Type="http://schemas.openxmlformats.org/officeDocument/2006/relationships/hyperlink" Target="https://doi.org/10.1021/jacs.6c10676" TargetMode="External"/><Relationship Id="rId889" Type="http://schemas.openxmlformats.org/officeDocument/2006/relationships/hyperlink" Target="https://www.nature.com/articles/s41467-026-76538-9" TargetMode="External"/><Relationship Id="rId890" Type="http://schemas.openxmlformats.org/officeDocument/2006/relationships/hyperlink" Target="https://www.nature.com/articles/s41467-026-76462-y" TargetMode="External"/><Relationship Id="rId891" Type="http://schemas.openxmlformats.org/officeDocument/2006/relationships/hyperlink" Target="https://www.sciencedirect.com/science/article/pii/S0306261926012961?dgcid=rss_sd_all" TargetMode="External"/><Relationship Id="rId892" Type="http://schemas.openxmlformats.org/officeDocument/2006/relationships/hyperlink" Target="https://doi.org/10.1016/j.apenergy.2026.128640" TargetMode="External"/><Relationship Id="rId893" Type="http://schemas.openxmlformats.org/officeDocument/2006/relationships/hyperlink" Target="https://www.nature.com/articles/s41467-026-76212-0" TargetMode="External"/><Relationship Id="rId894" Type="http://schemas.openxmlformats.org/officeDocument/2006/relationships/hyperlink" Target="https://www.nature.com/articles/s41467-026-76444-0" TargetMode="External"/><Relationship Id="rId895" Type="http://schemas.openxmlformats.org/officeDocument/2006/relationships/hyperlink" Target="https://www.nature.com/articles/s41467-026-76537-w" TargetMode="External"/><Relationship Id="rId896" Type="http://schemas.openxmlformats.org/officeDocument/2006/relationships/hyperlink" Target="https://www.nature.com/articles/s41467-026-76486-4" TargetMode="External"/><Relationship Id="rId897" Type="http://schemas.openxmlformats.org/officeDocument/2006/relationships/hyperlink" Target="https://www.nature.com/articles/s41467-026-76470-y" TargetMode="External"/><Relationship Id="rId898" Type="http://schemas.openxmlformats.org/officeDocument/2006/relationships/hyperlink" Target="https://www.nature.com/articles/s41467-026-76298-6" TargetMode="External"/><Relationship Id="rId899" Type="http://schemas.openxmlformats.org/officeDocument/2006/relationships/hyperlink" Target="https://www.nature.com/articles/s41467-026-76247-3" TargetMode="External"/><Relationship Id="rId900" Type="http://schemas.openxmlformats.org/officeDocument/2006/relationships/hyperlink" Target="https://www.nature.com/articles/s41467-026-75862-4" TargetMode="External"/><Relationship Id="rId901" Type="http://schemas.openxmlformats.org/officeDocument/2006/relationships/hyperlink" Target="https://www.nature.com/articles/s41467-026-76568-3" TargetMode="External"/><Relationship Id="rId902" Type="http://schemas.openxmlformats.org/officeDocument/2006/relationships/hyperlink" Target="https://www.nature.com/articles/s41467-026-76383-w" TargetMode="External"/><Relationship Id="rId903" Type="http://schemas.openxmlformats.org/officeDocument/2006/relationships/hyperlink" Target="https://advanced.onlinelibrary.wiley.com/doi/10.1002/adma.74549?af=R" TargetMode="External"/><Relationship Id="rId904" Type="http://schemas.openxmlformats.org/officeDocument/2006/relationships/hyperlink" Target="https://doi.org/10.1002/adma.74549" TargetMode="External"/><Relationship Id="rId905" Type="http://schemas.openxmlformats.org/officeDocument/2006/relationships/hyperlink" Target="https://advanced.onlinelibrary.wiley.com/doi/10.1002/adma.74550?af=R" TargetMode="External"/><Relationship Id="rId906" Type="http://schemas.openxmlformats.org/officeDocument/2006/relationships/hyperlink" Target="https://doi.org/10.1002/adma.74550" TargetMode="External"/><Relationship Id="rId907" Type="http://schemas.openxmlformats.org/officeDocument/2006/relationships/hyperlink" Target="https://advanced.onlinelibrary.wiley.com/doi/10.1002/adma.74540?af=R" TargetMode="External"/><Relationship Id="rId908" Type="http://schemas.openxmlformats.org/officeDocument/2006/relationships/hyperlink" Target="https://doi.org/10.1002/adma.74540" TargetMode="External"/><Relationship Id="rId909" Type="http://schemas.openxmlformats.org/officeDocument/2006/relationships/hyperlink" Target="https://advanced.onlinelibrary.wiley.com/doi/10.1002/adma.74544?af=R" TargetMode="External"/><Relationship Id="rId910" Type="http://schemas.openxmlformats.org/officeDocument/2006/relationships/hyperlink" Target="https://doi.org/10.1002/adma.74544" TargetMode="External"/><Relationship Id="rId911" Type="http://schemas.openxmlformats.org/officeDocument/2006/relationships/hyperlink" Target="https://advanced.onlinelibrary.wiley.com/doi/10.1002/adma.74403?af=R" TargetMode="External"/><Relationship Id="rId912" Type="http://schemas.openxmlformats.org/officeDocument/2006/relationships/hyperlink" Target="https://doi.org/10.1002/adma.74403" TargetMode="External"/><Relationship Id="rId913" Type="http://schemas.openxmlformats.org/officeDocument/2006/relationships/hyperlink" Target="https://advanced.onlinelibrary.wiley.com/doi/10.1002/adma.74523?af=R" TargetMode="External"/><Relationship Id="rId914" Type="http://schemas.openxmlformats.org/officeDocument/2006/relationships/hyperlink" Target="https://doi.org/10.1002/adma.74523" TargetMode="External"/><Relationship Id="rId915" Type="http://schemas.openxmlformats.org/officeDocument/2006/relationships/hyperlink" Target="https://onlinelibrary.wiley.com/doi/10.1002/anie.9216648?af=R" TargetMode="External"/><Relationship Id="rId916" Type="http://schemas.openxmlformats.org/officeDocument/2006/relationships/hyperlink" Target="https://doi.org/10.1002/anie.9216648" TargetMode="External"/><Relationship Id="rId917" Type="http://schemas.openxmlformats.org/officeDocument/2006/relationships/hyperlink" Target="https://onlinelibrary.wiley.com/doi/10.1002/anie.6337773?af=R" TargetMode="External"/><Relationship Id="rId918" Type="http://schemas.openxmlformats.org/officeDocument/2006/relationships/hyperlink" Target="https://doi.org/10.1002/anie.6337773" TargetMode="External"/><Relationship Id="rId919" Type="http://schemas.openxmlformats.org/officeDocument/2006/relationships/hyperlink" Target="https://onlinelibrary.wiley.com/doi/10.1002/anie.9333885?af=R" TargetMode="External"/><Relationship Id="rId920" Type="http://schemas.openxmlformats.org/officeDocument/2006/relationships/hyperlink" Target="https://doi.org/10.1002/anie.9333885" TargetMode="External"/><Relationship Id="rId921" Type="http://schemas.openxmlformats.org/officeDocument/2006/relationships/hyperlink" Target="https://onlinelibrary.wiley.com/doi/10.1002/anie.6657683?af=R" TargetMode="External"/><Relationship Id="rId922" Type="http://schemas.openxmlformats.org/officeDocument/2006/relationships/hyperlink" Target="https://doi.org/10.1002/anie.6657683" TargetMode="External"/><Relationship Id="rId923" Type="http://schemas.openxmlformats.org/officeDocument/2006/relationships/hyperlink" Target="https://onlinelibrary.wiley.com/doi/10.1002/anie.9666828?af=R" TargetMode="External"/><Relationship Id="rId924" Type="http://schemas.openxmlformats.org/officeDocument/2006/relationships/hyperlink" Target="https://doi.org/10.1002/anie.9666828" TargetMode="External"/><Relationship Id="rId925" Type="http://schemas.openxmlformats.org/officeDocument/2006/relationships/hyperlink" Target="https://onlinelibrary.wiley.com/doi/10.1002/anie.7649039?af=R" TargetMode="External"/><Relationship Id="rId926" Type="http://schemas.openxmlformats.org/officeDocument/2006/relationships/hyperlink" Target="https://doi.org/10.1002/anie.7649039" TargetMode="External"/><Relationship Id="rId927" Type="http://schemas.openxmlformats.org/officeDocument/2006/relationships/hyperlink" Target="https://onlinelibrary.wiley.com/doi/10.1002/anie.3568920?af=R" TargetMode="External"/><Relationship Id="rId928" Type="http://schemas.openxmlformats.org/officeDocument/2006/relationships/hyperlink" Target="https://doi.org/10.1002/anie.3568920" TargetMode="External"/><Relationship Id="rId929" Type="http://schemas.openxmlformats.org/officeDocument/2006/relationships/hyperlink" Target="https://onlinelibrary.wiley.com/doi/10.1002/anie.2761225?af=R" TargetMode="External"/><Relationship Id="rId930" Type="http://schemas.openxmlformats.org/officeDocument/2006/relationships/hyperlink" Target="https://doi.org/10.1002/anie.2761225" TargetMode="External"/><Relationship Id="rId931" Type="http://schemas.openxmlformats.org/officeDocument/2006/relationships/hyperlink" Target="https://onlinelibrary.wiley.com/doi/10.1002/anie.2088096?af=R" TargetMode="External"/><Relationship Id="rId932" Type="http://schemas.openxmlformats.org/officeDocument/2006/relationships/hyperlink" Target="https://doi.org/10.1002/anie.2088096" TargetMode="External"/><Relationship Id="rId933" Type="http://schemas.openxmlformats.org/officeDocument/2006/relationships/hyperlink" Target="https://onlinelibrary.wiley.com/doi/10.1002/anie.9135596?af=R" TargetMode="External"/><Relationship Id="rId934" Type="http://schemas.openxmlformats.org/officeDocument/2006/relationships/hyperlink" Target="https://doi.org/10.1002/anie.9135596" TargetMode="External"/><Relationship Id="rId935" Type="http://schemas.openxmlformats.org/officeDocument/2006/relationships/hyperlink" Target="https://onlinelibrary.wiley.com/doi/10.1002/anie.5095501?af=R" TargetMode="External"/><Relationship Id="rId936" Type="http://schemas.openxmlformats.org/officeDocument/2006/relationships/hyperlink" Target="https://doi.org/10.1002/anie.5095501" TargetMode="External"/><Relationship Id="rId937" Type="http://schemas.openxmlformats.org/officeDocument/2006/relationships/hyperlink" Target="https://www.sciencedirect.com/science/article/pii/S0306261926012626?dgcid=rss_sd_all" TargetMode="External"/><Relationship Id="rId938" Type="http://schemas.openxmlformats.org/officeDocument/2006/relationships/hyperlink" Target="https://doi.org/10.1016/j.apenergy.2026.128606" TargetMode="External"/><Relationship Id="rId939" Type="http://schemas.openxmlformats.org/officeDocument/2006/relationships/hyperlink" Target="https://www.sciencedirect.com/science/article/pii/S030626192601295X?dgcid=rss_sd_all" TargetMode="External"/><Relationship Id="rId940" Type="http://schemas.openxmlformats.org/officeDocument/2006/relationships/hyperlink" Target="https://doi.org/10.1016/j.apenergy.2026.128639" TargetMode="External"/><Relationship Id="rId941" Type="http://schemas.openxmlformats.org/officeDocument/2006/relationships/hyperlink" Target="https://www.sciencedirect.com/science/article/pii/S0306261926012377?dgcid=rss_sd_all" TargetMode="External"/><Relationship Id="rId942" Type="http://schemas.openxmlformats.org/officeDocument/2006/relationships/hyperlink" Target="https://doi.org/10.1016/j.apenergy.2026.128581" TargetMode="External"/><Relationship Id="rId943" Type="http://schemas.openxmlformats.org/officeDocument/2006/relationships/hyperlink" Target="https://pubs.acs.org/jacsat/article/doi/10.1021/jacs.6c14984/5250788/Correction-to-Dynamic-In-Vivo-Mapping-of-the" TargetMode="External"/><Relationship Id="rId944" Type="http://schemas.openxmlformats.org/officeDocument/2006/relationships/hyperlink" Target="https://doi.org/10.1021/jacs.6c14984" TargetMode="External"/><Relationship Id="rId945" Type="http://schemas.openxmlformats.org/officeDocument/2006/relationships/hyperlink" Target="https://advanced.onlinelibrary.wiley.com/doi/10.1002/adma.202600019?af=R" TargetMode="External"/><Relationship Id="rId946" Type="http://schemas.openxmlformats.org/officeDocument/2006/relationships/hyperlink" Target="https://doi.org/10.1002/adma.202600019" TargetMode="External"/><Relationship Id="rId947" Type="http://schemas.openxmlformats.org/officeDocument/2006/relationships/hyperlink" Target="https://advanced.onlinelibrary.wiley.com/doi/10.1002/adma.74542?af=R" TargetMode="External"/><Relationship Id="rId948" Type="http://schemas.openxmlformats.org/officeDocument/2006/relationships/hyperlink" Target="https://doi.org/10.1002/adma.74542" TargetMode="External"/><Relationship Id="rId949" Type="http://schemas.openxmlformats.org/officeDocument/2006/relationships/hyperlink" Target="https://advanced.onlinelibrary.wiley.com/doi/10.1002/adma.74546?af=R" TargetMode="External"/><Relationship Id="rId950" Type="http://schemas.openxmlformats.org/officeDocument/2006/relationships/hyperlink" Target="https://doi.org/10.1002/adma.74546" TargetMode="External"/><Relationship Id="rId951" Type="http://schemas.openxmlformats.org/officeDocument/2006/relationships/hyperlink" Target="https://advanced.onlinelibrary.wiley.com/doi/10.1002/adma.74453?af=R" TargetMode="External"/><Relationship Id="rId952" Type="http://schemas.openxmlformats.org/officeDocument/2006/relationships/hyperlink" Target="https://doi.org/10.1002/adma.74453" TargetMode="External"/><Relationship Id="rId953" Type="http://schemas.openxmlformats.org/officeDocument/2006/relationships/hyperlink" Target="https://advanced.onlinelibrary.wiley.com/doi/10.1002/adma.74565?af=R" TargetMode="External"/><Relationship Id="rId954" Type="http://schemas.openxmlformats.org/officeDocument/2006/relationships/hyperlink" Target="https://doi.org/10.1002/adma.74565" TargetMode="External"/><Relationship Id="rId955" Type="http://schemas.openxmlformats.org/officeDocument/2006/relationships/hyperlink" Target="https://advanced.onlinelibrary.wiley.com/doi/10.1002/adma.74487?af=R" TargetMode="External"/><Relationship Id="rId956" Type="http://schemas.openxmlformats.org/officeDocument/2006/relationships/hyperlink" Target="https://doi.org/10.1002/adma.74487" TargetMode="External"/><Relationship Id="rId957" Type="http://schemas.openxmlformats.org/officeDocument/2006/relationships/hyperlink" Target="https://advanced.onlinelibrary.wiley.com/doi/10.1002/adma.74517?af=R" TargetMode="External"/><Relationship Id="rId958" Type="http://schemas.openxmlformats.org/officeDocument/2006/relationships/hyperlink" Target="https://doi.org/10.1002/adma.74517" TargetMode="External"/><Relationship Id="rId959" Type="http://schemas.openxmlformats.org/officeDocument/2006/relationships/hyperlink" Target="https://advanced.onlinelibrary.wiley.com/doi/10.1002/adma.202523062?af=R" TargetMode="External"/><Relationship Id="rId960" Type="http://schemas.openxmlformats.org/officeDocument/2006/relationships/hyperlink" Target="https://doi.org/10.1002/adma.202523062" TargetMode="External"/><Relationship Id="rId961" Type="http://schemas.openxmlformats.org/officeDocument/2006/relationships/hyperlink" Target="https://advanced.onlinelibrary.wiley.com/doi/10.1002/adma.74573?af=R" TargetMode="External"/><Relationship Id="rId962" Type="http://schemas.openxmlformats.org/officeDocument/2006/relationships/hyperlink" Target="https://doi.org/10.1002/adma.74573" TargetMode="External"/><Relationship Id="rId963" Type="http://schemas.openxmlformats.org/officeDocument/2006/relationships/hyperlink" Target="https://www.nature.com/articles/d41586-026-02500-w" TargetMode="External"/><Relationship Id="rId964" Type="http://schemas.openxmlformats.org/officeDocument/2006/relationships/hyperlink" Target="https://doi.org/10.1038/d41586-026-02500-w" TargetMode="External"/><Relationship Id="rId965" Type="http://schemas.openxmlformats.org/officeDocument/2006/relationships/hyperlink" Target="https://pubs.acs.org/jacsat/article/doi/10.1021/jacs.6c09867/5251520/Geminal-Difunctionalizations-of-Aliphatic-Ketones" TargetMode="External"/><Relationship Id="rId966" Type="http://schemas.openxmlformats.org/officeDocument/2006/relationships/hyperlink" Target="https://doi.org/10.1021/jacs.6c09867" TargetMode="External"/><Relationship Id="rId967" Type="http://schemas.openxmlformats.org/officeDocument/2006/relationships/hyperlink" Target="https://pubs.acs.org/jacsat/article/doi/10.1021/jacs.6c09333/5251310/Elucidating-the-Mechanism-of-Photoinduced-Sulfur" TargetMode="External"/><Relationship Id="rId968" Type="http://schemas.openxmlformats.org/officeDocument/2006/relationships/hyperlink" Target="https://doi.org/10.1021/jacs.6c09333" TargetMode="External"/><Relationship Id="rId969" Type="http://schemas.openxmlformats.org/officeDocument/2006/relationships/hyperlink" Target="https://pubs.acs.org/jacsat/article/doi/10.1021/jacs.6c08082/5250946/Engineering-Nonpathogenic-Bacteria-for-Synergistic" TargetMode="External"/><Relationship Id="rId970" Type="http://schemas.openxmlformats.org/officeDocument/2006/relationships/hyperlink" Target="https://doi.org/10.1021/jacs.6c08082" TargetMode="External"/><Relationship Id="rId971" Type="http://schemas.openxmlformats.org/officeDocument/2006/relationships/hyperlink" Target="https://pubs.acs.org/jacsat/article/doi/10.1021/jacs.6c00223/5251490/Direct-Comparison-of-CuB-and-CuSiR-Sites-in-a" TargetMode="External"/><Relationship Id="rId972" Type="http://schemas.openxmlformats.org/officeDocument/2006/relationships/hyperlink" Target="https://doi.org/10.1021/jacs.6c00223" TargetMode="External"/><Relationship Id="rId973" Type="http://schemas.openxmlformats.org/officeDocument/2006/relationships/hyperlink" Target="https://pubs.acs.org/jacsat/article/doi/10.1021/jacs.6c12132/5251430/Four-Electron-Reduction-of-O2-at-a-Single-Metal" TargetMode="External"/><Relationship Id="rId974" Type="http://schemas.openxmlformats.org/officeDocument/2006/relationships/hyperlink" Target="https://doi.org/10.1021/jacs.6c12132" TargetMode="External"/><Relationship Id="rId975" Type="http://schemas.openxmlformats.org/officeDocument/2006/relationships/hyperlink" Target="https://pubs.acs.org/jacsat/article/doi/10.1021/jacs.6c10549/5250947/Counterion-Controlled-Nanoscale-Morphogenesis-in" TargetMode="External"/><Relationship Id="rId976" Type="http://schemas.openxmlformats.org/officeDocument/2006/relationships/hyperlink" Target="https://doi.org/10.1021/jacs.6c10549" TargetMode="External"/><Relationship Id="rId977" Type="http://schemas.openxmlformats.org/officeDocument/2006/relationships/hyperlink" Target="https://pubs.acs.org/jacsat/article/doi/10.1021/jacs.6c10565/5251149/Unconventional-Biocatalytic-Strategies-Orchestrate" TargetMode="External"/><Relationship Id="rId978" Type="http://schemas.openxmlformats.org/officeDocument/2006/relationships/hyperlink" Target="https://doi.org/10.1021/jacs.6c10565" TargetMode="External"/><Relationship Id="rId979" Type="http://schemas.openxmlformats.org/officeDocument/2006/relationships/hyperlink" Target="https://pubs.acs.org/jacsat/article/doi/10.1021/jacs.6c12900/5251472/Achieving-Organocatalytic-Control-of-P-III" TargetMode="External"/><Relationship Id="rId980" Type="http://schemas.openxmlformats.org/officeDocument/2006/relationships/hyperlink" Target="https://doi.org/10.1021/jacs.6c12900" TargetMode="External"/><Relationship Id="rId981" Type="http://schemas.openxmlformats.org/officeDocument/2006/relationships/hyperlink" Target="https://www.nature.com/articles/d41586-026-02493-6" TargetMode="External"/><Relationship Id="rId982" Type="http://schemas.openxmlformats.org/officeDocument/2006/relationships/hyperlink" Target="https://doi.org/10.1038/d41586-026-02493-6" TargetMode="External"/><Relationship Id="rId983" Type="http://schemas.openxmlformats.org/officeDocument/2006/relationships/hyperlink" Target="https://pubs.acs.org/chreay/article/doi/10.1021/acs.chemrev.5c00927/5251575/Perovskite-Radiation-Detectors-Emerging" TargetMode="External"/><Relationship Id="rId984" Type="http://schemas.openxmlformats.org/officeDocument/2006/relationships/hyperlink" Target="https://doi.org/10.1021/acs.chemrev.5c00927" TargetMode="External"/><Relationship Id="rId985" Type="http://schemas.openxmlformats.org/officeDocument/2006/relationships/hyperlink" Target="https://www.nature.com/articles/s41565-026-02246-6" TargetMode="External"/><Relationship Id="rId986" Type="http://schemas.openxmlformats.org/officeDocument/2006/relationships/hyperlink" Target="https://doi.org/10.1038/s41565-026-02246-6" TargetMode="External"/><Relationship Id="rId987" Type="http://schemas.openxmlformats.org/officeDocument/2006/relationships/hyperlink" Target="https://www.nature.com/articles/s41565-026-02235-9" TargetMode="External"/><Relationship Id="rId988" Type="http://schemas.openxmlformats.org/officeDocument/2006/relationships/hyperlink" Target="https://doi.org/10.1038/s41565-026-02235-9" TargetMode="External"/><Relationship Id="rId989" Type="http://schemas.openxmlformats.org/officeDocument/2006/relationships/hyperlink" Target="https://www.nature.com/articles/s41558-026-02735-5" TargetMode="External"/><Relationship Id="rId990" Type="http://schemas.openxmlformats.org/officeDocument/2006/relationships/hyperlink" Target="https://doi.org/10.1038/s41558-026-02735-5" TargetMode="External"/><Relationship Id="rId991" Type="http://schemas.openxmlformats.org/officeDocument/2006/relationships/hyperlink" Target="https://www.nature.com/articles/s41558-026-02724-8" TargetMode="External"/><Relationship Id="rId992" Type="http://schemas.openxmlformats.org/officeDocument/2006/relationships/hyperlink" Target="https://doi.org/10.1038/s41558-026-02724-8" TargetMode="External"/><Relationship Id="rId993" Type="http://schemas.openxmlformats.org/officeDocument/2006/relationships/hyperlink" Target="https://www.nature.com/articles/s41586-026-10973-y" TargetMode="External"/><Relationship Id="rId994" Type="http://schemas.openxmlformats.org/officeDocument/2006/relationships/hyperlink" Target="https://doi.org/10.1038/s41586-026-10973-y" TargetMode="External"/><Relationship Id="rId995" Type="http://schemas.openxmlformats.org/officeDocument/2006/relationships/hyperlink" Target="https://www.nature.com/articles/s41586-026-10989-4" TargetMode="External"/><Relationship Id="rId996" Type="http://schemas.openxmlformats.org/officeDocument/2006/relationships/hyperlink" Target="https://doi.org/10.1038/s41586-026-10989-4" TargetMode="External"/><Relationship Id="rId997" Type="http://schemas.openxmlformats.org/officeDocument/2006/relationships/hyperlink" Target="https://pubs.acs.org/jacsat/article/doi/10.1021/jacs.6c12217/5250949/SuFEx-Enabled-Acyl-Fluoride-Chemistry-for-High" TargetMode="External"/><Relationship Id="rId998" Type="http://schemas.openxmlformats.org/officeDocument/2006/relationships/hyperlink" Target="https://doi.org/10.1021/jacs.6c12217" TargetMode="External"/><Relationship Id="rId999" Type="http://schemas.openxmlformats.org/officeDocument/2006/relationships/hyperlink" Target="https://www.nature.com/articles/s41467-026-76609-x" TargetMode="External"/><Relationship Id="rId1000" Type="http://schemas.openxmlformats.org/officeDocument/2006/relationships/hyperlink" Target="https://www.nature.com/articles/s41563-026-02704-5" TargetMode="External"/><Relationship Id="rId1001" Type="http://schemas.openxmlformats.org/officeDocument/2006/relationships/hyperlink" Target="https://doi.org/10.1038/s41563-026-02704-5" TargetMode="External"/><Relationship Id="rId1002" Type="http://schemas.openxmlformats.org/officeDocument/2006/relationships/hyperlink" Target="https://pubs.acs.org/jacsat/article/doi/10.1021/jacs.6c09906/5250990/Engineered-Dynamic-Co2-Sites-Resolve-the-Complete" TargetMode="External"/><Relationship Id="rId1003" Type="http://schemas.openxmlformats.org/officeDocument/2006/relationships/hyperlink" Target="https://doi.org/10.1021/jacs.6c09906" TargetMode="External"/><Relationship Id="rId1004" Type="http://schemas.openxmlformats.org/officeDocument/2006/relationships/hyperlink" Target="https://www.nature.com/articles/s41467-026-76547-8" TargetMode="External"/><Relationship Id="rId1005" Type="http://schemas.openxmlformats.org/officeDocument/2006/relationships/hyperlink" Target="https://www.nature.com/articles/s41467-026-76545-w" TargetMode="External"/><Relationship Id="rId1006" Type="http://schemas.openxmlformats.org/officeDocument/2006/relationships/hyperlink" Target="https://pubs.acs.org/jacsat/article/doi/10.1021/jacs.6c10524/5251493/Storage-and-Retrieval-of-Electronic-Spin-Coherence" TargetMode="External"/><Relationship Id="rId1007" Type="http://schemas.openxmlformats.org/officeDocument/2006/relationships/hyperlink" Target="https://doi.org/10.1021/jacs.6c10524" TargetMode="External"/><Relationship Id="rId1008" Type="http://schemas.openxmlformats.org/officeDocument/2006/relationships/hyperlink" Target="https://pubs.acs.org/jacsat/article/doi/10.1021/jacs.6c09006/5251626/Metal-Support-Interfaces-in-Pt1-Al2O3-Single-Atom" TargetMode="External"/><Relationship Id="rId1009" Type="http://schemas.openxmlformats.org/officeDocument/2006/relationships/hyperlink" Target="https://doi.org/10.1021/jacs.6c09006" TargetMode="External"/><Relationship Id="rId1010" Type="http://schemas.openxmlformats.org/officeDocument/2006/relationships/hyperlink" Target="https://pubs.acs.org/jacsat/article/doi/10.1021/jacs.6c09262/5250948/Geometry-Defined-Membrane-Fusion-in-a-DNA" TargetMode="External"/><Relationship Id="rId1011" Type="http://schemas.openxmlformats.org/officeDocument/2006/relationships/hyperlink" Target="https://doi.org/10.1021/jacs.6c09262" TargetMode="External"/><Relationship Id="rId1012" Type="http://schemas.openxmlformats.org/officeDocument/2006/relationships/hyperlink" Target="https://pubs.acs.org/jacsat/article/doi/10.1021/jacs.6c08696/5251470/Electrochemical-Cross-Coupling-of-Electron" TargetMode="External"/><Relationship Id="rId1013" Type="http://schemas.openxmlformats.org/officeDocument/2006/relationships/hyperlink" Target="https://doi.org/10.1021/jacs.6c08696" TargetMode="External"/><Relationship Id="rId1014" Type="http://schemas.openxmlformats.org/officeDocument/2006/relationships/hyperlink" Target="https://www.nature.com/articles/s41467-026-76493-5" TargetMode="External"/><Relationship Id="rId1015" Type="http://schemas.openxmlformats.org/officeDocument/2006/relationships/hyperlink" Target="https://www.nature.com/articles/s41586-026-10978-7" TargetMode="External"/><Relationship Id="rId1016" Type="http://schemas.openxmlformats.org/officeDocument/2006/relationships/hyperlink" Target="https://doi.org/10.1038/s41586-026-10978-7" TargetMode="External"/><Relationship Id="rId1017" Type="http://schemas.openxmlformats.org/officeDocument/2006/relationships/hyperlink" Target="https://www.nature.com/articles/d41586-026-02447-y" TargetMode="External"/><Relationship Id="rId1018" Type="http://schemas.openxmlformats.org/officeDocument/2006/relationships/hyperlink" Target="https://doi.org/10.1038/d41586-026-02447-y" TargetMode="External"/><Relationship Id="rId1019" Type="http://schemas.openxmlformats.org/officeDocument/2006/relationships/hyperlink" Target="https://pubs.acs.org/aamick/article/doi/10.1021/acsami.6c12272/5250833/Three-Dimensional-Nonconjugated-Microporous" TargetMode="External"/><Relationship Id="rId1020" Type="http://schemas.openxmlformats.org/officeDocument/2006/relationships/hyperlink" Target="https://doi.org/10.1021/acsami.6c12272" TargetMode="External"/><Relationship Id="rId1021" Type="http://schemas.openxmlformats.org/officeDocument/2006/relationships/hyperlink" Target="https://pubs.acs.org/aamick/article/doi/10.1021/acsami.6c11589/5251729/Sequentially-Stacked-Graphene-Carbon-Black" TargetMode="External"/><Relationship Id="rId1022" Type="http://schemas.openxmlformats.org/officeDocument/2006/relationships/hyperlink" Target="https://doi.org/10.1021/acsami.6c11589" TargetMode="External"/><Relationship Id="rId1023" Type="http://schemas.openxmlformats.org/officeDocument/2006/relationships/hyperlink" Target="https://www.nature.com/articles/d41586-026-02435-2" TargetMode="External"/><Relationship Id="rId1024" Type="http://schemas.openxmlformats.org/officeDocument/2006/relationships/hyperlink" Target="https://doi.org/10.1038/d41586-026-02435-2" TargetMode="External"/><Relationship Id="rId1025" Type="http://schemas.openxmlformats.org/officeDocument/2006/relationships/hyperlink" Target="https://pubs.acs.org/aamick/article/doi/10.1021/acsami.6c14869/5250782/NIR-Activated-Enteric-Prodrug-Microparticles-for" TargetMode="External"/><Relationship Id="rId1026" Type="http://schemas.openxmlformats.org/officeDocument/2006/relationships/hyperlink" Target="https://doi.org/10.1021/acsami.6c14869" TargetMode="External"/><Relationship Id="rId1027" Type="http://schemas.openxmlformats.org/officeDocument/2006/relationships/hyperlink" Target="https://pubs.acs.org/chreay/article/doi/10.1021/acs.chemrev.6c00213/5251526/Manganese-Biomineralization-by-a-Multicopper" TargetMode="External"/><Relationship Id="rId1028" Type="http://schemas.openxmlformats.org/officeDocument/2006/relationships/hyperlink" Target="https://doi.org/10.1021/acs.chemrev.6c00213" TargetMode="External"/><Relationship Id="rId1029" Type="http://schemas.openxmlformats.org/officeDocument/2006/relationships/hyperlink" Target="https://pubs.acs.org/aamick/article/doi/10.1021/acsami.6c10403/5250771/Laser-Printing-of-Plasmonic-Color-Images-in" TargetMode="External"/><Relationship Id="rId1030" Type="http://schemas.openxmlformats.org/officeDocument/2006/relationships/hyperlink" Target="https://doi.org/10.1021/acsami.6c10403" TargetMode="External"/><Relationship Id="rId1031" Type="http://schemas.openxmlformats.org/officeDocument/2006/relationships/hyperlink" Target="https://pubs.acs.org/aamick/article/doi/10.1021/acsami.6c11584/5250803/Modular-Electrochemical-Sensing-via-In-Situ" TargetMode="External"/><Relationship Id="rId1032" Type="http://schemas.openxmlformats.org/officeDocument/2006/relationships/hyperlink" Target="https://doi.org/10.1021/acsami.6c11584" TargetMode="External"/><Relationship Id="rId1033" Type="http://schemas.openxmlformats.org/officeDocument/2006/relationships/hyperlink" Target="https://pubs.acs.org/aamick/article/doi/10.1021/acsami.6c10083/5250781/Multifunctional-Magnetothermo-Responsive-Smart" TargetMode="External"/><Relationship Id="rId1034" Type="http://schemas.openxmlformats.org/officeDocument/2006/relationships/hyperlink" Target="https://doi.org/10.1021/acsami.6c10083" TargetMode="External"/><Relationship Id="rId1035" Type="http://schemas.openxmlformats.org/officeDocument/2006/relationships/hyperlink" Target="https://pubs.acs.org/aamick/article/doi/10.1021/acsami.6c07504/5250834/Ionic-Liquid-Mediated-Sulfur-Activation-and-Dermal" TargetMode="External"/><Relationship Id="rId1036" Type="http://schemas.openxmlformats.org/officeDocument/2006/relationships/hyperlink" Target="https://doi.org/10.1021/acsami.6c07504" TargetMode="External"/><Relationship Id="rId1037" Type="http://schemas.openxmlformats.org/officeDocument/2006/relationships/hyperlink" Target="https://pubs.acs.org/aamick/article/doi/10.1021/acsami.6c08623/5250821/Photoactive-Lignin-Derived-Nanolayers-for" TargetMode="External"/><Relationship Id="rId1038" Type="http://schemas.openxmlformats.org/officeDocument/2006/relationships/hyperlink" Target="https://doi.org/10.1021/acsami.6c08623" TargetMode="External"/><Relationship Id="rId1039" Type="http://schemas.openxmlformats.org/officeDocument/2006/relationships/hyperlink" Target="https://pubs.acs.org/aamick/article/doi/10.1021/acsami.6c13936/5251569/Universal-Manufacturing-of-Multifunctional" TargetMode="External"/><Relationship Id="rId1040" Type="http://schemas.openxmlformats.org/officeDocument/2006/relationships/hyperlink" Target="https://doi.org/10.1021/acsami.6c13936" TargetMode="External"/><Relationship Id="rId1041" Type="http://schemas.openxmlformats.org/officeDocument/2006/relationships/hyperlink" Target="https://pubs.acs.org/aamick/article/doi/10.1021/acsami.6c15461/5251463/Correction-to-On-Surface-Synthesis-of" TargetMode="External"/><Relationship Id="rId1042" Type="http://schemas.openxmlformats.org/officeDocument/2006/relationships/hyperlink" Target="https://doi.org/10.1021/acsami.6c15461" TargetMode="External"/><Relationship Id="rId1043" Type="http://schemas.openxmlformats.org/officeDocument/2006/relationships/hyperlink" Target="https://pubs.acs.org/aamick/article/doi/10.1021/acsami.6c08360/5250832/PMMA-Engineered-Halide-Perovskite-Ag-Interface-for" TargetMode="External"/><Relationship Id="rId1044" Type="http://schemas.openxmlformats.org/officeDocument/2006/relationships/hyperlink" Target="https://doi.org/10.1021/acsami.6c08360" TargetMode="External"/><Relationship Id="rId1045" Type="http://schemas.openxmlformats.org/officeDocument/2006/relationships/hyperlink" Target="https://pubs.acs.org/aamick/article/doi/10.1021/acsami.6c10578/5250823/Manipulation-of-Photoresponse-via-Defect-Level" TargetMode="External"/><Relationship Id="rId1046" Type="http://schemas.openxmlformats.org/officeDocument/2006/relationships/hyperlink" Target="https://doi.org/10.1021/acsami.6c10578" TargetMode="External"/><Relationship Id="rId1047" Type="http://schemas.openxmlformats.org/officeDocument/2006/relationships/hyperlink" Target="https://pubs.acs.org/aamick/article/doi/10.1021/acsami.6c10021/5250769/Boosting-NIR-Emissions-and-Thermal-Resistance-in" TargetMode="External"/><Relationship Id="rId1048" Type="http://schemas.openxmlformats.org/officeDocument/2006/relationships/hyperlink" Target="https://doi.org/10.1021/acsami.6c10021" TargetMode="External"/><Relationship Id="rId1049" Type="http://schemas.openxmlformats.org/officeDocument/2006/relationships/hyperlink" Target="https://www.nature.com/articles/d41586-026-01681-8" TargetMode="External"/><Relationship Id="rId1050" Type="http://schemas.openxmlformats.org/officeDocument/2006/relationships/hyperlink" Target="https://doi.org/10.1038/d41586-026-01681-8" TargetMode="External"/><Relationship Id="rId1051" Type="http://schemas.openxmlformats.org/officeDocument/2006/relationships/hyperlink" Target="https://www.nature.com/articles/d41586-026-02450-3" TargetMode="External"/><Relationship Id="rId1052" Type="http://schemas.openxmlformats.org/officeDocument/2006/relationships/hyperlink" Target="https://doi.org/10.1038/d41586-026-02450-3" TargetMode="External"/><Relationship Id="rId1053" Type="http://schemas.openxmlformats.org/officeDocument/2006/relationships/hyperlink" Target="https://www.nature.com/articles/d41586-026-02276-z" TargetMode="External"/><Relationship Id="rId1054" Type="http://schemas.openxmlformats.org/officeDocument/2006/relationships/hyperlink" Target="https://doi.org/10.1038/d41586-026-02276-z" TargetMode="External"/><Relationship Id="rId1055" Type="http://schemas.openxmlformats.org/officeDocument/2006/relationships/hyperlink" Target="https://www.nature.com/articles/d41586-026-02453-0" TargetMode="External"/><Relationship Id="rId1056" Type="http://schemas.openxmlformats.org/officeDocument/2006/relationships/hyperlink" Target="https://doi.org/10.1038/d41586-026-02453-0" TargetMode="External"/><Relationship Id="rId1057" Type="http://schemas.openxmlformats.org/officeDocument/2006/relationships/hyperlink" Target="https://www.nature.com/articles/d41586-026-02199-9" TargetMode="External"/><Relationship Id="rId1058" Type="http://schemas.openxmlformats.org/officeDocument/2006/relationships/hyperlink" Target="https://doi.org/10.1038/d41586-026-02199-9" TargetMode="External"/><Relationship Id="rId1059" Type="http://schemas.openxmlformats.org/officeDocument/2006/relationships/hyperlink" Target="https://academic.oup.com/nsr/advance-article/doi/10.1093/nsr/nwag480/8758332?rss=1" TargetMode="External"/><Relationship Id="rId1060" Type="http://schemas.openxmlformats.org/officeDocument/2006/relationships/hyperlink" Target="https://doi.org/10.1093/nsr/nwag480" TargetMode="External"/><Relationship Id="rId1061" Type="http://schemas.openxmlformats.org/officeDocument/2006/relationships/hyperlink" Target="https://pubs.acs.org/jacsat/article/doi/10.1021/jacs.6c13607/5251004/Selenoxanthylium-Salts-Organic-Photocatalysts-for" TargetMode="External"/><Relationship Id="rId1062" Type="http://schemas.openxmlformats.org/officeDocument/2006/relationships/hyperlink" Target="https://doi.org/10.1021/jacs.6c13607" TargetMode="External"/><Relationship Id="rId1063" Type="http://schemas.openxmlformats.org/officeDocument/2006/relationships/hyperlink" Target="https://pubs.acs.org/aamick/article/doi/10.1021/acsami.6c08112/5250630/Crystallographic-Orientation-Controls-Contact-and" TargetMode="External"/><Relationship Id="rId1064" Type="http://schemas.openxmlformats.org/officeDocument/2006/relationships/hyperlink" Target="https://doi.org/10.1021/acsami.6c08112" TargetMode="External"/><Relationship Id="rId1065" Type="http://schemas.openxmlformats.org/officeDocument/2006/relationships/hyperlink" Target="https://pubs.acs.org/jacsat/article/doi/10.1021/jacs.6c04585/5250942/Self-Assembled-Monolayers-of-Phosphorus-Nitrogen" TargetMode="External"/><Relationship Id="rId1066" Type="http://schemas.openxmlformats.org/officeDocument/2006/relationships/hyperlink" Target="https://doi.org/10.1021/jacs.6c04585" TargetMode="External"/><Relationship Id="rId1067" Type="http://schemas.openxmlformats.org/officeDocument/2006/relationships/hyperlink" Target="https://www.sciencedirect.com/science/article/pii/S0306261926012699?dgcid=rss_sd_all" TargetMode="External"/><Relationship Id="rId1068" Type="http://schemas.openxmlformats.org/officeDocument/2006/relationships/hyperlink" Target="https://doi.org/10.1016/j.apenergy.2026.128613" TargetMode="External"/><Relationship Id="rId1069" Type="http://schemas.openxmlformats.org/officeDocument/2006/relationships/hyperlink" Target="https://pubs.acs.org/aamick/article/doi/10.1021/acsami.6c04417/5250767/Rate-Programmable-Interfacial-Resistive-Switching" TargetMode="External"/><Relationship Id="rId1070" Type="http://schemas.openxmlformats.org/officeDocument/2006/relationships/hyperlink" Target="https://doi.org/10.1021/acsami.6c04417" TargetMode="External"/><Relationship Id="rId1071" Type="http://schemas.openxmlformats.org/officeDocument/2006/relationships/hyperlink" Target="https://pubs.acs.org/aamick/article/doi/10.1021/acsami.6c11371/5251629/Room-Temperature-Radical-Complexation-Wet-Etch" TargetMode="External"/><Relationship Id="rId1072" Type="http://schemas.openxmlformats.org/officeDocument/2006/relationships/hyperlink" Target="https://doi.org/10.1021/acsami.6c11371" TargetMode="External"/><Relationship Id="rId1073" Type="http://schemas.openxmlformats.org/officeDocument/2006/relationships/hyperlink" Target="https://pubs.acs.org/aamick/article/doi/10.1021/acsami.6c10022/5250805/Sustainable-Reversible-Patterning-via-Humidity" TargetMode="External"/><Relationship Id="rId1074" Type="http://schemas.openxmlformats.org/officeDocument/2006/relationships/hyperlink" Target="https://doi.org/10.1021/acsami.6c10022" TargetMode="External"/><Relationship Id="rId1075" Type="http://schemas.openxmlformats.org/officeDocument/2006/relationships/hyperlink" Target="https://pubs.acs.org/aamick/article/doi/10.1021/acsami.6c09270/5251568/Fabrication-of-Liquid-Metal-Composite-Ionic-Liquid" TargetMode="External"/><Relationship Id="rId1076" Type="http://schemas.openxmlformats.org/officeDocument/2006/relationships/hyperlink" Target="https://doi.org/10.1021/acsami.6c09270" TargetMode="External"/><Relationship Id="rId1077" Type="http://schemas.openxmlformats.org/officeDocument/2006/relationships/hyperlink" Target="https://pubs.acs.org/aamick/article/doi/10.1021/acsami.6c07423/5250820/Long-Lifespan-Turbostratic-Graphene-Field-Emitters" TargetMode="External"/><Relationship Id="rId1078" Type="http://schemas.openxmlformats.org/officeDocument/2006/relationships/hyperlink" Target="https://doi.org/10.1021/acsami.6c07423" TargetMode="External"/><Relationship Id="rId1079" Type="http://schemas.openxmlformats.org/officeDocument/2006/relationships/hyperlink" Target="https://pubs.acs.org/aamick/article/doi/10.1021/acsami.6c12186/5250625/Charge-Transfer-Engineering-in-0D-3D-Rare-Earth" TargetMode="External"/><Relationship Id="rId1080" Type="http://schemas.openxmlformats.org/officeDocument/2006/relationships/hyperlink" Target="https://doi.org/10.1021/acsami.6c12186" TargetMode="External"/><Relationship Id="rId1081" Type="http://schemas.openxmlformats.org/officeDocument/2006/relationships/hyperlink" Target="https://pubs.acs.org/jacsat/article/doi/10.1021/jacs.6c10475/5251043/Targeting-Adaptive-and-Innate-Immune-Responses" TargetMode="External"/><Relationship Id="rId1082" Type="http://schemas.openxmlformats.org/officeDocument/2006/relationships/hyperlink" Target="https://doi.org/10.1021/jacs.6c10475" TargetMode="External"/><Relationship Id="rId1083" Type="http://schemas.openxmlformats.org/officeDocument/2006/relationships/hyperlink" Target="https://pubs.acs.org/aamick/article/doi/10.1021/acsami.6c13720/5250785/Ultra-Broad-Range-Pressure-Tunable-CaZrO3-Ce3" TargetMode="External"/><Relationship Id="rId1084" Type="http://schemas.openxmlformats.org/officeDocument/2006/relationships/hyperlink" Target="https://doi.org/10.1021/acsami.6c13720" TargetMode="External"/><Relationship Id="rId1085" Type="http://schemas.openxmlformats.org/officeDocument/2006/relationships/hyperlink" Target="https://www.pnas.org/doi/abs/10.1073/pnas.2601643123?mi=eymic2&amp;af=R&amp;access=on&amp;content=articlesChapters&amp;publication=pnas&amp;sortBy=Earliest&amp;target=default" TargetMode="External"/><Relationship Id="rId1086" Type="http://schemas.openxmlformats.org/officeDocument/2006/relationships/hyperlink" Target="https://doi.org/10.1073/pnas.2601643123" TargetMode="External"/><Relationship Id="rId1087" Type="http://schemas.openxmlformats.org/officeDocument/2006/relationships/hyperlink" Target="https://www.pnas.org/doi/abs/10.1073/pnas.2610420123?mi=eymic2&amp;af=R&amp;access=on&amp;content=articlesChapters&amp;publication=pnas&amp;sortBy=Earliest&amp;target=default" TargetMode="External"/><Relationship Id="rId1088" Type="http://schemas.openxmlformats.org/officeDocument/2006/relationships/hyperlink" Target="https://doi.org/10.1073/pnas.2610420123" TargetMode="External"/><Relationship Id="rId1089" Type="http://schemas.openxmlformats.org/officeDocument/2006/relationships/hyperlink" Target="https://www.pnas.org/doi/abs/10.1073/pnas.2609063123?mi=eymic2&amp;af=R&amp;access=on&amp;content=articlesChapters&amp;publication=pnas&amp;sortBy=Earliest&amp;target=default" TargetMode="External"/><Relationship Id="rId1090" Type="http://schemas.openxmlformats.org/officeDocument/2006/relationships/hyperlink" Target="https://doi.org/10.1073/pnas.2609063123" TargetMode="External"/><Relationship Id="rId1091" Type="http://schemas.openxmlformats.org/officeDocument/2006/relationships/hyperlink" Target="https://www.pnas.org/doi/abs/10.1073/pnas.2527340123?mi=eymic2&amp;af=R&amp;access=on&amp;content=articlesChapters&amp;publication=pnas&amp;sortBy=Earliest&amp;target=default" TargetMode="External"/><Relationship Id="rId1092" Type="http://schemas.openxmlformats.org/officeDocument/2006/relationships/hyperlink" Target="https://doi.org/10.1073/pnas.2527340123" TargetMode="External"/><Relationship Id="rId1093" Type="http://schemas.openxmlformats.org/officeDocument/2006/relationships/hyperlink" Target="https://www.pnas.org/doi/abs/10.1073/pnas.2606494123?mi=eymic2&amp;af=R&amp;access=on&amp;content=articlesChapters&amp;publication=pnas&amp;sortBy=Earliest&amp;target=default" TargetMode="External"/><Relationship Id="rId1094" Type="http://schemas.openxmlformats.org/officeDocument/2006/relationships/hyperlink" Target="https://doi.org/10.1073/pnas.2606494123" TargetMode="External"/><Relationship Id="rId1095" Type="http://schemas.openxmlformats.org/officeDocument/2006/relationships/hyperlink" Target="https://www.pnas.org/doi/abs/10.1073/pnas.2612370123?mi=eymic2&amp;af=R&amp;access=on&amp;content=articlesChapters&amp;publication=pnas&amp;sortBy=Earliest&amp;target=default" TargetMode="External"/><Relationship Id="rId1096" Type="http://schemas.openxmlformats.org/officeDocument/2006/relationships/hyperlink" Target="https://doi.org/10.1073/pnas.2612370123" TargetMode="External"/><Relationship Id="rId1097" Type="http://schemas.openxmlformats.org/officeDocument/2006/relationships/hyperlink" Target="https://www.pnas.org/doi/abs/10.1073/pnas.2626771123?mi=eymic2&amp;af=R&amp;access=on&amp;content=articlesChapters&amp;publication=pnas&amp;sortBy=Earliest&amp;target=default" TargetMode="External"/><Relationship Id="rId1098" Type="http://schemas.openxmlformats.org/officeDocument/2006/relationships/hyperlink" Target="https://doi.org/10.1073/pnas.2626771123" TargetMode="External"/><Relationship Id="rId1099" Type="http://schemas.openxmlformats.org/officeDocument/2006/relationships/hyperlink" Target="https://www.pnas.org/doi/abs/10.1073/pnas.2626525123?mi=eymic2&amp;af=R&amp;access=on&amp;content=articlesChapters&amp;publication=pnas&amp;sortBy=Earliest&amp;target=default" TargetMode="External"/><Relationship Id="rId1100" Type="http://schemas.openxmlformats.org/officeDocument/2006/relationships/hyperlink" Target="https://doi.org/10.1073/pnas.2626525123" TargetMode="External"/><Relationship Id="rId1101" Type="http://schemas.openxmlformats.org/officeDocument/2006/relationships/hyperlink" Target="https://www.pnas.org/doi/abs/10.1073/pnas.2610764123?mi=eymic2&amp;af=R&amp;access=on&amp;content=articlesChapters&amp;publication=pnas&amp;sortBy=Earliest&amp;target=default" TargetMode="External"/><Relationship Id="rId1102" Type="http://schemas.openxmlformats.org/officeDocument/2006/relationships/hyperlink" Target="https://doi.org/10.1073/pnas.2610764123" TargetMode="External"/><Relationship Id="rId1103" Type="http://schemas.openxmlformats.org/officeDocument/2006/relationships/hyperlink" Target="https://www.pnas.org/doi/abs/10.1073/pnas.2621712123?mi=eymic2&amp;af=R&amp;access=on&amp;content=articlesChapters&amp;publication=pnas&amp;sortBy=Earliest&amp;target=default" TargetMode="External"/><Relationship Id="rId1104" Type="http://schemas.openxmlformats.org/officeDocument/2006/relationships/hyperlink" Target="https://doi.org/10.1073/pnas.2621712123" TargetMode="External"/><Relationship Id="rId1105" Type="http://schemas.openxmlformats.org/officeDocument/2006/relationships/hyperlink" Target="https://www.pnas.org/doi/abs/10.1073/pnas.2614802123?mi=eymic2&amp;af=R&amp;access=on&amp;content=articlesChapters&amp;publication=pnas&amp;sortBy=Earliest&amp;target=default" TargetMode="External"/><Relationship Id="rId1106" Type="http://schemas.openxmlformats.org/officeDocument/2006/relationships/hyperlink" Target="https://doi.org/10.1073/pnas.2614802123" TargetMode="External"/><Relationship Id="rId1107" Type="http://schemas.openxmlformats.org/officeDocument/2006/relationships/hyperlink" Target="https://www.pnas.org/doi/abs/10.1073/pnas.2620765123?mi=eymic2&amp;af=R&amp;access=on&amp;content=articlesChapters&amp;publication=pnas&amp;sortBy=Earliest&amp;target=default" TargetMode="External"/><Relationship Id="rId1108" Type="http://schemas.openxmlformats.org/officeDocument/2006/relationships/hyperlink" Target="https://doi.org/10.1073/pnas.2620765123" TargetMode="External"/><Relationship Id="rId1109" Type="http://schemas.openxmlformats.org/officeDocument/2006/relationships/hyperlink" Target="https://www.pnas.org/doi/abs/10.1073/pnas.2522322123?mi=eymic2&amp;af=R&amp;access=on&amp;content=articlesChapters&amp;publication=pnas&amp;sortBy=Earliest&amp;target=default" TargetMode="External"/><Relationship Id="rId1110" Type="http://schemas.openxmlformats.org/officeDocument/2006/relationships/hyperlink" Target="https://doi.org/10.1073/pnas.2522322123" TargetMode="External"/><Relationship Id="rId1111" Type="http://schemas.openxmlformats.org/officeDocument/2006/relationships/hyperlink" Target="https://www.pnas.org/doi/abs/10.1073/pnas.2619797123?mi=eymic2&amp;af=R&amp;access=on&amp;content=articlesChapters&amp;publication=pnas&amp;sortBy=Earliest&amp;target=default" TargetMode="External"/><Relationship Id="rId1112" Type="http://schemas.openxmlformats.org/officeDocument/2006/relationships/hyperlink" Target="https://doi.org/10.1073/pnas.2619797123" TargetMode="External"/><Relationship Id="rId1113" Type="http://schemas.openxmlformats.org/officeDocument/2006/relationships/hyperlink" Target="https://www.pnas.org/doi/abs/10.1073/pnas.2619787123?mi=eymic2&amp;af=R&amp;access=on&amp;content=articlesChapters&amp;publication=pnas&amp;sortBy=Earliest&amp;target=default" TargetMode="External"/><Relationship Id="rId1114" Type="http://schemas.openxmlformats.org/officeDocument/2006/relationships/hyperlink" Target="https://doi.org/10.1073/pnas.2619787123" TargetMode="External"/><Relationship Id="rId1115" Type="http://schemas.openxmlformats.org/officeDocument/2006/relationships/hyperlink" Target="https://www.pnas.org/doi/abs/10.1073/pnas.2619198123?mi=eymic2&amp;af=R&amp;access=on&amp;content=articlesChapters&amp;publication=pnas&amp;sortBy=Earliest&amp;target=default" TargetMode="External"/><Relationship Id="rId1116" Type="http://schemas.openxmlformats.org/officeDocument/2006/relationships/hyperlink" Target="https://doi.org/10.1073/pnas.2619198123" TargetMode="External"/><Relationship Id="rId1117" Type="http://schemas.openxmlformats.org/officeDocument/2006/relationships/hyperlink" Target="https://www.pnas.org/doi/abs/10.1073/pnas.2617191123?mi=eymic2&amp;af=R&amp;access=on&amp;content=articlesChapters&amp;publication=pnas&amp;sortBy=Earliest&amp;target=default" TargetMode="External"/><Relationship Id="rId1118" Type="http://schemas.openxmlformats.org/officeDocument/2006/relationships/hyperlink" Target="https://doi.org/10.1073/pnas.2617191123" TargetMode="External"/><Relationship Id="rId1119" Type="http://schemas.openxmlformats.org/officeDocument/2006/relationships/hyperlink" Target="https://www.pnas.org/doi/abs/10.1073/pnas.2615451123?mi=eymic2&amp;af=R&amp;access=on&amp;content=articlesChapters&amp;publication=pnas&amp;sortBy=Earliest&amp;target=default" TargetMode="External"/><Relationship Id="rId1120" Type="http://schemas.openxmlformats.org/officeDocument/2006/relationships/hyperlink" Target="https://doi.org/10.1073/pnas.2615451123" TargetMode="External"/><Relationship Id="rId1121" Type="http://schemas.openxmlformats.org/officeDocument/2006/relationships/hyperlink" Target="https://www.pnas.org/doi/abs/10.1073/pnas.2604542123?mi=eymic2&amp;af=R&amp;access=on&amp;content=articlesChapters&amp;publication=pnas&amp;sortBy=Earliest&amp;target=default" TargetMode="External"/><Relationship Id="rId1122" Type="http://schemas.openxmlformats.org/officeDocument/2006/relationships/hyperlink" Target="https://doi.org/10.1073/pnas.2604542123" TargetMode="External"/><Relationship Id="rId1123" Type="http://schemas.openxmlformats.org/officeDocument/2006/relationships/hyperlink" Target="https://www.pnas.org/doi/abs/10.1073/pnas.2525056123?mi=eymic2&amp;af=R&amp;access=on&amp;content=articlesChapters&amp;publication=pnas&amp;sortBy=Earliest&amp;target=default" TargetMode="External"/><Relationship Id="rId1124" Type="http://schemas.openxmlformats.org/officeDocument/2006/relationships/hyperlink" Target="https://doi.org/10.1073/pnas.2525056123" TargetMode="External"/><Relationship Id="rId1125" Type="http://schemas.openxmlformats.org/officeDocument/2006/relationships/hyperlink" Target="https://www.pnas.org/doi/abs/10.1073/pnas.2512375122?mi=eymic2&amp;af=R&amp;access=on&amp;content=articlesChapters&amp;publication=pnas&amp;sortBy=Earliest&amp;target=default" TargetMode="External"/><Relationship Id="rId1126" Type="http://schemas.openxmlformats.org/officeDocument/2006/relationships/hyperlink" Target="https://doi.org/10.1073/pnas.2512375122" TargetMode="External"/><Relationship Id="rId1127" Type="http://schemas.openxmlformats.org/officeDocument/2006/relationships/hyperlink" Target="https://www.pnas.org/doi/abs/10.1073/pnas.2620766123?mi=eymic2&amp;af=R&amp;access=on&amp;content=articlesChapters&amp;publication=pnas&amp;sortBy=Earliest&amp;target=default" TargetMode="External"/><Relationship Id="rId1128" Type="http://schemas.openxmlformats.org/officeDocument/2006/relationships/hyperlink" Target="https://doi.org/10.1073/pnas.2620766123" TargetMode="External"/><Relationship Id="rId1129" Type="http://schemas.openxmlformats.org/officeDocument/2006/relationships/hyperlink" Target="https://www.pnas.org/doi/abs/10.1073/pnas.2529373123?mi=eymic2&amp;af=R&amp;access=on&amp;content=articlesChapters&amp;publication=pnas&amp;sortBy=Earliest&amp;target=default" TargetMode="External"/><Relationship Id="rId1130" Type="http://schemas.openxmlformats.org/officeDocument/2006/relationships/hyperlink" Target="https://doi.org/10.1073/pnas.2529373123" TargetMode="External"/><Relationship Id="rId1131" Type="http://schemas.openxmlformats.org/officeDocument/2006/relationships/hyperlink" Target="https://www.pnas.org/doi/abs/10.1073/pnas.2620761123?mi=eymic2&amp;af=R&amp;access=on&amp;content=articlesChapters&amp;publication=pnas&amp;sortBy=Earliest&amp;target=default" TargetMode="External"/><Relationship Id="rId1132" Type="http://schemas.openxmlformats.org/officeDocument/2006/relationships/hyperlink" Target="https://doi.org/10.1073/pnas.2620761123" TargetMode="External"/><Relationship Id="rId1133" Type="http://schemas.openxmlformats.org/officeDocument/2006/relationships/hyperlink" Target="https://www.pnas.org/doi/abs/10.1073/pnas.2535328123?mi=eymic2&amp;af=R&amp;access=on&amp;content=articlesChapters&amp;publication=pnas&amp;sortBy=Earliest&amp;target=default" TargetMode="External"/><Relationship Id="rId1134" Type="http://schemas.openxmlformats.org/officeDocument/2006/relationships/hyperlink" Target="https://doi.org/10.1073/pnas.2535328123" TargetMode="External"/><Relationship Id="rId1135" Type="http://schemas.openxmlformats.org/officeDocument/2006/relationships/hyperlink" Target="https://www.pnas.org/doi/abs/10.1073/pnas.2532767123?mi=eymic2&amp;af=R&amp;access=on&amp;content=articlesChapters&amp;publication=pnas&amp;sortBy=Earliest&amp;target=default" TargetMode="External"/><Relationship Id="rId1136" Type="http://schemas.openxmlformats.org/officeDocument/2006/relationships/hyperlink" Target="https://doi.org/10.1073/pnas.2532767123" TargetMode="External"/><Relationship Id="rId1137" Type="http://schemas.openxmlformats.org/officeDocument/2006/relationships/hyperlink" Target="https://www.pnas.org/doi/abs/10.1073/pnas.2512081123?mi=eymic2&amp;af=R&amp;access=on&amp;content=articlesChapters&amp;publication=pnas&amp;sortBy=Earliest&amp;target=default" TargetMode="External"/><Relationship Id="rId1138" Type="http://schemas.openxmlformats.org/officeDocument/2006/relationships/hyperlink" Target="https://doi.org/10.1073/pnas.2512081123" TargetMode="External"/><Relationship Id="rId1139" Type="http://schemas.openxmlformats.org/officeDocument/2006/relationships/hyperlink" Target="https://www.pnas.org/doi/abs/10.1073/pnas.2512080123?mi=eymic2&amp;af=R&amp;access=on&amp;content=articlesChapters&amp;publication=pnas&amp;sortBy=Earliest&amp;target=default" TargetMode="External"/><Relationship Id="rId1140" Type="http://schemas.openxmlformats.org/officeDocument/2006/relationships/hyperlink" Target="https://doi.org/10.1073/pnas.2512080123" TargetMode="External"/><Relationship Id="rId1141" Type="http://schemas.openxmlformats.org/officeDocument/2006/relationships/hyperlink" Target="https://www.pnas.org/doi/abs/10.1073/pnas.2513028123?mi=eymic2&amp;af=R&amp;access=on&amp;content=articlesChapters&amp;publication=pnas&amp;sortBy=Earliest&amp;target=default" TargetMode="External"/><Relationship Id="rId1142" Type="http://schemas.openxmlformats.org/officeDocument/2006/relationships/hyperlink" Target="https://doi.org/10.1073/pnas.2513028123" TargetMode="External"/><Relationship Id="rId1143" Type="http://schemas.openxmlformats.org/officeDocument/2006/relationships/hyperlink" Target="https://www.pnas.org/doi/abs/10.1073/pnas.2511019122?mi=eymic2&amp;af=R&amp;access=on&amp;content=articlesChapters&amp;publication=pnas&amp;sortBy=Earliest&amp;target=default" TargetMode="External"/><Relationship Id="rId1144" Type="http://schemas.openxmlformats.org/officeDocument/2006/relationships/hyperlink" Target="https://doi.org/10.1073/pnas.2511019122" TargetMode="External"/><Relationship Id="rId1145" Type="http://schemas.openxmlformats.org/officeDocument/2006/relationships/hyperlink" Target="https://www.pnas.org/doi/abs/10.1073/pnas.2509754122?mi=eymic2&amp;af=R&amp;access=on&amp;content=articlesChapters&amp;publication=pnas&amp;sortBy=Earliest&amp;target=default" TargetMode="External"/><Relationship Id="rId1146" Type="http://schemas.openxmlformats.org/officeDocument/2006/relationships/hyperlink" Target="https://doi.org/10.1073/pnas.2509754122" TargetMode="External"/><Relationship Id="rId1147" Type="http://schemas.openxmlformats.org/officeDocument/2006/relationships/hyperlink" Target="https://www.pnas.org/doi/abs/10.1073/pnas.2508037123?mi=eymic2&amp;af=R&amp;access=on&amp;content=articlesChapters&amp;publication=pnas&amp;sortBy=Earliest&amp;target=default" TargetMode="External"/><Relationship Id="rId1148" Type="http://schemas.openxmlformats.org/officeDocument/2006/relationships/hyperlink" Target="https://doi.org/10.1073/pnas.2508037123" TargetMode="External"/><Relationship Id="rId1149" Type="http://schemas.openxmlformats.org/officeDocument/2006/relationships/hyperlink" Target="https://www.pnas.org/doi/abs/10.1073/pnas.2512078123?mi=eymic2&amp;af=R&amp;access=on&amp;content=articlesChapters&amp;publication=pnas&amp;sortBy=Earliest&amp;target=default" TargetMode="External"/><Relationship Id="rId1150" Type="http://schemas.openxmlformats.org/officeDocument/2006/relationships/hyperlink" Target="https://doi.org/10.1073/pnas.2512078123" TargetMode="External"/><Relationship Id="rId1151" Type="http://schemas.openxmlformats.org/officeDocument/2006/relationships/hyperlink" Target="https://www.pnas.org/doi/abs/10.1073/pnas.2511780123?mi=eymic2&amp;af=R&amp;access=on&amp;content=articlesChapters&amp;publication=pnas&amp;sortBy=Earliest&amp;target=default" TargetMode="External"/><Relationship Id="rId1152" Type="http://schemas.openxmlformats.org/officeDocument/2006/relationships/hyperlink" Target="https://doi.org/10.1073/pnas.2511780123" TargetMode="External"/><Relationship Id="rId1153" Type="http://schemas.openxmlformats.org/officeDocument/2006/relationships/hyperlink" Target="https://www.pnas.org/doi/abs/10.1073/pnas.2515300123?mi=eymic2&amp;af=R&amp;access=on&amp;content=articlesChapters&amp;publication=pnas&amp;sortBy=Earliest&amp;target=default" TargetMode="External"/><Relationship Id="rId1154" Type="http://schemas.openxmlformats.org/officeDocument/2006/relationships/hyperlink" Target="https://doi.org/10.1073/pnas.2515300123" TargetMode="External"/><Relationship Id="rId1155" Type="http://schemas.openxmlformats.org/officeDocument/2006/relationships/hyperlink" Target="https://www.pnas.org/doi/abs/10.1073/pnas.2602012123?mi=eymic2&amp;af=R&amp;access=on&amp;content=articlesChapters&amp;publication=pnas&amp;sortBy=Earliest&amp;target=default" TargetMode="External"/><Relationship Id="rId1156" Type="http://schemas.openxmlformats.org/officeDocument/2006/relationships/hyperlink" Target="https://doi.org/10.1073/pnas.2602012123" TargetMode="External"/><Relationship Id="rId1157" Type="http://schemas.openxmlformats.org/officeDocument/2006/relationships/hyperlink" Target="https://www.pnas.org/doi/abs/10.1073/pnas.2604191123?mi=eymic2&amp;af=R&amp;access=on&amp;content=articlesChapters&amp;publication=pnas&amp;sortBy=Earliest&amp;target=default" TargetMode="External"/><Relationship Id="rId1158" Type="http://schemas.openxmlformats.org/officeDocument/2006/relationships/hyperlink" Target="https://doi.org/10.1073/pnas.2604191123" TargetMode="External"/><Relationship Id="rId1159" Type="http://schemas.openxmlformats.org/officeDocument/2006/relationships/hyperlink" Target="https://www.pnas.org/doi/abs/10.1073/pnas.2600696123?mi=eymic2&amp;af=R&amp;access=on&amp;content=articlesChapters&amp;publication=pnas&amp;sortBy=Earliest&amp;target=default" TargetMode="External"/><Relationship Id="rId1160" Type="http://schemas.openxmlformats.org/officeDocument/2006/relationships/hyperlink" Target="https://doi.org/10.1073/pnas.2600696123" TargetMode="External"/><Relationship Id="rId1161" Type="http://schemas.openxmlformats.org/officeDocument/2006/relationships/hyperlink" Target="https://www.pnas.org/doi/abs/10.1073/pnas.2600125123?mi=eymic2&amp;af=R&amp;access=on&amp;content=articlesChapters&amp;publication=pnas&amp;sortBy=Earliest&amp;target=default" TargetMode="External"/><Relationship Id="rId1162" Type="http://schemas.openxmlformats.org/officeDocument/2006/relationships/hyperlink" Target="https://doi.org/10.1073/pnas.2600125123" TargetMode="External"/><Relationship Id="rId1163" Type="http://schemas.openxmlformats.org/officeDocument/2006/relationships/hyperlink" Target="https://www.pnas.org/doi/abs/10.1073/pnas.2537942123?mi=eymic2&amp;af=R&amp;access=on&amp;content=articlesChapters&amp;publication=pnas&amp;sortBy=Earliest&amp;target=default" TargetMode="External"/><Relationship Id="rId1164" Type="http://schemas.openxmlformats.org/officeDocument/2006/relationships/hyperlink" Target="https://doi.org/10.1073/pnas.2537942123" TargetMode="External"/><Relationship Id="rId1165" Type="http://schemas.openxmlformats.org/officeDocument/2006/relationships/hyperlink" Target="https://www.pnas.org/doi/abs/10.1073/pnas.2536017123?mi=eymic2&amp;af=R&amp;access=on&amp;content=articlesChapters&amp;publication=pnas&amp;sortBy=Earliest&amp;target=default" TargetMode="External"/><Relationship Id="rId1166" Type="http://schemas.openxmlformats.org/officeDocument/2006/relationships/hyperlink" Target="https://doi.org/10.1073/pnas.2536017123" TargetMode="External"/><Relationship Id="rId1167" Type="http://schemas.openxmlformats.org/officeDocument/2006/relationships/hyperlink" Target="https://www.pnas.org/doi/abs/10.1073/pnas.2512084122?mi=eymic2&amp;af=R&amp;access=on&amp;content=articlesChapters&amp;publication=pnas&amp;sortBy=Earliest&amp;target=default" TargetMode="External"/><Relationship Id="rId1168" Type="http://schemas.openxmlformats.org/officeDocument/2006/relationships/hyperlink" Target="https://doi.org/10.1073/pnas.2512084122" TargetMode="External"/><Relationship Id="rId1169" Type="http://schemas.openxmlformats.org/officeDocument/2006/relationships/hyperlink" Target="https://advanced.onlinelibrary.wiley.com/doi/10.1002/adma.74527?af=R" TargetMode="External"/><Relationship Id="rId1170" Type="http://schemas.openxmlformats.org/officeDocument/2006/relationships/hyperlink" Target="https://doi.org/10.1002/adma.74527" TargetMode="External"/><Relationship Id="rId1171" Type="http://schemas.openxmlformats.org/officeDocument/2006/relationships/hyperlink" Target="https://advanced.onlinelibrary.wiley.com/doi/10.1002/adma.74576?af=R" TargetMode="External"/><Relationship Id="rId1172" Type="http://schemas.openxmlformats.org/officeDocument/2006/relationships/hyperlink" Target="https://doi.org/10.1002/adma.74576" TargetMode="External"/><Relationship Id="rId1173" Type="http://schemas.openxmlformats.org/officeDocument/2006/relationships/hyperlink" Target="http://link.aps.org/doi/10.1103/lqlg-b7cx" TargetMode="External"/><Relationship Id="rId1174" Type="http://schemas.openxmlformats.org/officeDocument/2006/relationships/hyperlink" Target="https://doi.org/10.1103/lqlg-b7cx" TargetMode="External"/><Relationship Id="rId1175" Type="http://schemas.openxmlformats.org/officeDocument/2006/relationships/hyperlink" Target="http://link.aps.org/doi/10.1103/vh46-3rsh" TargetMode="External"/><Relationship Id="rId1176" Type="http://schemas.openxmlformats.org/officeDocument/2006/relationships/hyperlink" Target="https://doi.org/10.1103/vh46-3rsh" TargetMode="External"/><Relationship Id="rId1177" Type="http://schemas.openxmlformats.org/officeDocument/2006/relationships/hyperlink" Target="http://link.aps.org/doi/10.1103/7g19-974w" TargetMode="External"/><Relationship Id="rId1178" Type="http://schemas.openxmlformats.org/officeDocument/2006/relationships/hyperlink" Target="https://doi.org/10.1103/7g19-974w" TargetMode="External"/><Relationship Id="rId1179" Type="http://schemas.openxmlformats.org/officeDocument/2006/relationships/hyperlink" Target="http://link.aps.org/doi/10.1103/9vfy-1c91" TargetMode="External"/><Relationship Id="rId1180" Type="http://schemas.openxmlformats.org/officeDocument/2006/relationships/hyperlink" Target="https://doi.org/10.1103/9vfy-1c91" TargetMode="External"/><Relationship Id="rId1181" Type="http://schemas.openxmlformats.org/officeDocument/2006/relationships/hyperlink" Target="http://link.aps.org/doi/10.1103/ypj3-p6kw" TargetMode="External"/><Relationship Id="rId1182" Type="http://schemas.openxmlformats.org/officeDocument/2006/relationships/hyperlink" Target="https://doi.org/10.1103/ypj3-p6kw" TargetMode="External"/><Relationship Id="rId1183" Type="http://schemas.openxmlformats.org/officeDocument/2006/relationships/hyperlink" Target="http://link.aps.org/doi/10.1103/nmmz-bwcs" TargetMode="External"/><Relationship Id="rId1184" Type="http://schemas.openxmlformats.org/officeDocument/2006/relationships/hyperlink" Target="https://doi.org/10.1103/nmmz-bwcs" TargetMode="External"/><Relationship Id="rId1185" Type="http://schemas.openxmlformats.org/officeDocument/2006/relationships/hyperlink" Target="http://link.aps.org/doi/10.1103/y1rg-p9hx" TargetMode="External"/><Relationship Id="rId1186" Type="http://schemas.openxmlformats.org/officeDocument/2006/relationships/hyperlink" Target="https://doi.org/10.1103/y1rg-p9hx" TargetMode="External"/><Relationship Id="rId1187" Type="http://schemas.openxmlformats.org/officeDocument/2006/relationships/hyperlink" Target="http://link.aps.org/doi/10.1103/7cw1-f5dj" TargetMode="External"/><Relationship Id="rId1188" Type="http://schemas.openxmlformats.org/officeDocument/2006/relationships/hyperlink" Target="https://doi.org/10.1103/7cw1-f5dj" TargetMode="External"/><Relationship Id="rId1189" Type="http://schemas.openxmlformats.org/officeDocument/2006/relationships/hyperlink" Target="http://link.aps.org/doi/10.1103/v3qv-hdqg" TargetMode="External"/><Relationship Id="rId1190" Type="http://schemas.openxmlformats.org/officeDocument/2006/relationships/hyperlink" Target="https://doi.org/10.1103/v3qv-hdqg" TargetMode="External"/><Relationship Id="rId1191" Type="http://schemas.openxmlformats.org/officeDocument/2006/relationships/hyperlink" Target="http://link.aps.org/doi/10.1103/vnmp-n6vf" TargetMode="External"/><Relationship Id="rId1192" Type="http://schemas.openxmlformats.org/officeDocument/2006/relationships/hyperlink" Target="https://doi.org/10.1103/vnmp-n6vf" TargetMode="External"/><Relationship Id="rId1193" Type="http://schemas.openxmlformats.org/officeDocument/2006/relationships/hyperlink" Target="http://link.aps.org/doi/10.1103/bmw2-h889" TargetMode="External"/><Relationship Id="rId1194" Type="http://schemas.openxmlformats.org/officeDocument/2006/relationships/hyperlink" Target="https://doi.org/10.1103/bmw2-h889" TargetMode="External"/><Relationship Id="rId1195" Type="http://schemas.openxmlformats.org/officeDocument/2006/relationships/hyperlink" Target="http://link.aps.org/doi/10.1103/fjpt-m78n" TargetMode="External"/><Relationship Id="rId1196" Type="http://schemas.openxmlformats.org/officeDocument/2006/relationships/hyperlink" Target="https://doi.org/10.1103/fjpt-m78n" TargetMode="External"/><Relationship Id="rId1197" Type="http://schemas.openxmlformats.org/officeDocument/2006/relationships/hyperlink" Target="http://link.aps.org/doi/10.1103/w2kv-jkvy" TargetMode="External"/><Relationship Id="rId1198" Type="http://schemas.openxmlformats.org/officeDocument/2006/relationships/hyperlink" Target="https://doi.org/10.1103/w2kv-jkvy" TargetMode="External"/><Relationship Id="rId1199" Type="http://schemas.openxmlformats.org/officeDocument/2006/relationships/hyperlink" Target="http://link.aps.org/doi/10.1103/wqwf-3cbl" TargetMode="External"/><Relationship Id="rId1200" Type="http://schemas.openxmlformats.org/officeDocument/2006/relationships/hyperlink" Target="https://doi.org/10.1103/wqwf-3cbl" TargetMode="External"/><Relationship Id="rId1201" Type="http://schemas.openxmlformats.org/officeDocument/2006/relationships/hyperlink" Target="http://link.aps.org/doi/10.1103/92nb-3k6d" TargetMode="External"/><Relationship Id="rId1202" Type="http://schemas.openxmlformats.org/officeDocument/2006/relationships/hyperlink" Target="https://doi.org/10.1103/92nb-3k6d" TargetMode="External"/><Relationship Id="rId1203" Type="http://schemas.openxmlformats.org/officeDocument/2006/relationships/hyperlink" Target="http://link.aps.org/doi/10.1103/th7k-s7r6" TargetMode="External"/><Relationship Id="rId1204" Type="http://schemas.openxmlformats.org/officeDocument/2006/relationships/hyperlink" Target="https://doi.org/10.1103/th7k-s7r6" TargetMode="External"/><Relationship Id="rId1205" Type="http://schemas.openxmlformats.org/officeDocument/2006/relationships/hyperlink" Target="https://www.nature.com/articles/s41565-026-02252-8" TargetMode="External"/><Relationship Id="rId1206" Type="http://schemas.openxmlformats.org/officeDocument/2006/relationships/hyperlink" Target="https://doi.org/10.1038/s41565-026-02252-8" TargetMode="External"/><Relationship Id="rId1207" Type="http://schemas.openxmlformats.org/officeDocument/2006/relationships/hyperlink" Target="https://www.nature.com/articles/d41586-026-02490-9" TargetMode="External"/><Relationship Id="rId1208" Type="http://schemas.openxmlformats.org/officeDocument/2006/relationships/hyperlink" Target="https://doi.org/10.1038/d41586-026-02490-9" TargetMode="External"/><Relationship Id="rId1209" Type="http://schemas.openxmlformats.org/officeDocument/2006/relationships/hyperlink" Target="https://www.nature.com/articles/d41586-026-02464-x" TargetMode="External"/><Relationship Id="rId1210" Type="http://schemas.openxmlformats.org/officeDocument/2006/relationships/hyperlink" Target="https://doi.org/10.1038/d41586-026-02464-x" TargetMode="External"/><Relationship Id="rId1211" Type="http://schemas.openxmlformats.org/officeDocument/2006/relationships/hyperlink" Target="https://www.nature.com/articles/d41586-026-02492-7" TargetMode="External"/><Relationship Id="rId1212" Type="http://schemas.openxmlformats.org/officeDocument/2006/relationships/hyperlink" Target="https://doi.org/10.1038/d41586-026-02492-7" TargetMode="External"/><Relationship Id="rId1213" Type="http://schemas.openxmlformats.org/officeDocument/2006/relationships/hyperlink" Target="https://www.nature.com/articles/s41586-026-10991-w" TargetMode="External"/><Relationship Id="rId1214" Type="http://schemas.openxmlformats.org/officeDocument/2006/relationships/hyperlink" Target="https://doi.org/10.1038/s41586-026-10991-w" TargetMode="External"/><Relationship Id="rId1215" Type="http://schemas.openxmlformats.org/officeDocument/2006/relationships/hyperlink" Target="https://www.nature.com/articles/s41563-026-02693-5" TargetMode="External"/><Relationship Id="rId1216" Type="http://schemas.openxmlformats.org/officeDocument/2006/relationships/hyperlink" Target="https://doi.org/10.1038/s41563-026-02693-5" TargetMode="External"/><Relationship Id="rId1217" Type="http://schemas.openxmlformats.org/officeDocument/2006/relationships/hyperlink" Target="https://www.nature.com/articles/s41565-026-02249-3" TargetMode="External"/><Relationship Id="rId1218" Type="http://schemas.openxmlformats.org/officeDocument/2006/relationships/hyperlink" Target="https://doi.org/10.1038/s41565-026-02249-3" TargetMode="External"/><Relationship Id="rId1219" Type="http://schemas.openxmlformats.org/officeDocument/2006/relationships/hyperlink" Target="https://pubs.acs.org/aamick/article/doi/10.1021/acsami.6c03553/5251844/Layer-Resolved-Antisite-Mapping-in-MnSb2Te4-Grown" TargetMode="External"/><Relationship Id="rId1220" Type="http://schemas.openxmlformats.org/officeDocument/2006/relationships/hyperlink" Target="https://doi.org/10.1021/acsami.6c03553" TargetMode="External"/><Relationship Id="rId1221" Type="http://schemas.openxmlformats.org/officeDocument/2006/relationships/hyperlink" Target="https://www.sciencedirect.com/science/article/pii/S0306261926012754?dgcid=rss_sd_all" TargetMode="External"/><Relationship Id="rId1222" Type="http://schemas.openxmlformats.org/officeDocument/2006/relationships/hyperlink" Target="https://doi.org/10.1016/j.apenergy.2026.128619" TargetMode="External"/><Relationship Id="rId1223" Type="http://schemas.openxmlformats.org/officeDocument/2006/relationships/hyperlink" Target="https://www.sciencedirect.com/science/article/pii/S0306261926012924?dgcid=rss_sd_all" TargetMode="External"/><Relationship Id="rId1224" Type="http://schemas.openxmlformats.org/officeDocument/2006/relationships/hyperlink" Target="https://doi.org/10.1016/j.apenergy.2026.128636" TargetMode="External"/><Relationship Id="rId1225" Type="http://schemas.openxmlformats.org/officeDocument/2006/relationships/hyperlink" Target="https://pubs.acs.org/jacsat/article/doi/10.1021/jacs.5c16404/5252858/Lighting-Up-Biology-GFP-Inspired-Fluorescent" TargetMode="External"/><Relationship Id="rId1226" Type="http://schemas.openxmlformats.org/officeDocument/2006/relationships/hyperlink" Target="https://doi.org/10.1021/jacs.5c16404" TargetMode="External"/><Relationship Id="rId1227" Type="http://schemas.openxmlformats.org/officeDocument/2006/relationships/hyperlink" Target="https://pubs.acs.org/jacsat/article/doi/10.1021/jacs.6c05546/5251888/Overcoming-Barriers-in-Solid-Tumors-Lactate-Fueled" TargetMode="External"/><Relationship Id="rId1228" Type="http://schemas.openxmlformats.org/officeDocument/2006/relationships/hyperlink" Target="https://doi.org/10.1021/jacs.6c05546" TargetMode="External"/><Relationship Id="rId1229" Type="http://schemas.openxmlformats.org/officeDocument/2006/relationships/hyperlink" Target="https://pubs.acs.org/jacsat/article/doi/10.1021/jacs.6c10023/5251885/Carrier-Mediated-Selective-Transport-of-PFAS" TargetMode="External"/><Relationship Id="rId1230" Type="http://schemas.openxmlformats.org/officeDocument/2006/relationships/hyperlink" Target="https://doi.org/10.1021/jacs.6c10023" TargetMode="External"/><Relationship Id="rId1231" Type="http://schemas.openxmlformats.org/officeDocument/2006/relationships/hyperlink" Target="https://pubs.acs.org/jacsat/article/doi/10.1021/jacs.6c07119/5251936/Conformationally-Dictated-Divergent-Triplet" TargetMode="External"/><Relationship Id="rId1232" Type="http://schemas.openxmlformats.org/officeDocument/2006/relationships/hyperlink" Target="https://doi.org/10.1021/jacs.6c07119" TargetMode="External"/><Relationship Id="rId1233" Type="http://schemas.openxmlformats.org/officeDocument/2006/relationships/hyperlink" Target="https://pubs.acs.org/jacsat/article/doi/10.1021/jacs.6c10280/5252986/Cross-Metathesis-of-an-Iron-Carbene-with-Diazenes" TargetMode="External"/><Relationship Id="rId1234" Type="http://schemas.openxmlformats.org/officeDocument/2006/relationships/hyperlink" Target="https://doi.org/10.1021/jacs.6c10280" TargetMode="External"/><Relationship Id="rId1235" Type="http://schemas.openxmlformats.org/officeDocument/2006/relationships/hyperlink" Target="https://www.nature.com/articles/d41586-026-02380-0" TargetMode="External"/><Relationship Id="rId1236" Type="http://schemas.openxmlformats.org/officeDocument/2006/relationships/hyperlink" Target="https://doi.org/10.1038/d41586-026-02380-0" TargetMode="External"/><Relationship Id="rId1237" Type="http://schemas.openxmlformats.org/officeDocument/2006/relationships/hyperlink" Target="https://pubs.acs.org/jacsat/article/doi/10.1021/jacs.6c05947/5251877/Stereospecific-Peptide-Polysaccharide-Conjugates" TargetMode="External"/><Relationship Id="rId1238" Type="http://schemas.openxmlformats.org/officeDocument/2006/relationships/hyperlink" Target="https://doi.org/10.1021/jacs.6c05947" TargetMode="External"/><Relationship Id="rId1239" Type="http://schemas.openxmlformats.org/officeDocument/2006/relationships/hyperlink" Target="https://www.nature.com/articles/d41586-026-02454-z" TargetMode="External"/><Relationship Id="rId1240" Type="http://schemas.openxmlformats.org/officeDocument/2006/relationships/hyperlink" Target="https://doi.org/10.1038/d41586-026-02454-z" TargetMode="External"/><Relationship Id="rId1241" Type="http://schemas.openxmlformats.org/officeDocument/2006/relationships/hyperlink" Target="https://www.nature.com/articles/d41586-026-02452-1" TargetMode="External"/><Relationship Id="rId1242" Type="http://schemas.openxmlformats.org/officeDocument/2006/relationships/hyperlink" Target="https://doi.org/10.1038/d41586-026-02452-1" TargetMode="External"/><Relationship Id="rId1243" Type="http://schemas.openxmlformats.org/officeDocument/2006/relationships/hyperlink" Target="https://pubs.acs.org/jacsat/article/doi/10.1021/jacs.6c09505/5252991/Imparting-Switchable-Impact-Sensitivity-to" TargetMode="External"/><Relationship Id="rId1244" Type="http://schemas.openxmlformats.org/officeDocument/2006/relationships/hyperlink" Target="https://doi.org/10.1021/jacs.6c09505" TargetMode="External"/><Relationship Id="rId1245" Type="http://schemas.openxmlformats.org/officeDocument/2006/relationships/hyperlink" Target="https://www.nature.com/articles/d41586-026-02519-z" TargetMode="External"/><Relationship Id="rId1246" Type="http://schemas.openxmlformats.org/officeDocument/2006/relationships/hyperlink" Target="https://doi.org/10.1038/d41586-026-02519-z" TargetMode="External"/><Relationship Id="rId1247" Type="http://schemas.openxmlformats.org/officeDocument/2006/relationships/hyperlink" Target="https://pubs.acs.org/aamick/article/doi/10.1021/acsami.6c14621/5252841/MXene-Based-Conductive-Microneedle-Patch-Promotes" TargetMode="External"/><Relationship Id="rId1248" Type="http://schemas.openxmlformats.org/officeDocument/2006/relationships/hyperlink" Target="https://doi.org/10.1021/acsami.6c14621" TargetMode="External"/><Relationship Id="rId1249" Type="http://schemas.openxmlformats.org/officeDocument/2006/relationships/hyperlink" Target="https://pubs.acs.org/aamick/article/doi/10.1021/acsami.6c11753/5251621/Xanthate-Modified-Cellulose-Nanofibrils-for" TargetMode="External"/><Relationship Id="rId1250" Type="http://schemas.openxmlformats.org/officeDocument/2006/relationships/hyperlink" Target="https://doi.org/10.1021/acsami.6c11753" TargetMode="External"/><Relationship Id="rId1251" Type="http://schemas.openxmlformats.org/officeDocument/2006/relationships/hyperlink" Target="https://pubs.acs.org/aamick/article/doi/10.1021/acsami.6c11896/5252838/Self-Reinforcing-Nanozyme-Integrated-Microneedles" TargetMode="External"/><Relationship Id="rId1252" Type="http://schemas.openxmlformats.org/officeDocument/2006/relationships/hyperlink" Target="https://doi.org/10.1021/acsami.6c11896" TargetMode="External"/><Relationship Id="rId1253" Type="http://schemas.openxmlformats.org/officeDocument/2006/relationships/hyperlink" Target="https://pubs.acs.org/aamick/article/doi/10.1021/acsami.6c11261/5252127/Biomimetic-Cancer-Cell-Membrane-Coated-Polymeric" TargetMode="External"/><Relationship Id="rId1254" Type="http://schemas.openxmlformats.org/officeDocument/2006/relationships/hyperlink" Target="https://doi.org/10.1021/acsami.6c11261" TargetMode="External"/><Relationship Id="rId1255" Type="http://schemas.openxmlformats.org/officeDocument/2006/relationships/hyperlink" Target="https://pubs.acs.org/aamick/article/doi/10.1021/acsami.6c08865/5251680/Light-Driven-Antimicrobial-Cotton-Fabric" TargetMode="External"/><Relationship Id="rId1256" Type="http://schemas.openxmlformats.org/officeDocument/2006/relationships/hyperlink" Target="https://doi.org/10.1021/acsami.6c08865" TargetMode="External"/><Relationship Id="rId1257" Type="http://schemas.openxmlformats.org/officeDocument/2006/relationships/hyperlink" Target="https://pubs.acs.org/aamick/article/doi/10.1021/acsami.6c09408/5251907/Engineered-Extracellular-Vesicles-Delivering-miR" TargetMode="External"/><Relationship Id="rId1258" Type="http://schemas.openxmlformats.org/officeDocument/2006/relationships/hyperlink" Target="https://doi.org/10.1021/acsami.6c09408" TargetMode="External"/><Relationship Id="rId1259" Type="http://schemas.openxmlformats.org/officeDocument/2006/relationships/hyperlink" Target="https://pubs.acs.org/aamick/article/doi/10.1021/acsami.6c07432/5251851/Advancements-in-Metal-Organic-Frameworks-for-Plant" TargetMode="External"/><Relationship Id="rId1260" Type="http://schemas.openxmlformats.org/officeDocument/2006/relationships/hyperlink" Target="https://doi.org/10.1021/acsami.6c07432" TargetMode="External"/><Relationship Id="rId1261" Type="http://schemas.openxmlformats.org/officeDocument/2006/relationships/hyperlink" Target="https://pubs.acs.org/aamick/article/doi/10.1021/acsami.6c07350/5252840/Preliminary-Developmental-Bone-like-Bioassemblies" TargetMode="External"/><Relationship Id="rId1262" Type="http://schemas.openxmlformats.org/officeDocument/2006/relationships/hyperlink" Target="https://doi.org/10.1021/acsami.6c07350" TargetMode="External"/><Relationship Id="rId1263" Type="http://schemas.openxmlformats.org/officeDocument/2006/relationships/hyperlink" Target="https://pubs.acs.org/aamick/article/doi/10.1021/acsami.6c09035/5252699/MXene-Based-Catalysts-for-Peroxymonosulfate" TargetMode="External"/><Relationship Id="rId1264" Type="http://schemas.openxmlformats.org/officeDocument/2006/relationships/hyperlink" Target="https://doi.org/10.1021/acsami.6c09035" TargetMode="External"/><Relationship Id="rId1265" Type="http://schemas.openxmlformats.org/officeDocument/2006/relationships/hyperlink" Target="https://www.nature.com/articles/d41586-026-02491-8" TargetMode="External"/><Relationship Id="rId1266" Type="http://schemas.openxmlformats.org/officeDocument/2006/relationships/hyperlink" Target="https://doi.org/10.1038/d41586-026-02491-8" TargetMode="External"/><Relationship Id="rId1267" Type="http://schemas.openxmlformats.org/officeDocument/2006/relationships/hyperlink" Target="https://pubs.acs.org/jacsat/article/doi/10.1021/jacs.6c12747/5252091/Harnessing-Host-Guest-Conformational-Matching-for" TargetMode="External"/><Relationship Id="rId1268" Type="http://schemas.openxmlformats.org/officeDocument/2006/relationships/hyperlink" Target="https://doi.org/10.1021/jacs.6c12747" TargetMode="External"/><Relationship Id="rId1269" Type="http://schemas.openxmlformats.org/officeDocument/2006/relationships/hyperlink" Target="https://academic.oup.com/nsr/advance-article/doi/10.1093/nsr/nwag481/8758949?rss=1" TargetMode="External"/><Relationship Id="rId1270" Type="http://schemas.openxmlformats.org/officeDocument/2006/relationships/hyperlink" Target="https://doi.org/10.1093/nsr/nwag481" TargetMode="External"/><Relationship Id="rId1271" Type="http://schemas.openxmlformats.org/officeDocument/2006/relationships/hyperlink" Target="https://www.nature.com/articles/d41586-026-02451-2" TargetMode="External"/><Relationship Id="rId1272" Type="http://schemas.openxmlformats.org/officeDocument/2006/relationships/hyperlink" Target="https://doi.org/10.1038/d41586-026-02451-2" TargetMode="External"/><Relationship Id="rId1273" Type="http://schemas.openxmlformats.org/officeDocument/2006/relationships/hyperlink" Target="https://www.nature.com/articles/d41586-026-02449-w" TargetMode="External"/><Relationship Id="rId1274" Type="http://schemas.openxmlformats.org/officeDocument/2006/relationships/hyperlink" Target="https://doi.org/10.1038/d41586-026-02449-w" TargetMode="External"/><Relationship Id="rId1275" Type="http://schemas.openxmlformats.org/officeDocument/2006/relationships/hyperlink" Target="https://www.nature.com/articles/d41586-026-02142-y" TargetMode="External"/><Relationship Id="rId1276" Type="http://schemas.openxmlformats.org/officeDocument/2006/relationships/hyperlink" Target="https://doi.org/10.1038/d41586-026-02142-y" TargetMode="External"/><Relationship Id="rId1277" Type="http://schemas.openxmlformats.org/officeDocument/2006/relationships/hyperlink" Target="https://www.nature.com/articles/d41586-026-02489-2" TargetMode="External"/><Relationship Id="rId1278" Type="http://schemas.openxmlformats.org/officeDocument/2006/relationships/hyperlink" Target="https://doi.org/10.1038/d41586-026-02489-2" TargetMode="External"/><Relationship Id="rId1279" Type="http://schemas.openxmlformats.org/officeDocument/2006/relationships/hyperlink" Target="https://www.nature.com/articles/d41586-026-02082-7" TargetMode="External"/><Relationship Id="rId1280" Type="http://schemas.openxmlformats.org/officeDocument/2006/relationships/hyperlink" Target="https://doi.org/10.1038/d41586-026-02082-7" TargetMode="External"/><Relationship Id="rId1281" Type="http://schemas.openxmlformats.org/officeDocument/2006/relationships/hyperlink" Target="https://www.nature.com/articles/d41586-026-02374-y" TargetMode="External"/><Relationship Id="rId1282" Type="http://schemas.openxmlformats.org/officeDocument/2006/relationships/hyperlink" Target="https://doi.org/10.1038/d41586-026-02374-y" TargetMode="External"/><Relationship Id="rId1283" Type="http://schemas.openxmlformats.org/officeDocument/2006/relationships/hyperlink" Target="https://pubs.acs.org/jacsat/article/doi/10.1021/jacs.6c07120/5252686/Photoinduced-Reductive-Elimination-from-Sulfur" TargetMode="External"/><Relationship Id="rId1284" Type="http://schemas.openxmlformats.org/officeDocument/2006/relationships/hyperlink" Target="https://doi.org/10.1021/jacs.6c07120" TargetMode="External"/><Relationship Id="rId1285" Type="http://schemas.openxmlformats.org/officeDocument/2006/relationships/hyperlink" Target="https://www.nature.com/articles/s41467-026-76529-w" TargetMode="External"/><Relationship Id="rId1286" Type="http://schemas.openxmlformats.org/officeDocument/2006/relationships/hyperlink" Target="https://www.nature.com/articles/s41467-026-75950-5" TargetMode="External"/><Relationship Id="rId1287" Type="http://schemas.openxmlformats.org/officeDocument/2006/relationships/hyperlink" Target="https://www.nature.com/articles/s41467-026-76560-x" TargetMode="External"/><Relationship Id="rId1288" Type="http://schemas.openxmlformats.org/officeDocument/2006/relationships/hyperlink" Target="https://www.nature.com/articles/s41467-026-76053-x" TargetMode="External"/><Relationship Id="rId1289" Type="http://schemas.openxmlformats.org/officeDocument/2006/relationships/hyperlink" Target="https://www.nature.com/articles/s41467-026-76361-2" TargetMode="External"/><Relationship Id="rId1290" Type="http://schemas.openxmlformats.org/officeDocument/2006/relationships/hyperlink" Target="https://www.nature.com/articles/s41467-026-75116-3" TargetMode="External"/><Relationship Id="rId1291" Type="http://schemas.openxmlformats.org/officeDocument/2006/relationships/hyperlink" Target="https://www.nature.com/articles/s41467-026-76375-w" TargetMode="External"/><Relationship Id="rId1292" Type="http://schemas.openxmlformats.org/officeDocument/2006/relationships/hyperlink" Target="https://www.nature.com/articles/s41467-026-76555-8" TargetMode="External"/><Relationship Id="rId1293" Type="http://schemas.openxmlformats.org/officeDocument/2006/relationships/hyperlink" Target="https://www.nature.com/articles/s41467-026-76332-7" TargetMode="External"/><Relationship Id="rId1294" Type="http://schemas.openxmlformats.org/officeDocument/2006/relationships/hyperlink" Target="https://www.nature.com/articles/s41467-026-76778-9" TargetMode="External"/><Relationship Id="rId1295" Type="http://schemas.openxmlformats.org/officeDocument/2006/relationships/hyperlink" Target="https://www.nature.com/articles/s41467-026-76368-9" TargetMode="External"/><Relationship Id="rId1296" Type="http://schemas.openxmlformats.org/officeDocument/2006/relationships/hyperlink" Target="https://www.nature.com/articles/s41467-026-76557-6" TargetMode="External"/><Relationship Id="rId1297" Type="http://schemas.openxmlformats.org/officeDocument/2006/relationships/hyperlink" Target="https://www.nature.com/articles/s41467-026-76567-4" TargetMode="External"/><Relationship Id="rId1298" Type="http://schemas.openxmlformats.org/officeDocument/2006/relationships/hyperlink" Target="https://www.nature.com/articles/s41467-026-76654-6" TargetMode="External"/><Relationship Id="rId1299" Type="http://schemas.openxmlformats.org/officeDocument/2006/relationships/hyperlink" Target="https://www.nature.com/articles/s41467-026-75795-y" TargetMode="External"/><Relationship Id="rId1300" Type="http://schemas.openxmlformats.org/officeDocument/2006/relationships/hyperlink" Target="https://www.nature.com/articles/s41467-026-75325-w" TargetMode="External"/><Relationship Id="rId1301" Type="http://schemas.openxmlformats.org/officeDocument/2006/relationships/hyperlink" Target="https://www.nature.com/articles/s41467-026-75877-x" TargetMode="External"/><Relationship Id="rId1302" Type="http://schemas.openxmlformats.org/officeDocument/2006/relationships/hyperlink" Target="https://www.nature.com/articles/s41467-026-75797-w" TargetMode="External"/><Relationship Id="rId1303" Type="http://schemas.openxmlformats.org/officeDocument/2006/relationships/hyperlink" Target="https://www.nature.com/articles/s41467-026-76581-6" TargetMode="External"/><Relationship Id="rId1304" Type="http://schemas.openxmlformats.org/officeDocument/2006/relationships/hyperlink" Target="https://www.nature.com/articles/s41467-026-76232-w" TargetMode="External"/><Relationship Id="rId1305" Type="http://schemas.openxmlformats.org/officeDocument/2006/relationships/hyperlink" Target="https://www.nature.com/articles/s41467-026-76595-0" TargetMode="External"/><Relationship Id="rId1306" Type="http://schemas.openxmlformats.org/officeDocument/2006/relationships/hyperlink" Target="https://www.nature.com/articles/s41467-026-76279-9" TargetMode="External"/><Relationship Id="rId1307" Type="http://schemas.openxmlformats.org/officeDocument/2006/relationships/hyperlink" Target="https://www.nature.com/articles/s41467-026-76429-z" TargetMode="External"/><Relationship Id="rId1308" Type="http://schemas.openxmlformats.org/officeDocument/2006/relationships/hyperlink" Target="https://www.nature.com/articles/s41467-026-76530-3" TargetMode="External"/><Relationship Id="rId1309" Type="http://schemas.openxmlformats.org/officeDocument/2006/relationships/hyperlink" Target="https://www.nature.com/articles/s41467-026-76413-7" TargetMode="External"/><Relationship Id="rId1310" Type="http://schemas.openxmlformats.org/officeDocument/2006/relationships/hyperlink" Target="https://www.nature.com/articles/s41467-026-76580-7" TargetMode="External"/><Relationship Id="rId1311" Type="http://schemas.openxmlformats.org/officeDocument/2006/relationships/hyperlink" Target="https://www.nature.com/articles/s41467-026-76695-x" TargetMode="External"/><Relationship Id="rId1312" Type="http://schemas.openxmlformats.org/officeDocument/2006/relationships/hyperlink" Target="https://www.nature.com/articles/s41467-026-76244-6" TargetMode="External"/><Relationship Id="rId1313" Type="http://schemas.openxmlformats.org/officeDocument/2006/relationships/hyperlink" Target="https://pubs.acs.org/chreay/article/doi/10.1021/acs.chemrev.6c00372/5252508/Cycloaddition-Based-Retrosynthetic-Logic-for-the" TargetMode="External"/><Relationship Id="rId1314" Type="http://schemas.openxmlformats.org/officeDocument/2006/relationships/hyperlink" Target="https://doi.org/10.1021/acs.chemrev.6c00372" TargetMode="External"/><Relationship Id="rId1315" Type="http://schemas.openxmlformats.org/officeDocument/2006/relationships/hyperlink" Target="https://www.nature.com/articles/s41467-026-76117-y" TargetMode="External"/><Relationship Id="rId1316" Type="http://schemas.openxmlformats.org/officeDocument/2006/relationships/hyperlink" Target="https://www.nature.com/articles/s41467-026-76689-9" TargetMode="External"/><Relationship Id="rId1317" Type="http://schemas.openxmlformats.org/officeDocument/2006/relationships/hyperlink" Target="https://www.nature.com/articles/s41467-026-76520-5" TargetMode="External"/><Relationship Id="rId1318" Type="http://schemas.openxmlformats.org/officeDocument/2006/relationships/hyperlink" Target="https://www.nature.com/articles/s41467-026-76508-1" TargetMode="External"/><Relationship Id="rId1319" Type="http://schemas.openxmlformats.org/officeDocument/2006/relationships/hyperlink" Target="https://www.nature.com/articles/s41467-026-76531-2" TargetMode="External"/><Relationship Id="rId1320" Type="http://schemas.openxmlformats.org/officeDocument/2006/relationships/hyperlink" Target="https://www.nature.com/articles/s41467-026-76592-3" TargetMode="External"/><Relationship Id="rId1321" Type="http://schemas.openxmlformats.org/officeDocument/2006/relationships/hyperlink" Target="https://www.nature.com/articles/s41467-026-76528-x" TargetMode="External"/><Relationship Id="rId1322" Type="http://schemas.openxmlformats.org/officeDocument/2006/relationships/hyperlink" Target="https://www.nature.com/articles/s41467-026-76126-x" TargetMode="External"/><Relationship Id="rId1323" Type="http://schemas.openxmlformats.org/officeDocument/2006/relationships/hyperlink" Target="https://www.nature.com/articles/s41467-026-76487-3" TargetMode="External"/><Relationship Id="rId1324" Type="http://schemas.openxmlformats.org/officeDocument/2006/relationships/hyperlink" Target="https://www.nature.com/articles/s41467-026-76320-x" TargetMode="External"/><Relationship Id="rId1325" Type="http://schemas.openxmlformats.org/officeDocument/2006/relationships/hyperlink" Target="https://www.nature.com/articles/s41467-026-76323-8" TargetMode="External"/><Relationship Id="rId1326" Type="http://schemas.openxmlformats.org/officeDocument/2006/relationships/hyperlink" Target="https://www.nature.com/articles/s41467-026-76612-2" TargetMode="External"/><Relationship Id="rId1327" Type="http://schemas.openxmlformats.org/officeDocument/2006/relationships/hyperlink" Target="https://www.nature.com/articles/s41467-026-76466-8" TargetMode="External"/><Relationship Id="rId1328" Type="http://schemas.openxmlformats.org/officeDocument/2006/relationships/hyperlink" Target="https://www.nature.com/articles/s41467-026-76100-7" TargetMode="External"/><Relationship Id="rId1329" Type="http://schemas.openxmlformats.org/officeDocument/2006/relationships/hyperlink" Target="https://www.nature.com/articles/s41467-026-76629-7" TargetMode="External"/><Relationship Id="rId1330" Type="http://schemas.openxmlformats.org/officeDocument/2006/relationships/hyperlink" Target="https://www.nature.com/articles/s41467-026-76328-3" TargetMode="External"/><Relationship Id="rId1331" Type="http://schemas.openxmlformats.org/officeDocument/2006/relationships/hyperlink" Target="https://www.nature.com/articles/s41467-026-76656-4" TargetMode="External"/><Relationship Id="rId1332" Type="http://schemas.openxmlformats.org/officeDocument/2006/relationships/hyperlink" Target="https://www.nature.com/articles/s41467-026-76509-0" TargetMode="External"/><Relationship Id="rId1333" Type="http://schemas.openxmlformats.org/officeDocument/2006/relationships/hyperlink" Target="https://www.pnas.org/doi/abs/10.1073/pnas.2618638123?mi=eymic2&amp;af=R&amp;access=on&amp;content=articlesChapters&amp;publication=pnas&amp;sortBy=Earliest&amp;target=default" TargetMode="External"/><Relationship Id="rId1334" Type="http://schemas.openxmlformats.org/officeDocument/2006/relationships/hyperlink" Target="https://doi.org/10.1073/pnas.2618638123" TargetMode="External"/><Relationship Id="rId1335" Type="http://schemas.openxmlformats.org/officeDocument/2006/relationships/hyperlink" Target="https://www.pnas.org/doi/abs/10.1073/pnas.2611392123?mi=eymic2&amp;af=R&amp;access=on&amp;content=articlesChapters&amp;publication=pnas&amp;sortBy=Earliest&amp;target=default" TargetMode="External"/><Relationship Id="rId1336" Type="http://schemas.openxmlformats.org/officeDocument/2006/relationships/hyperlink" Target="https://doi.org/10.1073/pnas.2611392123" TargetMode="External"/><Relationship Id="rId1337" Type="http://schemas.openxmlformats.org/officeDocument/2006/relationships/hyperlink" Target="https://www.pnas.org/doi/abs/10.1073/pnas.2609531123?mi=eymic2&amp;af=R&amp;access=on&amp;content=articlesChapters&amp;publication=pnas&amp;sortBy=Earliest&amp;target=default" TargetMode="External"/><Relationship Id="rId1338" Type="http://schemas.openxmlformats.org/officeDocument/2006/relationships/hyperlink" Target="https://doi.org/10.1073/pnas.2609531123" TargetMode="External"/><Relationship Id="rId1339" Type="http://schemas.openxmlformats.org/officeDocument/2006/relationships/hyperlink" Target="https://www.pnas.org/doi/abs/10.1073/pnas.2609567123?mi=eymic2&amp;af=R&amp;access=on&amp;content=articlesChapters&amp;publication=pnas&amp;sortBy=Earliest&amp;target=default" TargetMode="External"/><Relationship Id="rId1340" Type="http://schemas.openxmlformats.org/officeDocument/2006/relationships/hyperlink" Target="https://doi.org/10.1073/pnas.2609567123" TargetMode="External"/><Relationship Id="rId1341" Type="http://schemas.openxmlformats.org/officeDocument/2006/relationships/hyperlink" Target="https://www.pnas.org/doi/abs/10.1073/pnas.2610855123?mi=eymic2&amp;af=R&amp;access=on&amp;content=articlesChapters&amp;publication=pnas&amp;sortBy=Earliest&amp;target=default" TargetMode="External"/><Relationship Id="rId1342" Type="http://schemas.openxmlformats.org/officeDocument/2006/relationships/hyperlink" Target="https://doi.org/10.1073/pnas.2610855123" TargetMode="External"/><Relationship Id="rId1343" Type="http://schemas.openxmlformats.org/officeDocument/2006/relationships/hyperlink" Target="https://www.pnas.org/doi/abs/10.1073/pnas.2616985123?mi=eymic2&amp;af=R&amp;access=on&amp;content=articlesChapters&amp;publication=pnas&amp;sortBy=Earliest&amp;target=default" TargetMode="External"/><Relationship Id="rId1344" Type="http://schemas.openxmlformats.org/officeDocument/2006/relationships/hyperlink" Target="https://doi.org/10.1073/pnas.2616985123" TargetMode="External"/><Relationship Id="rId1345" Type="http://schemas.openxmlformats.org/officeDocument/2006/relationships/hyperlink" Target="https://www.pnas.org/doi/abs/10.1073/pnas.2616211123?mi=eymic2&amp;af=R&amp;access=on&amp;content=articlesChapters&amp;publication=pnas&amp;sortBy=Earliest&amp;target=default" TargetMode="External"/><Relationship Id="rId1346" Type="http://schemas.openxmlformats.org/officeDocument/2006/relationships/hyperlink" Target="https://doi.org/10.1073/pnas.2616211123" TargetMode="External"/><Relationship Id="rId1347" Type="http://schemas.openxmlformats.org/officeDocument/2006/relationships/hyperlink" Target="https://www.pnas.org/doi/abs/10.1073/pnas.2603286123?mi=eymic2&amp;af=R&amp;access=on&amp;content=articlesChapters&amp;publication=pnas&amp;sortBy=Earliest&amp;target=default" TargetMode="External"/><Relationship Id="rId1348" Type="http://schemas.openxmlformats.org/officeDocument/2006/relationships/hyperlink" Target="https://doi.org/10.1073/pnas.2603286123" TargetMode="External"/><Relationship Id="rId1349" Type="http://schemas.openxmlformats.org/officeDocument/2006/relationships/hyperlink" Target="https://www.pnas.org/doi/abs/10.1073/pnas.2619612123?mi=eymic2&amp;af=R&amp;access=on&amp;content=articlesChapters&amp;publication=pnas&amp;sortBy=Earliest&amp;target=default" TargetMode="External"/><Relationship Id="rId1350" Type="http://schemas.openxmlformats.org/officeDocument/2006/relationships/hyperlink" Target="https://doi.org/10.1073/pnas.2619612123" TargetMode="External"/><Relationship Id="rId1351" Type="http://schemas.openxmlformats.org/officeDocument/2006/relationships/hyperlink" Target="https://www.pnas.org/doi/abs/10.1073/pnas.2610487123?mi=eymic2&amp;af=R&amp;access=on&amp;content=articlesChapters&amp;publication=pnas&amp;sortBy=Earliest&amp;target=default" TargetMode="External"/><Relationship Id="rId1352" Type="http://schemas.openxmlformats.org/officeDocument/2006/relationships/hyperlink" Target="https://doi.org/10.1073/pnas.2610487123" TargetMode="External"/><Relationship Id="rId1353" Type="http://schemas.openxmlformats.org/officeDocument/2006/relationships/hyperlink" Target="https://www.pnas.org/doi/abs/10.1073/pnas.2602994123?mi=eymic2&amp;af=R&amp;access=on&amp;content=articlesChapters&amp;publication=pnas&amp;sortBy=Earliest&amp;target=default" TargetMode="External"/><Relationship Id="rId1354" Type="http://schemas.openxmlformats.org/officeDocument/2006/relationships/hyperlink" Target="https://doi.org/10.1073/pnas.2602994123" TargetMode="External"/><Relationship Id="rId1355" Type="http://schemas.openxmlformats.org/officeDocument/2006/relationships/hyperlink" Target="https://www.pnas.org/doi/abs/10.1073/pnas.2534402123?mi=eymic2&amp;af=R&amp;access=on&amp;content=articlesChapters&amp;publication=pnas&amp;sortBy=Earliest&amp;target=default" TargetMode="External"/><Relationship Id="rId1356" Type="http://schemas.openxmlformats.org/officeDocument/2006/relationships/hyperlink" Target="https://doi.org/10.1073/pnas.2534402123" TargetMode="External"/><Relationship Id="rId1357" Type="http://schemas.openxmlformats.org/officeDocument/2006/relationships/hyperlink" Target="https://www.pnas.org/doi/abs/10.1073/pnas.2602415123?mi=eymic2&amp;af=R&amp;access=on&amp;content=articlesChapters&amp;publication=pnas&amp;sortBy=Earliest&amp;target=default" TargetMode="External"/><Relationship Id="rId1358" Type="http://schemas.openxmlformats.org/officeDocument/2006/relationships/hyperlink" Target="https://doi.org/10.1073/pnas.2602415123" TargetMode="External"/><Relationship Id="rId1359" Type="http://schemas.openxmlformats.org/officeDocument/2006/relationships/hyperlink" Target="https://www.pnas.org/doi/abs/10.1073/iti3226123?mi=eymic2&amp;af=R&amp;access=on&amp;content=articlesChapters&amp;publication=pnas&amp;sortBy=Earliest&amp;target=default" TargetMode="External"/><Relationship Id="rId1360" Type="http://schemas.openxmlformats.org/officeDocument/2006/relationships/hyperlink" Target="https://doi.org/10.1073/iti3226123" TargetMode="External"/><Relationship Id="rId1361" Type="http://schemas.openxmlformats.org/officeDocument/2006/relationships/hyperlink" Target="https://www.pnas.org/doi/abs/10.1073/pnas.2528104123?mi=eymic2&amp;af=R&amp;access=on&amp;content=articlesChapters&amp;publication=pnas&amp;sortBy=Earliest&amp;target=default" TargetMode="External"/><Relationship Id="rId1362" Type="http://schemas.openxmlformats.org/officeDocument/2006/relationships/hyperlink" Target="https://doi.org/10.1073/pnas.2528104123" TargetMode="External"/><Relationship Id="rId1363" Type="http://schemas.openxmlformats.org/officeDocument/2006/relationships/hyperlink" Target="https://www.pnas.org/doi/abs/10.1073/pnas.2537555123?mi=eymic2&amp;af=R&amp;access=on&amp;content=articlesChapters&amp;publication=pnas&amp;sortBy=Earliest&amp;target=default" TargetMode="External"/><Relationship Id="rId1364" Type="http://schemas.openxmlformats.org/officeDocument/2006/relationships/hyperlink" Target="https://doi.org/10.1073/pnas.2537555123" TargetMode="External"/><Relationship Id="rId1365" Type="http://schemas.openxmlformats.org/officeDocument/2006/relationships/hyperlink" Target="https://www.pnas.org/doi/abs/10.1073/pnas.2601439123?mi=eymic2&amp;af=R&amp;access=on&amp;content=articlesChapters&amp;publication=pnas&amp;sortBy=Earliest&amp;target=default" TargetMode="External"/><Relationship Id="rId1366" Type="http://schemas.openxmlformats.org/officeDocument/2006/relationships/hyperlink" Target="https://doi.org/10.1073/pnas.2601439123" TargetMode="External"/><Relationship Id="rId1367" Type="http://schemas.openxmlformats.org/officeDocument/2006/relationships/hyperlink" Target="https://www.pnas.org/doi/abs/10.1073/pnas.2607577123?mi=eymic2&amp;af=R&amp;access=on&amp;content=articlesChapters&amp;publication=pnas&amp;sortBy=Earliest&amp;target=default" TargetMode="External"/><Relationship Id="rId1368" Type="http://schemas.openxmlformats.org/officeDocument/2006/relationships/hyperlink" Target="https://doi.org/10.1073/pnas.2607577123" TargetMode="External"/><Relationship Id="rId1369" Type="http://schemas.openxmlformats.org/officeDocument/2006/relationships/hyperlink" Target="http://link.aps.org/doi/10.1103/p1bw-v87g" TargetMode="External"/><Relationship Id="rId1370" Type="http://schemas.openxmlformats.org/officeDocument/2006/relationships/hyperlink" Target="https://doi.org/10.1103/p1bw-v87g" TargetMode="External"/><Relationship Id="rId1371" Type="http://schemas.openxmlformats.org/officeDocument/2006/relationships/hyperlink" Target="http://link.aps.org/doi/10.1103/s3jm-3977" TargetMode="External"/><Relationship Id="rId1372" Type="http://schemas.openxmlformats.org/officeDocument/2006/relationships/hyperlink" Target="https://doi.org/10.1103/s3jm-3977" TargetMode="External"/><Relationship Id="rId1373" Type="http://schemas.openxmlformats.org/officeDocument/2006/relationships/hyperlink" Target="http://link.aps.org/doi/10.1103/y9q4-13fw" TargetMode="External"/><Relationship Id="rId1374" Type="http://schemas.openxmlformats.org/officeDocument/2006/relationships/hyperlink" Target="https://doi.org/10.1103/y9q4-13fw" TargetMode="External"/><Relationship Id="rId1375" Type="http://schemas.openxmlformats.org/officeDocument/2006/relationships/hyperlink" Target="http://link.aps.org/doi/10.1103/8brp-kdpy" TargetMode="External"/><Relationship Id="rId1376" Type="http://schemas.openxmlformats.org/officeDocument/2006/relationships/hyperlink" Target="https://doi.org/10.1103/8brp-kdpy" TargetMode="External"/><Relationship Id="rId1377" Type="http://schemas.openxmlformats.org/officeDocument/2006/relationships/hyperlink" Target="http://link.aps.org/doi/10.1103/3vp9-dpws" TargetMode="External"/><Relationship Id="rId1378" Type="http://schemas.openxmlformats.org/officeDocument/2006/relationships/hyperlink" Target="https://doi.org/10.1103/3vp9-dpws" TargetMode="External"/><Relationship Id="rId1379" Type="http://schemas.openxmlformats.org/officeDocument/2006/relationships/hyperlink" Target="http://link.aps.org/doi/10.1103/jmsx-2g8l" TargetMode="External"/><Relationship Id="rId1380" Type="http://schemas.openxmlformats.org/officeDocument/2006/relationships/hyperlink" Target="https://doi.org/10.1103/jmsx-2g8l" TargetMode="External"/><Relationship Id="rId1381" Type="http://schemas.openxmlformats.org/officeDocument/2006/relationships/hyperlink" Target="http://link.aps.org/doi/10.1103/y6h7-sx93" TargetMode="External"/><Relationship Id="rId1382" Type="http://schemas.openxmlformats.org/officeDocument/2006/relationships/hyperlink" Target="https://doi.org/10.1103/y6h7-sx93" TargetMode="External"/><Relationship Id="rId1383" Type="http://schemas.openxmlformats.org/officeDocument/2006/relationships/hyperlink" Target="http://link.aps.org/doi/10.1103/g52b-t4cj" TargetMode="External"/><Relationship Id="rId1384" Type="http://schemas.openxmlformats.org/officeDocument/2006/relationships/hyperlink" Target="https://doi.org/10.1103/g52b-t4cj" TargetMode="External"/><Relationship Id="rId1385" Type="http://schemas.openxmlformats.org/officeDocument/2006/relationships/hyperlink" Target="http://link.aps.org/doi/10.1103/811n-z924" TargetMode="External"/><Relationship Id="rId1386" Type="http://schemas.openxmlformats.org/officeDocument/2006/relationships/hyperlink" Target="https://doi.org/10.1103/811n-z924" TargetMode="External"/><Relationship Id="rId1387" Type="http://schemas.openxmlformats.org/officeDocument/2006/relationships/hyperlink" Target="http://link.aps.org/doi/10.1103/gbjc-wsdn" TargetMode="External"/><Relationship Id="rId1388" Type="http://schemas.openxmlformats.org/officeDocument/2006/relationships/hyperlink" Target="https://doi.org/10.1103/gbjc-wsdn" TargetMode="External"/><Relationship Id="rId1389" Type="http://schemas.openxmlformats.org/officeDocument/2006/relationships/hyperlink" Target="http://link.aps.org/doi/10.1103/qhvs-pfkq" TargetMode="External"/><Relationship Id="rId1390" Type="http://schemas.openxmlformats.org/officeDocument/2006/relationships/hyperlink" Target="https://doi.org/10.1103/qhvs-pfkq" TargetMode="External"/><Relationship Id="rId1391" Type="http://schemas.openxmlformats.org/officeDocument/2006/relationships/hyperlink" Target="http://link.aps.org/doi/10.1103/nxw2-sz2m" TargetMode="External"/><Relationship Id="rId1392" Type="http://schemas.openxmlformats.org/officeDocument/2006/relationships/hyperlink" Target="https://doi.org/10.1103/nxw2-sz2m" TargetMode="External"/><Relationship Id="rId1393" Type="http://schemas.openxmlformats.org/officeDocument/2006/relationships/hyperlink" Target="http://link.aps.org/doi/10.1103/p6wt-2dkx" TargetMode="External"/><Relationship Id="rId1394" Type="http://schemas.openxmlformats.org/officeDocument/2006/relationships/hyperlink" Target="https://doi.org/10.1103/p6wt-2dkx" TargetMode="External"/><Relationship Id="rId1395" Type="http://schemas.openxmlformats.org/officeDocument/2006/relationships/hyperlink" Target="http://link.aps.org/doi/10.1103/1vnb-k7zd" TargetMode="External"/><Relationship Id="rId1396" Type="http://schemas.openxmlformats.org/officeDocument/2006/relationships/hyperlink" Target="https://doi.org/10.1103/1vnb-k7zd" TargetMode="External"/><Relationship Id="rId1397" Type="http://schemas.openxmlformats.org/officeDocument/2006/relationships/hyperlink" Target="http://link.aps.org/doi/10.1103/9kmm-52nx" TargetMode="External"/><Relationship Id="rId1398" Type="http://schemas.openxmlformats.org/officeDocument/2006/relationships/hyperlink" Target="https://doi.org/10.1103/9kmm-52nx" TargetMode="External"/><Relationship Id="rId1399" Type="http://schemas.openxmlformats.org/officeDocument/2006/relationships/hyperlink" Target="http://link.aps.org/doi/10.1103/yr8h-pd77" TargetMode="External"/><Relationship Id="rId1400" Type="http://schemas.openxmlformats.org/officeDocument/2006/relationships/hyperlink" Target="https://doi.org/10.1103/yr8h-pd77" TargetMode="External"/><Relationship Id="rId1401" Type="http://schemas.openxmlformats.org/officeDocument/2006/relationships/hyperlink" Target="http://link.aps.org/doi/10.1103/vbxg-71c2" TargetMode="External"/><Relationship Id="rId1402" Type="http://schemas.openxmlformats.org/officeDocument/2006/relationships/hyperlink" Target="https://doi.org/10.1103/vbxg-71c2" TargetMode="External"/><Relationship Id="rId1403" Type="http://schemas.openxmlformats.org/officeDocument/2006/relationships/hyperlink" Target="http://link.aps.org/doi/10.1103/x38l-5dqc" TargetMode="External"/><Relationship Id="rId1404" Type="http://schemas.openxmlformats.org/officeDocument/2006/relationships/hyperlink" Target="https://doi.org/10.1103/x38l-5dqc" TargetMode="External"/><Relationship Id="rId1405" Type="http://schemas.openxmlformats.org/officeDocument/2006/relationships/hyperlink" Target="http://link.aps.org/doi/10.1103/jnjt-1ghp" TargetMode="External"/><Relationship Id="rId1406" Type="http://schemas.openxmlformats.org/officeDocument/2006/relationships/hyperlink" Target="https://doi.org/10.1103/jnjt-1ghp" TargetMode="External"/><Relationship Id="rId1407" Type="http://schemas.openxmlformats.org/officeDocument/2006/relationships/hyperlink" Target="http://link.aps.org/doi/10.1103/ccd6-rf1s" TargetMode="External"/><Relationship Id="rId1408" Type="http://schemas.openxmlformats.org/officeDocument/2006/relationships/hyperlink" Target="https://doi.org/10.1103/ccd6-rf1s" TargetMode="External"/><Relationship Id="rId1409" Type="http://schemas.openxmlformats.org/officeDocument/2006/relationships/hyperlink" Target="https://pubs.acs.org/jacsat/article/doi/10.1021/jacs.6c07829/5253224/Nonconjugated-Side-Chain-Engineering-Enables" TargetMode="External"/><Relationship Id="rId1410" Type="http://schemas.openxmlformats.org/officeDocument/2006/relationships/hyperlink" Target="https://doi.org/10.1021/jacs.6c07829" TargetMode="External"/><Relationship Id="rId1411" Type="http://schemas.openxmlformats.org/officeDocument/2006/relationships/hyperlink" Target="https://pubs.acs.org/jacsat/article/doi/10.1021/jacs.6c09705/5253683/Elucidating-the-Reciprocal-Interplay-between" TargetMode="External"/><Relationship Id="rId1412" Type="http://schemas.openxmlformats.org/officeDocument/2006/relationships/hyperlink" Target="https://doi.org/10.1021/jacs.6c09705" TargetMode="External"/><Relationship Id="rId1413" Type="http://schemas.openxmlformats.org/officeDocument/2006/relationships/hyperlink" Target="https://pubs.acs.org/jacsat/article/doi/10.1021/jacs.6c03641/5253207/Iron-Stoichiometry-Driven-Pathway-Divergent-C-C" TargetMode="External"/><Relationship Id="rId1414" Type="http://schemas.openxmlformats.org/officeDocument/2006/relationships/hyperlink" Target="https://doi.org/10.1021/jacs.6c03641" TargetMode="External"/><Relationship Id="rId1415" Type="http://schemas.openxmlformats.org/officeDocument/2006/relationships/hyperlink" Target="https://pubs.acs.org/jacsat/article/doi/10.1021/jacs.6c09248/5253659/Molecular-Design-of-Chiral-Naphthalenediimide" TargetMode="External"/><Relationship Id="rId1416" Type="http://schemas.openxmlformats.org/officeDocument/2006/relationships/hyperlink" Target="https://doi.org/10.1021/jacs.6c09248" TargetMode="External"/><Relationship Id="rId1417" Type="http://schemas.openxmlformats.org/officeDocument/2006/relationships/hyperlink" Target="https://pubs.acs.org/jacsat/article/doi/10.1021/jacs.6c10469/5254001/Carbene-Stabilized-Monomeric-Cyanogen-N-Oxide" TargetMode="External"/><Relationship Id="rId1418" Type="http://schemas.openxmlformats.org/officeDocument/2006/relationships/hyperlink" Target="https://doi.org/10.1021/jacs.6c10469" TargetMode="External"/><Relationship Id="rId1419" Type="http://schemas.openxmlformats.org/officeDocument/2006/relationships/hyperlink" Target="https://pubs.acs.org/jacsat/article/doi/10.1021/jacs.5c16771/5253677/Chemically-Modified-Sugars-as-Multifunctional" TargetMode="External"/><Relationship Id="rId1420" Type="http://schemas.openxmlformats.org/officeDocument/2006/relationships/hyperlink" Target="https://doi.org/10.1021/jacs.5c16771" TargetMode="External"/><Relationship Id="rId1421" Type="http://schemas.openxmlformats.org/officeDocument/2006/relationships/hyperlink" Target="https://pubs.acs.org/jacsat/article/doi/10.1021/jacs.6c08998/5253204/Pd-0-Catalyzed-Enantioselective-Formal-Normal" TargetMode="External"/><Relationship Id="rId1422" Type="http://schemas.openxmlformats.org/officeDocument/2006/relationships/hyperlink" Target="https://doi.org/10.1021/jacs.6c08998" TargetMode="External"/><Relationship Id="rId1423" Type="http://schemas.openxmlformats.org/officeDocument/2006/relationships/hyperlink" Target="https://pubs.acs.org/jacsat/article/doi/10.1021/jacs.6c10081/5253731/A-Genetically-Encoded-Electrophilic-Lysine" TargetMode="External"/><Relationship Id="rId1424" Type="http://schemas.openxmlformats.org/officeDocument/2006/relationships/hyperlink" Target="https://doi.org/10.1021/jacs.6c10081" TargetMode="External"/><Relationship Id="rId1425" Type="http://schemas.openxmlformats.org/officeDocument/2006/relationships/hyperlink" Target="https://www.sciencedirect.com/science/article/pii/S0306261926012870?dgcid=rss_sd_all" TargetMode="External"/><Relationship Id="rId1426" Type="http://schemas.openxmlformats.org/officeDocument/2006/relationships/hyperlink" Target="https://doi.org/10.1016/j.apenergy.2026.128631" TargetMode="External"/><Relationship Id="rId1427" Type="http://schemas.openxmlformats.org/officeDocument/2006/relationships/hyperlink" Target="https://pubs.acs.org/jacsat/article/doi/10.1021/jacs.6c06870/5253196/Mapping-of-Multirotor-Dynamics-in-Metal-Organic" TargetMode="External"/><Relationship Id="rId1428" Type="http://schemas.openxmlformats.org/officeDocument/2006/relationships/hyperlink" Target="https://doi.org/10.1021/jacs.6c06870" TargetMode="External"/><Relationship Id="rId1429" Type="http://schemas.openxmlformats.org/officeDocument/2006/relationships/hyperlink" Target="https://pubs.acs.org/jacsat/article/doi/10.1021/jacs.6c10470/5253494/Gold-Quantum-Rods-Modulation-of-Singlet-and" TargetMode="External"/><Relationship Id="rId1430" Type="http://schemas.openxmlformats.org/officeDocument/2006/relationships/hyperlink" Target="https://doi.org/10.1021/jacs.6c10470" TargetMode="External"/><Relationship Id="rId1431" Type="http://schemas.openxmlformats.org/officeDocument/2006/relationships/hyperlink" Target="https://www.nature.com/articles/s41557-026-02223-5" TargetMode="External"/><Relationship Id="rId1432" Type="http://schemas.openxmlformats.org/officeDocument/2006/relationships/hyperlink" Target="https://doi.org/10.1038/s41557-026-02223-5" TargetMode="External"/><Relationship Id="rId1433" Type="http://schemas.openxmlformats.org/officeDocument/2006/relationships/hyperlink" Target="https://www.cell.com/one-earth/fulltext/S2590-3322(26)00181-8?rss=yes" TargetMode="External"/><Relationship Id="rId1434" Type="http://schemas.openxmlformats.org/officeDocument/2006/relationships/hyperlink" Target="https://doi.org/10.1016/j.oneear.2026.101780" TargetMode="External"/><Relationship Id="rId1435" Type="http://schemas.openxmlformats.org/officeDocument/2006/relationships/hyperlink" Target="https://www.cell.com/matter/fulltext/S2590-2385(26)00319-X?rss=yes" TargetMode="External"/><Relationship Id="rId1436" Type="http://schemas.openxmlformats.org/officeDocument/2006/relationships/hyperlink" Target="https://doi.org/10.1016/j.matt.2026.102956" TargetMode="External"/><Relationship Id="rId1437" Type="http://schemas.openxmlformats.org/officeDocument/2006/relationships/hyperlink" Target="https://www.sciencedirect.com/science/article/pii/S0306261926013164?dgcid=rss_sd_all" TargetMode="External"/><Relationship Id="rId1438" Type="http://schemas.openxmlformats.org/officeDocument/2006/relationships/hyperlink" Target="https://doi.org/10.1016/j.apenergy.2026.128660" TargetMode="External"/><Relationship Id="rId1439" Type="http://schemas.openxmlformats.org/officeDocument/2006/relationships/hyperlink" Target="https://www.nmlett.org/index.php/nml/article/view/2633" TargetMode="External"/><Relationship Id="rId1440" Type="http://schemas.openxmlformats.org/officeDocument/2006/relationships/hyperlink" Target="https://doi.org/10.1007/s40820-026-02334-1" TargetMode="External"/><Relationship Id="rId1441" Type="http://schemas.openxmlformats.org/officeDocument/2006/relationships/hyperlink" Target="https://www.nature.com/articles/s41586-026-10896-8" TargetMode="External"/><Relationship Id="rId1442" Type="http://schemas.openxmlformats.org/officeDocument/2006/relationships/hyperlink" Target="https://doi.org/10.1038/s41586-026-10896-8" TargetMode="External"/><Relationship Id="rId1443" Type="http://schemas.openxmlformats.org/officeDocument/2006/relationships/hyperlink" Target="https://www.nature.com/articles/s41586-026-10903-y" TargetMode="External"/><Relationship Id="rId1444" Type="http://schemas.openxmlformats.org/officeDocument/2006/relationships/hyperlink" Target="https://doi.org/10.1038/s41586-026-10903-y" TargetMode="External"/><Relationship Id="rId1445" Type="http://schemas.openxmlformats.org/officeDocument/2006/relationships/hyperlink" Target="https://www.nature.com/articles/s41586-026-10870-4" TargetMode="External"/><Relationship Id="rId1446" Type="http://schemas.openxmlformats.org/officeDocument/2006/relationships/hyperlink" Target="https://doi.org/10.1038/s41586-026-10870-4" TargetMode="External"/><Relationship Id="rId1447" Type="http://schemas.openxmlformats.org/officeDocument/2006/relationships/hyperlink" Target="https://pubs.acs.org/jacsat/article/doi/10.1021/jacs.6c12778/5253999/Temperature-Selected-Defect-Moire-Coupling" TargetMode="External"/><Relationship Id="rId1448" Type="http://schemas.openxmlformats.org/officeDocument/2006/relationships/hyperlink" Target="https://doi.org/10.1021/jacs.6c12778" TargetMode="External"/><Relationship Id="rId1449" Type="http://schemas.openxmlformats.org/officeDocument/2006/relationships/hyperlink" Target="https://www.sciencedirect.com/science/article/pii/S0301421526004842?dgcid=rss_sd_all" TargetMode="External"/><Relationship Id="rId1450" Type="http://schemas.openxmlformats.org/officeDocument/2006/relationships/hyperlink" Target="https://doi.org/10.1016/j.enpol.2026.115550" TargetMode="External"/><Relationship Id="rId1451" Type="http://schemas.openxmlformats.org/officeDocument/2006/relationships/hyperlink" Target="https://www.sciencedirect.com/science/article/pii/S0306261926013140?dgcid=rss_sd_all" TargetMode="External"/><Relationship Id="rId1452" Type="http://schemas.openxmlformats.org/officeDocument/2006/relationships/hyperlink" Target="https://doi.org/10.1016/j.apenergy.2026.128658" TargetMode="External"/><Relationship Id="rId1453" Type="http://schemas.openxmlformats.org/officeDocument/2006/relationships/hyperlink" Target="https://www.nature.com/articles/s41586-026-10724-z" TargetMode="External"/><Relationship Id="rId1454" Type="http://schemas.openxmlformats.org/officeDocument/2006/relationships/hyperlink" Target="https://doi.org/10.1038/s41586-026-10724-z" TargetMode="External"/><Relationship Id="rId1455" Type="http://schemas.openxmlformats.org/officeDocument/2006/relationships/hyperlink" Target="https://www.nature.com/articles/s41467-026-76623-z" TargetMode="External"/><Relationship Id="rId1456" Type="http://schemas.openxmlformats.org/officeDocument/2006/relationships/hyperlink" Target="https://www.nature.com/articles/s41467-026-76590-5" TargetMode="External"/><Relationship Id="rId1457" Type="http://schemas.openxmlformats.org/officeDocument/2006/relationships/hyperlink" Target="https://www.nature.com/articles/s41467-026-76746-3" TargetMode="External"/><Relationship Id="rId1458" Type="http://schemas.openxmlformats.org/officeDocument/2006/relationships/hyperlink" Target="https://www.nature.com/articles/s41467-026-76254-4" TargetMode="External"/><Relationship Id="rId1459" Type="http://schemas.openxmlformats.org/officeDocument/2006/relationships/hyperlink" Target="https://www.nature.com/articles/s41467-026-76596-z" TargetMode="External"/><Relationship Id="rId1460" Type="http://schemas.openxmlformats.org/officeDocument/2006/relationships/hyperlink" Target="https://www.nature.com/articles/s41467-026-76534-z" TargetMode="External"/><Relationship Id="rId1461" Type="http://schemas.openxmlformats.org/officeDocument/2006/relationships/hyperlink" Target="https://www.nature.com/articles/s41467-026-76642-w" TargetMode="External"/><Relationship Id="rId1462" Type="http://schemas.openxmlformats.org/officeDocument/2006/relationships/hyperlink" Target="https://www.nature.com/articles/s41467-026-76621-1" TargetMode="External"/><Relationship Id="rId1463" Type="http://schemas.openxmlformats.org/officeDocument/2006/relationships/hyperlink" Target="https://www.nature.com/articles/s41467-026-76708-9" TargetMode="External"/><Relationship Id="rId1464" Type="http://schemas.openxmlformats.org/officeDocument/2006/relationships/hyperlink" Target="https://www.nature.com/articles/s41467-026-76674-2" TargetMode="External"/><Relationship Id="rId1465" Type="http://schemas.openxmlformats.org/officeDocument/2006/relationships/hyperlink" Target="https://www.nature.com/articles/s41467-026-75073-x" TargetMode="External"/><Relationship Id="rId1466" Type="http://schemas.openxmlformats.org/officeDocument/2006/relationships/hyperlink" Target="https://www.nature.com/articles/s41467-026-76414-6" TargetMode="External"/><Relationship Id="rId1467" Type="http://schemas.openxmlformats.org/officeDocument/2006/relationships/hyperlink" Target="https://www.sciencedirect.com/science/article/pii/S0301421526004787?dgcid=rss_sd_all" TargetMode="External"/><Relationship Id="rId1468" Type="http://schemas.openxmlformats.org/officeDocument/2006/relationships/hyperlink" Target="https://doi.org/10.1016/j.enpol.2026.115544" TargetMode="External"/><Relationship Id="rId1469" Type="http://schemas.openxmlformats.org/officeDocument/2006/relationships/hyperlink" Target="https://www.sciencedirect.com/science/article/pii/S0306261926013310?dgcid=rss_sd_all" TargetMode="External"/><Relationship Id="rId1470" Type="http://schemas.openxmlformats.org/officeDocument/2006/relationships/hyperlink" Target="https://doi.org/10.1016/j.apenergy.2026.128675" TargetMode="External"/><Relationship Id="rId1471" Type="http://schemas.openxmlformats.org/officeDocument/2006/relationships/hyperlink" Target="https://pubs.acs.org/jacsat/article/doi/10.1021/jacs.6c06238/5254010/Record-Second-Harmonic-Generation-and-Exceptional" TargetMode="External"/><Relationship Id="rId1472" Type="http://schemas.openxmlformats.org/officeDocument/2006/relationships/hyperlink" Target="https://doi.org/10.1021/jacs.6c06238" TargetMode="External"/><Relationship Id="rId1473" Type="http://schemas.openxmlformats.org/officeDocument/2006/relationships/hyperlink" Target="https://pubs.acs.org/jacsat/article/doi/10.1021/jacs.6c05244/5253184/Strain-Accelerated-Thiolactone-Native-Chemical" TargetMode="External"/><Relationship Id="rId1474" Type="http://schemas.openxmlformats.org/officeDocument/2006/relationships/hyperlink" Target="https://doi.org/10.1021/jacs.6c05244" TargetMode="External"/><Relationship Id="rId1475" Type="http://schemas.openxmlformats.org/officeDocument/2006/relationships/hyperlink" Target="https://www.nature.com/articles/s41586-026-10922-9" TargetMode="External"/><Relationship Id="rId1476" Type="http://schemas.openxmlformats.org/officeDocument/2006/relationships/hyperlink" Target="https://doi.org/10.1038/s41586-026-10922-9" TargetMode="External"/><Relationship Id="rId1477" Type="http://schemas.openxmlformats.org/officeDocument/2006/relationships/hyperlink" Target="https://www.nature.com/articles/s41467-026-76646-6" TargetMode="External"/><Relationship Id="rId1478" Type="http://schemas.openxmlformats.org/officeDocument/2006/relationships/hyperlink" Target="https://www.nature.com/articles/s41586-026-10880-2" TargetMode="External"/><Relationship Id="rId1479" Type="http://schemas.openxmlformats.org/officeDocument/2006/relationships/hyperlink" Target="https://doi.org/10.1038/s41586-026-10880-2" TargetMode="External"/><Relationship Id="rId1480" Type="http://schemas.openxmlformats.org/officeDocument/2006/relationships/hyperlink" Target="https://www.nature.com/articles/s41586-026-10805-z" TargetMode="External"/><Relationship Id="rId1481" Type="http://schemas.openxmlformats.org/officeDocument/2006/relationships/hyperlink" Target="https://doi.org/10.1038/s41586-026-10805-z" TargetMode="External"/><Relationship Id="rId1482" Type="http://schemas.openxmlformats.org/officeDocument/2006/relationships/hyperlink" Target="https://www.nature.com/articles/s41586-026-10909-6" TargetMode="External"/><Relationship Id="rId1483" Type="http://schemas.openxmlformats.org/officeDocument/2006/relationships/hyperlink" Target="https://doi.org/10.1038/s41586-026-10909-6" TargetMode="External"/><Relationship Id="rId1484" Type="http://schemas.openxmlformats.org/officeDocument/2006/relationships/hyperlink" Target="https://www.nature.com/articles/s41586-026-10916-7" TargetMode="External"/><Relationship Id="rId1485" Type="http://schemas.openxmlformats.org/officeDocument/2006/relationships/hyperlink" Target="https://doi.org/10.1038/s41586-026-10916-7" TargetMode="External"/><Relationship Id="rId1486" Type="http://schemas.openxmlformats.org/officeDocument/2006/relationships/hyperlink" Target="https://www.nature.com/articles/s41586-026-10756-5" TargetMode="External"/><Relationship Id="rId1487" Type="http://schemas.openxmlformats.org/officeDocument/2006/relationships/hyperlink" Target="https://doi.org/10.1038/s41586-026-10756-5" TargetMode="External"/><Relationship Id="rId1488" Type="http://schemas.openxmlformats.org/officeDocument/2006/relationships/hyperlink" Target="https://www.nature.com/articles/s41586-026-10888-8" TargetMode="External"/><Relationship Id="rId1489" Type="http://schemas.openxmlformats.org/officeDocument/2006/relationships/hyperlink" Target="https://doi.org/10.1038/s41586-026-10888-8" TargetMode="External"/><Relationship Id="rId1490" Type="http://schemas.openxmlformats.org/officeDocument/2006/relationships/hyperlink" Target="https://www.nature.com/articles/s41586-026-10886-w" TargetMode="External"/><Relationship Id="rId1491" Type="http://schemas.openxmlformats.org/officeDocument/2006/relationships/hyperlink" Target="https://doi.org/10.1038/s41586-026-10886-w" TargetMode="External"/><Relationship Id="rId1492" Type="http://schemas.openxmlformats.org/officeDocument/2006/relationships/hyperlink" Target="https://www.nature.com/articles/s41586-026-10907-8" TargetMode="External"/><Relationship Id="rId1493" Type="http://schemas.openxmlformats.org/officeDocument/2006/relationships/hyperlink" Target="https://doi.org/10.1038/s41586-026-10907-8" TargetMode="External"/><Relationship Id="rId1494" Type="http://schemas.openxmlformats.org/officeDocument/2006/relationships/hyperlink" Target="https://www.nature.com/articles/d41586-026-02515-3" TargetMode="External"/><Relationship Id="rId1495" Type="http://schemas.openxmlformats.org/officeDocument/2006/relationships/hyperlink" Target="https://doi.org/10.1038/d41586-026-02515-3" TargetMode="External"/><Relationship Id="rId1496" Type="http://schemas.openxmlformats.org/officeDocument/2006/relationships/hyperlink" Target="https://www.nature.com/articles/s41586-026-10878-w" TargetMode="External"/><Relationship Id="rId1497" Type="http://schemas.openxmlformats.org/officeDocument/2006/relationships/hyperlink" Target="https://doi.org/10.1038/s41586-026-10878-w" TargetMode="External"/><Relationship Id="rId1498" Type="http://schemas.openxmlformats.org/officeDocument/2006/relationships/hyperlink" Target="https://pubs.acs.org/aamick/article/doi/10.1021/acsami.6c11613/5252867/Framework-Flexibility-and-Chemical-Stability-of-a" TargetMode="External"/><Relationship Id="rId1499" Type="http://schemas.openxmlformats.org/officeDocument/2006/relationships/hyperlink" Target="https://doi.org/10.1021/acsami.6c11613" TargetMode="External"/><Relationship Id="rId1500" Type="http://schemas.openxmlformats.org/officeDocument/2006/relationships/hyperlink" Target="https://pubs.acs.org/aamick/article/doi/10.1021/acsami.6c07362/5253716/CaCl2-Enhanced-Interpenetrating-Polymer-Network" TargetMode="External"/><Relationship Id="rId1501" Type="http://schemas.openxmlformats.org/officeDocument/2006/relationships/hyperlink" Target="https://doi.org/10.1021/acsami.6c07362" TargetMode="External"/><Relationship Id="rId1502" Type="http://schemas.openxmlformats.org/officeDocument/2006/relationships/hyperlink" Target="https://pubs.acs.org/aamick/article/doi/10.1021/acsami.6c09000/5253404/Highly-Mechanically-Robust-Human-Derived-Hydrogels" TargetMode="External"/><Relationship Id="rId1503" Type="http://schemas.openxmlformats.org/officeDocument/2006/relationships/hyperlink" Target="https://doi.org/10.1021/acsami.6c09000" TargetMode="External"/><Relationship Id="rId1504" Type="http://schemas.openxmlformats.org/officeDocument/2006/relationships/hyperlink" Target="https://pubs.acs.org/aamick/article/doi/10.1021/acsami.6c05140/5253846/Enhancing-Stretchability-and-Function-in-OFETs-A" TargetMode="External"/><Relationship Id="rId1505" Type="http://schemas.openxmlformats.org/officeDocument/2006/relationships/hyperlink" Target="https://doi.org/10.1021/acsami.6c05140" TargetMode="External"/><Relationship Id="rId1506" Type="http://schemas.openxmlformats.org/officeDocument/2006/relationships/hyperlink" Target="https://pubs.acs.org/aamick/article/doi/10.1021/acsami.6c13326/5253718/Phase-Transition-Induced-Turing-Wrinkling" TargetMode="External"/><Relationship Id="rId1507" Type="http://schemas.openxmlformats.org/officeDocument/2006/relationships/hyperlink" Target="https://doi.org/10.1021/acsami.6c13326" TargetMode="External"/><Relationship Id="rId1508" Type="http://schemas.openxmlformats.org/officeDocument/2006/relationships/hyperlink" Target="https://pubs.acs.org/aamick/article/doi/10.1021/acsami.6c11513/5253856/Engineering-Redox-Active-Nanozymes-as-Emerging" TargetMode="External"/><Relationship Id="rId1509" Type="http://schemas.openxmlformats.org/officeDocument/2006/relationships/hyperlink" Target="https://doi.org/10.1021/acsami.6c11513" TargetMode="External"/><Relationship Id="rId1510" Type="http://schemas.openxmlformats.org/officeDocument/2006/relationships/hyperlink" Target="https://academic.oup.com/nsr/advance-article/doi/10.1093/nsr/nwag486/8759706?rss=1" TargetMode="External"/><Relationship Id="rId1511" Type="http://schemas.openxmlformats.org/officeDocument/2006/relationships/hyperlink" Target="https://doi.org/10.1093/nsr/nwag486" TargetMode="External"/><Relationship Id="rId1512" Type="http://schemas.openxmlformats.org/officeDocument/2006/relationships/hyperlink" Target="https://www.nature.com/articles/s41586-026-10788-x" TargetMode="External"/><Relationship Id="rId1513" Type="http://schemas.openxmlformats.org/officeDocument/2006/relationships/hyperlink" Target="https://doi.org/10.1038/s41586-026-10788-x" TargetMode="External"/><Relationship Id="rId1514" Type="http://schemas.openxmlformats.org/officeDocument/2006/relationships/hyperlink" Target="https://www.nature.com/articles/s41586-026-10787-y" TargetMode="External"/><Relationship Id="rId1515" Type="http://schemas.openxmlformats.org/officeDocument/2006/relationships/hyperlink" Target="https://doi.org/10.1038/s41586-026-10787-y" TargetMode="External"/><Relationship Id="rId1516" Type="http://schemas.openxmlformats.org/officeDocument/2006/relationships/hyperlink" Target="https://www.nature.com/articles/d41586-026-02291-0" TargetMode="External"/><Relationship Id="rId1517" Type="http://schemas.openxmlformats.org/officeDocument/2006/relationships/hyperlink" Target="https://doi.org/10.1038/d41586-026-02291-0" TargetMode="External"/><Relationship Id="rId1518" Type="http://schemas.openxmlformats.org/officeDocument/2006/relationships/hyperlink" Target="https://www.nature.com/articles/d41586-026-02521-5" TargetMode="External"/><Relationship Id="rId1519" Type="http://schemas.openxmlformats.org/officeDocument/2006/relationships/hyperlink" Target="https://doi.org/10.1038/d41586-026-02521-5" TargetMode="External"/><Relationship Id="rId1520" Type="http://schemas.openxmlformats.org/officeDocument/2006/relationships/hyperlink" Target="https://www.nature.com/articles/s41586-026-10857-1" TargetMode="External"/><Relationship Id="rId1521" Type="http://schemas.openxmlformats.org/officeDocument/2006/relationships/hyperlink" Target="https://doi.org/10.1038/s41586-026-10857-1" TargetMode="External"/><Relationship Id="rId1522" Type="http://schemas.openxmlformats.org/officeDocument/2006/relationships/hyperlink" Target="https://www.nature.com/articles/s41586-026-10906-9" TargetMode="External"/><Relationship Id="rId1523" Type="http://schemas.openxmlformats.org/officeDocument/2006/relationships/hyperlink" Target="https://doi.org/10.1038/s41586-026-10906-9" TargetMode="External"/><Relationship Id="rId1524" Type="http://schemas.openxmlformats.org/officeDocument/2006/relationships/hyperlink" Target="https://www.nature.com/articles/s41586-026-10925-6" TargetMode="External"/><Relationship Id="rId1525" Type="http://schemas.openxmlformats.org/officeDocument/2006/relationships/hyperlink" Target="https://doi.org/10.1038/s41586-026-10925-6" TargetMode="External"/><Relationship Id="rId1526" Type="http://schemas.openxmlformats.org/officeDocument/2006/relationships/hyperlink" Target="https://www.nature.com/articles/s41586-026-10846-4" TargetMode="External"/><Relationship Id="rId1527" Type="http://schemas.openxmlformats.org/officeDocument/2006/relationships/hyperlink" Target="https://doi.org/10.1038/s41586-026-10846-4" TargetMode="External"/><Relationship Id="rId1528" Type="http://schemas.openxmlformats.org/officeDocument/2006/relationships/hyperlink" Target="https://www.nature.com/articles/d41586-026-02473-w" TargetMode="External"/><Relationship Id="rId1529" Type="http://schemas.openxmlformats.org/officeDocument/2006/relationships/hyperlink" Target="https://doi.org/10.1038/d41586-026-02473-w" TargetMode="External"/><Relationship Id="rId1530" Type="http://schemas.openxmlformats.org/officeDocument/2006/relationships/hyperlink" Target="https://www.nature.com/articles/d41586-026-02478-5" TargetMode="External"/><Relationship Id="rId1531" Type="http://schemas.openxmlformats.org/officeDocument/2006/relationships/hyperlink" Target="https://doi.org/10.1038/d41586-026-02478-5" TargetMode="External"/><Relationship Id="rId1532" Type="http://schemas.openxmlformats.org/officeDocument/2006/relationships/hyperlink" Target="https://www.nature.com/articles/d41586-026-02292-z" TargetMode="External"/><Relationship Id="rId1533" Type="http://schemas.openxmlformats.org/officeDocument/2006/relationships/hyperlink" Target="https://doi.org/10.1038/d41586-026-02292-z" TargetMode="External"/><Relationship Id="rId1534" Type="http://schemas.openxmlformats.org/officeDocument/2006/relationships/hyperlink" Target="https://www.nature.com/articles/d41586-026-02448-x" TargetMode="External"/><Relationship Id="rId1535" Type="http://schemas.openxmlformats.org/officeDocument/2006/relationships/hyperlink" Target="https://doi.org/10.1038/d41586-026-02448-x" TargetMode="External"/><Relationship Id="rId1536" Type="http://schemas.openxmlformats.org/officeDocument/2006/relationships/hyperlink" Target="https://www.nature.com/articles/d41586-026-02408-5" TargetMode="External"/><Relationship Id="rId1537" Type="http://schemas.openxmlformats.org/officeDocument/2006/relationships/hyperlink" Target="https://doi.org/10.1038/d41586-026-02408-5" TargetMode="External"/><Relationship Id="rId1538" Type="http://schemas.openxmlformats.org/officeDocument/2006/relationships/hyperlink" Target="https://www.nature.com/articles/d41586-026-02290-1" TargetMode="External"/><Relationship Id="rId1539" Type="http://schemas.openxmlformats.org/officeDocument/2006/relationships/hyperlink" Target="https://doi.org/10.1038/d41586-026-02290-1" TargetMode="External"/><Relationship Id="rId1540" Type="http://schemas.openxmlformats.org/officeDocument/2006/relationships/hyperlink" Target="https://www.nature.com/articles/d41586-026-02498-1" TargetMode="External"/><Relationship Id="rId1541" Type="http://schemas.openxmlformats.org/officeDocument/2006/relationships/hyperlink" Target="https://doi.org/10.1038/d41586-026-02498-1" TargetMode="External"/><Relationship Id="rId1542" Type="http://schemas.openxmlformats.org/officeDocument/2006/relationships/hyperlink" Target="https://www.nature.com/articles/d41586-026-02159-3" TargetMode="External"/><Relationship Id="rId1543" Type="http://schemas.openxmlformats.org/officeDocument/2006/relationships/hyperlink" Target="https://doi.org/10.1038/d41586-026-02159-3" TargetMode="External"/><Relationship Id="rId1544" Type="http://schemas.openxmlformats.org/officeDocument/2006/relationships/hyperlink" Target="https://www.nature.com/articles/d41586-026-02496-3" TargetMode="External"/><Relationship Id="rId1545" Type="http://schemas.openxmlformats.org/officeDocument/2006/relationships/hyperlink" Target="https://doi.org/10.1038/d41586-026-02496-3" TargetMode="External"/><Relationship Id="rId1546" Type="http://schemas.openxmlformats.org/officeDocument/2006/relationships/hyperlink" Target="https://www.nature.com/articles/d41586-026-02395-7" TargetMode="External"/><Relationship Id="rId1547" Type="http://schemas.openxmlformats.org/officeDocument/2006/relationships/hyperlink" Target="https://doi.org/10.1038/d41586-026-02395-7" TargetMode="External"/><Relationship Id="rId1548" Type="http://schemas.openxmlformats.org/officeDocument/2006/relationships/hyperlink" Target="https://www.nature.com/articles/s41586-026-10889-7" TargetMode="External"/><Relationship Id="rId1549" Type="http://schemas.openxmlformats.org/officeDocument/2006/relationships/hyperlink" Target="https://doi.org/10.1038/s41586-026-10889-7" TargetMode="External"/><Relationship Id="rId1550" Type="http://schemas.openxmlformats.org/officeDocument/2006/relationships/hyperlink" Target="https://www.nature.com/articles/s41586-026-10891-z" TargetMode="External"/><Relationship Id="rId1551" Type="http://schemas.openxmlformats.org/officeDocument/2006/relationships/hyperlink" Target="https://doi.org/10.1038/s41586-026-10891-z" TargetMode="External"/><Relationship Id="rId1552" Type="http://schemas.openxmlformats.org/officeDocument/2006/relationships/hyperlink" Target="https://www.nature.com/articles/d41586-026-02463-y" TargetMode="External"/><Relationship Id="rId1553" Type="http://schemas.openxmlformats.org/officeDocument/2006/relationships/hyperlink" Target="https://doi.org/10.1038/d41586-026-02463-y" TargetMode="External"/><Relationship Id="rId1554" Type="http://schemas.openxmlformats.org/officeDocument/2006/relationships/hyperlink" Target="https://www.nature.com/articles/s41586-026-10773-4" TargetMode="External"/><Relationship Id="rId1555" Type="http://schemas.openxmlformats.org/officeDocument/2006/relationships/hyperlink" Target="https://doi.org/10.1038/s41586-026-10773-4" TargetMode="External"/><Relationship Id="rId1556" Type="http://schemas.openxmlformats.org/officeDocument/2006/relationships/hyperlink" Target="https://www.cell.com/chem/fulltext/S2451-9294(26)00266-4?rss=yes" TargetMode="External"/><Relationship Id="rId1557" Type="http://schemas.openxmlformats.org/officeDocument/2006/relationships/hyperlink" Target="https://doi.org/10.1016/j.chempr.2026.103200" TargetMode="External"/><Relationship Id="rId1558" Type="http://schemas.openxmlformats.org/officeDocument/2006/relationships/hyperlink" Target="https://www.nature.com/articles/s41586-026-10774-3" TargetMode="External"/><Relationship Id="rId1559" Type="http://schemas.openxmlformats.org/officeDocument/2006/relationships/hyperlink" Target="https://doi.org/10.1038/s41586-026-10774-3" TargetMode="External"/><Relationship Id="rId1560" Type="http://schemas.openxmlformats.org/officeDocument/2006/relationships/hyperlink" Target="https://www.nature.com/articles/d41586-026-02461-0" TargetMode="External"/><Relationship Id="rId1561" Type="http://schemas.openxmlformats.org/officeDocument/2006/relationships/hyperlink" Target="https://doi.org/10.1038/d41586-026-02461-0" TargetMode="External"/><Relationship Id="rId1562" Type="http://schemas.openxmlformats.org/officeDocument/2006/relationships/hyperlink" Target="https://www.nature.com/articles/s41563-026-02675-7" TargetMode="External"/><Relationship Id="rId1563" Type="http://schemas.openxmlformats.org/officeDocument/2006/relationships/hyperlink" Target="https://doi.org/10.1038/s41563-026-02675-7" TargetMode="External"/><Relationship Id="rId1564" Type="http://schemas.openxmlformats.org/officeDocument/2006/relationships/hyperlink" Target="https://www.pnas.org/doi/abs/10.1073/pnas.2605086123?mi=eymic2&amp;af=R&amp;access=on&amp;content=articlesChapters&amp;publication=pnas&amp;sortBy=Earliest&amp;target=default" TargetMode="External"/><Relationship Id="rId1565" Type="http://schemas.openxmlformats.org/officeDocument/2006/relationships/hyperlink" Target="https://doi.org/10.1073/pnas.2605086123" TargetMode="External"/><Relationship Id="rId1566" Type="http://schemas.openxmlformats.org/officeDocument/2006/relationships/hyperlink" Target="https://www.science.org/doi/abs/10.1126/sciadv.aeh8194?af=R" TargetMode="External"/><Relationship Id="rId1567" Type="http://schemas.openxmlformats.org/officeDocument/2006/relationships/hyperlink" Target="https://doi.org/10.1126/sciadv.aeh8194" TargetMode="External"/><Relationship Id="rId1568" Type="http://schemas.openxmlformats.org/officeDocument/2006/relationships/hyperlink" Target="https://www.pnas.org/doi/abs/10.1073/pnas.2607774123?mi=eymic2&amp;af=R&amp;access=on&amp;content=articlesChapters&amp;publication=pnas&amp;sortBy=Earliest&amp;target=default" TargetMode="External"/><Relationship Id="rId1569" Type="http://schemas.openxmlformats.org/officeDocument/2006/relationships/hyperlink" Target="https://doi.org/10.1073/pnas.2607774123" TargetMode="External"/><Relationship Id="rId1570" Type="http://schemas.openxmlformats.org/officeDocument/2006/relationships/hyperlink" Target="https://www.pnas.org/doi/abs/10.1073/pnas.2608436123?mi=eymic2&amp;af=R&amp;access=on&amp;content=articlesChapters&amp;publication=pnas&amp;sortBy=Earliest&amp;target=default" TargetMode="External"/><Relationship Id="rId1571" Type="http://schemas.openxmlformats.org/officeDocument/2006/relationships/hyperlink" Target="https://doi.org/10.1073/pnas.2608436123" TargetMode="External"/><Relationship Id="rId1572" Type="http://schemas.openxmlformats.org/officeDocument/2006/relationships/hyperlink" Target="https://www.science.org/doi/abs/10.1126/sciadv.aee4522?af=R" TargetMode="External"/><Relationship Id="rId1573" Type="http://schemas.openxmlformats.org/officeDocument/2006/relationships/hyperlink" Target="https://doi.org/10.1126/sciadv.aee4522" TargetMode="External"/><Relationship Id="rId1574" Type="http://schemas.openxmlformats.org/officeDocument/2006/relationships/hyperlink" Target="https://www.science.org/doi/abs/10.1126/sciadv.aeg3567?af=R" TargetMode="External"/><Relationship Id="rId1575" Type="http://schemas.openxmlformats.org/officeDocument/2006/relationships/hyperlink" Target="https://doi.org/10.1126/sciadv.aeg3567" TargetMode="External"/><Relationship Id="rId1576" Type="http://schemas.openxmlformats.org/officeDocument/2006/relationships/hyperlink" Target="https://www.science.org/doi/abs/10.1126/sciadv.aeb8377?af=R" TargetMode="External"/><Relationship Id="rId1577" Type="http://schemas.openxmlformats.org/officeDocument/2006/relationships/hyperlink" Target="https://doi.org/10.1126/sciadv.aeb8377" TargetMode="External"/><Relationship Id="rId1578" Type="http://schemas.openxmlformats.org/officeDocument/2006/relationships/hyperlink" Target="https://www.science.org/doi/abs/10.1126/sciadv.aef9926?af=R" TargetMode="External"/><Relationship Id="rId1579" Type="http://schemas.openxmlformats.org/officeDocument/2006/relationships/hyperlink" Target="https://doi.org/10.1126/sciadv.aef9926" TargetMode="External"/><Relationship Id="rId1580" Type="http://schemas.openxmlformats.org/officeDocument/2006/relationships/hyperlink" Target="https://www.science.org/doi/abs/10.1126/sciadv.aef2986?af=R" TargetMode="External"/><Relationship Id="rId1581" Type="http://schemas.openxmlformats.org/officeDocument/2006/relationships/hyperlink" Target="https://doi.org/10.1126/sciadv.aef2986" TargetMode="External"/><Relationship Id="rId1582" Type="http://schemas.openxmlformats.org/officeDocument/2006/relationships/hyperlink" Target="https://www.science.org/doi/abs/10.1126/sciadv.aeh5593?af=R" TargetMode="External"/><Relationship Id="rId1583" Type="http://schemas.openxmlformats.org/officeDocument/2006/relationships/hyperlink" Target="https://doi.org/10.1126/sciadv.aeh5593" TargetMode="External"/><Relationship Id="rId1584" Type="http://schemas.openxmlformats.org/officeDocument/2006/relationships/hyperlink" Target="https://www.science.org/doi/abs/10.1126/sciadv.aef6559?af=R" TargetMode="External"/><Relationship Id="rId1585" Type="http://schemas.openxmlformats.org/officeDocument/2006/relationships/hyperlink" Target="https://doi.org/10.1126/sciadv.aef6559" TargetMode="External"/><Relationship Id="rId1586" Type="http://schemas.openxmlformats.org/officeDocument/2006/relationships/hyperlink" Target="https://www.science.org/doi/abs/10.1126/sciadv.aeh0657?af=R" TargetMode="External"/><Relationship Id="rId1587" Type="http://schemas.openxmlformats.org/officeDocument/2006/relationships/hyperlink" Target="https://doi.org/10.1126/sciadv.aeh0657" TargetMode="External"/><Relationship Id="rId1588" Type="http://schemas.openxmlformats.org/officeDocument/2006/relationships/hyperlink" Target="https://www.science.org/doi/abs/10.1126/sciadv.aeg5802?af=R" TargetMode="External"/><Relationship Id="rId1589" Type="http://schemas.openxmlformats.org/officeDocument/2006/relationships/hyperlink" Target="https://doi.org/10.1126/sciadv.aeg5802" TargetMode="External"/><Relationship Id="rId1590" Type="http://schemas.openxmlformats.org/officeDocument/2006/relationships/hyperlink" Target="https://www.science.org/doi/abs/10.1126/sciadv.aef9769?af=R" TargetMode="External"/><Relationship Id="rId1591" Type="http://schemas.openxmlformats.org/officeDocument/2006/relationships/hyperlink" Target="https://doi.org/10.1126/sciadv.aef9769" TargetMode="External"/><Relationship Id="rId1592" Type="http://schemas.openxmlformats.org/officeDocument/2006/relationships/hyperlink" Target="https://www.science.org/doi/abs/10.1126/sciadv.aef5620?af=R" TargetMode="External"/><Relationship Id="rId1593" Type="http://schemas.openxmlformats.org/officeDocument/2006/relationships/hyperlink" Target="https://doi.org/10.1126/sciadv.aef5620" TargetMode="External"/><Relationship Id="rId1594" Type="http://schemas.openxmlformats.org/officeDocument/2006/relationships/hyperlink" Target="https://www.science.org/doi/abs/10.1126/sciadv.aef5617?af=R" TargetMode="External"/><Relationship Id="rId1595" Type="http://schemas.openxmlformats.org/officeDocument/2006/relationships/hyperlink" Target="https://doi.org/10.1126/sciadv.aef5617" TargetMode="External"/><Relationship Id="rId1596" Type="http://schemas.openxmlformats.org/officeDocument/2006/relationships/hyperlink" Target="https://www.science.org/doi/abs/10.1126/sciadv.aef1581?af=R" TargetMode="External"/><Relationship Id="rId1597" Type="http://schemas.openxmlformats.org/officeDocument/2006/relationships/hyperlink" Target="https://doi.org/10.1126/sciadv.aef1581" TargetMode="External"/><Relationship Id="rId1598" Type="http://schemas.openxmlformats.org/officeDocument/2006/relationships/hyperlink" Target="https://www.pnas.org/doi/abs/10.1073/pnas.2609141123?mi=eymic2&amp;af=R&amp;access=on&amp;content=articlesChapters&amp;publication=pnas&amp;sortBy=Earliest&amp;target=default" TargetMode="External"/><Relationship Id="rId1599" Type="http://schemas.openxmlformats.org/officeDocument/2006/relationships/hyperlink" Target="https://doi.org/10.1073/pnas.2609141123" TargetMode="External"/><Relationship Id="rId1600" Type="http://schemas.openxmlformats.org/officeDocument/2006/relationships/hyperlink" Target="https://www.pnas.org/doi/abs/10.1073/pnas.2604805123?mi=eymic2&amp;af=R&amp;access=on&amp;content=articlesChapters&amp;publication=pnas&amp;sortBy=Earliest&amp;target=default" TargetMode="External"/><Relationship Id="rId1601" Type="http://schemas.openxmlformats.org/officeDocument/2006/relationships/hyperlink" Target="https://doi.org/10.1073/pnas.2604805123" TargetMode="External"/><Relationship Id="rId1602" Type="http://schemas.openxmlformats.org/officeDocument/2006/relationships/hyperlink" Target="https://www.science.org/doi/abs/10.1126/sciadv.aeh2835?af=R" TargetMode="External"/><Relationship Id="rId1603" Type="http://schemas.openxmlformats.org/officeDocument/2006/relationships/hyperlink" Target="https://doi.org/10.1126/sciadv.aeh2835" TargetMode="External"/><Relationship Id="rId1604" Type="http://schemas.openxmlformats.org/officeDocument/2006/relationships/hyperlink" Target="https://www.pnas.org/doi/abs/10.1073/pnas.2603437123?mi=eymic2&amp;af=R&amp;access=on&amp;content=articlesChapters&amp;publication=pnas&amp;sortBy=Earliest&amp;target=default" TargetMode="External"/><Relationship Id="rId1605" Type="http://schemas.openxmlformats.org/officeDocument/2006/relationships/hyperlink" Target="https://doi.org/10.1073/pnas.2603437123" TargetMode="External"/><Relationship Id="rId1606" Type="http://schemas.openxmlformats.org/officeDocument/2006/relationships/hyperlink" Target="https://www.science.org/doi/abs/10.1126/sciadv.aeg1542?af=R" TargetMode="External"/><Relationship Id="rId1607" Type="http://schemas.openxmlformats.org/officeDocument/2006/relationships/hyperlink" Target="https://doi.org/10.1126/sciadv.aeg1542" TargetMode="External"/><Relationship Id="rId1608" Type="http://schemas.openxmlformats.org/officeDocument/2006/relationships/hyperlink" Target="https://www.pnas.org/doi/abs/10.1073/pnas.2536143123?mi=eymic2&amp;af=R&amp;access=on&amp;content=articlesChapters&amp;publication=pnas&amp;sortBy=Earliest&amp;target=default" TargetMode="External"/><Relationship Id="rId1609" Type="http://schemas.openxmlformats.org/officeDocument/2006/relationships/hyperlink" Target="https://doi.org/10.1073/pnas.2536143123" TargetMode="External"/><Relationship Id="rId1610" Type="http://schemas.openxmlformats.org/officeDocument/2006/relationships/hyperlink" Target="https://www.science.org/doi/abs/10.1126/sciadv.aec3399?af=R" TargetMode="External"/><Relationship Id="rId1611" Type="http://schemas.openxmlformats.org/officeDocument/2006/relationships/hyperlink" Target="https://doi.org/10.1126/sciadv.aec3399" TargetMode="External"/><Relationship Id="rId1612" Type="http://schemas.openxmlformats.org/officeDocument/2006/relationships/hyperlink" Target="https://www.science.org/doi/abs/10.1126/sciadv.adz0583?af=R" TargetMode="External"/><Relationship Id="rId1613" Type="http://schemas.openxmlformats.org/officeDocument/2006/relationships/hyperlink" Target="https://doi.org/10.1126/sciadv.adz0583" TargetMode="External"/><Relationship Id="rId1614" Type="http://schemas.openxmlformats.org/officeDocument/2006/relationships/hyperlink" Target="https://www.science.org/doi/abs/10.1126/sciadv.aec3536?af=R" TargetMode="External"/><Relationship Id="rId1615" Type="http://schemas.openxmlformats.org/officeDocument/2006/relationships/hyperlink" Target="https://doi.org/10.1126/sciadv.aec3536" TargetMode="External"/><Relationship Id="rId1616" Type="http://schemas.openxmlformats.org/officeDocument/2006/relationships/hyperlink" Target="https://www.science.org/doi/abs/10.1126/sciadv.aec3842?af=R" TargetMode="External"/><Relationship Id="rId1617" Type="http://schemas.openxmlformats.org/officeDocument/2006/relationships/hyperlink" Target="https://doi.org/10.1126/sciadv.aec3842" TargetMode="External"/><Relationship Id="rId1618" Type="http://schemas.openxmlformats.org/officeDocument/2006/relationships/hyperlink" Target="https://www.science.org/doi/abs/10.1126/sciadv.adz1892?af=R" TargetMode="External"/><Relationship Id="rId1619" Type="http://schemas.openxmlformats.org/officeDocument/2006/relationships/hyperlink" Target="https://doi.org/10.1126/sciadv.adz1892" TargetMode="External"/><Relationship Id="rId1620" Type="http://schemas.openxmlformats.org/officeDocument/2006/relationships/hyperlink" Target="https://www.science.org/doi/abs/10.1126/sciadv.aed4055?af=R" TargetMode="External"/><Relationship Id="rId1621" Type="http://schemas.openxmlformats.org/officeDocument/2006/relationships/hyperlink" Target="https://doi.org/10.1126/sciadv.aed4055" TargetMode="External"/><Relationship Id="rId1622" Type="http://schemas.openxmlformats.org/officeDocument/2006/relationships/hyperlink" Target="https://www.science.org/doi/abs/10.1126/sciadv.aee9000?af=R" TargetMode="External"/><Relationship Id="rId1623" Type="http://schemas.openxmlformats.org/officeDocument/2006/relationships/hyperlink" Target="https://doi.org/10.1126/sciadv.aee9000" TargetMode="External"/><Relationship Id="rId1624" Type="http://schemas.openxmlformats.org/officeDocument/2006/relationships/hyperlink" Target="https://www.pnas.org/doi/abs/10.1073/pnas.2613258123?mi=eymic2&amp;af=R&amp;access=on&amp;content=articlesChapters&amp;publication=pnas&amp;sortBy=Earliest&amp;target=default" TargetMode="External"/><Relationship Id="rId1625" Type="http://schemas.openxmlformats.org/officeDocument/2006/relationships/hyperlink" Target="https://doi.org/10.1073/pnas.2613258123" TargetMode="External"/><Relationship Id="rId1626" Type="http://schemas.openxmlformats.org/officeDocument/2006/relationships/hyperlink" Target="https://www.science.org/doi/abs/10.1126/sciadv.aee6914?af=R" TargetMode="External"/><Relationship Id="rId1627" Type="http://schemas.openxmlformats.org/officeDocument/2006/relationships/hyperlink" Target="https://doi.org/10.1126/sciadv.aee6914" TargetMode="External"/><Relationship Id="rId1628" Type="http://schemas.openxmlformats.org/officeDocument/2006/relationships/hyperlink" Target="https://www.science.org/doi/abs/10.1126/sciadv.aee5305?af=R" TargetMode="External"/><Relationship Id="rId1629" Type="http://schemas.openxmlformats.org/officeDocument/2006/relationships/hyperlink" Target="https://doi.org/10.1126/sciadv.aee5305" TargetMode="External"/><Relationship Id="rId1630" Type="http://schemas.openxmlformats.org/officeDocument/2006/relationships/hyperlink" Target="https://www.science.org/doi/abs/10.1126/sciadv.aee3993?af=R" TargetMode="External"/><Relationship Id="rId1631" Type="http://schemas.openxmlformats.org/officeDocument/2006/relationships/hyperlink" Target="https://doi.org/10.1126/sciadv.aee3993" TargetMode="External"/><Relationship Id="rId1632" Type="http://schemas.openxmlformats.org/officeDocument/2006/relationships/hyperlink" Target="https://www.science.org/doi/abs/10.1126/sciadv.aee3254?af=R" TargetMode="External"/><Relationship Id="rId1633" Type="http://schemas.openxmlformats.org/officeDocument/2006/relationships/hyperlink" Target="https://doi.org/10.1126/sciadv.aee3254" TargetMode="External"/><Relationship Id="rId1634" Type="http://schemas.openxmlformats.org/officeDocument/2006/relationships/hyperlink" Target="https://www.science.org/doi/abs/10.1126/sciadv.aee2305?af=R" TargetMode="External"/><Relationship Id="rId1635" Type="http://schemas.openxmlformats.org/officeDocument/2006/relationships/hyperlink" Target="https://doi.org/10.1126/sciadv.aee2305" TargetMode="External"/><Relationship Id="rId1636" Type="http://schemas.openxmlformats.org/officeDocument/2006/relationships/hyperlink" Target="https://www.science.org/doi/abs/10.1126/sciadv.aee0509?af=R" TargetMode="External"/><Relationship Id="rId1637" Type="http://schemas.openxmlformats.org/officeDocument/2006/relationships/hyperlink" Target="https://doi.org/10.1126/sciadv.aee0509" TargetMode="External"/><Relationship Id="rId1638" Type="http://schemas.openxmlformats.org/officeDocument/2006/relationships/hyperlink" Target="https://www.science.org/doi/abs/10.1126/sciadv.aee0180?af=R" TargetMode="External"/><Relationship Id="rId1639" Type="http://schemas.openxmlformats.org/officeDocument/2006/relationships/hyperlink" Target="https://doi.org/10.1126/sciadv.aee0180" TargetMode="External"/><Relationship Id="rId1640" Type="http://schemas.openxmlformats.org/officeDocument/2006/relationships/hyperlink" Target="https://www.science.org/doi/abs/10.1126/sciadv.aed8901?af=R" TargetMode="External"/><Relationship Id="rId1641" Type="http://schemas.openxmlformats.org/officeDocument/2006/relationships/hyperlink" Target="https://doi.org/10.1126/sciadv.aed8901" TargetMode="External"/><Relationship Id="rId1642" Type="http://schemas.openxmlformats.org/officeDocument/2006/relationships/hyperlink" Target="https://www.science.org/doi/abs/10.1126/sciadv.aee5871?af=R" TargetMode="External"/><Relationship Id="rId1643" Type="http://schemas.openxmlformats.org/officeDocument/2006/relationships/hyperlink" Target="https://doi.org/10.1126/sciadv.aee5871" TargetMode="External"/><Relationship Id="rId1644" Type="http://schemas.openxmlformats.org/officeDocument/2006/relationships/hyperlink" Target="https://www.pnas.org/doi/abs/10.1073/pnas.2617602123?mi=eymic2&amp;af=R&amp;access=on&amp;content=articlesChapters&amp;publication=pnas&amp;sortBy=Earliest&amp;target=default" TargetMode="External"/><Relationship Id="rId1645" Type="http://schemas.openxmlformats.org/officeDocument/2006/relationships/hyperlink" Target="https://doi.org/10.1073/pnas.2617602123" TargetMode="External"/><Relationship Id="rId1646" Type="http://schemas.openxmlformats.org/officeDocument/2006/relationships/hyperlink" Target="https://www.science.org/doi/abs/10.1126/sciadv.aed5692?af=R" TargetMode="External"/><Relationship Id="rId1647" Type="http://schemas.openxmlformats.org/officeDocument/2006/relationships/hyperlink" Target="https://doi.org/10.1126/sciadv.aed5692" TargetMode="External"/><Relationship Id="rId1648" Type="http://schemas.openxmlformats.org/officeDocument/2006/relationships/hyperlink" Target="https://www.pnas.org/doi/abs/10.1073/pnas.2619147123?mi=eymic2&amp;af=R&amp;access=on&amp;content=articlesChapters&amp;publication=pnas&amp;sortBy=Earliest&amp;target=default" TargetMode="External"/><Relationship Id="rId1649" Type="http://schemas.openxmlformats.org/officeDocument/2006/relationships/hyperlink" Target="https://doi.org/10.1073/pnas.2619147123" TargetMode="External"/><Relationship Id="rId1650" Type="http://schemas.openxmlformats.org/officeDocument/2006/relationships/hyperlink" Target="https://www.science.org/doi/abs/10.1126/sciadv.aee9298?af=R" TargetMode="External"/><Relationship Id="rId1651" Type="http://schemas.openxmlformats.org/officeDocument/2006/relationships/hyperlink" Target="https://doi.org/10.1126/sciadv.aee9298" TargetMode="External"/><Relationship Id="rId1652" Type="http://schemas.openxmlformats.org/officeDocument/2006/relationships/hyperlink" Target="https://www.pnas.org/doi/abs/10.1073/pnas.2525359123?mi=eymic2&amp;af=R&amp;access=on&amp;content=articlesChapters&amp;publication=pnas&amp;sortBy=Earliest&amp;target=default" TargetMode="External"/><Relationship Id="rId1653" Type="http://schemas.openxmlformats.org/officeDocument/2006/relationships/hyperlink" Target="https://doi.org/10.1073/pnas.2525359123" TargetMode="External"/><Relationship Id="rId1654" Type="http://schemas.openxmlformats.org/officeDocument/2006/relationships/hyperlink" Target="https://www.pnas.org/doi/abs/10.1073/pnas.2524037123?mi=eymic2&amp;af=R&amp;access=on&amp;content=articlesChapters&amp;publication=pnas&amp;sortBy=Earliest&amp;target=default" TargetMode="External"/><Relationship Id="rId1655" Type="http://schemas.openxmlformats.org/officeDocument/2006/relationships/hyperlink" Target="https://doi.org/10.1073/pnas.2524037123" TargetMode="External"/><Relationship Id="rId1656" Type="http://schemas.openxmlformats.org/officeDocument/2006/relationships/hyperlink" Target="https://www.pnas.org/doi/abs/10.1073/pnas.2519615123?mi=eymic2&amp;af=R&amp;access=on&amp;content=articlesChapters&amp;publication=pnas&amp;sortBy=Earliest&amp;target=default" TargetMode="External"/><Relationship Id="rId1657" Type="http://schemas.openxmlformats.org/officeDocument/2006/relationships/hyperlink" Target="https://doi.org/10.1073/pnas.2519615123" TargetMode="External"/><Relationship Id="rId1658" Type="http://schemas.openxmlformats.org/officeDocument/2006/relationships/hyperlink" Target="https://www.pnas.org/doi/abs/10.1073/pnas.2514670123?mi=eymic2&amp;af=R&amp;access=on&amp;content=articlesChapters&amp;publication=pnas&amp;sortBy=Earliest&amp;target=default" TargetMode="External"/><Relationship Id="rId1659" Type="http://schemas.openxmlformats.org/officeDocument/2006/relationships/hyperlink" Target="https://doi.org/10.1073/pnas.2514670123" TargetMode="External"/><Relationship Id="rId1660" Type="http://schemas.openxmlformats.org/officeDocument/2006/relationships/hyperlink" Target="https://www.pnas.org/doi/abs/10.1073/pnas.2512555123?mi=eymic2&amp;af=R&amp;access=on&amp;content=articlesChapters&amp;publication=pnas&amp;sortBy=Earliest&amp;target=default" TargetMode="External"/><Relationship Id="rId1661" Type="http://schemas.openxmlformats.org/officeDocument/2006/relationships/hyperlink" Target="https://doi.org/10.1073/pnas.2512555123" TargetMode="External"/><Relationship Id="rId1662" Type="http://schemas.openxmlformats.org/officeDocument/2006/relationships/hyperlink" Target="https://www.science.org/doi/abs/10.1126/sciadv.aef3487?af=R" TargetMode="External"/><Relationship Id="rId1663" Type="http://schemas.openxmlformats.org/officeDocument/2006/relationships/hyperlink" Target="https://doi.org/10.1126/sciadv.aef3487" TargetMode="External"/><Relationship Id="rId1664" Type="http://schemas.openxmlformats.org/officeDocument/2006/relationships/hyperlink" Target="https://www.science.org/doi/abs/10.1126/sciadv.aeh3040?af=R" TargetMode="External"/><Relationship Id="rId1665" Type="http://schemas.openxmlformats.org/officeDocument/2006/relationships/hyperlink" Target="https://doi.org/10.1126/sciadv.aeh3040" TargetMode="External"/><Relationship Id="rId1666" Type="http://schemas.openxmlformats.org/officeDocument/2006/relationships/hyperlink" Target="https://www.pnas.org/doi/abs/10.1073/pnas.2529603123?mi=eymic2&amp;af=R&amp;access=on&amp;content=articlesChapters&amp;publication=pnas&amp;sortBy=Earliest&amp;target=default" TargetMode="External"/><Relationship Id="rId1667" Type="http://schemas.openxmlformats.org/officeDocument/2006/relationships/hyperlink" Target="https://doi.org/10.1073/pnas.2529603123" TargetMode="External"/><Relationship Id="rId1668" Type="http://schemas.openxmlformats.org/officeDocument/2006/relationships/hyperlink" Target="https://www.science.org/doi/abs/10.1126/sciadv.aec5080?af=R" TargetMode="External"/><Relationship Id="rId1669" Type="http://schemas.openxmlformats.org/officeDocument/2006/relationships/hyperlink" Target="https://doi.org/10.1126/sciadv.aec5080" TargetMode="External"/><Relationship Id="rId1670" Type="http://schemas.openxmlformats.org/officeDocument/2006/relationships/hyperlink" Target="https://www.science.org/doi/abs/10.1126/sciadv.aef0259?af=R" TargetMode="External"/><Relationship Id="rId1671" Type="http://schemas.openxmlformats.org/officeDocument/2006/relationships/hyperlink" Target="https://doi.org/10.1126/sciadv.aef0259" TargetMode="External"/><Relationship Id="rId1672" Type="http://schemas.openxmlformats.org/officeDocument/2006/relationships/hyperlink" Target="https://www.science.org/doi/abs/10.1126/sciadv.adz7757?af=R" TargetMode="External"/><Relationship Id="rId1673" Type="http://schemas.openxmlformats.org/officeDocument/2006/relationships/hyperlink" Target="https://doi.org/10.1126/sciadv.adz7757" TargetMode="External"/><Relationship Id="rId1674" Type="http://schemas.openxmlformats.org/officeDocument/2006/relationships/hyperlink" Target="https://www.pnas.org/doi/abs/10.1073/pnas.2625351123?mi=eymic2&amp;af=R&amp;access=on&amp;content=articlesChapters&amp;publication=pnas&amp;sortBy=Earliest&amp;target=default" TargetMode="External"/><Relationship Id="rId1675" Type="http://schemas.openxmlformats.org/officeDocument/2006/relationships/hyperlink" Target="https://doi.org/10.1073/pnas.2625351123" TargetMode="External"/><Relationship Id="rId1676" Type="http://schemas.openxmlformats.org/officeDocument/2006/relationships/hyperlink" Target="https://www.science.org/doi/abs/10.1126/sciadv.aea7469?af=R" TargetMode="External"/><Relationship Id="rId1677" Type="http://schemas.openxmlformats.org/officeDocument/2006/relationships/hyperlink" Target="https://doi.org/10.1126/sciadv.aea7469" TargetMode="External"/><Relationship Id="rId1678" Type="http://schemas.openxmlformats.org/officeDocument/2006/relationships/hyperlink" Target="https://www.pnas.org/doi/abs/10.1073/pnas.2620887123?mi=eymic2&amp;af=R&amp;access=on&amp;content=articlesChapters&amp;publication=pnas&amp;sortBy=Earliest&amp;target=default" TargetMode="External"/><Relationship Id="rId1679" Type="http://schemas.openxmlformats.org/officeDocument/2006/relationships/hyperlink" Target="https://doi.org/10.1073/pnas.2620887123" TargetMode="External"/><Relationship Id="rId1680" Type="http://schemas.openxmlformats.org/officeDocument/2006/relationships/hyperlink" Target="https://www.pnas.org/doi/abs/10.1073/pnas.2536294123?mi=eymic2&amp;af=R&amp;access=on&amp;content=articlesChapters&amp;publication=pnas&amp;sortBy=Earliest&amp;target=default" TargetMode="External"/><Relationship Id="rId1681" Type="http://schemas.openxmlformats.org/officeDocument/2006/relationships/hyperlink" Target="https://doi.org/10.1073/pnas.2536294123" TargetMode="External"/><Relationship Id="rId1682" Type="http://schemas.openxmlformats.org/officeDocument/2006/relationships/hyperlink" Target="https://www.pnas.org/doi/abs/10.1073/pnas.2620602123?mi=eymic2&amp;af=R&amp;access=on&amp;content=articlesChapters&amp;publication=pnas&amp;sortBy=Earliest&amp;target=default" TargetMode="External"/><Relationship Id="rId1683" Type="http://schemas.openxmlformats.org/officeDocument/2006/relationships/hyperlink" Target="https://doi.org/10.1073/pnas.2620602123" TargetMode="External"/><Relationship Id="rId1684" Type="http://schemas.openxmlformats.org/officeDocument/2006/relationships/hyperlink" Target="https://advanced.onlinelibrary.wiley.com/doi/10.1002/adma.74597?af=R" TargetMode="External"/><Relationship Id="rId1685" Type="http://schemas.openxmlformats.org/officeDocument/2006/relationships/hyperlink" Target="https://doi.org/10.1002/adma.74597" TargetMode="External"/><Relationship Id="rId1686" Type="http://schemas.openxmlformats.org/officeDocument/2006/relationships/hyperlink" Target="https://advanced.onlinelibrary.wiley.com/doi/10.1002/adma.74592?af=R" TargetMode="External"/><Relationship Id="rId1687" Type="http://schemas.openxmlformats.org/officeDocument/2006/relationships/hyperlink" Target="https://doi.org/10.1002/adma.74592" TargetMode="External"/><Relationship Id="rId1688" Type="http://schemas.openxmlformats.org/officeDocument/2006/relationships/hyperlink" Target="https://advanced.onlinelibrary.wiley.com/doi/10.1002/adma.74585?af=R" TargetMode="External"/><Relationship Id="rId1689" Type="http://schemas.openxmlformats.org/officeDocument/2006/relationships/hyperlink" Target="https://doi.org/10.1002/adma.74585" TargetMode="External"/><Relationship Id="rId1690" Type="http://schemas.openxmlformats.org/officeDocument/2006/relationships/hyperlink" Target="https://advanced.onlinelibrary.wiley.com/doi/10.1002/adma.74618?af=R" TargetMode="External"/><Relationship Id="rId1691" Type="http://schemas.openxmlformats.org/officeDocument/2006/relationships/hyperlink" Target="https://doi.org/10.1002/adma.74618" TargetMode="External"/><Relationship Id="rId1692" Type="http://schemas.openxmlformats.org/officeDocument/2006/relationships/hyperlink" Target="https://advanced.onlinelibrary.wiley.com/doi/10.1002/adma.74580?af=R" TargetMode="External"/><Relationship Id="rId1693" Type="http://schemas.openxmlformats.org/officeDocument/2006/relationships/hyperlink" Target="https://doi.org/10.1002/adma.74580" TargetMode="External"/><Relationship Id="rId1694" Type="http://schemas.openxmlformats.org/officeDocument/2006/relationships/hyperlink" Target="https://advanced.onlinelibrary.wiley.com/doi/10.1002/adma.74609?af=R" TargetMode="External"/><Relationship Id="rId1695" Type="http://schemas.openxmlformats.org/officeDocument/2006/relationships/hyperlink" Target="https://doi.org/10.1002/adma.74609" TargetMode="External"/><Relationship Id="rId1696" Type="http://schemas.openxmlformats.org/officeDocument/2006/relationships/hyperlink" Target="https://advanced.onlinelibrary.wiley.com/doi/10.1002/adma.74621?af=R" TargetMode="External"/><Relationship Id="rId1697" Type="http://schemas.openxmlformats.org/officeDocument/2006/relationships/hyperlink" Target="https://doi.org/10.1002/adma.74621" TargetMode="External"/><Relationship Id="rId1698" Type="http://schemas.openxmlformats.org/officeDocument/2006/relationships/hyperlink" Target="https://advanced.onlinelibrary.wiley.com/doi/10.1002/adma.74620?af=R" TargetMode="External"/><Relationship Id="rId1699" Type="http://schemas.openxmlformats.org/officeDocument/2006/relationships/hyperlink" Target="https://doi.org/10.1002/adma.74620" TargetMode="External"/><Relationship Id="rId1700" Type="http://schemas.openxmlformats.org/officeDocument/2006/relationships/hyperlink" Target="https://advanced.onlinelibrary.wiley.com/doi/10.1002/aenm.71388?af=R" TargetMode="External"/><Relationship Id="rId1701" Type="http://schemas.openxmlformats.org/officeDocument/2006/relationships/hyperlink" Target="https://doi.org/10.1002/aenm.71388" TargetMode="External"/><Relationship Id="rId1702" Type="http://schemas.openxmlformats.org/officeDocument/2006/relationships/hyperlink" Target="http://link.aps.org/doi/10.1103/t8sk-b2w4" TargetMode="External"/><Relationship Id="rId1703" Type="http://schemas.openxmlformats.org/officeDocument/2006/relationships/hyperlink" Target="https://doi.org/10.1103/t8sk-b2w4" TargetMode="External"/><Relationship Id="rId1704" Type="http://schemas.openxmlformats.org/officeDocument/2006/relationships/hyperlink" Target="http://link.aps.org/doi/10.1103/1rj5-2wvr" TargetMode="External"/><Relationship Id="rId1705" Type="http://schemas.openxmlformats.org/officeDocument/2006/relationships/hyperlink" Target="https://doi.org/10.1103/1rj5-2wvr" TargetMode="External"/><Relationship Id="rId1706" Type="http://schemas.openxmlformats.org/officeDocument/2006/relationships/hyperlink" Target="http://link.aps.org/doi/10.1103/whyk-ykjw" TargetMode="External"/><Relationship Id="rId1707" Type="http://schemas.openxmlformats.org/officeDocument/2006/relationships/hyperlink" Target="https://doi.org/10.1103/whyk-ykjw" TargetMode="External"/><Relationship Id="rId1708" Type="http://schemas.openxmlformats.org/officeDocument/2006/relationships/hyperlink" Target="http://link.aps.org/doi/10.1103/9gtg-yjmv" TargetMode="External"/><Relationship Id="rId1709" Type="http://schemas.openxmlformats.org/officeDocument/2006/relationships/hyperlink" Target="https://doi.org/10.1103/9gtg-yjmv" TargetMode="External"/><Relationship Id="rId1710" Type="http://schemas.openxmlformats.org/officeDocument/2006/relationships/hyperlink" Target="http://link.aps.org/doi/10.1103/5ftk-7qyg" TargetMode="External"/><Relationship Id="rId1711" Type="http://schemas.openxmlformats.org/officeDocument/2006/relationships/hyperlink" Target="https://doi.org/10.1103/5ftk-7qyg" TargetMode="External"/><Relationship Id="rId1712" Type="http://schemas.openxmlformats.org/officeDocument/2006/relationships/hyperlink" Target="http://link.aps.org/doi/10.1103/9md2-9scj" TargetMode="External"/><Relationship Id="rId1713" Type="http://schemas.openxmlformats.org/officeDocument/2006/relationships/hyperlink" Target="https://doi.org/10.1103/9md2-9scj" TargetMode="External"/><Relationship Id="rId1714" Type="http://schemas.openxmlformats.org/officeDocument/2006/relationships/hyperlink" Target="http://link.aps.org/doi/10.1103/k35f-7k9s" TargetMode="External"/><Relationship Id="rId1715" Type="http://schemas.openxmlformats.org/officeDocument/2006/relationships/hyperlink" Target="https://doi.org/10.1103/k35f-7k9s" TargetMode="External"/><Relationship Id="rId1716" Type="http://schemas.openxmlformats.org/officeDocument/2006/relationships/hyperlink" Target="http://link.aps.org/doi/10.1103/g28d-jzgj" TargetMode="External"/><Relationship Id="rId1717" Type="http://schemas.openxmlformats.org/officeDocument/2006/relationships/hyperlink" Target="https://doi.org/10.1103/g28d-jzgj" TargetMode="External"/><Relationship Id="rId1718" Type="http://schemas.openxmlformats.org/officeDocument/2006/relationships/hyperlink" Target="http://link.aps.org/doi/10.1103/v3f2-ldr1" TargetMode="External"/><Relationship Id="rId1719" Type="http://schemas.openxmlformats.org/officeDocument/2006/relationships/hyperlink" Target="https://doi.org/10.1103/v3f2-ldr1" TargetMode="External"/><Relationship Id="rId1720" Type="http://schemas.openxmlformats.org/officeDocument/2006/relationships/hyperlink" Target="http://link.aps.org/doi/10.1103/4f1s-5q8b" TargetMode="External"/><Relationship Id="rId1721" Type="http://schemas.openxmlformats.org/officeDocument/2006/relationships/hyperlink" Target="https://doi.org/10.1103/4f1s-5q8b" TargetMode="External"/><Relationship Id="rId1722" Type="http://schemas.openxmlformats.org/officeDocument/2006/relationships/hyperlink" Target="http://link.aps.org/doi/10.1103/wycz-5hvd" TargetMode="External"/><Relationship Id="rId1723" Type="http://schemas.openxmlformats.org/officeDocument/2006/relationships/hyperlink" Target="https://doi.org/10.1103/wycz-5hvd" TargetMode="External"/><Relationship Id="rId1724" Type="http://schemas.openxmlformats.org/officeDocument/2006/relationships/hyperlink" Target="http://link.aps.org/doi/10.1103/r39m-l6gz" TargetMode="External"/><Relationship Id="rId1725" Type="http://schemas.openxmlformats.org/officeDocument/2006/relationships/hyperlink" Target="https://doi.org/10.1103/r39m-l6gz" TargetMode="External"/><Relationship Id="rId1726" Type="http://schemas.openxmlformats.org/officeDocument/2006/relationships/hyperlink" Target="http://link.aps.org/doi/10.1103/gw6d-9ccz" TargetMode="External"/><Relationship Id="rId1727" Type="http://schemas.openxmlformats.org/officeDocument/2006/relationships/hyperlink" Target="https://doi.org/10.1103/gw6d-9ccz" TargetMode="External"/><Relationship Id="rId1728" Type="http://schemas.openxmlformats.org/officeDocument/2006/relationships/hyperlink" Target="http://link.aps.org/doi/10.1103/6pk7-k3bk" TargetMode="External"/><Relationship Id="rId1729" Type="http://schemas.openxmlformats.org/officeDocument/2006/relationships/hyperlink" Target="https://doi.org/10.1103/6pk7-k3bk" TargetMode="External"/><Relationship Id="rId1730" Type="http://schemas.openxmlformats.org/officeDocument/2006/relationships/hyperlink" Target="http://link.aps.org/doi/10.1103/mxx4-sxv2" TargetMode="External"/><Relationship Id="rId1731" Type="http://schemas.openxmlformats.org/officeDocument/2006/relationships/hyperlink" Target="https://doi.org/10.1103/mxx4-sxv2" TargetMode="External"/><Relationship Id="rId1732" Type="http://schemas.openxmlformats.org/officeDocument/2006/relationships/hyperlink" Target="http://link.aps.org/doi/10.1103/h9t8-7mtc" TargetMode="External"/><Relationship Id="rId1733" Type="http://schemas.openxmlformats.org/officeDocument/2006/relationships/hyperlink" Target="https://doi.org/10.1103/h9t8-7mtc" TargetMode="External"/><Relationship Id="rId1734" Type="http://schemas.openxmlformats.org/officeDocument/2006/relationships/hyperlink" Target="http://link.aps.org/doi/10.1103/z9nd-rprp" TargetMode="External"/><Relationship Id="rId1735" Type="http://schemas.openxmlformats.org/officeDocument/2006/relationships/hyperlink" Target="https://doi.org/10.1103/z9nd-rprp" TargetMode="External"/><Relationship Id="rId1736" Type="http://schemas.openxmlformats.org/officeDocument/2006/relationships/hyperlink" Target="http://link.aps.org/doi/10.1103/jl7j-g835" TargetMode="External"/><Relationship Id="rId1737" Type="http://schemas.openxmlformats.org/officeDocument/2006/relationships/hyperlink" Target="https://doi.org/10.1103/jl7j-g835" TargetMode="External"/><Relationship Id="rId1738" Type="http://schemas.openxmlformats.org/officeDocument/2006/relationships/hyperlink" Target="http://link.aps.org/doi/10.1103/lq5r-sjp7" TargetMode="External"/><Relationship Id="rId1739" Type="http://schemas.openxmlformats.org/officeDocument/2006/relationships/hyperlink" Target="https://doi.org/10.1103/lq5r-sjp7" TargetMode="External"/><Relationship Id="rId1740" Type="http://schemas.openxmlformats.org/officeDocument/2006/relationships/hyperlink" Target="http://link.aps.org/doi/10.1103/td3y-z9wj" TargetMode="External"/><Relationship Id="rId1741" Type="http://schemas.openxmlformats.org/officeDocument/2006/relationships/hyperlink" Target="https://doi.org/10.1103/td3y-z9wj" TargetMode="External"/><Relationship Id="rId1742" Type="http://schemas.openxmlformats.org/officeDocument/2006/relationships/hyperlink" Target="http://link.aps.org/doi/10.1103/2fqw-qhtc" TargetMode="External"/><Relationship Id="rId1743" Type="http://schemas.openxmlformats.org/officeDocument/2006/relationships/hyperlink" Target="https://doi.org/10.1103/2fqw-qhtc" TargetMode="External"/><Relationship Id="rId1744" Type="http://schemas.openxmlformats.org/officeDocument/2006/relationships/hyperlink" Target="https://advanced.onlinelibrary.wiley.com/doi/10.1002/adma.74607?af=R" TargetMode="External"/><Relationship Id="rId1745" Type="http://schemas.openxmlformats.org/officeDocument/2006/relationships/hyperlink" Target="https://doi.org/10.1002/adma.74607" TargetMode="External"/><Relationship Id="rId1746" Type="http://schemas.openxmlformats.org/officeDocument/2006/relationships/hyperlink" Target="https://onlinelibrary.wiley.com/doi/10.1002/anie.3323932?af=R" TargetMode="External"/><Relationship Id="rId1747" Type="http://schemas.openxmlformats.org/officeDocument/2006/relationships/hyperlink" Target="https://doi.org/10.1002/anie.3323932" TargetMode="External"/><Relationship Id="rId1748" Type="http://schemas.openxmlformats.org/officeDocument/2006/relationships/hyperlink" Target="https://onlinelibrary.wiley.com/doi/10.1002/anie.6852524?af=R" TargetMode="External"/><Relationship Id="rId1749" Type="http://schemas.openxmlformats.org/officeDocument/2006/relationships/hyperlink" Target="https://doi.org/10.1002/anie.6852524" TargetMode="External"/><Relationship Id="rId1750" Type="http://schemas.openxmlformats.org/officeDocument/2006/relationships/hyperlink" Target="https://onlinelibrary.wiley.com/doi/10.1002/anie.3755600?af=R" TargetMode="External"/><Relationship Id="rId1751" Type="http://schemas.openxmlformats.org/officeDocument/2006/relationships/hyperlink" Target="https://doi.org/10.1002/anie.3755600" TargetMode="External"/><Relationship Id="rId1752" Type="http://schemas.openxmlformats.org/officeDocument/2006/relationships/hyperlink" Target="https://onlinelibrary.wiley.com/doi/10.1002/anie.9247211?af=R" TargetMode="External"/><Relationship Id="rId1753" Type="http://schemas.openxmlformats.org/officeDocument/2006/relationships/hyperlink" Target="https://doi.org/10.1002/anie.9247211" TargetMode="External"/><Relationship Id="rId1754" Type="http://schemas.openxmlformats.org/officeDocument/2006/relationships/hyperlink" Target="https://onlinelibrary.wiley.com/doi/10.1002/anie.9635291?af=R" TargetMode="External"/><Relationship Id="rId1755" Type="http://schemas.openxmlformats.org/officeDocument/2006/relationships/hyperlink" Target="https://doi.org/10.1002/anie.9635291" TargetMode="External"/><Relationship Id="rId1756" Type="http://schemas.openxmlformats.org/officeDocument/2006/relationships/hyperlink" Target="https://onlinelibrary.wiley.com/doi/10.1002/anie.1953802?af=R" TargetMode="External"/><Relationship Id="rId1757" Type="http://schemas.openxmlformats.org/officeDocument/2006/relationships/hyperlink" Target="https://doi.org/10.1002/anie.1953802" TargetMode="External"/><Relationship Id="rId1758" Type="http://schemas.openxmlformats.org/officeDocument/2006/relationships/hyperlink" Target="https://onlinelibrary.wiley.com/doi/10.1002/anie.7747854?af=R" TargetMode="External"/><Relationship Id="rId1759" Type="http://schemas.openxmlformats.org/officeDocument/2006/relationships/hyperlink" Target="https://doi.org/10.1002/anie.7747854" TargetMode="External"/><Relationship Id="rId1760" Type="http://schemas.openxmlformats.org/officeDocument/2006/relationships/hyperlink" Target="https://onlinelibrary.wiley.com/doi/10.1002/anie.7193318?af=R" TargetMode="External"/><Relationship Id="rId1761" Type="http://schemas.openxmlformats.org/officeDocument/2006/relationships/hyperlink" Target="https://doi.org/10.1002/anie.7193318" TargetMode="External"/><Relationship Id="rId1762" Type="http://schemas.openxmlformats.org/officeDocument/2006/relationships/hyperlink" Target="https://onlinelibrary.wiley.com/doi/10.1002/anie.2037917?af=R" TargetMode="External"/><Relationship Id="rId1763" Type="http://schemas.openxmlformats.org/officeDocument/2006/relationships/hyperlink" Target="https://doi.org/10.1002/anie.2037917" TargetMode="External"/><Relationship Id="rId1764" Type="http://schemas.openxmlformats.org/officeDocument/2006/relationships/hyperlink" Target="https://onlinelibrary.wiley.com/doi/10.1002/anie.6933953?af=R" TargetMode="External"/><Relationship Id="rId1765" Type="http://schemas.openxmlformats.org/officeDocument/2006/relationships/hyperlink" Target="https://doi.org/10.1002/anie.6933953" TargetMode="External"/><Relationship Id="rId1766" Type="http://schemas.openxmlformats.org/officeDocument/2006/relationships/hyperlink" Target="https://onlinelibrary.wiley.com/doi/10.1002/anie.7494092?af=R" TargetMode="External"/><Relationship Id="rId1767" Type="http://schemas.openxmlformats.org/officeDocument/2006/relationships/hyperlink" Target="https://doi.org/10.1002/anie.7494092" TargetMode="External"/><Relationship Id="rId1768" Type="http://schemas.openxmlformats.org/officeDocument/2006/relationships/hyperlink" Target="https://onlinelibrary.wiley.com/doi/10.1002/anie.9954997?af=R" TargetMode="External"/><Relationship Id="rId1769" Type="http://schemas.openxmlformats.org/officeDocument/2006/relationships/hyperlink" Target="https://doi.org/10.1002/anie.9954997" TargetMode="External"/><Relationship Id="rId1770" Type="http://schemas.openxmlformats.org/officeDocument/2006/relationships/hyperlink" Target="https://onlinelibrary.wiley.com/doi/10.1002/anie.3126258?af=R" TargetMode="External"/><Relationship Id="rId1771" Type="http://schemas.openxmlformats.org/officeDocument/2006/relationships/hyperlink" Target="https://doi.org/10.1002/anie.3126258" TargetMode="External"/><Relationship Id="rId1772" Type="http://schemas.openxmlformats.org/officeDocument/2006/relationships/hyperlink" Target="https://onlinelibrary.wiley.com/doi/10.1002/anie.6461178?af=R" TargetMode="External"/><Relationship Id="rId1773" Type="http://schemas.openxmlformats.org/officeDocument/2006/relationships/hyperlink" Target="https://doi.org/10.1002/anie.6461178" TargetMode="External"/><Relationship Id="rId1774" Type="http://schemas.openxmlformats.org/officeDocument/2006/relationships/hyperlink" Target="https://onlinelibrary.wiley.com/doi/10.1002/anie.5894899?af=R" TargetMode="External"/><Relationship Id="rId1775" Type="http://schemas.openxmlformats.org/officeDocument/2006/relationships/hyperlink" Target="https://doi.org/10.1002/anie.5894899" TargetMode="External"/><Relationship Id="rId1776" Type="http://schemas.openxmlformats.org/officeDocument/2006/relationships/hyperlink" Target="https://onlinelibrary.wiley.com/doi/10.1002/anie.3915501?af=R" TargetMode="External"/><Relationship Id="rId1777" Type="http://schemas.openxmlformats.org/officeDocument/2006/relationships/hyperlink" Target="https://doi.org/10.1002/anie.3915501" TargetMode="External"/><Relationship Id="rId1778" Type="http://schemas.openxmlformats.org/officeDocument/2006/relationships/hyperlink" Target="https://advanced.onlinelibrary.wiley.com/doi/10.1002/adma.74589?af=R" TargetMode="External"/><Relationship Id="rId1779" Type="http://schemas.openxmlformats.org/officeDocument/2006/relationships/hyperlink" Target="https://doi.org/10.1002/adma.74589" TargetMode="External"/><Relationship Id="rId1780" Type="http://schemas.openxmlformats.org/officeDocument/2006/relationships/hyperlink" Target="https://onlinelibrary.wiley.com/doi/10.1002/anie.4112426?af=R" TargetMode="External"/><Relationship Id="rId1781" Type="http://schemas.openxmlformats.org/officeDocument/2006/relationships/hyperlink" Target="https://doi.org/10.1002/anie.4112426" TargetMode="External"/><Relationship Id="rId1782" Type="http://schemas.openxmlformats.org/officeDocument/2006/relationships/hyperlink" Target="https://onlinelibrary.wiley.com/doi/10.1002/anie.5875916?af=R" TargetMode="External"/><Relationship Id="rId1783" Type="http://schemas.openxmlformats.org/officeDocument/2006/relationships/hyperlink" Target="https://doi.org/10.1002/anie.5875916" TargetMode="External"/><Relationship Id="rId1784" Type="http://schemas.openxmlformats.org/officeDocument/2006/relationships/hyperlink" Target="https://onlinelibrary.wiley.com/doi/10.1002/anie.3543072?af=R" TargetMode="External"/><Relationship Id="rId1785" Type="http://schemas.openxmlformats.org/officeDocument/2006/relationships/hyperlink" Target="https://doi.org/10.1002/anie.3543072" TargetMode="External"/><Relationship Id="rId1786" Type="http://schemas.openxmlformats.org/officeDocument/2006/relationships/hyperlink" Target="https://onlinelibrary.wiley.com/doi/10.1002/anie.4383253?af=R" TargetMode="External"/><Relationship Id="rId1787" Type="http://schemas.openxmlformats.org/officeDocument/2006/relationships/hyperlink" Target="https://doi.org/10.1002/anie.4383253" TargetMode="External"/><Relationship Id="rId1788" Type="http://schemas.openxmlformats.org/officeDocument/2006/relationships/hyperlink" Target="https://onlinelibrary.wiley.com/doi/10.1002/anie.8252460?af=R" TargetMode="External"/><Relationship Id="rId1789" Type="http://schemas.openxmlformats.org/officeDocument/2006/relationships/hyperlink" Target="https://doi.org/10.1002/anie.8252460" TargetMode="External"/><Relationship Id="rId1790" Type="http://schemas.openxmlformats.org/officeDocument/2006/relationships/hyperlink" Target="https://onlinelibrary.wiley.com/doi/10.1002/anie.3823572?af=R" TargetMode="External"/><Relationship Id="rId1791" Type="http://schemas.openxmlformats.org/officeDocument/2006/relationships/hyperlink" Target="https://doi.org/10.1002/anie.3823572" TargetMode="External"/><Relationship Id="rId1792" Type="http://schemas.openxmlformats.org/officeDocument/2006/relationships/hyperlink" Target="https://onlinelibrary.wiley.com/doi/10.1002/anie.4114731?af=R" TargetMode="External"/><Relationship Id="rId1793" Type="http://schemas.openxmlformats.org/officeDocument/2006/relationships/hyperlink" Target="https://doi.org/10.1002/anie.4114731" TargetMode="External"/><Relationship Id="rId1794" Type="http://schemas.openxmlformats.org/officeDocument/2006/relationships/hyperlink" Target="https://onlinelibrary.wiley.com/doi/10.1002/anie.5451795?af=R" TargetMode="External"/><Relationship Id="rId1795" Type="http://schemas.openxmlformats.org/officeDocument/2006/relationships/hyperlink" Target="https://doi.org/10.1002/anie.5451795" TargetMode="External"/><Relationship Id="rId1796" Type="http://schemas.openxmlformats.org/officeDocument/2006/relationships/hyperlink" Target="https://www.nature.com/articles/s41586-026-10959-w" TargetMode="External"/><Relationship Id="rId1797" Type="http://schemas.openxmlformats.org/officeDocument/2006/relationships/hyperlink" Target="https://doi.org/10.1038/s41586-026-10959-w" TargetMode="External"/><Relationship Id="rId1798" Type="http://schemas.openxmlformats.org/officeDocument/2006/relationships/hyperlink" Target="https://www.nature.com/articles/s41586-026-10960-3" TargetMode="External"/><Relationship Id="rId1799" Type="http://schemas.openxmlformats.org/officeDocument/2006/relationships/hyperlink" Target="https://doi.org/10.1038/s41586-026-10960-3" TargetMode="External"/><Relationship Id="rId1800" Type="http://schemas.openxmlformats.org/officeDocument/2006/relationships/hyperlink" Target="https://www.nature.com/articles/d41586-026-02503-7" TargetMode="External"/><Relationship Id="rId1801" Type="http://schemas.openxmlformats.org/officeDocument/2006/relationships/hyperlink" Target="https://doi.org/10.1038/d41586-026-02503-7" TargetMode="External"/><Relationship Id="rId1802" Type="http://schemas.openxmlformats.org/officeDocument/2006/relationships/hyperlink" Target="https://pubs.acs.org/jacsat/article/doi/10.1021/jacs.6c10589/5254025/Photoinduced-Switching-on-of-Intermolecular" TargetMode="External"/><Relationship Id="rId1803" Type="http://schemas.openxmlformats.org/officeDocument/2006/relationships/hyperlink" Target="https://doi.org/10.1021/jacs.6c10589" TargetMode="External"/><Relationship Id="rId1804" Type="http://schemas.openxmlformats.org/officeDocument/2006/relationships/hyperlink" Target="https://www.nature.com/articles/d41586-026-02494-5" TargetMode="External"/><Relationship Id="rId1805" Type="http://schemas.openxmlformats.org/officeDocument/2006/relationships/hyperlink" Target="https://doi.org/10.1038/d41586-026-02494-5" TargetMode="External"/><Relationship Id="rId1806" Type="http://schemas.openxmlformats.org/officeDocument/2006/relationships/hyperlink" Target="https://www.nature.com/articles/d41586-026-02525-1" TargetMode="External"/><Relationship Id="rId1807" Type="http://schemas.openxmlformats.org/officeDocument/2006/relationships/hyperlink" Target="https://doi.org/10.1038/d41586-026-02525-1" TargetMode="External"/><Relationship Id="rId1808" Type="http://schemas.openxmlformats.org/officeDocument/2006/relationships/hyperlink" Target="https://www.nature.com/articles/d41586-026-02502-8" TargetMode="External"/><Relationship Id="rId1809" Type="http://schemas.openxmlformats.org/officeDocument/2006/relationships/hyperlink" Target="https://doi.org/10.1038/d41586-026-02502-8" TargetMode="External"/><Relationship Id="rId1810" Type="http://schemas.openxmlformats.org/officeDocument/2006/relationships/hyperlink" Target="https://academic.oup.com/nsr/advance-article/doi/10.1093/nsr/nwag491/8761032?rss=1" TargetMode="External"/><Relationship Id="rId1811" Type="http://schemas.openxmlformats.org/officeDocument/2006/relationships/hyperlink" Target="https://doi.org/10.1093/nsr/nwag491" TargetMode="External"/><Relationship Id="rId1812" Type="http://schemas.openxmlformats.org/officeDocument/2006/relationships/hyperlink" Target="https://pubs.acs.org/chreay/article/doi/10.1021/acs.chemrev.6c00267/5254916/Protein-Modifications-for-Cellular-Protein" TargetMode="External"/><Relationship Id="rId1813" Type="http://schemas.openxmlformats.org/officeDocument/2006/relationships/hyperlink" Target="https://doi.org/10.1021/acs.chemrev.6c00267" TargetMode="External"/><Relationship Id="rId1814" Type="http://schemas.openxmlformats.org/officeDocument/2006/relationships/hyperlink" Target="https://pubs.acs.org/jacsat/article/doi/10.1021/jacs.6c05962/5254736/Breaking-the-50-Efficiency-Ceiling-A-Tandem" TargetMode="External"/><Relationship Id="rId1815" Type="http://schemas.openxmlformats.org/officeDocument/2006/relationships/hyperlink" Target="https://doi.org/10.1021/jacs.6c05962" TargetMode="External"/><Relationship Id="rId1816" Type="http://schemas.openxmlformats.org/officeDocument/2006/relationships/hyperlink" Target="https://pubs.acs.org/jacsat/article/doi/10.1021/jacs.6c09192/5254722/Mechanochemically-Triggered-Conformational" TargetMode="External"/><Relationship Id="rId1817" Type="http://schemas.openxmlformats.org/officeDocument/2006/relationships/hyperlink" Target="https://doi.org/10.1021/jacs.6c09192" TargetMode="External"/><Relationship Id="rId1818" Type="http://schemas.openxmlformats.org/officeDocument/2006/relationships/hyperlink" Target="https://pubs.acs.org/jacsat/article/doi/10.1021/jacs.6c06567/5254737/Element-Specific-Donor-Numbers-for-Anions" TargetMode="External"/><Relationship Id="rId1819" Type="http://schemas.openxmlformats.org/officeDocument/2006/relationships/hyperlink" Target="https://doi.org/10.1021/jacs.6c06567" TargetMode="External"/><Relationship Id="rId1820" Type="http://schemas.openxmlformats.org/officeDocument/2006/relationships/hyperlink" Target="https://pubs.acs.org/jacsat/article/doi/10.1021/jacs.6c05940/5254979/Direct-Ketone-to-2H-Chromyne-Conversion-Enabling" TargetMode="External"/><Relationship Id="rId1821" Type="http://schemas.openxmlformats.org/officeDocument/2006/relationships/hyperlink" Target="https://doi.org/10.1021/jacs.6c05940" TargetMode="External"/><Relationship Id="rId1822" Type="http://schemas.openxmlformats.org/officeDocument/2006/relationships/hyperlink" Target="https://pubs.acs.org/jacsat/article/doi/10.1021/jacs.6c09682/5254716/First-Hydration-Shell-Integrity-Key-to-Protein" TargetMode="External"/><Relationship Id="rId1823" Type="http://schemas.openxmlformats.org/officeDocument/2006/relationships/hyperlink" Target="https://doi.org/10.1021/jacs.6c09682" TargetMode="External"/><Relationship Id="rId1824" Type="http://schemas.openxmlformats.org/officeDocument/2006/relationships/hyperlink" Target="https://pubs.acs.org/jacsat/article/doi/10.1021/jacs.6c06954/5254049/Binding-vs-Etching-N-Heterocyclic-Carbene-Ligands" TargetMode="External"/><Relationship Id="rId1825" Type="http://schemas.openxmlformats.org/officeDocument/2006/relationships/hyperlink" Target="https://doi.org/10.1021/jacs.6c06954" TargetMode="External"/><Relationship Id="rId1826" Type="http://schemas.openxmlformats.org/officeDocument/2006/relationships/hyperlink" Target="https://pubs.acs.org/jacsat/article/doi/10.1021/jacs.6c09907/5254148/Kinetically-Programmed-Thermoresponsive" TargetMode="External"/><Relationship Id="rId1827" Type="http://schemas.openxmlformats.org/officeDocument/2006/relationships/hyperlink" Target="https://doi.org/10.1021/jacs.6c09907" TargetMode="External"/><Relationship Id="rId1828" Type="http://schemas.openxmlformats.org/officeDocument/2006/relationships/hyperlink" Target="https://pubs.acs.org/jacsat/article/doi/10.1021/jacs.6c07977/5254013/A-Pull-Apart-Strategy-for-Synthetic-Rifamycins" TargetMode="External"/><Relationship Id="rId1829" Type="http://schemas.openxmlformats.org/officeDocument/2006/relationships/hyperlink" Target="https://doi.org/10.1021/jacs.6c07977" TargetMode="External"/><Relationship Id="rId1830" Type="http://schemas.openxmlformats.org/officeDocument/2006/relationships/hyperlink" Target="https://www.cell.com/chem/fulltext/S2451-9294(26)00265-2?rss=yes" TargetMode="External"/><Relationship Id="rId1831" Type="http://schemas.openxmlformats.org/officeDocument/2006/relationships/hyperlink" Target="https://doi.org/10.1016/j.chempr.2026.103199" TargetMode="External"/><Relationship Id="rId1832" Type="http://schemas.openxmlformats.org/officeDocument/2006/relationships/hyperlink" Target="https://pubs.acs.org/jacsat/article/doi/10.1021/jacs.6c11146/5254032/Flavin-Hydroperoxide-and-Semiquinone-Structures" TargetMode="External"/><Relationship Id="rId1833" Type="http://schemas.openxmlformats.org/officeDocument/2006/relationships/hyperlink" Target="https://doi.org/10.1021/jacs.6c11146" TargetMode="External"/><Relationship Id="rId1834" Type="http://schemas.openxmlformats.org/officeDocument/2006/relationships/hyperlink" Target="https://pubs.acs.org/jacsat/article/doi/10.1021/jacs.6c06915/5254675/Metal-Organic-Frameworks-MOFs-for-the-Delivery-of" TargetMode="External"/><Relationship Id="rId1835" Type="http://schemas.openxmlformats.org/officeDocument/2006/relationships/hyperlink" Target="https://doi.org/10.1021/jacs.6c06915" TargetMode="External"/><Relationship Id="rId1836" Type="http://schemas.openxmlformats.org/officeDocument/2006/relationships/hyperlink" Target="https://pubs.acs.org/jacsat/article/doi/10.1021/jacs.6c06772/5254729/Trojan-Methionine-Probe-Reveals-PKM2-as-a" TargetMode="External"/><Relationship Id="rId1837" Type="http://schemas.openxmlformats.org/officeDocument/2006/relationships/hyperlink" Target="https://doi.org/10.1021/jacs.6c06772" TargetMode="External"/><Relationship Id="rId1838" Type="http://schemas.openxmlformats.org/officeDocument/2006/relationships/hyperlink" Target="https://pubs.acs.org/chreay/article/doi/10.1021/acs.chemrev.6c00439/5254956/Triarylborane-Catalyzed-Homogeneous-Molecular" TargetMode="External"/><Relationship Id="rId1839" Type="http://schemas.openxmlformats.org/officeDocument/2006/relationships/hyperlink" Target="https://doi.org/10.1021/acs.chemrev.6c00439" TargetMode="External"/><Relationship Id="rId1840" Type="http://schemas.openxmlformats.org/officeDocument/2006/relationships/hyperlink" Target="https://pubs.acs.org/aamick/article/doi/10.1021/acsami.6c05877/5254087/A-Cationic-Ionic-Liquid-Liposome-Nanoplatform" TargetMode="External"/><Relationship Id="rId1841" Type="http://schemas.openxmlformats.org/officeDocument/2006/relationships/hyperlink" Target="https://doi.org/10.1021/acsami.6c05877" TargetMode="External"/><Relationship Id="rId1842" Type="http://schemas.openxmlformats.org/officeDocument/2006/relationships/hyperlink" Target="https://pubs.acs.org/jacsat/article/doi/10.1021/jacs.6c10175/5254015/Spontaneous-Chlorine-Generation-via-Interfacial" TargetMode="External"/><Relationship Id="rId1843" Type="http://schemas.openxmlformats.org/officeDocument/2006/relationships/hyperlink" Target="https://doi.org/10.1021/jacs.6c10175" TargetMode="External"/><Relationship Id="rId1844" Type="http://schemas.openxmlformats.org/officeDocument/2006/relationships/hyperlink" Target="https://www.nature.com/articles/s41558-026-02730-w" TargetMode="External"/><Relationship Id="rId1845" Type="http://schemas.openxmlformats.org/officeDocument/2006/relationships/hyperlink" Target="https://doi.org/10.1038/s41558-026-02730-w" TargetMode="External"/><Relationship Id="rId1846" Type="http://schemas.openxmlformats.org/officeDocument/2006/relationships/hyperlink" Target="https://pubs.acs.org/chreay/article/doi/10.1021/acs.chemrev.6c00200/5254290/New-Frontiers-in-Single-Atom-Catalysis-Active-Site" TargetMode="External"/><Relationship Id="rId1847" Type="http://schemas.openxmlformats.org/officeDocument/2006/relationships/hyperlink" Target="https://doi.org/10.1021/acs.chemrev.6c00200" TargetMode="External"/><Relationship Id="rId1848" Type="http://schemas.openxmlformats.org/officeDocument/2006/relationships/hyperlink" Target="https://pubs.acs.org/jacsat/article/doi/10.1021/jacs.6c07307/5254037/Stereoselectivity-in-Liquid-Aerosols-through-Acid" TargetMode="External"/><Relationship Id="rId1849" Type="http://schemas.openxmlformats.org/officeDocument/2006/relationships/hyperlink" Target="https://doi.org/10.1021/jacs.6c07307" TargetMode="External"/><Relationship Id="rId1850" Type="http://schemas.openxmlformats.org/officeDocument/2006/relationships/hyperlink" Target="https://www.sciencedirect.com/science/article/pii/S0306261926012614?dgcid=rss_sd_all" TargetMode="External"/><Relationship Id="rId1851" Type="http://schemas.openxmlformats.org/officeDocument/2006/relationships/hyperlink" Target="https://doi.org/10.1016/j.apenergy.2026.128605" TargetMode="External"/><Relationship Id="rId1852" Type="http://schemas.openxmlformats.org/officeDocument/2006/relationships/hyperlink" Target="https://www.cell.com/matter/fulltext/S2590-2385(26)00330-9?rss=yes" TargetMode="External"/><Relationship Id="rId1853" Type="http://schemas.openxmlformats.org/officeDocument/2006/relationships/hyperlink" Target="https://doi.org/10.1016/j.matt.2026.102967" TargetMode="External"/><Relationship Id="rId1854" Type="http://schemas.openxmlformats.org/officeDocument/2006/relationships/hyperlink" Target="https://pubs.acs.org/jacsat/article/doi/10.1021/jacs.6c01463/5254171/Heteropore-Mediated-Pore-Environment-Tuning-in-a" TargetMode="External"/><Relationship Id="rId1855" Type="http://schemas.openxmlformats.org/officeDocument/2006/relationships/hyperlink" Target="https://doi.org/10.1021/jacs.6c01463" TargetMode="External"/><Relationship Id="rId1856" Type="http://schemas.openxmlformats.org/officeDocument/2006/relationships/hyperlink" Target="https://pubs.acs.org/jacsat/article/doi/10.1021/jacs.6c09022/5254621/Colloidal-Crystals-Engineered-with-DNA-and" TargetMode="External"/><Relationship Id="rId1857" Type="http://schemas.openxmlformats.org/officeDocument/2006/relationships/hyperlink" Target="https://doi.org/10.1021/jacs.6c09022" TargetMode="External"/><Relationship Id="rId1858" Type="http://schemas.openxmlformats.org/officeDocument/2006/relationships/hyperlink" Target="https://pubs.acs.org/jacsat/article/doi/10.1021/jacs.6c04752/5254285/Large-Scale-Quantum-Computing-Emulation-for" TargetMode="External"/><Relationship Id="rId1859" Type="http://schemas.openxmlformats.org/officeDocument/2006/relationships/hyperlink" Target="https://doi.org/10.1021/jacs.6c04752" TargetMode="External"/><Relationship Id="rId1860" Type="http://schemas.openxmlformats.org/officeDocument/2006/relationships/hyperlink" Target="https://www.sciencedirect.com/science/article/pii/S0306261926012535?dgcid=rss_sd_all" TargetMode="External"/><Relationship Id="rId1861" Type="http://schemas.openxmlformats.org/officeDocument/2006/relationships/hyperlink" Target="https://doi.org/10.1016/j.apenergy.2026.128597" TargetMode="External"/><Relationship Id="rId1862" Type="http://schemas.openxmlformats.org/officeDocument/2006/relationships/hyperlink" Target="https://pubs.acs.org/jacsat/article/doi/10.1021/jacs.6c07197/5254655/Discerning-Mode-Controlled-Relaxation-Pathways-in" TargetMode="External"/><Relationship Id="rId1863" Type="http://schemas.openxmlformats.org/officeDocument/2006/relationships/hyperlink" Target="https://doi.org/10.1021/jacs.6c07197" TargetMode="External"/><Relationship Id="rId1864" Type="http://schemas.openxmlformats.org/officeDocument/2006/relationships/hyperlink" Target="https://www.sciencedirect.com/science/article/pii/S0306261926012705?dgcid=rss_sd_all" TargetMode="External"/><Relationship Id="rId1865" Type="http://schemas.openxmlformats.org/officeDocument/2006/relationships/hyperlink" Target="https://doi.org/10.1016/j.apenergy.2026.128614" TargetMode="External"/><Relationship Id="rId1866" Type="http://schemas.openxmlformats.org/officeDocument/2006/relationships/hyperlink" Target="https://www.nature.com/articles/s41467-026-76347-0" TargetMode="External"/><Relationship Id="rId1867" Type="http://schemas.openxmlformats.org/officeDocument/2006/relationships/hyperlink" Target="https://pubs.acs.org/jacsat/article/doi/10.1021/jacs.6c08064/5254027/Complex-Core-Satellite-Nanoparticles-with-Trench" TargetMode="External"/><Relationship Id="rId1868" Type="http://schemas.openxmlformats.org/officeDocument/2006/relationships/hyperlink" Target="https://doi.org/10.1021/jacs.6c08064" TargetMode="External"/><Relationship Id="rId1869" Type="http://schemas.openxmlformats.org/officeDocument/2006/relationships/hyperlink" Target="https://pubs.acs.org/jacsat/article/doi/10.1021/jacs.6c10930/5254172/Star-Polyelectrolyte-Coacervates-Enable-Adaptive" TargetMode="External"/><Relationship Id="rId1870" Type="http://schemas.openxmlformats.org/officeDocument/2006/relationships/hyperlink" Target="https://doi.org/10.1021/jacs.6c10930" TargetMode="External"/><Relationship Id="rId1871" Type="http://schemas.openxmlformats.org/officeDocument/2006/relationships/hyperlink" Target="https://pubs.acs.org/jacsat/article/doi/10.1021/jacs.6c06869/5254012/Hitherto-Unrecognized-Intermolecular-Coulombic" TargetMode="External"/><Relationship Id="rId1872" Type="http://schemas.openxmlformats.org/officeDocument/2006/relationships/hyperlink" Target="https://doi.org/10.1021/jacs.6c06869" TargetMode="External"/><Relationship Id="rId1873" Type="http://schemas.openxmlformats.org/officeDocument/2006/relationships/hyperlink" Target="https://www.nature.com/articles/d41586-026-01904-y" TargetMode="External"/><Relationship Id="rId1874" Type="http://schemas.openxmlformats.org/officeDocument/2006/relationships/hyperlink" Target="https://doi.org/10.1038/d41586-026-01904-y" TargetMode="External"/><Relationship Id="rId1875" Type="http://schemas.openxmlformats.org/officeDocument/2006/relationships/hyperlink" Target="https://www.nature.com/articles/d41586-026-02544-y" TargetMode="External"/><Relationship Id="rId1876" Type="http://schemas.openxmlformats.org/officeDocument/2006/relationships/hyperlink" Target="https://doi.org/10.1038/d41586-026-02544-y" TargetMode="External"/><Relationship Id="rId1877" Type="http://schemas.openxmlformats.org/officeDocument/2006/relationships/hyperlink" Target="https://www.nature.com/articles/s41467-026-76448-w" TargetMode="External"/><Relationship Id="rId1878" Type="http://schemas.openxmlformats.org/officeDocument/2006/relationships/hyperlink" Target="https://www.nature.com/articles/s41467-026-76700-3" TargetMode="External"/><Relationship Id="rId1879" Type="http://schemas.openxmlformats.org/officeDocument/2006/relationships/hyperlink" Target="https://www.nature.com/articles/s41467-026-76671-5" TargetMode="External"/><Relationship Id="rId1880" Type="http://schemas.openxmlformats.org/officeDocument/2006/relationships/hyperlink" Target="https://www.nature.com/articles/s41467-026-76639-5" TargetMode="External"/><Relationship Id="rId1881" Type="http://schemas.openxmlformats.org/officeDocument/2006/relationships/hyperlink" Target="https://www.nature.com/articles/s41467-026-76742-7" TargetMode="External"/><Relationship Id="rId1882" Type="http://schemas.openxmlformats.org/officeDocument/2006/relationships/hyperlink" Target="https://www.nature.com/articles/s41467-026-76098-y" TargetMode="External"/><Relationship Id="rId1883" Type="http://schemas.openxmlformats.org/officeDocument/2006/relationships/hyperlink" Target="https://www.nature.com/articles/s41467-026-76739-2" TargetMode="External"/><Relationship Id="rId1884" Type="http://schemas.openxmlformats.org/officeDocument/2006/relationships/hyperlink" Target="https://www.nature.com/articles/s41467-026-76633-x" TargetMode="External"/><Relationship Id="rId1885" Type="http://schemas.openxmlformats.org/officeDocument/2006/relationships/hyperlink" Target="https://www.nature.com/articles/s41467-026-76270-4" TargetMode="External"/><Relationship Id="rId1886" Type="http://schemas.openxmlformats.org/officeDocument/2006/relationships/hyperlink" Target="https://www.nature.com/articles/s41467-026-76342-5" TargetMode="External"/><Relationship Id="rId1887" Type="http://schemas.openxmlformats.org/officeDocument/2006/relationships/hyperlink" Target="https://www.nature.com/articles/s41467-026-76411-9" TargetMode="External"/><Relationship Id="rId1888" Type="http://schemas.openxmlformats.org/officeDocument/2006/relationships/hyperlink" Target="https://www.nature.com/articles/s41467-026-76554-9" TargetMode="External"/><Relationship Id="rId1889" Type="http://schemas.openxmlformats.org/officeDocument/2006/relationships/hyperlink" Target="https://www.nature.com/articles/s41467-026-76171-6" TargetMode="External"/><Relationship Id="rId1890" Type="http://schemas.openxmlformats.org/officeDocument/2006/relationships/hyperlink" Target="https://www.nature.com/articles/s41467-026-76615-z" TargetMode="External"/><Relationship Id="rId1891" Type="http://schemas.openxmlformats.org/officeDocument/2006/relationships/hyperlink" Target="https://www.nature.com/articles/s41467-026-76603-3" TargetMode="External"/><Relationship Id="rId1892" Type="http://schemas.openxmlformats.org/officeDocument/2006/relationships/hyperlink" Target="https://www.nature.com/articles/s41467-026-76810-y" TargetMode="External"/><Relationship Id="rId1893" Type="http://schemas.openxmlformats.org/officeDocument/2006/relationships/hyperlink" Target="https://www.nature.com/articles/s41467-026-76652-8" TargetMode="External"/><Relationship Id="rId1894" Type="http://schemas.openxmlformats.org/officeDocument/2006/relationships/hyperlink" Target="https://www.nature.com/articles/s41467-026-76440-4" TargetMode="External"/><Relationship Id="rId1895" Type="http://schemas.openxmlformats.org/officeDocument/2006/relationships/hyperlink" Target="https://www.nature.com/articles/s41467-026-76731-w" TargetMode="External"/><Relationship Id="rId1896" Type="http://schemas.openxmlformats.org/officeDocument/2006/relationships/hyperlink" Target="https://www.nature.com/articles/s41467-026-75649-7" TargetMode="External"/><Relationship Id="rId1897" Type="http://schemas.openxmlformats.org/officeDocument/2006/relationships/hyperlink" Target="https://www.nature.com/articles/s41467-026-76514-3" TargetMode="External"/><Relationship Id="rId1898" Type="http://schemas.openxmlformats.org/officeDocument/2006/relationships/hyperlink" Target="https://www.nature.com/articles/s41467-026-76499-z" TargetMode="External"/><Relationship Id="rId1899" Type="http://schemas.openxmlformats.org/officeDocument/2006/relationships/hyperlink" Target="https://www.nature.com/articles/s41467-026-76467-7" TargetMode="External"/><Relationship Id="rId1900" Type="http://schemas.openxmlformats.org/officeDocument/2006/relationships/hyperlink" Target="https://www.sciencedirect.com/science/article/pii/S030142152600474X?dgcid=rss_sd_all" TargetMode="External"/><Relationship Id="rId1901" Type="http://schemas.openxmlformats.org/officeDocument/2006/relationships/hyperlink" Target="https://doi.org/10.1016/j.enpol.2026.115540" TargetMode="External"/><Relationship Id="rId1902" Type="http://schemas.openxmlformats.org/officeDocument/2006/relationships/hyperlink" Target="https://www.nature.com/articles/s41467-026-75745-8" TargetMode="External"/><Relationship Id="rId1903" Type="http://schemas.openxmlformats.org/officeDocument/2006/relationships/hyperlink" Target="https://www.nature.com/articles/s41467-026-76658-2" TargetMode="External"/><Relationship Id="rId1904" Type="http://schemas.openxmlformats.org/officeDocument/2006/relationships/hyperlink" Target="https://www.nature.com/articles/s41467-026-76691-1" TargetMode="External"/><Relationship Id="rId1905" Type="http://schemas.openxmlformats.org/officeDocument/2006/relationships/hyperlink" Target="https://www.nature.com/articles/s41467-026-76412-8" TargetMode="External"/><Relationship Id="rId1906" Type="http://schemas.openxmlformats.org/officeDocument/2006/relationships/hyperlink" Target="https://www.nature.com/articles/s41467-026-76812-w" TargetMode="External"/><Relationship Id="rId1907" Type="http://schemas.openxmlformats.org/officeDocument/2006/relationships/hyperlink" Target="https://www.nature.com/articles/s41467-026-76678-y" TargetMode="External"/><Relationship Id="rId1908" Type="http://schemas.openxmlformats.org/officeDocument/2006/relationships/hyperlink" Target="https://www.nature.com/articles/s41467-026-76191-2" TargetMode="External"/><Relationship Id="rId1909" Type="http://schemas.openxmlformats.org/officeDocument/2006/relationships/hyperlink" Target="https://pubs.acs.org/aamick/article/doi/10.1021/acsami.6c08673/5254978/Pop-Rocks-Inspired-Bubble-Driven-Exosome" TargetMode="External"/><Relationship Id="rId1910" Type="http://schemas.openxmlformats.org/officeDocument/2006/relationships/hyperlink" Target="https://doi.org/10.1021/acsami.6c08673" TargetMode="External"/><Relationship Id="rId1911" Type="http://schemas.openxmlformats.org/officeDocument/2006/relationships/hyperlink" Target="https://pubs.acs.org/aamick/article/doi/10.1021/acsami.6c12686/5254052/Peelable-Antifouling-Coating-Based-on-Slow-Curing" TargetMode="External"/><Relationship Id="rId1912" Type="http://schemas.openxmlformats.org/officeDocument/2006/relationships/hyperlink" Target="https://doi.org/10.1021/acsami.6c12686" TargetMode="External"/><Relationship Id="rId1913" Type="http://schemas.openxmlformats.org/officeDocument/2006/relationships/hyperlink" Target="https://pubs.acs.org/aamick/article/doi/10.1021/acsami.6c04643/5254949/Integrating-Long-Lasting-Underwater-Lubrication" TargetMode="External"/><Relationship Id="rId1914" Type="http://schemas.openxmlformats.org/officeDocument/2006/relationships/hyperlink" Target="https://doi.org/10.1021/acsami.6c04643" TargetMode="External"/><Relationship Id="rId1915" Type="http://schemas.openxmlformats.org/officeDocument/2006/relationships/hyperlink" Target="https://pubs.acs.org/aamick/article/doi/10.1021/acsami.6c11960/5254738/Bioinspired-Magnetic-Vision-Synapse-for-Near" TargetMode="External"/><Relationship Id="rId1916" Type="http://schemas.openxmlformats.org/officeDocument/2006/relationships/hyperlink" Target="https://doi.org/10.1021/acsami.6c11960" TargetMode="External"/><Relationship Id="rId1917" Type="http://schemas.openxmlformats.org/officeDocument/2006/relationships/hyperlink" Target="https://www.nature.com/articles/s41467-026-76765-0" TargetMode="External"/><Relationship Id="rId1918" Type="http://schemas.openxmlformats.org/officeDocument/2006/relationships/hyperlink" Target="https://pubs.acs.org/aamick/article/doi/10.1021/acsami.6c06015/5254664/Reciprocal-Coupling-among-Extracellular-Matrix" TargetMode="External"/><Relationship Id="rId1919" Type="http://schemas.openxmlformats.org/officeDocument/2006/relationships/hyperlink" Target="https://doi.org/10.1021/acsami.6c06015" TargetMode="External"/><Relationship Id="rId1920" Type="http://schemas.openxmlformats.org/officeDocument/2006/relationships/hyperlink" Target="https://pubs.acs.org/aamick/article/doi/10.1021/acsami.6c05373/5254726/Smart-Biomimetic-Microswimmers-with-Adaptive" TargetMode="External"/><Relationship Id="rId1921" Type="http://schemas.openxmlformats.org/officeDocument/2006/relationships/hyperlink" Target="https://doi.org/10.1021/acsami.6c05373" TargetMode="External"/><Relationship Id="rId1922" Type="http://schemas.openxmlformats.org/officeDocument/2006/relationships/hyperlink" Target="https://pubs.acs.org/aamick/article/doi/10.1021/acsami.6c05172/5254983/Bridging-Mode-Specific-Performance-Gaps-in-Organic" TargetMode="External"/><Relationship Id="rId1923" Type="http://schemas.openxmlformats.org/officeDocument/2006/relationships/hyperlink" Target="https://doi.org/10.1021/acsami.6c05172" TargetMode="External"/><Relationship Id="rId1924" Type="http://schemas.openxmlformats.org/officeDocument/2006/relationships/hyperlink" Target="https://pubs.acs.org/aamick/article/doi/10.1021/acsami.6c09531/5254927/Dual-Radical-Gardenia-Blue-Conjugated-Polymers" TargetMode="External"/><Relationship Id="rId1925" Type="http://schemas.openxmlformats.org/officeDocument/2006/relationships/hyperlink" Target="https://doi.org/10.1021/acsami.6c09531" TargetMode="External"/><Relationship Id="rId1926" Type="http://schemas.openxmlformats.org/officeDocument/2006/relationships/hyperlink" Target="https://www.nature.com/articles/s41467-026-76620-2" TargetMode="External"/><Relationship Id="rId1927" Type="http://schemas.openxmlformats.org/officeDocument/2006/relationships/hyperlink" Target="https://www.nature.com/articles/s41467-026-76734-7" TargetMode="External"/><Relationship Id="rId1928" Type="http://schemas.openxmlformats.org/officeDocument/2006/relationships/hyperlink" Target="https://www.nature.com/articles/s41467-026-76533-0" TargetMode="External"/><Relationship Id="rId1929" Type="http://schemas.openxmlformats.org/officeDocument/2006/relationships/hyperlink" Target="https://www.nature.com/articles/s41467-026-76350-5" TargetMode="External"/><Relationship Id="rId1930" Type="http://schemas.openxmlformats.org/officeDocument/2006/relationships/hyperlink" Target="https://www.nature.com/articles/s41467-026-76681-3" TargetMode="External"/><Relationship Id="rId1931" Type="http://schemas.openxmlformats.org/officeDocument/2006/relationships/hyperlink" Target="https://www.nature.com/articles/s41467-026-76438-y" TargetMode="External"/><Relationship Id="rId1932" Type="http://schemas.openxmlformats.org/officeDocument/2006/relationships/hyperlink" Target="https://www.nature.com/articles/s41467-026-76643-9" TargetMode="External"/><Relationship Id="rId1933" Type="http://schemas.openxmlformats.org/officeDocument/2006/relationships/hyperlink" Target="https://www.nature.com/articles/s41467-026-76386-7" TargetMode="External"/><Relationship Id="rId1934" Type="http://schemas.openxmlformats.org/officeDocument/2006/relationships/hyperlink" Target="https://www.sciencedirect.com/science/article/pii/S0301421526004829?dgcid=rss_sd_all" TargetMode="External"/><Relationship Id="rId1935" Type="http://schemas.openxmlformats.org/officeDocument/2006/relationships/hyperlink" Target="https://doi.org/10.1016/j.enpol.2026.115548" TargetMode="External"/><Relationship Id="rId1936" Type="http://schemas.openxmlformats.org/officeDocument/2006/relationships/hyperlink" Target="https://www.nature.com/articles/s41467-026-76484-6" TargetMode="External"/><Relationship Id="rId1937" Type="http://schemas.openxmlformats.org/officeDocument/2006/relationships/hyperlink" Target="https://www.science.org/doi/abs/10.1126/science.ael4191?af=R" TargetMode="External"/><Relationship Id="rId1938" Type="http://schemas.openxmlformats.org/officeDocument/2006/relationships/hyperlink" Target="https://doi.org/10.1126/science.ael4191" TargetMode="External"/><Relationship Id="rId1939" Type="http://schemas.openxmlformats.org/officeDocument/2006/relationships/hyperlink" Target="https://www.science.org/doi/abs/10.1126/science.ael4192?af=R" TargetMode="External"/><Relationship Id="rId1940" Type="http://schemas.openxmlformats.org/officeDocument/2006/relationships/hyperlink" Target="https://doi.org/10.1126/science.ael4192" TargetMode="External"/><Relationship Id="rId1941" Type="http://schemas.openxmlformats.org/officeDocument/2006/relationships/hyperlink" Target="https://www.science.org/doi/abs/10.1126/science.ael4193?af=R" TargetMode="External"/><Relationship Id="rId1942" Type="http://schemas.openxmlformats.org/officeDocument/2006/relationships/hyperlink" Target="https://doi.org/10.1126/science.ael4193" TargetMode="External"/><Relationship Id="rId1943" Type="http://schemas.openxmlformats.org/officeDocument/2006/relationships/hyperlink" Target="https://www.science.org/doi/abs/10.1126/science.ael4194?af=R" TargetMode="External"/><Relationship Id="rId1944" Type="http://schemas.openxmlformats.org/officeDocument/2006/relationships/hyperlink" Target="https://doi.org/10.1126/science.ael4194" TargetMode="External"/><Relationship Id="rId1945" Type="http://schemas.openxmlformats.org/officeDocument/2006/relationships/hyperlink" Target="https://www.science.org/doi/abs/10.1126/science.ael2482?af=R" TargetMode="External"/><Relationship Id="rId1946" Type="http://schemas.openxmlformats.org/officeDocument/2006/relationships/hyperlink" Target="https://doi.org/10.1126/science.ael2482" TargetMode="External"/><Relationship Id="rId1947" Type="http://schemas.openxmlformats.org/officeDocument/2006/relationships/hyperlink" Target="https://www.science.org/doi/abs/10.1126/science.aea9565?af=R" TargetMode="External"/><Relationship Id="rId1948" Type="http://schemas.openxmlformats.org/officeDocument/2006/relationships/hyperlink" Target="https://doi.org/10.1126/science.aea9565" TargetMode="External"/><Relationship Id="rId1949" Type="http://schemas.openxmlformats.org/officeDocument/2006/relationships/hyperlink" Target="https://www.science.org/doi/abs/10.1126/science.aec4776?af=R" TargetMode="External"/><Relationship Id="rId1950" Type="http://schemas.openxmlformats.org/officeDocument/2006/relationships/hyperlink" Target="https://doi.org/10.1126/science.aec4776" TargetMode="External"/><Relationship Id="rId1951" Type="http://schemas.openxmlformats.org/officeDocument/2006/relationships/hyperlink" Target="https://www.science.org/doi/abs/10.1126/science.ael3843?af=R" TargetMode="External"/><Relationship Id="rId1952" Type="http://schemas.openxmlformats.org/officeDocument/2006/relationships/hyperlink" Target="https://doi.org/10.1126/science.ael3843" TargetMode="External"/><Relationship Id="rId1953" Type="http://schemas.openxmlformats.org/officeDocument/2006/relationships/hyperlink" Target="https://www.science.org/doi/abs/10.1126/science.ael4189?af=R" TargetMode="External"/><Relationship Id="rId1954" Type="http://schemas.openxmlformats.org/officeDocument/2006/relationships/hyperlink" Target="https://doi.org/10.1126/science.ael4189" TargetMode="External"/><Relationship Id="rId1955" Type="http://schemas.openxmlformats.org/officeDocument/2006/relationships/hyperlink" Target="https://www.science.org/doi/abs/10.1126/science.aee8723?af=R" TargetMode="External"/><Relationship Id="rId1956" Type="http://schemas.openxmlformats.org/officeDocument/2006/relationships/hyperlink" Target="https://doi.org/10.1126/science.aee8723" TargetMode="External"/><Relationship Id="rId1957" Type="http://schemas.openxmlformats.org/officeDocument/2006/relationships/hyperlink" Target="https://www.science.org/doi/abs/10.1126/science.aea5466?af=R" TargetMode="External"/><Relationship Id="rId1958" Type="http://schemas.openxmlformats.org/officeDocument/2006/relationships/hyperlink" Target="https://doi.org/10.1126/science.aea5466" TargetMode="External"/><Relationship Id="rId1959" Type="http://schemas.openxmlformats.org/officeDocument/2006/relationships/hyperlink" Target="https://www.science.org/doi/abs/10.1126/science.ael4190?af=R" TargetMode="External"/><Relationship Id="rId1960" Type="http://schemas.openxmlformats.org/officeDocument/2006/relationships/hyperlink" Target="https://doi.org/10.1126/science.ael4190" TargetMode="External"/><Relationship Id="rId1961" Type="http://schemas.openxmlformats.org/officeDocument/2006/relationships/hyperlink" Target="https://www.science.org/doi/abs/10.1126/science.ael3844?af=R" TargetMode="External"/><Relationship Id="rId1962" Type="http://schemas.openxmlformats.org/officeDocument/2006/relationships/hyperlink" Target="https://doi.org/10.1126/science.ael3844" TargetMode="External"/><Relationship Id="rId1963" Type="http://schemas.openxmlformats.org/officeDocument/2006/relationships/hyperlink" Target="https://www.science.org/doi/abs/10.1126/science.ael3842?af=R" TargetMode="External"/><Relationship Id="rId1964" Type="http://schemas.openxmlformats.org/officeDocument/2006/relationships/hyperlink" Target="https://doi.org/10.1126/science.ael3842" TargetMode="External"/><Relationship Id="rId1965" Type="http://schemas.openxmlformats.org/officeDocument/2006/relationships/hyperlink" Target="https://www.science.org/doi/abs/10.1126/science.aej7857?af=R" TargetMode="External"/><Relationship Id="rId1966" Type="http://schemas.openxmlformats.org/officeDocument/2006/relationships/hyperlink" Target="https://doi.org/10.1126/science.aej7857" TargetMode="External"/><Relationship Id="rId1967" Type="http://schemas.openxmlformats.org/officeDocument/2006/relationships/hyperlink" Target="https://www.science.org/doi/abs/10.1126/science.ael4188?af=R" TargetMode="External"/><Relationship Id="rId1968" Type="http://schemas.openxmlformats.org/officeDocument/2006/relationships/hyperlink" Target="https://doi.org/10.1126/science.ael4188" TargetMode="External"/><Relationship Id="rId1969" Type="http://schemas.openxmlformats.org/officeDocument/2006/relationships/hyperlink" Target="https://www.science.org/doi/abs/10.1126/science.ady9591?af=R" TargetMode="External"/><Relationship Id="rId1970" Type="http://schemas.openxmlformats.org/officeDocument/2006/relationships/hyperlink" Target="https://doi.org/10.1126/science.ady9591" TargetMode="External"/><Relationship Id="rId1971" Type="http://schemas.openxmlformats.org/officeDocument/2006/relationships/hyperlink" Target="https://www.science.org/doi/abs/10.1126/science.aei0132?af=R" TargetMode="External"/><Relationship Id="rId1972" Type="http://schemas.openxmlformats.org/officeDocument/2006/relationships/hyperlink" Target="https://doi.org/10.1126/science.aei0132" TargetMode="External"/><Relationship Id="rId1973" Type="http://schemas.openxmlformats.org/officeDocument/2006/relationships/hyperlink" Target="https://www.science.org/doi/abs/10.1126/science.ads5962?af=R" TargetMode="External"/><Relationship Id="rId1974" Type="http://schemas.openxmlformats.org/officeDocument/2006/relationships/hyperlink" Target="https://doi.org/10.1126/science.ads5962" TargetMode="External"/><Relationship Id="rId1975" Type="http://schemas.openxmlformats.org/officeDocument/2006/relationships/hyperlink" Target="https://www.science.org/doi/abs/10.1126/science.adz7427?af=R" TargetMode="External"/><Relationship Id="rId1976" Type="http://schemas.openxmlformats.org/officeDocument/2006/relationships/hyperlink" Target="https://doi.org/10.1126/science.adz7427" TargetMode="External"/><Relationship Id="rId1977" Type="http://schemas.openxmlformats.org/officeDocument/2006/relationships/hyperlink" Target="https://www.science.org/doi/abs/10.1126/science.ael4184?af=R" TargetMode="External"/><Relationship Id="rId1978" Type="http://schemas.openxmlformats.org/officeDocument/2006/relationships/hyperlink" Target="https://doi.org/10.1126/science.ael4184" TargetMode="External"/><Relationship Id="rId1979" Type="http://schemas.openxmlformats.org/officeDocument/2006/relationships/hyperlink" Target="https://www.science.org/doi/abs/10.1126/science.adq0420?af=R" TargetMode="External"/><Relationship Id="rId1980" Type="http://schemas.openxmlformats.org/officeDocument/2006/relationships/hyperlink" Target="https://doi.org/10.1126/science.adq0420" TargetMode="External"/><Relationship Id="rId1981" Type="http://schemas.openxmlformats.org/officeDocument/2006/relationships/hyperlink" Target="https://www.science.org/doi/abs/10.1126/science.aek0196?af=R" TargetMode="External"/><Relationship Id="rId1982" Type="http://schemas.openxmlformats.org/officeDocument/2006/relationships/hyperlink" Target="https://doi.org/10.1126/science.aek0196" TargetMode="External"/><Relationship Id="rId1983" Type="http://schemas.openxmlformats.org/officeDocument/2006/relationships/hyperlink" Target="https://www.science.org/doi/abs/10.1126/science.aek0561?af=R" TargetMode="External"/><Relationship Id="rId1984" Type="http://schemas.openxmlformats.org/officeDocument/2006/relationships/hyperlink" Target="https://doi.org/10.1126/science.aek0561" TargetMode="External"/><Relationship Id="rId1985" Type="http://schemas.openxmlformats.org/officeDocument/2006/relationships/hyperlink" Target="https://www.science.org/doi/abs/10.1126/science.aek0574?af=R" TargetMode="External"/><Relationship Id="rId1986" Type="http://schemas.openxmlformats.org/officeDocument/2006/relationships/hyperlink" Target="https://doi.org/10.1126/science.aek0574" TargetMode="External"/><Relationship Id="rId1987" Type="http://schemas.openxmlformats.org/officeDocument/2006/relationships/hyperlink" Target="https://www.science.org/doi/abs/10.1126/science.aek0549?af=R" TargetMode="External"/><Relationship Id="rId1988" Type="http://schemas.openxmlformats.org/officeDocument/2006/relationships/hyperlink" Target="https://doi.org/10.1126/science.aek0549" TargetMode="External"/><Relationship Id="rId1989" Type="http://schemas.openxmlformats.org/officeDocument/2006/relationships/hyperlink" Target="https://www.science.org/doi/abs/10.1126/science.aek7995?af=R" TargetMode="External"/><Relationship Id="rId1990" Type="http://schemas.openxmlformats.org/officeDocument/2006/relationships/hyperlink" Target="https://doi.org/10.1126/science.aek7995" TargetMode="External"/><Relationship Id="rId1991" Type="http://schemas.openxmlformats.org/officeDocument/2006/relationships/hyperlink" Target="https://www.science.org/doi/abs/10.1126/science.aej6968?af=R" TargetMode="External"/><Relationship Id="rId1992" Type="http://schemas.openxmlformats.org/officeDocument/2006/relationships/hyperlink" Target="https://doi.org/10.1126/science.aej6968" TargetMode="External"/><Relationship Id="rId1993" Type="http://schemas.openxmlformats.org/officeDocument/2006/relationships/hyperlink" Target="https://www.pnas.org/doi/abs/10.1073/pnas.2606609123?mi=eymic2&amp;af=R&amp;access=on&amp;content=articlesChapters&amp;publication=pnas&amp;sortBy=Earliest&amp;target=default" TargetMode="External"/><Relationship Id="rId1994" Type="http://schemas.openxmlformats.org/officeDocument/2006/relationships/hyperlink" Target="https://doi.org/10.1073/pnas.2606609123" TargetMode="External"/><Relationship Id="rId1995" Type="http://schemas.openxmlformats.org/officeDocument/2006/relationships/hyperlink" Target="https://www.pnas.org/doi/abs/10.1073/pnas.2609149123?mi=eymic2&amp;af=R&amp;access=on&amp;content=articlesChapters&amp;publication=pnas&amp;sortBy=Earliest&amp;target=default" TargetMode="External"/><Relationship Id="rId1996" Type="http://schemas.openxmlformats.org/officeDocument/2006/relationships/hyperlink" Target="https://doi.org/10.1073/pnas.2609149123" TargetMode="External"/><Relationship Id="rId1997" Type="http://schemas.openxmlformats.org/officeDocument/2006/relationships/hyperlink" Target="https://www.pnas.org/doi/abs/10.1073/pnas.2529109123?mi=eymic2&amp;af=R&amp;access=on&amp;content=articlesChapters&amp;publication=pnas&amp;sortBy=Earliest&amp;target=default" TargetMode="External"/><Relationship Id="rId1998" Type="http://schemas.openxmlformats.org/officeDocument/2006/relationships/hyperlink" Target="https://doi.org/10.1073/pnas.2529109123" TargetMode="External"/><Relationship Id="rId1999" Type="http://schemas.openxmlformats.org/officeDocument/2006/relationships/hyperlink" Target="https://www.pnas.org/doi/abs/10.1073/pnas.2531632123?mi=eymic2&amp;af=R&amp;access=on&amp;content=articlesChapters&amp;publication=pnas&amp;sortBy=Earliest&amp;target=default" TargetMode="External"/><Relationship Id="rId2000" Type="http://schemas.openxmlformats.org/officeDocument/2006/relationships/hyperlink" Target="https://doi.org/10.1073/pnas.2531632123" TargetMode="External"/><Relationship Id="rId2001" Type="http://schemas.openxmlformats.org/officeDocument/2006/relationships/hyperlink" Target="https://www.science.org/doi/abs/10.1126/science.aee7004?af=R" TargetMode="External"/><Relationship Id="rId2002" Type="http://schemas.openxmlformats.org/officeDocument/2006/relationships/hyperlink" Target="https://doi.org/10.1126/science.aee7004" TargetMode="External"/><Relationship Id="rId2003" Type="http://schemas.openxmlformats.org/officeDocument/2006/relationships/hyperlink" Target="https://www.pnas.org/doi/abs/10.1073/pnas.2537768123?mi=eymic2&amp;af=R&amp;access=on&amp;content=articlesChapters&amp;publication=pnas&amp;sortBy=Earliest&amp;target=default" TargetMode="External"/><Relationship Id="rId2004" Type="http://schemas.openxmlformats.org/officeDocument/2006/relationships/hyperlink" Target="https://doi.org/10.1073/pnas.2537768123" TargetMode="External"/><Relationship Id="rId2005" Type="http://schemas.openxmlformats.org/officeDocument/2006/relationships/hyperlink" Target="https://www.pnas.org/doi/abs/10.1073/pnas.2600800123?mi=eymic2&amp;af=R&amp;access=on&amp;content=articlesChapters&amp;publication=pnas&amp;sortBy=Earliest&amp;target=default" TargetMode="External"/><Relationship Id="rId2006" Type="http://schemas.openxmlformats.org/officeDocument/2006/relationships/hyperlink" Target="https://doi.org/10.1073/pnas.2600800123" TargetMode="External"/><Relationship Id="rId2007" Type="http://schemas.openxmlformats.org/officeDocument/2006/relationships/hyperlink" Target="https://www.pnas.org/doi/abs/10.1073/pnas.2603586123?mi=eymic2&amp;af=R&amp;access=on&amp;content=articlesChapters&amp;publication=pnas&amp;sortBy=Earliest&amp;target=default" TargetMode="External"/><Relationship Id="rId2008" Type="http://schemas.openxmlformats.org/officeDocument/2006/relationships/hyperlink" Target="https://doi.org/10.1073/pnas.2603586123" TargetMode="External"/><Relationship Id="rId2009" Type="http://schemas.openxmlformats.org/officeDocument/2006/relationships/hyperlink" Target="https://www.science.org/doi/abs/10.1126/science.aea7605?af=R" TargetMode="External"/><Relationship Id="rId2010" Type="http://schemas.openxmlformats.org/officeDocument/2006/relationships/hyperlink" Target="https://doi.org/10.1126/science.aea7605" TargetMode="External"/><Relationship Id="rId2011" Type="http://schemas.openxmlformats.org/officeDocument/2006/relationships/hyperlink" Target="https://www.pnas.org/doi/abs/10.1073/pnas.2611598123?mi=eymic2&amp;af=R&amp;access=on&amp;content=articlesChapters&amp;publication=pnas&amp;sortBy=Earliest&amp;target=default" TargetMode="External"/><Relationship Id="rId2012" Type="http://schemas.openxmlformats.org/officeDocument/2006/relationships/hyperlink" Target="https://doi.org/10.1073/pnas.2611598123" TargetMode="External"/><Relationship Id="rId2013" Type="http://schemas.openxmlformats.org/officeDocument/2006/relationships/hyperlink" Target="https://www.science.org/doi/abs/10.1126/science.adz1083?af=R" TargetMode="External"/><Relationship Id="rId2014" Type="http://schemas.openxmlformats.org/officeDocument/2006/relationships/hyperlink" Target="https://doi.org/10.1126/science.adz1083" TargetMode="External"/><Relationship Id="rId2015" Type="http://schemas.openxmlformats.org/officeDocument/2006/relationships/hyperlink" Target="https://www.pnas.org/doi/abs/10.1073/pnas.2615727123?mi=eymic2&amp;af=R&amp;access=on&amp;content=articlesChapters&amp;publication=pnas&amp;sortBy=Earliest&amp;target=default" TargetMode="External"/><Relationship Id="rId2016" Type="http://schemas.openxmlformats.org/officeDocument/2006/relationships/hyperlink" Target="https://doi.org/10.1073/pnas.2615727123" TargetMode="External"/><Relationship Id="rId2017" Type="http://schemas.openxmlformats.org/officeDocument/2006/relationships/hyperlink" Target="https://www.pnas.org/doi/abs/10.1073/pnas.2626378123?mi=eymic2&amp;af=R&amp;access=on&amp;content=articlesChapters&amp;publication=pnas&amp;sortBy=Earliest&amp;target=default" TargetMode="External"/><Relationship Id="rId2018" Type="http://schemas.openxmlformats.org/officeDocument/2006/relationships/hyperlink" Target="https://doi.org/10.1073/pnas.2626378123" TargetMode="External"/><Relationship Id="rId2019" Type="http://schemas.openxmlformats.org/officeDocument/2006/relationships/hyperlink" Target="https://www.pnas.org/doi/abs/10.1073/pnas.2626527123?mi=eymic2&amp;af=R&amp;access=on&amp;content=articlesChapters&amp;publication=pnas&amp;sortBy=Earliest&amp;target=default" TargetMode="External"/><Relationship Id="rId2020" Type="http://schemas.openxmlformats.org/officeDocument/2006/relationships/hyperlink" Target="https://doi.org/10.1073/pnas.2626527123" TargetMode="External"/><Relationship Id="rId2021" Type="http://schemas.openxmlformats.org/officeDocument/2006/relationships/hyperlink" Target="https://www.science.org/doi/abs/10.1126/science.aek2193?af=R" TargetMode="External"/><Relationship Id="rId2022" Type="http://schemas.openxmlformats.org/officeDocument/2006/relationships/hyperlink" Target="https://doi.org/10.1126/science.aek2193" TargetMode="External"/><Relationship Id="rId2023" Type="http://schemas.openxmlformats.org/officeDocument/2006/relationships/hyperlink" Target="https://www.science.org/doi/abs/10.1126/science.aeh1834?af=R" TargetMode="External"/><Relationship Id="rId2024" Type="http://schemas.openxmlformats.org/officeDocument/2006/relationships/hyperlink" Target="https://doi.org/10.1126/science.aeh1834" TargetMode="External"/><Relationship Id="rId2025" Type="http://schemas.openxmlformats.org/officeDocument/2006/relationships/hyperlink" Target="https://www.science.org/doi/abs/10.1126/science.aeg4720?af=R" TargetMode="External"/><Relationship Id="rId2026" Type="http://schemas.openxmlformats.org/officeDocument/2006/relationships/hyperlink" Target="https://doi.org/10.1126/science.aeg4720" TargetMode="External"/><Relationship Id="rId2027" Type="http://schemas.openxmlformats.org/officeDocument/2006/relationships/hyperlink" Target="https://www.science.org/doi/abs/10.1126/science.aea6187?af=R" TargetMode="External"/><Relationship Id="rId2028" Type="http://schemas.openxmlformats.org/officeDocument/2006/relationships/hyperlink" Target="https://doi.org/10.1126/science.aea6187" TargetMode="External"/><Relationship Id="rId2029" Type="http://schemas.openxmlformats.org/officeDocument/2006/relationships/hyperlink" Target="https://www.science.org/doi/abs/10.1126/science.aeh2300?af=R" TargetMode="External"/><Relationship Id="rId2030" Type="http://schemas.openxmlformats.org/officeDocument/2006/relationships/hyperlink" Target="https://doi.org/10.1126/science.aeh2300" TargetMode="External"/><Relationship Id="rId2031" Type="http://schemas.openxmlformats.org/officeDocument/2006/relationships/hyperlink" Target="https://www.science.org/doi/abs/10.1126/science.ael2764?af=R" TargetMode="External"/><Relationship Id="rId2032" Type="http://schemas.openxmlformats.org/officeDocument/2006/relationships/hyperlink" Target="https://doi.org/10.1126/science.ael27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