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Tech Tracking Digest</w:t>
      </w:r>
    </w:p>
    <w:p>
      <w:pPr>
        <w:spacing w:after="280"/>
        <w:jc w:val="center"/>
      </w:pPr>
      <w:r>
        <w:rPr>
          <w:i/>
        </w:rPr>
        <w:t>2026-03-04</w:t>
      </w:r>
    </w:p>
    <w:p>
      <w:pPr>
        <w:spacing w:before="160" w:after="120"/>
      </w:pPr>
      <w:r>
        <w:rPr>
          <w:b/>
          <w:sz w:val="28"/>
        </w:rPr>
        <w:t>【光伏】</w:t>
      </w:r>
    </w:p>
    <w:p>
      <w:pPr>
        <w:spacing w:before="160" w:after="40" w:line="240" w:lineRule="auto"/>
      </w:pPr>
      <w:r>
        <w:rPr>
          <w:b/>
        </w:rPr>
        <w:t xml:space="preserve">[1] </w:t>
      </w:r>
      <w:hyperlink r:id="rId9">
        <w:r>
          <w:rPr>
            <w:color w:val="1155CC"/>
            <w:u w:val="single"/>
          </w:rPr>
          <w:t>Hybrid offshore solar-wind farms: the potential of integrating floating photovoltaics with offshore wind</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0">
        <w:r>
          <w:rPr>
            <w:color w:val="1155CC"/>
            <w:u w:val="single"/>
          </w:rPr>
          <w:t>Reliability evaluation of solar pavements-integrated power system considering seasonal meteorological factors and traffic road congestion</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 </w:t>
      </w:r>
      <w:hyperlink r:id="rId11">
        <w:r>
          <w:rPr>
            <w:color w:val="1155CC"/>
            <w:u w:val="single"/>
          </w:rPr>
          <w:t>Dual-side electrical refinement enables efficient industrial tunnel oxide passivating contact silicon solar cells</w:t>
        </w:r>
      </w:hyperlink>
    </w:p>
    <w:p>
      <w:pPr>
        <w:spacing w:before="0" w:after="120"/>
      </w:pPr>
      <w:r>
        <w:rPr>
          <w:b/>
        </w:rPr>
        <w:t xml:space="preserve">Source: </w:t>
      </w:r>
      <w:r>
        <w:t>Nature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Crystalline silicon solar cells continue to dominate the photovoltaic industry, with tunnel oxide passivating contact (TOPCon) technology emerging as a prominent candidate. However, the efficiency of industrial-scale TOPCon solar cells remains limited by their suboptimal electrical performance, falling short of the Auger limit. Here we propose a dual-sided synergistic strategy that achieves a certified efficiency of 26.66% for industrial-scale TOPCon cells on M10-size wafers. The implementation of a front-side high-sheet-resistance boron emitter improves the passivation quality, and an optimized grid design reduces carrier transport losses. A rear-side double-layer tunnel oxide silicon/polysilicon structure suppresses silver-induced degradation by preventing silver diffusion from the electrodes into the silicon substrate, thereby maintaining excellent interfacial passivation. Moreover, the high crystallinity of the inner polysilicon layer, along with a lower concentration of inactive phosphorus dopants in the silicon substrate, leads to superior passivation performance. Rear-side localized thinning of the polysilicon layer also improves the bifaciality to 88.3%.</w:t>
      </w:r>
    </w:p>
    <w:p>
      <w:pPr>
        <w:spacing w:before="120" w:after="120"/>
      </w:pPr>
      <w:r>
        <w:rPr>
          <w:sz w:val="18"/>
        </w:rPr>
        <w:t>——————————————————————————————————————————————————————————————————————</w:t>
      </w:r>
    </w:p>
    <w:p>
      <w:pPr>
        <w:spacing w:before="160" w:after="40" w:line="240" w:lineRule="auto"/>
      </w:pPr>
      <w:r>
        <w:rPr>
          <w:b/>
        </w:rPr>
        <w:t xml:space="preserve">[4] </w:t>
      </w:r>
      <w:hyperlink r:id="rId12">
        <w:r>
          <w:rPr>
            <w:color w:val="1155CC"/>
            <w:u w:val="single"/>
          </w:rPr>
          <w:t>Multi‐functional Phase‐Changeable Salt for Inverted Perovskite Solar Cells</w:t>
        </w:r>
      </w:hyperlink>
    </w:p>
    <w:p>
      <w:pPr>
        <w:spacing w:before="0" w:after="120"/>
      </w:pPr>
      <w:r>
        <w:rPr>
          <w:b/>
        </w:rPr>
        <w:t xml:space="preserve">Source: </w:t>
      </w:r>
      <w:r>
        <w:t>Wiley: Advanced Materials: Table of Contents</w:t>
      </w:r>
      <w:r>
        <w:t xml:space="preserve">    </w:t>
      </w:r>
      <w:r>
        <w:rPr>
          <w:b/>
        </w:rPr>
        <w:t xml:space="preserve">Pub date: </w:t>
      </w:r>
      <w:r>
        <w:t>2026-02-24 09:58:05+00:00</w:t>
      </w:r>
      <w:r>
        <w:t xml:space="preserve">    </w:t>
      </w:r>
      <w:r>
        <w:rPr>
          <w:b/>
        </w:rPr>
        <w:t xml:space="preserve">DOI: </w:t>
      </w:r>
      <w:hyperlink r:id="rId13">
        <w:r>
          <w:rPr>
            <w:color w:val="1155CC"/>
            <w:u w:val="single"/>
          </w:rPr>
          <w:t>10.1002/adma.202520030</w:t>
        </w:r>
      </w:hyperlink>
    </w:p>
    <w:p>
      <w:pPr>
        <w:spacing w:before="0" w:after="80" w:lineRule="auto" w:line="276"/>
      </w:pPr>
      <w:r>
        <w:rPr>
          <w:b/>
        </w:rPr>
        <w:t xml:space="preserve">摘要（ZH）: </w:t>
      </w:r>
      <w:r>
        <w:t>(empty)</w:t>
      </w:r>
    </w:p>
    <w:p>
      <w:pPr>
        <w:spacing w:before="0" w:after="200" w:lineRule="auto" w:line="276"/>
      </w:pPr>
      <w:r>
        <w:rPr>
          <w:b/>
        </w:rPr>
        <w:t xml:space="preserve">Abstract (EN): </w:t>
      </w:r>
      <w:r>
        <w:t>Non-radiative recombination and uncontrolled crystallization at the buried perovskite interface remain key barriers to achieving highly efficient and stable perovskite solar cells (PSCs). Herein, we introduce a multi-functional phase-changeable salt, 2-(diphenylphosphino)ethanaminium tetrafluoroborate (DPPEABF4), as a functional interfacial modulator. DPPEA+ interacts with perovskite precursors (FAI and PbI2) through coordination and hydrogen bonding, suppressing excessive nucleation and reducing nucleation density. During annealing, DPPEABF4 undergoes a reversible solid-to-liquid phase transition that buffers heat transfer, ensuring more uniform heating and slower, more controlled crystallization across the substrate. These effects collectively yield perovskite films with enlarged grains, reduced defect densities, and improved crystallinity. Concurrently, π-π stacking between DPPEA+ and Me-4PACz establishes an interfacial dipole that increases the work function and tunes the energy-level alignment at the buried interface, facilitating efficient hole transport. As a result, the optimized devices achieve a champion power conversion efficiency of 26.52% (certified 26.46%) and retain over 90% of their initial efficiency after more than 2000 h of storage under 30-40% relative humidity. This work provides a new paradigm for designing dynamic interfacial materials for high-performance optoelectronic devices.</w:t>
      </w:r>
    </w:p>
    <w:p>
      <w:pPr>
        <w:spacing w:before="120" w:after="120"/>
      </w:pPr>
      <w:r>
        <w:rPr>
          <w:sz w:val="18"/>
        </w:rPr>
        <w:t>——————————————————————————————————————————————————————————————————————</w:t>
      </w:r>
    </w:p>
    <w:p>
      <w:pPr>
        <w:spacing w:before="160" w:after="40" w:line="240" w:lineRule="auto"/>
      </w:pPr>
      <w:r>
        <w:rPr>
          <w:b/>
        </w:rPr>
        <w:t xml:space="preserve">[5] </w:t>
      </w:r>
      <w:hyperlink r:id="rId14">
        <w:r>
          <w:rPr>
            <w:color w:val="1155CC"/>
            <w:u w:val="single"/>
          </w:rPr>
          <w:t>Interface‐Enriched Fluorinated Covalent Organic Framework Enables Stable, High‐Performance n‐i‐p Perovskite Solar Cells</w:t>
        </w:r>
      </w:hyperlink>
    </w:p>
    <w:p>
      <w:pPr>
        <w:spacing w:before="0" w:after="120"/>
      </w:pPr>
      <w:r>
        <w:rPr>
          <w:b/>
        </w:rPr>
        <w:t xml:space="preserve">Source: </w:t>
      </w:r>
      <w:r>
        <w:t>Wiley: Advanced Materials: Table of Contents</w:t>
      </w:r>
      <w:r>
        <w:t xml:space="preserve">    </w:t>
      </w:r>
      <w:r>
        <w:rPr>
          <w:b/>
        </w:rPr>
        <w:t xml:space="preserve">Pub date: </w:t>
      </w:r>
      <w:r>
        <w:t>2026-02-24 11:37:59+00:00</w:t>
      </w:r>
      <w:r>
        <w:t xml:space="preserve">    </w:t>
      </w:r>
      <w:r>
        <w:rPr>
          <w:b/>
        </w:rPr>
        <w:t xml:space="preserve">DOI: </w:t>
      </w:r>
      <w:hyperlink r:id="rId15">
        <w:r>
          <w:rPr>
            <w:color w:val="1155CC"/>
            <w:u w:val="single"/>
          </w:rPr>
          <w:t>10.1002/adma.202522994</w:t>
        </w:r>
      </w:hyperlink>
    </w:p>
    <w:p>
      <w:pPr>
        <w:spacing w:before="0" w:after="80" w:lineRule="auto" w:line="276"/>
      </w:pPr>
      <w:r>
        <w:rPr>
          <w:b/>
        </w:rPr>
        <w:t xml:space="preserve">摘要（ZH）: </w:t>
      </w:r>
      <w:r>
        <w:t>(empty)</w:t>
      </w:r>
    </w:p>
    <w:p>
      <w:pPr>
        <w:spacing w:before="0" w:after="200" w:lineRule="auto" w:line="276"/>
      </w:pPr>
      <w:r>
        <w:rPr>
          <w:b/>
        </w:rPr>
        <w:t xml:space="preserve">Abstract (EN): </w:t>
      </w:r>
      <w:r>
        <w:t>Buried interfacial integrity remains a major bottleneck limiting both the efficiency and long-term stability of perovskite solar cells (PSCs). Existing surface-modification strategies often introduce additional interfacial discontinuities, thereby exacerbating rather than alleviating buried-interface vulnerabilities. Here, we report an in situ buried-interface modification strategy that reinforces the SnO2/perovskite interface using a fully conjugated covalent organic framework (COF) grafted with polyfluoroalkyl side chains. During perovskite crystallization, strong dipolar interactions between the polyfluoroalkyl chains and the SnO2 drive the COF toward the buried SnO2/perovskite interface. The COF anchors at the SnO2/perovskite interface and forms a robust and functionally active interlayer. This dynamic interfacial assembly simultaneously 1) establishes a continuous, graded energy landscape that enhances electronic coupling and accelerates charge extraction; 2) induces facet-selective SnO2-COF-perovskite interactions that guide the oriented growth of perovskite grains; and 3) suppresses interfacial defects and halide migration, thereby stabilizing carrier transport. Consequently, n-i-p PSCs achieve a power conversion efficiency of 26.24% with a fill factor of 85.4%, and retain 86% of their initial efficiency after 2000 h of continuous operation. By transforming spontaneous molecular self-assembly into a processing advantage, this work establishes a new materials paradigm for achieving high-efficiency, stable, and scalable perovskite photovoltaics.</w:t>
      </w:r>
    </w:p>
    <w:p>
      <w:pPr>
        <w:spacing w:before="120" w:after="120"/>
      </w:pPr>
      <w:r>
        <w:rPr>
          <w:sz w:val="18"/>
        </w:rPr>
        <w:t>——————————————————————————————————————————————————————————————————————</w:t>
      </w:r>
    </w:p>
    <w:p>
      <w:pPr>
        <w:spacing w:before="160" w:after="40" w:line="240" w:lineRule="auto"/>
      </w:pPr>
      <w:r>
        <w:rPr>
          <w:b/>
        </w:rPr>
        <w:t xml:space="preserve">[6] </w:t>
      </w:r>
      <w:hyperlink r:id="rId16">
        <w:r>
          <w:rPr>
            <w:color w:val="1155CC"/>
            <w:u w:val="single"/>
          </w:rPr>
          <w:t>[ASAP] Halide Segregation in Wide-Bandgap Quasi-2D Perovskites under Rapid Thermal Cycling</w:t>
        </w:r>
      </w:hyperlink>
    </w:p>
    <w:p>
      <w:pPr>
        <w:spacing w:before="0" w:after="120"/>
      </w:pPr>
      <w:r>
        <w:rPr>
          <w:b/>
        </w:rPr>
        <w:t xml:space="preserve">Source: </w:t>
      </w:r>
      <w:r>
        <w:t>ACS Energy Letters: Latest Articles (ACS Publications)</w:t>
      </w:r>
      <w:r>
        <w:t xml:space="preserve">    </w:t>
      </w:r>
      <w:r>
        <w:rPr>
          <w:b/>
        </w:rPr>
        <w:t xml:space="preserve">Pub date: </w:t>
      </w:r>
      <w:r>
        <w:t>2026-02-24 16:05:08+00:00</w:t>
      </w:r>
      <w:r>
        <w:t xml:space="preserve">    </w:t>
      </w:r>
      <w:r>
        <w:rPr>
          <w:b/>
        </w:rPr>
        <w:t xml:space="preserve">DOI: </w:t>
      </w:r>
      <w:hyperlink r:id="rId17">
        <w:r>
          <w:rPr>
            <w:color w:val="1155CC"/>
            <w:u w:val="single"/>
          </w:rPr>
          <w:t>10.1021/acsenergylett.6c00094</w:t>
        </w:r>
      </w:hyperlink>
    </w:p>
    <w:p>
      <w:pPr>
        <w:spacing w:before="0" w:after="80" w:lineRule="auto" w:line="276"/>
      </w:pPr>
      <w:r>
        <w:rPr>
          <w:b/>
        </w:rPr>
        <w:t xml:space="preserve">摘要（ZH）: </w:t>
      </w:r>
      <w:r>
        <w:t>(empty)</w:t>
      </w:r>
    </w:p>
    <w:p>
      <w:pPr>
        <w:spacing w:before="0" w:after="200" w:lineRule="auto" w:line="276"/>
      </w:pPr>
      <w:r>
        <w:rPr>
          <w:b/>
        </w:rPr>
        <w:t xml:space="preserve">Abstract (EN): </w:t>
      </w:r>
      <w:r>
        <w:t>Wide-bandgap (WBG) perovskites are susceptible to ion migration and phase separation under external stressors. Reduced-dimensional perovskites (RDPs) have emerged as alternatives to 3D perovskites for improving stability. However, the influence of spacer cations on the thermal cycling stability of WBG RDPs remains poorly understood. Here, we investigate the effect of two representative organic spacers, butylammonium (BA) and 1,4-phenylenedimethylammonium (PDMA), on the stability of WBG RDPs (n = 4, ∼1.75 eV) under light illumination and thermal cycling using in situ grazing-incidence X-ray wide-angle scattering (GIWAXS) and photoluminescence (PL). In situ GIWAXS and PL reveal that RDPs with BA+ undergo phase separation and pronounced structural degradation under combined stress, particularly along the in-plane direction, whereas RDPs with PDMA2+ demonstrate better stability. These results indicate that bulky organic cations influence the thermal and structural stabilities of WBG RDPs, providing design guidelines for stable perovskite absorbers in tandem solar cells.</w:t>
      </w:r>
    </w:p>
    <w:p>
      <w:pPr>
        <w:spacing w:before="120" w:after="120"/>
      </w:pPr>
      <w:r>
        <w:rPr>
          <w:sz w:val="18"/>
        </w:rPr>
        <w:t>——————————————————————————————————————————————————————————————————————</w:t>
      </w:r>
    </w:p>
    <w:p>
      <w:pPr>
        <w:spacing w:before="160" w:after="40" w:line="240" w:lineRule="auto"/>
      </w:pPr>
      <w:r>
        <w:rPr>
          <w:b/>
        </w:rPr>
        <w:t xml:space="preserve">[7] </w:t>
      </w:r>
      <w:hyperlink r:id="rId18">
        <w:r>
          <w:rPr>
            <w:color w:val="1155CC"/>
            <w:u w:val="single"/>
          </w:rPr>
          <w:t>[ASAP] Polar Hybrid Perovskite Obtained by Induction of Lone Pair Electrons toward Efficient and Stable Self-Powered X-ray Detection</w:t>
        </w:r>
      </w:hyperlink>
    </w:p>
    <w:p>
      <w:pPr>
        <w:spacing w:before="0" w:after="120"/>
      </w:pPr>
      <w:r>
        <w:rPr>
          <w:b/>
        </w:rPr>
        <w:t xml:space="preserve">Source: </w:t>
      </w:r>
      <w:r>
        <w:t>ACS Energy Letters: Latest Articles (ACS Publications)</w:t>
      </w:r>
      <w:r>
        <w:t xml:space="preserve">    </w:t>
      </w:r>
      <w:r>
        <w:rPr>
          <w:b/>
        </w:rPr>
        <w:t xml:space="preserve">Pub date: </w:t>
      </w:r>
      <w:r>
        <w:t>2026-02-24 20:56:38+00:00</w:t>
      </w:r>
      <w:r>
        <w:t xml:space="preserve">    </w:t>
      </w:r>
      <w:r>
        <w:rPr>
          <w:b/>
        </w:rPr>
        <w:t xml:space="preserve">DOI: </w:t>
      </w:r>
      <w:hyperlink r:id="rId19">
        <w:r>
          <w:rPr>
            <w:color w:val="1155CC"/>
            <w:u w:val="single"/>
          </w:rPr>
          <w:t>10.1021/acsenergylett.5c03797</w:t>
        </w:r>
      </w:hyperlink>
    </w:p>
    <w:p>
      <w:pPr>
        <w:spacing w:before="0" w:after="80" w:lineRule="auto" w:line="276"/>
      </w:pPr>
      <w:r>
        <w:rPr>
          <w:b/>
        </w:rPr>
        <w:t xml:space="preserve">摘要（ZH）: </w:t>
      </w:r>
      <w:r>
        <w:t>(empty)</w:t>
      </w:r>
    </w:p>
    <w:p>
      <w:pPr>
        <w:spacing w:before="0" w:after="200" w:lineRule="auto" w:line="276"/>
      </w:pPr>
      <w:r>
        <w:rPr>
          <w:b/>
        </w:rPr>
        <w:t xml:space="preserve">Abstract (EN): </w:t>
      </w:r>
      <w:r>
        <w:t>Polar hybrid perovskites (HPs) can achieve steady-state self-powered X-ray detection via the bulk photovoltaic effect (BPVE), but effective strategies to induce BPVE remain scarce. Herein, using one-dimensional nonpolar HP (4-MeP)4Pb3Br10 (1, 4-MeP = 4-methylaniline) as a template, we successfully synthesized an unprecedented two-dimensional (2D) polar HP (4-SP)4Pb3Br10·2H2O (2, 4-SP = 4-aminothiophenol) by replacing the C atom in the 4-MeP ligand with an S atom possessing lone pair electrons. Specifically, lone pair electrons on S cause structural distortion and ultimately induce BPVE in 2. Therefore, 2 achieves efficient self-powered X-ray detection with a high sensitivity of 271.8 μC Gy–1 cm–2 under 22 keV average X-ray energy. Meanwhile, it also exhibits a record-breaking sensitivity of 1.1 × 104 μC Gy–1 cm–2 under 31.8 V mm–1 in all 2D single-layer HPs. Importantly, 2 possesses strong ion-migration inhibition, high radiation resistance, and excellent storage stability. Our work provides a strategy for the development and application of HPs with BPVE.</w:t>
      </w:r>
    </w:p>
    <w:p>
      <w:pPr>
        <w:spacing w:before="120" w:after="120"/>
      </w:pPr>
      <w:r>
        <w:rPr>
          <w:sz w:val="18"/>
        </w:rPr>
        <w:t>——————————————————————————————————————————————————————————————————————</w:t>
      </w:r>
    </w:p>
    <w:p>
      <w:pPr>
        <w:spacing w:before="160" w:after="40" w:line="240" w:lineRule="auto"/>
      </w:pPr>
      <w:r>
        <w:rPr>
          <w:b/>
        </w:rPr>
        <w:t xml:space="preserve">[8] </w:t>
      </w:r>
      <w:hyperlink r:id="rId20">
        <w:r>
          <w:rPr>
            <w:color w:val="1155CC"/>
            <w:u w:val="single"/>
          </w:rPr>
          <w:t>Dual-molecule Reciprocal Doping Strategy for Cathode Interfacial Materials Enabling Over 20.7% Efficiency in Organic Solar Cells</w:t>
        </w:r>
      </w:hyperlink>
    </w:p>
    <w:p>
      <w:pPr>
        <w:spacing w:before="0" w:after="120"/>
      </w:pPr>
      <w:r>
        <w:rPr>
          <w:b/>
        </w:rPr>
        <w:t xml:space="preserve">Source: </w:t>
      </w:r>
      <w:r>
        <w:t>RSC - Energy Environ. Sci. latest articles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Solution-processabled cathode interfacial materials (CIMs) in organic solar cells (OSCs) inherently suffer from limited conductivity and charge transfer capabilities, which in turn restrict device efficiency. In this study, we report a double-doped CIMs, PDINN-CNT2N, which combines organic PDINN with aminated carbon nanotubes through reciprocal doping strategy. This strategy leverages intramolecular self-doping and intermolecular reciprocal doping between the two components to markedly enhance the electron density and charge transport properties of CIMs. Simultaneously, the intermolecular interactions effectively optimize molecular assembly, thereby reinforcing the electron mobility within the films. OSCs utilizing PDINN-CNT2N CIM demonstrate improved conductivity and electron mobility, while also reducing the charge recombination. Consequently, OSCs based on binary D18:L8-BO achieve an efficiency of 20.05% with superior stability. The widespread applicability of this strategy is further confirmed across additional CNT2N-based CIMs and various active layer systems, significantly enhancing the efficiency to 20.72% (certified as 20.33%) in the ternary system. The study provides essential insights into molecular synergistic doping and presents a universal approach for designing high-performance CIMs that are suitable for scalable solution processing.</w:t>
      </w:r>
    </w:p>
    <w:p>
      <w:pPr>
        <w:spacing w:before="120" w:after="120"/>
      </w:pPr>
      <w:r>
        <w:rPr>
          <w:sz w:val="18"/>
        </w:rPr>
        <w:t>——————————————————————————————————————————————————————————————————————</w:t>
      </w:r>
    </w:p>
    <w:p>
      <w:pPr>
        <w:spacing w:before="160" w:after="40" w:line="240" w:lineRule="auto"/>
      </w:pPr>
      <w:r>
        <w:rPr>
          <w:b/>
        </w:rPr>
        <w:t xml:space="preserve">[9] </w:t>
      </w:r>
      <w:hyperlink r:id="rId21">
        <w:r>
          <w:rPr>
            <w:color w:val="1155CC"/>
            <w:u w:val="single"/>
          </w:rPr>
          <w:t>Towards space compatible perovskite solar cells: guidelines for thermal shock resilience and near space balloon testing</w:t>
        </w:r>
      </w:hyperlink>
    </w:p>
    <w:p>
      <w:pPr>
        <w:spacing w:before="0" w:after="120"/>
      </w:pPr>
      <w:r>
        <w:rPr>
          <w:b/>
        </w:rPr>
        <w:t xml:space="preserve">Source: </w:t>
      </w:r>
      <w:r>
        <w:t>RSC - Energy Environ. Sci. latest articles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Perovskite solar cells (PSCs) are promising candidates for space applications due to their high efficiency, radiation tolerance, and high power-to-mass ratio. However, the harsh space environment introduces stressors such as thermal shock (TS) from rapid temperature transitions in orbit, a degradation mode that remains underexplored. This study investigated the real operating temperature profiles experienced by solar cells orbiting in low Earth orbit, revealing rapid and extreme temperature transitions. Based on these findings, we developed an accelerated TS testing protocol, cycling PSC devices between −80 °C and +80 °C at a rapid ramp rate of 16 °C min−1 for 100 cycles, designed to replicate and amplify the stresses induced by actual orbital thermal cycles. Using FAPbI3 as a model system, we explored the impact of varying concentrations of MAPbBr3 (0–7%) on the perovskite film's structural stability under this accelerated TS. Our results indicate that an intermediate MAPbBr3 incorporation level (specifically 5%) most effectively suppresses microstrain and the formation of the detrimental δ-phase after TS exposure. To validate our laboratory findings under near-space conditions, we conducted a comparative high-altitude balloon test at 35 km. These findings establish TS as a critical testing framework for evaluating PSC stability in space applications and highlight the necessity of refining material compositions for space applications.</w:t>
      </w:r>
    </w:p>
    <w:p>
      <w:pPr>
        <w:spacing w:before="120" w:after="120"/>
      </w:pPr>
      <w:r>
        <w:rPr>
          <w:sz w:val="18"/>
        </w:rPr>
        <w:t>——————————————————————————————————————————————————————————————————————</w:t>
      </w:r>
    </w:p>
    <w:p>
      <w:pPr>
        <w:spacing w:before="160" w:after="40" w:line="240" w:lineRule="auto"/>
      </w:pPr>
      <w:r>
        <w:rPr>
          <w:b/>
        </w:rPr>
        <w:t xml:space="preserve">[10] </w:t>
      </w:r>
      <w:hyperlink r:id="rId22">
        <w:r>
          <w:rPr>
            <w:color w:val="1155CC"/>
            <w:u w:val="single"/>
          </w:rPr>
          <w:t>What determines the uptake of solar PV? – A survey of early, potential and unlikely adopters of residential PV systems and participants of community PV projects</w:t>
        </w:r>
      </w:hyperlink>
    </w:p>
    <w:p>
      <w:pPr>
        <w:spacing w:before="0" w:after="120"/>
      </w:pPr>
      <w:r>
        <w:rPr>
          <w:b/>
        </w:rPr>
        <w:t xml:space="preserve">Source: </w:t>
      </w:r>
      <w:r>
        <w:t>ScienceDirect Publication: Energy Policy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 </w:t>
      </w:r>
      <w:hyperlink r:id="rId23">
        <w:r>
          <w:rPr>
            <w:color w:val="1155CC"/>
            <w:u w:val="single"/>
          </w:rPr>
          <w:t>Cross-array fault diagnosis of photovoltaic arrays with different configurations based on endpoint-dense gram feature encoding and mixup-enhanced domain adversarial network</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 </w:t>
      </w:r>
      <w:hyperlink r:id="rId24">
        <w:r>
          <w:rPr>
            <w:color w:val="1155CC"/>
            <w:u w:val="single"/>
          </w:rPr>
          <w:t>Photoswitchable isomers to improve grain boundary resilience and perovskite solar cells stability under light cycling</w:t>
        </w:r>
      </w:hyperlink>
    </w:p>
    <w:p>
      <w:pPr>
        <w:spacing w:before="0" w:after="120"/>
      </w:pPr>
      <w:r>
        <w:rPr>
          <w:b/>
        </w:rPr>
        <w:t xml:space="preserve">Source: </w:t>
      </w:r>
      <w:r>
        <w:t>Nature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Realizing stable and scalable perovskite solar cells (PSCs) under real-world outdoor conditions remains a challenge for deployment. Here we report a strategy to improve the resilience of the grain boundary, achieving simultaneous improvement in the power conversion efficiency and long-term operational durability under realistic light cycling and ultraviolet exposure of PSCs. By integrating photoswitchable isomers at grain boundaries, we suppress lattice bond rupture and defect accumulation during repeated light cycling through light-triggered dynamic damage release. This approach stabilizes the triple-cation lead-based perovskite lattice against photoinduced distortions and degradation pathways. As a result, the PSCs retain over 95% of their initial performance after 2,000 h of ultraviolet-containing light cycling at 65 °C and 500 thermal cycles between –40 °C and 85 °C, and deliver a power conversion efficiency of 27.2% (certified as 26.9%). Our strategy improves the operational stability and commercial viability of triple-cation perovskite photovoltaics.</w:t>
      </w:r>
    </w:p>
    <w:p>
      <w:pPr>
        <w:spacing w:before="120" w:after="120"/>
      </w:pPr>
      <w:r>
        <w:rPr>
          <w:sz w:val="18"/>
        </w:rPr>
        <w:t>——————————————————————————————————————————————————————————————————————</w:t>
      </w:r>
    </w:p>
    <w:p>
      <w:pPr>
        <w:spacing w:before="160" w:after="40" w:line="240" w:lineRule="auto"/>
      </w:pPr>
      <w:r>
        <w:rPr>
          <w:b/>
        </w:rPr>
        <w:t xml:space="preserve">[13] </w:t>
      </w:r>
      <w:hyperlink r:id="rId25">
        <w:r>
          <w:rPr>
            <w:color w:val="1155CC"/>
            <w:u w:val="single"/>
          </w:rPr>
          <w:t>Climate drivers of photovoltaic degradation: Regional variability and material pathways</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 </w:t>
      </w:r>
      <w:hyperlink r:id="rId26">
        <w:r>
          <w:rPr>
            <w:color w:val="1155CC"/>
            <w:u w:val="single"/>
          </w:rPr>
          <w:t>Regulating grain growth via Li2SnS3 interphase in kesterite solar cells with certified efficiencies exceeding 15%</w:t>
        </w:r>
      </w:hyperlink>
    </w:p>
    <w:p>
      <w:pPr>
        <w:spacing w:before="0" w:after="120"/>
      </w:pPr>
      <w:r>
        <w:rPr>
          <w:b/>
        </w:rPr>
        <w:t xml:space="preserve">Source: </w:t>
      </w:r>
      <w:r>
        <w:t>Nature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The selenization reaction process is the key step in determining the quality of Cu2ZnSn(S,Se)4 thin films. Imbalanced migration kinetics of metal ions during selenization led to high concentrations of deep-level defects, resulting in dramatic open-circuit voltage loss. In this work, we reported a Li2SnS3 interphase strategy to modify cation migration paths and balance Zn2+/Sn4+ migration differences. The Li2SnS3 interphase selectively encapsulates the Cu2Sn(S,Se)3 intermediate grains, serving as the rate-determining layer for ion migration. The Zn2+/Sn4+ migration barrier difference in the interphase decreases from 0.41 eV in Cu2Sn(S,Se)3 to 0.21 eV in Li2SnS3, which promotes the formation of larger, uniform, high-crystallinity grains. As a result, device efficiency improves from 13.86% to 15.45% (certified at 15.04%), and open-circuit voltage reaches 602 mV at a bandgap of 1.10 eV.</w:t>
      </w:r>
    </w:p>
    <w:p>
      <w:pPr>
        <w:spacing w:before="120" w:after="120"/>
      </w:pPr>
      <w:r>
        <w:rPr>
          <w:sz w:val="18"/>
        </w:rPr>
        <w:t>——————————————————————————————————————————————————————————————————————</w:t>
      </w:r>
    </w:p>
    <w:p>
      <w:pPr>
        <w:spacing w:before="160" w:after="40" w:line="240" w:lineRule="auto"/>
      </w:pPr>
      <w:r>
        <w:rPr>
          <w:b/>
        </w:rPr>
        <w:t xml:space="preserve">[15] </w:t>
      </w:r>
      <w:hyperlink r:id="rId27">
        <w:r>
          <w:rPr>
            <w:color w:val="1155CC"/>
            <w:u w:val="single"/>
          </w:rPr>
          <w:t>Stabilizing Ni3+‐Rich NiOx/Perovskite Interface via Dual Coordination for Efficient and Durable Perovskite Photovoltaics</w:t>
        </w:r>
      </w:hyperlink>
    </w:p>
    <w:p>
      <w:pPr>
        <w:spacing w:before="0" w:after="120"/>
      </w:pPr>
      <w:r>
        <w:rPr>
          <w:b/>
        </w:rPr>
        <w:t xml:space="preserve">Source: </w:t>
      </w:r>
      <w:r>
        <w:t>Wiley: Advanced Materials: Table of Contents</w:t>
      </w:r>
      <w:r>
        <w:t xml:space="preserve">    </w:t>
      </w:r>
      <w:r>
        <w:rPr>
          <w:b/>
        </w:rPr>
        <w:t xml:space="preserve">Pub date: </w:t>
      </w:r>
      <w:r>
        <w:t>2026-02-25 04:05:07+00:00</w:t>
      </w:r>
      <w:r>
        <w:t xml:space="preserve">    </w:t>
      </w:r>
      <w:r>
        <w:rPr>
          <w:b/>
        </w:rPr>
        <w:t xml:space="preserve">DOI: </w:t>
      </w:r>
      <w:hyperlink r:id="rId28">
        <w:r>
          <w:rPr>
            <w:color w:val="1155CC"/>
            <w:u w:val="single"/>
          </w:rPr>
          <w:t>10.1002/adma.202521697</w:t>
        </w:r>
      </w:hyperlink>
    </w:p>
    <w:p>
      <w:pPr>
        <w:spacing w:before="0" w:after="80" w:lineRule="auto" w:line="276"/>
      </w:pPr>
      <w:r>
        <w:rPr>
          <w:b/>
        </w:rPr>
        <w:t xml:space="preserve">摘要（ZH）: </w:t>
      </w:r>
      <w:r>
        <w:t>(empty)</w:t>
      </w:r>
    </w:p>
    <w:p>
      <w:pPr>
        <w:spacing w:before="0" w:after="200" w:lineRule="auto" w:line="276"/>
      </w:pPr>
      <w:r>
        <w:rPr>
          <w:b/>
        </w:rPr>
        <w:t xml:space="preserve">Abstract (EN): </w:t>
      </w:r>
      <w:r>
        <w:t>While nickel oxide (NiOx) is widely employed as an efficient hole-transport material, the surface Ni3+ species required for effective transport are unstable and can drive unfavorable interfacial reactions with the perovskite layer. Herein, we introduce a tetraoxopyridine-functionalized porphyrin molecule to stabilize a Ni3+-rich NiOx/perovskite interface through dual coordination. Two oxopyridines in porphyrin act as hard Lewis bases that coordinate with hard-acidic Ni3+ sites on NiOx, while the other two interact with Pb2+ in the perovskite lattice. Such a situation reduces interface defect formation, slows degradation, and helps maintain film integrity, while the conjugated porphyrin macrocycle promotes efficient hole extraction. Devices with the modified NiOx reach the champion efficiency of 27.05% (0.062 cm2) and 21.8% (21.54 cm2 aperture area), retaining &gt;95% of the initial efficiency after 2000 h of continuous 1-sun operation at the maximum power point. This work establishes a robust molecular-engineering route to stabilize surface Ni3+ in NiOx and support high-efficiency, long-lived perovskite solar cells.</w:t>
      </w:r>
    </w:p>
    <w:p>
      <w:pPr>
        <w:spacing w:before="120" w:after="120"/>
      </w:pPr>
      <w:r>
        <w:rPr>
          <w:sz w:val="18"/>
        </w:rPr>
        <w:t>——————————————————————————————————————————————————————————————————————</w:t>
      </w:r>
    </w:p>
    <w:p>
      <w:pPr>
        <w:spacing w:before="160" w:after="40" w:line="240" w:lineRule="auto"/>
      </w:pPr>
      <w:r>
        <w:rPr>
          <w:b/>
        </w:rPr>
        <w:t xml:space="preserve">[16] </w:t>
      </w:r>
      <w:hyperlink r:id="rId29">
        <w:r>
          <w:rPr>
            <w:color w:val="1155CC"/>
            <w:u w:val="single"/>
          </w:rPr>
          <w:t>Ink-state preaggregation control enables scalable and automated fabrication of highly efficient and stable organic photovoltaics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30">
        <w:r>
          <w:rPr>
            <w:color w:val="1155CC"/>
            <w:u w:val="single"/>
          </w:rPr>
          <w:t>10.1126/sciadv.aea6522</w:t>
        </w:r>
      </w:hyperlink>
    </w:p>
    <w:p>
      <w:pPr>
        <w:spacing w:before="0" w:after="80" w:lineRule="auto" w:line="276"/>
      </w:pPr>
      <w:r>
        <w:rPr>
          <w:b/>
        </w:rPr>
        <w:t xml:space="preserve">摘要（ZH）: </w:t>
      </w:r>
      <w:r>
        <w:t>(empty)</w:t>
      </w:r>
    </w:p>
    <w:p>
      <w:pPr>
        <w:spacing w:before="0" w:after="200" w:lineRule="auto" w:line="276"/>
      </w:pPr>
      <w:r>
        <w:rPr>
          <w:b/>
        </w:rPr>
        <w:t xml:space="preserve">Abstract (EN): </w:t>
      </w:r>
      <w:r>
        <w:t>Scalability and automation are critical for advancing organic solar cells (OSCs) toward high-throughput production, yet both remain notable challenges. Here, we report a simple yet effective strategy using Tz6T as a multifunctional additive to regulate ink-state preaggregation to address both concerns. Tz6T interacts with both donor and acceptor molecules in ink, enabling improved and more ordered preaggregation. This facilitates uniform film formation and significantly reduces bimolecular recombination, enables 16.4% efficiency large-area green solvent–processed OSC modules (19.3 cm</w:t>
        <w:br/>
        <w:t xml:space="preserve">                    2</w:t>
        <w:br/>
        <w:t xml:space="preserve">                    ), ranking it among the best reported values to date. Furthermore, the preagggregated ink mitigates the morphology drift caused by time delays in preprogrammed robotic fabrication, yielding device efficiency exceeding 16%, highlighting strong potential for high-throughput production. Beyond efficiency, Tz6T also enhances long-term stability and exhibits compatibility across diverse material systems, underscoring its broad applicability. This work offers a promising pathway for accelerating the translation toward sustainable, scalable, and automated fabricable high-performance and stable OSCs, paving the way for their industrialization.</w:t>
      </w:r>
    </w:p>
    <w:p>
      <w:pPr>
        <w:spacing w:before="120" w:after="120"/>
      </w:pPr>
      <w:r>
        <w:rPr>
          <w:sz w:val="18"/>
        </w:rPr>
        <w:t>——————————————————————————————————————————————————————————————————————</w:t>
      </w:r>
    </w:p>
    <w:p>
      <w:pPr>
        <w:spacing w:before="160" w:after="40" w:line="240" w:lineRule="auto"/>
      </w:pPr>
      <w:r>
        <w:rPr>
          <w:b/>
        </w:rPr>
        <w:t xml:space="preserve">[17] </w:t>
      </w:r>
      <w:hyperlink r:id="rId31">
        <w:r>
          <w:rPr>
            <w:color w:val="1155CC"/>
            <w:u w:val="single"/>
          </w:rPr>
          <w:t>Photovoltage‐Driven Two‐Transistor–One‐Diode Perovskite Pixels for In‐Cell Optical Sensing Displays</w:t>
        </w:r>
      </w:hyperlink>
    </w:p>
    <w:p>
      <w:pPr>
        <w:spacing w:before="0" w:after="120"/>
      </w:pPr>
      <w:r>
        <w:rPr>
          <w:b/>
        </w:rPr>
        <w:t xml:space="preserve">Source: </w:t>
      </w:r>
      <w:r>
        <w:t>Wiley: Advanced Materials: Table of Contents</w:t>
      </w:r>
      <w:r>
        <w:t xml:space="preserve">    </w:t>
      </w:r>
      <w:r>
        <w:rPr>
          <w:b/>
        </w:rPr>
        <w:t xml:space="preserve">Pub date: </w:t>
      </w:r>
      <w:r>
        <w:t>2026-02-25 13:30:28+00:00</w:t>
      </w:r>
      <w:r>
        <w:t xml:space="preserve">    </w:t>
      </w:r>
      <w:r>
        <w:rPr>
          <w:b/>
        </w:rPr>
        <w:t xml:space="preserve">DOI: </w:t>
      </w:r>
      <w:hyperlink r:id="rId32">
        <w:r>
          <w:rPr>
            <w:color w:val="1155CC"/>
            <w:u w:val="single"/>
          </w:rPr>
          <w:t>10.1002/adma.202522776</w:t>
        </w:r>
      </w:hyperlink>
    </w:p>
    <w:p>
      <w:pPr>
        <w:spacing w:before="0" w:after="80" w:lineRule="auto" w:line="276"/>
      </w:pPr>
      <w:r>
        <w:rPr>
          <w:b/>
        </w:rPr>
        <w:t xml:space="preserve">摘要（ZH）: </w:t>
      </w:r>
      <w:r>
        <w:t>(empty)</w:t>
      </w:r>
    </w:p>
    <w:p>
      <w:pPr>
        <w:spacing w:before="0" w:after="200" w:lineRule="auto" w:line="276"/>
      </w:pPr>
      <w:r>
        <w:rPr>
          <w:b/>
        </w:rPr>
        <w:t xml:space="preserve">Abstract (EN): </w:t>
      </w:r>
      <w:r>
        <w:t>In-cell optical sensing displays are essential for next-generation interactive electronics, yet conventional architectures rely on separate light-emitting diodes (LEDs) and photodetectors (PDs), limiting pixel density and efficiency. Achieving both functions within a single diode is intrinsically difficult because electroluminescence requires strong excitonic recombination, whereas photodetection benefits from efficient carrier separation. Here, we realize stable dual-mode operation by stabilizing intermediate-n quasi-2D phases and suppressing non-radiative losses with a fluorinated acid passivator, and by engineering high-mobility transport layers with a dissociative (type-II) perovskite/electron transport layer heterojunction to assist exciton dissociation under photovoltaic operation. The resulting bifunctional diode enables an opto-dynamic random-access memory (opto-DRAM) pixel, a two-transistor-one-diode (2T1D) architecture conceptually analogous to a two-transistor-one-capacitor (2T1C) DRAM gain-cell, where photovoltage-driven rather than photocurrent-driven detection enables self-amplified sensing when coupled to thin-film transistors. The sky-blue PeLED achieves an external quantum efficiency of 20.4% at 100 cd m-2 and a record power efficiency of 41.8 lm W-1, while as the coupled sensing pixel it exhibits a maximum responsivity of 4.17 × 104 A W-1 and a specific detectivity of 6.46 × 1013 Jones. Monolithic integration yields an active-matrix display capable of switchable emission and imaging functions offering a scalable platform for compact, energy-efficient, and multifunctional optoelectronics.</w:t>
      </w:r>
    </w:p>
    <w:p>
      <w:pPr>
        <w:spacing w:before="120" w:after="120"/>
      </w:pPr>
      <w:r>
        <w:rPr>
          <w:sz w:val="18"/>
        </w:rPr>
        <w:t>——————————————————————————————————————————————————————————————————————</w:t>
      </w:r>
    </w:p>
    <w:p>
      <w:pPr>
        <w:spacing w:before="160" w:after="40" w:line="240" w:lineRule="auto"/>
      </w:pPr>
      <w:r>
        <w:rPr>
          <w:b/>
        </w:rPr>
        <w:t xml:space="preserve">[18] </w:t>
      </w:r>
      <w:hyperlink r:id="rId33">
        <w:r>
          <w:rPr>
            <w:color w:val="1155CC"/>
            <w:u w:val="single"/>
          </w:rPr>
          <w:t>[ASAP] Linking Double Inductance in Impedance Spectroscopy to Ionic Losses in Perovskite Photovoltaics</w:t>
        </w:r>
      </w:hyperlink>
    </w:p>
    <w:p>
      <w:pPr>
        <w:spacing w:before="0" w:after="120"/>
      </w:pPr>
      <w:r>
        <w:rPr>
          <w:b/>
        </w:rPr>
        <w:t xml:space="preserve">Source: </w:t>
      </w:r>
      <w:r>
        <w:t>ACS Energy Letters: Latest Articles (ACS Publications)</w:t>
      </w:r>
      <w:r>
        <w:t xml:space="preserve">    </w:t>
      </w:r>
      <w:r>
        <w:rPr>
          <w:b/>
        </w:rPr>
        <w:t xml:space="preserve">Pub date: </w:t>
      </w:r>
      <w:r>
        <w:t>2026-02-25 13:44:12+00:00</w:t>
      </w:r>
      <w:r>
        <w:t xml:space="preserve">    </w:t>
      </w:r>
      <w:r>
        <w:rPr>
          <w:b/>
        </w:rPr>
        <w:t xml:space="preserve">DOI: </w:t>
      </w:r>
      <w:hyperlink r:id="rId34">
        <w:r>
          <w:rPr>
            <w:color w:val="1155CC"/>
            <w:u w:val="single"/>
          </w:rPr>
          <w:t>10.1021/acsenergylett.5c03788</w:t>
        </w:r>
      </w:hyperlink>
    </w:p>
    <w:p>
      <w:pPr>
        <w:spacing w:before="0" w:after="80" w:lineRule="auto" w:line="276"/>
      </w:pPr>
      <w:r>
        <w:rPr>
          <w:b/>
        </w:rPr>
        <w:t xml:space="preserve">摘要（ZH）: </w:t>
      </w:r>
      <w:r>
        <w:t>(empty)</w:t>
      </w:r>
    </w:p>
    <w:p>
      <w:pPr>
        <w:spacing w:before="0" w:after="200" w:lineRule="auto" w:line="276"/>
      </w:pPr>
      <w:r>
        <w:rPr>
          <w:b/>
        </w:rPr>
        <w:t xml:space="preserve">Abstract (EN): </w:t>
      </w:r>
      <w:r>
        <w:t>Beyond recombination processes, a major contributor to ion-induced efficiency losses in perovskite solar cells is charge collection failures, associated with a pronounced reduction in short-circuit current density, the appearance of current–voltage hysteresis with steep slope around 0 V, and negative capacitance effects in impedance measurements. This work presents a physical model that differentiates degradation pathways induced by mobile ions, enabling a unified interpretation of electrical responses. A central feature in the multifaceted low-frequency impedance region is the double inductor response, serving as a fingerprint of ion-driven degradation with combined action in recombination and charge collection. Extracted time constants reveal how their interplay reshapes impedance responses and current–voltage curves during aging, which serve as unequivocal markers of the dominant factors affecting operational stability. Our results establish the double-inductor behavior as a key spectroscopic signature of device degradation, adding a new feature to the catalogue of anomalous phenomena in perovskite devices.</w:t>
      </w:r>
    </w:p>
    <w:p>
      <w:pPr>
        <w:spacing w:before="120" w:after="120"/>
      </w:pPr>
      <w:r>
        <w:rPr>
          <w:sz w:val="18"/>
        </w:rPr>
        <w:t>——————————————————————————————————————————————————————————————————————</w:t>
      </w:r>
    </w:p>
    <w:p>
      <w:pPr>
        <w:spacing w:before="160" w:after="40" w:line="240" w:lineRule="auto"/>
      </w:pPr>
      <w:r>
        <w:rPr>
          <w:b/>
        </w:rPr>
        <w:t xml:space="preserve">[19] </w:t>
      </w:r>
      <w:hyperlink r:id="rId35">
        <w:r>
          <w:rPr>
            <w:color w:val="1155CC"/>
            <w:u w:val="single"/>
          </w:rPr>
          <w:t>[ASAP] Entering the 27% Era: Practical Design Rules for Single-Junction Perovskite Solar Cells</w:t>
        </w:r>
      </w:hyperlink>
    </w:p>
    <w:p>
      <w:pPr>
        <w:spacing w:before="0" w:after="120"/>
      </w:pPr>
      <w:r>
        <w:rPr>
          <w:b/>
        </w:rPr>
        <w:t xml:space="preserve">Source: </w:t>
      </w:r>
      <w:r>
        <w:t>ACS Energy Letters: Latest Articles (ACS Publications)</w:t>
      </w:r>
      <w:r>
        <w:t xml:space="preserve">    </w:t>
      </w:r>
      <w:r>
        <w:rPr>
          <w:b/>
        </w:rPr>
        <w:t xml:space="preserve">Pub date: </w:t>
      </w:r>
      <w:r>
        <w:t>2026-02-25 14:16:05+00:00</w:t>
      </w:r>
      <w:r>
        <w:t xml:space="preserve">    </w:t>
      </w:r>
      <w:r>
        <w:rPr>
          <w:b/>
        </w:rPr>
        <w:t xml:space="preserve">DOI: </w:t>
      </w:r>
      <w:hyperlink r:id="rId36">
        <w:r>
          <w:rPr>
            <w:color w:val="1155CC"/>
            <w:u w:val="single"/>
          </w:rPr>
          <w:t>10.1021/acsenergylett.6c00205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 </w:t>
      </w:r>
      <w:hyperlink r:id="rId37">
        <w:r>
          <w:rPr>
            <w:color w:val="1155CC"/>
            <w:u w:val="single"/>
          </w:rPr>
          <w:t>Robust Adsorption of Self‐Assembled Monolayer on NiOx via Multiple Hydrogen Bonds for Stable Inverted Perovskite Solar Cells</w:t>
        </w:r>
      </w:hyperlink>
    </w:p>
    <w:p>
      <w:pPr>
        <w:spacing w:before="0" w:after="120"/>
      </w:pPr>
      <w:r>
        <w:rPr>
          <w:b/>
        </w:rPr>
        <w:t xml:space="preserve">Source: </w:t>
      </w:r>
      <w:r>
        <w:t>Wiley: Advanced Materials: Table of Contents</w:t>
      </w:r>
      <w:r>
        <w:t xml:space="preserve">    </w:t>
      </w:r>
      <w:r>
        <w:rPr>
          <w:b/>
        </w:rPr>
        <w:t xml:space="preserve">Pub date: </w:t>
      </w:r>
      <w:r>
        <w:t>2026-02-25 14:25:23+00:00</w:t>
      </w:r>
      <w:r>
        <w:t xml:space="preserve">    </w:t>
      </w:r>
      <w:r>
        <w:rPr>
          <w:b/>
        </w:rPr>
        <w:t xml:space="preserve">DOI: </w:t>
      </w:r>
      <w:hyperlink r:id="rId38">
        <w:r>
          <w:rPr>
            <w:color w:val="1155CC"/>
            <w:u w:val="single"/>
          </w:rPr>
          <w:t>10.1002/adma.72638</w:t>
        </w:r>
      </w:hyperlink>
    </w:p>
    <w:p>
      <w:pPr>
        <w:spacing w:before="0" w:after="80" w:lineRule="auto" w:line="276"/>
      </w:pPr>
      <w:r>
        <w:rPr>
          <w:b/>
        </w:rPr>
        <w:t xml:space="preserve">摘要（ZH）: </w:t>
      </w:r>
      <w:r>
        <w:t>(empty)</w:t>
      </w:r>
    </w:p>
    <w:p>
      <w:pPr>
        <w:spacing w:before="0" w:after="200" w:lineRule="auto" w:line="276"/>
      </w:pPr>
      <w:r>
        <w:rPr>
          <w:b/>
        </w:rPr>
        <w:t xml:space="preserve">Abstract (EN): </w:t>
      </w:r>
      <w:r>
        <w:t>In inverted perovskite solar cells, self-assembled molecules (SAMs) employed as hole-transport layers can significantly improve device performance, with power conversion efficiencies currently exceeding 27%. However, the non-uniform and weak adsorption of SAMs on metal oxide substrates leads to severe non-radiative recombination at the buried interface, which remains a critical bottleneck for long-term operational and thermal stability. In this study, heptafluorobutyramide (HA) or heptafluorobutylimidamide (HM) is introduced into MeO‑4PACz to tailor its adsorption on the NiOx surface. Leveraging multiple hydrogen‑bonding interactions between HM and MeO‑4PACz, the resulting SAMs adopt an inclined orientation of approximately 60° relative to the NiOx surface. This configuration increases the proportion of Ni3 + on the substrate and raises the surface coverage from 0.912 to 1.236. It also effectively passivates undercoordinated Pb defects at the buried interface, enhances interfacial uniformity, and suppresses non‑radiative recombination. Using a vacuum‑flash processing method, HM‑optimized devices achieve a champion efficiency of 26.99% (certified steady‑state efficiency 26.62%) and reach 20.36% on a large‑area module with an active area of 809.69 cm2. Moreover, small-area devices retained 92% and 87% of their initial efficiency after 1500 h of maximum power point tracking at 25°C and 60°C, respectively.</w:t>
      </w:r>
    </w:p>
    <w:p>
      <w:pPr>
        <w:spacing w:before="120" w:after="120"/>
      </w:pPr>
      <w:r>
        <w:rPr>
          <w:sz w:val="18"/>
        </w:rPr>
        <w:t>——————————————————————————————————————————————————————————————————————</w:t>
      </w:r>
    </w:p>
    <w:p>
      <w:pPr>
        <w:spacing w:before="160" w:after="40" w:line="240" w:lineRule="auto"/>
      </w:pPr>
      <w:r>
        <w:rPr>
          <w:b/>
        </w:rPr>
        <w:t xml:space="preserve">[21] </w:t>
      </w:r>
      <w:hyperlink r:id="rId39">
        <w:r>
          <w:rPr>
            <w:color w:val="1155CC"/>
            <w:u w:val="single"/>
          </w:rPr>
          <w:t>Ordered scalable solar-driven dry reforming of methane via synergy of plasmonic catalysts with biomimetic reactors</w:t>
        </w:r>
      </w:hyperlink>
    </w:p>
    <w:p>
      <w:pPr>
        <w:spacing w:before="0" w:after="120"/>
      </w:pPr>
      <w:r>
        <w:rPr>
          <w:b/>
        </w:rPr>
        <w:t xml:space="preserve">Source: </w:t>
      </w:r>
      <w:r>
        <w:t>Joule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Solar-driven dry reforming of methane holds promise for addressing global energy and environmental challenges simultaneously. This work proposes a novel strategy that synergizes plasmonic meta-nanoalloy catalysts with biomimetic butterfly wing-inspired foam reactors to achieve ordered, scalable solar-driven dry reforming of methane.</w:t>
      </w:r>
    </w:p>
    <w:p>
      <w:pPr>
        <w:spacing w:before="120" w:after="120"/>
      </w:pPr>
      <w:r>
        <w:rPr>
          <w:sz w:val="18"/>
        </w:rPr>
        <w:t>——————————————————————————————————————————————————————————————————————</w:t>
      </w:r>
    </w:p>
    <w:p>
      <w:pPr>
        <w:spacing w:before="160" w:after="40" w:line="240" w:lineRule="auto"/>
      </w:pPr>
      <w:r>
        <w:rPr>
          <w:b/>
        </w:rPr>
        <w:t xml:space="preserve">[22] </w:t>
      </w:r>
      <w:hyperlink r:id="rId40">
        <w:r>
          <w:rPr>
            <w:color w:val="1155CC"/>
            <w:u w:val="single"/>
          </w:rPr>
          <w:t>Cr–O–In Interlocking for Window Layer Delamination Resistance in Operationally Stable Perovskite/Silicon Tandem Solar Cells</w:t>
        </w:r>
      </w:hyperlink>
    </w:p>
    <w:p>
      <w:pPr>
        <w:spacing w:before="0" w:after="120"/>
      </w:pPr>
      <w:r>
        <w:rPr>
          <w:b/>
        </w:rPr>
        <w:t xml:space="preserve">Source: </w:t>
      </w:r>
      <w:r>
        <w:t>RSC - Energy Environ. Sci. latest articles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Perovskite/silicon tandem solar cells have achieved remarkable efficiencies but remain limited by poor operational stability, primarily due to the instability of fullerene/atomic-layer-deposited (ALD) SnOX interfaces in the top window layer–an issue that is often negligible in single-junction devices but becomes critically important in tandems. This instability originates from poor adhesion, incomplete precursor reactions during low-temperature ALD process, and oxidative exposure of the fullerene layer. Here, we introduce a Cr–O–In interlocking interface formed via chromium (Cr) diffusion into the transparent electrode and fullerene layer, which effectively mitigates window layer delamination and establishes robust interfacial contact. Notably, Cr does not diffuse across fullerene layer due to its strong reaction with C60 layer, which effectively immobilizes the metal atoms shortly after deposition and impedes deep diffusion. In addition, this interlocking interface integrates optical transparency, favorable band alignment, and resistance to sputtering, while enabling n-type doping of fullerene layer to enhance electron mobility and suppress across-interface nonradiative recombination. As a result, single-junction 1.67 eV perovskite solar cells achieve a PCE of 23.27% (average PCE of 22.85%), and perovskite/silicon tandems reach 32.77%, with a certified stabilized efficiency of 32.51%, among the highest reported for monolithic perovskite/TOPCon tandems. Moreover, the Cr–O–In ionic interlocking interface enhances long-term operational stability, paving the way toward scalable, industrially applicable tandem photovoltaics.</w:t>
      </w:r>
    </w:p>
    <w:p>
      <w:pPr>
        <w:spacing w:before="120" w:after="120"/>
      </w:pPr>
      <w:r>
        <w:rPr>
          <w:sz w:val="18"/>
        </w:rPr>
        <w:t>——————————————————————————————————————————————————————————————————————</w:t>
      </w:r>
    </w:p>
    <w:p>
      <w:pPr>
        <w:spacing w:before="160" w:after="40" w:line="240" w:lineRule="auto"/>
      </w:pPr>
      <w:r>
        <w:rPr>
          <w:b/>
        </w:rPr>
        <w:t xml:space="preserve">[23] </w:t>
      </w:r>
      <w:hyperlink r:id="rId41">
        <w:r>
          <w:rPr>
            <w:color w:val="1155CC"/>
            <w:u w:val="single"/>
          </w:rPr>
          <w:t>Interfacial Passivation Toward Photostable Wide‐Bandgap Perovskites for Efficient Semitransparent Solar Cells</w:t>
        </w:r>
      </w:hyperlink>
    </w:p>
    <w:p>
      <w:pPr>
        <w:spacing w:before="0" w:after="120"/>
      </w:pPr>
      <w:r>
        <w:rPr>
          <w:b/>
        </w:rPr>
        <w:t xml:space="preserve">Source: </w:t>
      </w:r>
      <w:r>
        <w:t>Wiley: Advanced Energy Materials: Table of Contents</w:t>
      </w:r>
      <w:r>
        <w:t xml:space="preserve">    </w:t>
      </w:r>
      <w:r>
        <w:rPr>
          <w:b/>
        </w:rPr>
        <w:t xml:space="preserve">Pub date: </w:t>
      </w:r>
      <w:r>
        <w:t>2026-02-26 06:14:49+00:00</w:t>
      </w:r>
      <w:r>
        <w:t xml:space="preserve">    </w:t>
      </w:r>
      <w:r>
        <w:rPr>
          <w:b/>
        </w:rPr>
        <w:t xml:space="preserve">DOI: </w:t>
      </w:r>
      <w:hyperlink r:id="rId42">
        <w:r>
          <w:rPr>
            <w:color w:val="1155CC"/>
            <w:u w:val="single"/>
          </w:rPr>
          <w:t>10.1002/aenm.202506610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 </w:t>
      </w:r>
      <w:hyperlink r:id="rId43">
        <w:r>
          <w:rPr>
            <w:color w:val="1155CC"/>
            <w:u w:val="single"/>
          </w:rPr>
          <w:t>Hafnium oxide interface stabilization for efficient, photothermally stable perovskite solar cells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44">
        <w:r>
          <w:rPr>
            <w:color w:val="1155CC"/>
            <w:u w:val="single"/>
          </w:rPr>
          <w:t>10.1126/science.aea3339</w:t>
        </w:r>
      </w:hyperlink>
    </w:p>
    <w:p>
      <w:pPr>
        <w:spacing w:before="0" w:after="80" w:lineRule="auto" w:line="276"/>
      </w:pPr>
      <w:r>
        <w:rPr>
          <w:b/>
        </w:rPr>
        <w:t xml:space="preserve">摘要（ZH）: </w:t>
      </w:r>
      <w:r>
        <w:t>(empty)</w:t>
      </w:r>
    </w:p>
    <w:p>
      <w:pPr>
        <w:spacing w:before="0" w:after="200" w:lineRule="auto" w:line="276"/>
      </w:pPr>
      <w:r>
        <w:rPr>
          <w:b/>
        </w:rPr>
        <w:t xml:space="preserve">Abstract (EN): </w:t>
      </w:r>
      <w:r>
        <w:t>Organic molecular layers at both hole- and electron-selective interfaces are essential for achieving high-efficiency perovskite solar cells, yet their limited photothermal stability hinders long-term device operation. We used atomic layer deposition to deposit hafnium oxide (HfO</w:t>
        <w:br/>
        <w:t xml:space="preserve">                    </w:t>
        <w:br/>
        <w:t xml:space="preserve">                      x</w:t>
        <w:br/>
        <w:t xml:space="preserve">                    </w:t>
        <w:br/>
        <w:t xml:space="preserve">                    ) interlayers to stabilize these molecular interfaces under operational stress. At the NiO</w:t>
        <w:br/>
        <w:t xml:space="preserve">                    </w:t>
        <w:br/>
        <w:t xml:space="preserve">                      x</w:t>
        <w:br/>
        <w:t xml:space="preserve">                    </w:t>
        <w:br/>
        <w:t xml:space="preserve">                    /self-assembled monolayer (SAM) interface, a hydroxyl-rich, Lewis-acidic n-HfO</w:t>
        <w:br/>
        <w:t xml:space="preserve">                    </w:t>
        <w:br/>
        <w:t xml:space="preserve">                      x</w:t>
        <w:br/>
        <w:t xml:space="preserve">                    </w:t>
        <w:br/>
        <w:t xml:space="preserve">                    layer (n denotes negative fixed-charge polarity) promoted tridentate phosphonic acid coordination and enhanced SAM retention and thermal durability. At the perovskite/C</w:t>
        <w:br/>
        <w:t xml:space="preserve">                    60</w:t>
        <w:br/>
        <w:t xml:space="preserve">                    interface, the p-HfO</w:t>
        <w:br/>
        <w:t xml:space="preserve">                    </w:t>
        <w:br/>
        <w:t xml:space="preserve">                      x</w:t>
        <w:br/>
        <w:t xml:space="preserve">                    </w:t>
        <w:br/>
        <w:t xml:space="preserve">                    layer (p denotes positive fixed-charge polarity) anchored 3-fluorophenylethylammonium iodide (3F-PEAI) through Hf⋯F interactions that also acted as a diffusion barrier against halide- and silver-ion migration. Devices achieved a power conversion efficiency of 27.1% (26.6% certified) and retained more than 90% of their initial efficiency for ~5000 hours under 1-sun equivalent illumination at 85°C in ambient air.</w:t>
      </w:r>
    </w:p>
    <w:p>
      <w:pPr>
        <w:spacing w:before="120" w:after="120"/>
      </w:pPr>
      <w:r>
        <w:rPr>
          <w:sz w:val="18"/>
        </w:rPr>
        <w:t>——————————————————————————————————————————————————————————————————————</w:t>
      </w:r>
    </w:p>
    <w:p>
      <w:pPr>
        <w:spacing w:before="160" w:after="40" w:line="240" w:lineRule="auto"/>
      </w:pPr>
      <w:r>
        <w:rPr>
          <w:b/>
        </w:rPr>
        <w:t xml:space="preserve">[25] </w:t>
      </w:r>
      <w:hyperlink r:id="rId45">
        <w:r>
          <w:rPr>
            <w:color w:val="1155CC"/>
            <w:u w:val="single"/>
          </w:rPr>
          <w:t>A Multifunctional Interfacial Dipolar Molecule: Universal Applicability in Efficient Rigid, Flexible, and Large‐Area Perovskite Solar Cells</w:t>
        </w:r>
      </w:hyperlink>
    </w:p>
    <w:p>
      <w:pPr>
        <w:spacing w:before="0" w:after="120"/>
      </w:pPr>
      <w:r>
        <w:rPr>
          <w:b/>
        </w:rPr>
        <w:t xml:space="preserve">Source: </w:t>
      </w:r>
      <w:r>
        <w:t>Wiley: Advanced Materials: Table of Contents</w:t>
      </w:r>
      <w:r>
        <w:t xml:space="preserve">    </w:t>
      </w:r>
      <w:r>
        <w:rPr>
          <w:b/>
        </w:rPr>
        <w:t xml:space="preserve">Pub date: </w:t>
      </w:r>
      <w:r>
        <w:t>2026-02-26 11:49:36+00:00</w:t>
      </w:r>
      <w:r>
        <w:t xml:space="preserve">    </w:t>
      </w:r>
      <w:r>
        <w:rPr>
          <w:b/>
        </w:rPr>
        <w:t xml:space="preserve">DOI: </w:t>
      </w:r>
      <w:hyperlink r:id="rId46">
        <w:r>
          <w:rPr>
            <w:color w:val="1155CC"/>
            <w:u w:val="single"/>
          </w:rPr>
          <w:t>10.1002/adma.202523520</w:t>
        </w:r>
      </w:hyperlink>
    </w:p>
    <w:p>
      <w:pPr>
        <w:spacing w:before="0" w:after="80" w:lineRule="auto" w:line="276"/>
      </w:pPr>
      <w:r>
        <w:rPr>
          <w:b/>
        </w:rPr>
        <w:t xml:space="preserve">摘要（ZH）: </w:t>
      </w:r>
      <w:r>
        <w:t>(empty)</w:t>
      </w:r>
    </w:p>
    <w:p>
      <w:pPr>
        <w:spacing w:before="0" w:after="200" w:lineRule="auto" w:line="276"/>
      </w:pPr>
      <w:r>
        <w:rPr>
          <w:b/>
        </w:rPr>
        <w:t xml:space="preserve">Abstract (EN): </w:t>
      </w:r>
      <w:r>
        <w:t>A critical performance gap persists between lab-scale perovskite solar cells (PSCs) and their theoretical efficiency limit, primarily driven by non-radiative recombination at the electron transport layer/perovskite buried interface. Molecular engineering of this interface is a proven mitigation strategy; however, a major limitation of current modifiers is the lack of multifunctional structural design to achieve bifacial passivation, energy level alignment, and interfacial compatibility simultaneously, which typically restricts further improvements in device efficiency and the expansion of applications to large-scale and flexible substrates. To address this challenge, we design a multifunctional dipolar molecule, 2-cyanoethyl phosphate, with three features: a phosphate anchoring group for strong covalent bonding to SnO2, a terminal cyano group for effective perovskite defect passivation, and a large intrinsic dipole moment of 5.38 Debye to optimize interfacial energy-level alignment for superior charge dynamics. This integrated strategy delivers a champion power conversion efficiency of 26.45% (certified at 26.31%) for small-area rigid PSCs, 23.51% for mini-modules (30 cm2), and 25.09% for flexible PSCs. Our work establishes a general molecular design principle for universal interfacial modifiers, accelerating the commercialization of PSCs that combine high efficiency, scalability, and flexibility.</w:t>
      </w:r>
    </w:p>
    <w:p>
      <w:pPr>
        <w:spacing w:before="120" w:after="120"/>
      </w:pPr>
      <w:r>
        <w:rPr>
          <w:sz w:val="18"/>
        </w:rPr>
        <w:t>——————————————————————————————————————————————————————————————————————</w:t>
      </w:r>
    </w:p>
    <w:p>
      <w:pPr>
        <w:spacing w:before="160" w:after="40" w:line="240" w:lineRule="auto"/>
      </w:pPr>
      <w:r>
        <w:rPr>
          <w:b/>
        </w:rPr>
        <w:t xml:space="preserve">[26] </w:t>
      </w:r>
      <w:hyperlink r:id="rId47">
        <w:r>
          <w:rPr>
            <w:color w:val="1155CC"/>
            <w:u w:val="single"/>
          </w:rPr>
          <w:t>[ASAP] A Comprehensive Review of the Role of Overlayers in Photocatalytic Overall Water Splitting and Related Reactions</w:t>
        </w:r>
      </w:hyperlink>
    </w:p>
    <w:p>
      <w:pPr>
        <w:spacing w:before="0" w:after="120"/>
      </w:pPr>
      <w:r>
        <w:rPr>
          <w:b/>
        </w:rPr>
        <w:t xml:space="preserve">Source: </w:t>
      </w:r>
      <w:r>
        <w:t>Chemical Reviews: Latest Articles (ACS Publications)</w:t>
      </w:r>
      <w:r>
        <w:t xml:space="preserve">    </w:t>
      </w:r>
      <w:r>
        <w:rPr>
          <w:b/>
        </w:rPr>
        <w:t xml:space="preserve">Pub date: </w:t>
      </w:r>
      <w:r>
        <w:t>2026-02-26 13:59:11+00:00</w:t>
      </w:r>
      <w:r>
        <w:t xml:space="preserve">    </w:t>
      </w:r>
      <w:r>
        <w:rPr>
          <w:b/>
        </w:rPr>
        <w:t xml:space="preserve">DOI: </w:t>
      </w:r>
      <w:hyperlink r:id="rId48">
        <w:r>
          <w:rPr>
            <w:color w:val="1155CC"/>
            <w:u w:val="single"/>
          </w:rPr>
          <w:t>10.1021/acs.chemrev.5c00326</w:t>
        </w:r>
      </w:hyperlink>
    </w:p>
    <w:p>
      <w:pPr>
        <w:spacing w:before="0" w:after="80" w:lineRule="auto" w:line="276"/>
      </w:pPr>
      <w:r>
        <w:rPr>
          <w:b/>
        </w:rPr>
        <w:t xml:space="preserve">摘要（ZH）: </w:t>
      </w:r>
      <w:r>
        <w:t>(empty)</w:t>
      </w:r>
    </w:p>
    <w:p>
      <w:pPr>
        <w:spacing w:before="0" w:after="200" w:lineRule="auto" w:line="276"/>
      </w:pPr>
      <w:r>
        <w:rPr>
          <w:b/>
        </w:rPr>
        <w:t xml:space="preserve">Abstract (EN): </w:t>
      </w:r>
      <w:r>
        <w:t>Photocatalytic overall water splitting using cocatalyst-modified photocatalysts faces a significant challenge to achieve highly efficient performance in pure water, as the back reaction─where the evolved H2 and O2 recombine back into H2O─is also catalyzed by the cocatalysts. Overlayers on modified photocatalysts have been reported to prevent the back reaction and significantly enhance the overall water splitting activity. This review provides a comprehensive overview of the use of overlayers in suppressing the back reaction in photocatalytic overall water splitting and their multifunctional roles in facilitating charge separation and transport, and stabilizing cocatalysts and photocatalysts. The application of overlayers is also explored in suppressing the back reactions in other photocatalytic reactions and systems, including Z-scheme systems, electrochemical and photoelectrochemical water splitting systems, pollutant degradation reactions, and photocatalytic CO2 conversion. Furthermore, this review addresses the challenges facing overlayers, particularly their durability during photoreaction, and suggests future research areas. Overall, the knowledge gained to date emphasizes the potential of overlayers to enhance the efficiency and stability of cocatalyst-modified photocatalysts in the field of photocatalysis.</w:t>
      </w:r>
    </w:p>
    <w:p>
      <w:pPr>
        <w:spacing w:before="120" w:after="120"/>
      </w:pPr>
      <w:r>
        <w:rPr>
          <w:sz w:val="18"/>
        </w:rPr>
        <w:t>——————————————————————————————————————————————————————————————————————</w:t>
      </w:r>
    </w:p>
    <w:p>
      <w:pPr>
        <w:spacing w:before="160" w:after="40" w:line="240" w:lineRule="auto"/>
      </w:pPr>
      <w:r>
        <w:rPr>
          <w:b/>
        </w:rPr>
        <w:t xml:space="preserve">[27] </w:t>
      </w:r>
      <w:hyperlink r:id="rId49">
        <w:r>
          <w:rPr>
            <w:color w:val="1155CC"/>
            <w:u w:val="single"/>
          </w:rPr>
          <w:t>[ASAP] In Situ Engineered Gradient Ruddlesden–Popper 2D/3D Heterostructures at the Buried Interface Enable Current-Matched Perovskite/Silicon Tandems</w:t>
        </w:r>
      </w:hyperlink>
    </w:p>
    <w:p>
      <w:pPr>
        <w:spacing w:before="0" w:after="120"/>
      </w:pPr>
      <w:r>
        <w:rPr>
          <w:b/>
        </w:rPr>
        <w:t xml:space="preserve">Source: </w:t>
      </w:r>
      <w:r>
        <w:t>ACS Energy Letters: Latest Articles (ACS Publications)</w:t>
      </w:r>
      <w:r>
        <w:t xml:space="preserve">    </w:t>
      </w:r>
      <w:r>
        <w:rPr>
          <w:b/>
        </w:rPr>
        <w:t xml:space="preserve">Pub date: </w:t>
      </w:r>
      <w:r>
        <w:t>2026-02-26 19:29:32+00:00</w:t>
      </w:r>
      <w:r>
        <w:t xml:space="preserve">    </w:t>
      </w:r>
      <w:r>
        <w:rPr>
          <w:b/>
        </w:rPr>
        <w:t xml:space="preserve">DOI: </w:t>
      </w:r>
      <w:hyperlink r:id="rId50">
        <w:r>
          <w:rPr>
            <w:color w:val="1155CC"/>
            <w:u w:val="single"/>
          </w:rPr>
          <w:t>10.1021/acsenergylett.5c04127</w:t>
        </w:r>
      </w:hyperlink>
    </w:p>
    <w:p>
      <w:pPr>
        <w:spacing w:before="0" w:after="80" w:lineRule="auto" w:line="276"/>
      </w:pPr>
      <w:r>
        <w:rPr>
          <w:b/>
        </w:rPr>
        <w:t xml:space="preserve">摘要（ZH）: </w:t>
      </w:r>
      <w:r>
        <w:t>(empty)</w:t>
      </w:r>
    </w:p>
    <w:p>
      <w:pPr>
        <w:spacing w:before="0" w:after="200" w:lineRule="auto" w:line="276"/>
      </w:pPr>
      <w:r>
        <w:rPr>
          <w:b/>
        </w:rPr>
        <w:t xml:space="preserve">Abstract (EN): </w:t>
      </w:r>
      <w:r>
        <w:t>In situ interface passivation serves as a crucial strategy for improving both the efficiency and stability of wide-band gap (WBG) perovskite solar cells and their associated tandem architectures. Here, we present a one-step in situ buried-interface passivation approach designed to reduce interface defects in three-dimensional (3D) WBG perovskite films. This is achieved by constructing self-assembly of a gradient Ruddlesden–Popper (RP) two-dimensional (2D) perovskite layer at the buried interface of the 3D WBG perovskite, leading to the formation of a gradient RP-2D/3D perovskite heterostructure. Such heterostructures facilitate the oriented growth of 3D perovskite crystals along the (100) plane, enhance charge carrier extraction, and effectively passivate trap states within the WBG perovskites. The in situ formation of RP-2D/3D perovskite heterostructures significantly enhances the light, thermal, and moisture stabilities of the WBG 3D perovskites. The resulting perovskite/silicon tandem solar cells exhibit improved current matching (mismatch 0.1% vs 5.5% for 3D), deliver improved efficiency of 32.73% (certified 32.46%), and demonstrate an operational lifetime T90 exceeding 1508 h.</w:t>
      </w:r>
    </w:p>
    <w:p>
      <w:pPr>
        <w:spacing w:before="120" w:after="120"/>
      </w:pPr>
      <w:r>
        <w:rPr>
          <w:sz w:val="18"/>
        </w:rPr>
        <w:t>——————————————————————————————————————————————————————————————————————</w:t>
      </w:r>
    </w:p>
    <w:p>
      <w:pPr>
        <w:spacing w:before="160" w:after="40" w:line="240" w:lineRule="auto"/>
      </w:pPr>
      <w:r>
        <w:rPr>
          <w:b/>
        </w:rPr>
        <w:t xml:space="preserve">[28] </w:t>
      </w:r>
      <w:hyperlink r:id="rId51">
        <w:r>
          <w:rPr>
            <w:color w:val="1155CC"/>
            <w:u w:val="single"/>
          </w:rPr>
          <w:t>In situ detection and accurate repair of defects in printed flexible perovskite photovoltaics</w:t>
        </w:r>
      </w:hyperlink>
    </w:p>
    <w:p>
      <w:pPr>
        <w:spacing w:before="0" w:after="120"/>
      </w:pPr>
      <w:r>
        <w:rPr>
          <w:b/>
        </w:rPr>
        <w:t xml:space="preserve">Source: </w:t>
      </w:r>
      <w:r>
        <w:t>Joule</w:t>
      </w:r>
      <w:r>
        <w:t xml:space="preserve">    </w:t>
      </w:r>
      <w:r>
        <w:rPr>
          <w:b/>
        </w:rPr>
        <w:t xml:space="preserve">Pub date: </w:t>
      </w:r>
      <w:r>
        <w:t>2026-02-27 00:00:00+00:00</w:t>
      </w:r>
      <w:r>
        <w:t xml:space="preserve">    </w:t>
      </w:r>
      <w:r>
        <w:rPr>
          <w:b/>
        </w:rPr>
        <w:t xml:space="preserve">DOI: </w:t>
      </w:r>
      <w:hyperlink r:id="rId52">
        <w:r>
          <w:rPr>
            <w:color w:val="1155CC"/>
            <w:u w:val="single"/>
          </w:rPr>
          <w:t>10.1016/j.joule.2025.102305</w:t>
        </w:r>
      </w:hyperlink>
    </w:p>
    <w:p>
      <w:pPr>
        <w:spacing w:before="0" w:after="80" w:lineRule="auto" w:line="276"/>
      </w:pPr>
      <w:r>
        <w:rPr>
          <w:b/>
        </w:rPr>
        <w:t xml:space="preserve">摘要（ZH）: </w:t>
      </w:r>
      <w:r>
        <w:t>(empty)</w:t>
      </w:r>
    </w:p>
    <w:p>
      <w:pPr>
        <w:spacing w:before="0" w:after="200" w:lineRule="auto" w:line="276"/>
      </w:pPr>
      <w:r>
        <w:rPr>
          <w:b/>
        </w:rPr>
        <w:t xml:space="preserve">Abstract (EN): </w:t>
      </w:r>
      <w:r>
        <w:t>This work proposes a strategy that enhances the reproducibility of large-area perovskite solar cells through in situ defect detection and laser repair, achieving power conversion efficiencies of 25.21% on a 1.01 cm² flexible perovskite solar cell and 17.36% on the corresponding flexible module. It provides both technical and theoretical reference for the commercialization of flexible perovskite photovoltaic devices.</w:t>
      </w:r>
    </w:p>
    <w:p>
      <w:pPr>
        <w:spacing w:before="120" w:after="120"/>
      </w:pPr>
      <w:r>
        <w:rPr>
          <w:sz w:val="18"/>
        </w:rPr>
        <w:t>——————————————————————————————————————————————————————————————————————</w:t>
      </w:r>
    </w:p>
    <w:p>
      <w:pPr>
        <w:spacing w:before="160" w:after="40" w:line="240" w:lineRule="auto"/>
      </w:pPr>
      <w:r>
        <w:rPr>
          <w:b/>
        </w:rPr>
        <w:t xml:space="preserve">[29] </w:t>
      </w:r>
      <w:hyperlink r:id="rId53">
        <w:r>
          <w:rPr>
            <w:color w:val="1155CC"/>
            <w:u w:val="single"/>
          </w:rPr>
          <w:t>Deeper insights into charge photogeneration in organic solar cells</w:t>
        </w:r>
      </w:hyperlink>
    </w:p>
    <w:p>
      <w:pPr>
        <w:spacing w:before="0" w:after="120"/>
      </w:pPr>
      <w:r>
        <w:rPr>
          <w:b/>
        </w:rPr>
        <w:t xml:space="preserve">Source: </w:t>
      </w:r>
      <w:r>
        <w:t>Nature Materials</w:t>
      </w:r>
      <w:r>
        <w:t xml:space="preserve">    </w:t>
      </w:r>
      <w:r>
        <w:rPr>
          <w:b/>
        </w:rPr>
        <w:t xml:space="preserve">Pub date: </w:t>
      </w:r>
      <w:r>
        <w:t>2026-02-27 00:00:00+00:00</w:t>
      </w:r>
      <w:r>
        <w:t xml:space="preserve">    </w:t>
      </w:r>
      <w:r>
        <w:rPr>
          <w:b/>
        </w:rPr>
        <w:t xml:space="preserve">DOI: </w:t>
      </w:r>
      <w:hyperlink r:id="rId54">
        <w:r>
          <w:rPr>
            <w:color w:val="1155CC"/>
            <w:u w:val="single"/>
          </w:rPr>
          <w:t>10.1038/s41563-026-02500-1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[30] </w:t>
      </w:r>
      <w:hyperlink r:id="rId55">
        <w:r>
          <w:rPr>
            <w:color w:val="1155CC"/>
            <w:u w:val="single"/>
          </w:rPr>
          <w:t>Molecular factors controlling charge pair generation in organic photovoltaic materials</w:t>
        </w:r>
      </w:hyperlink>
    </w:p>
    <w:p>
      <w:pPr>
        <w:spacing w:before="0" w:after="120"/>
      </w:pPr>
      <w:r>
        <w:rPr>
          <w:b/>
        </w:rPr>
        <w:t xml:space="preserve">Source: </w:t>
      </w:r>
      <w:r>
        <w:t>Nature Materials</w:t>
      </w:r>
      <w:r>
        <w:t xml:space="preserve">    </w:t>
      </w:r>
      <w:r>
        <w:rPr>
          <w:b/>
        </w:rPr>
        <w:t xml:space="preserve">Pub date: </w:t>
      </w:r>
      <w:r>
        <w:t>2026-02-27 00:00:00+00:00</w:t>
      </w:r>
      <w:r>
        <w:t xml:space="preserve">    </w:t>
      </w:r>
      <w:r>
        <w:rPr>
          <w:b/>
        </w:rPr>
        <w:t xml:space="preserve">DOI: </w:t>
      </w:r>
      <w:hyperlink r:id="rId56">
        <w:r>
          <w:rPr>
            <w:color w:val="1155CC"/>
            <w:u w:val="single"/>
          </w:rPr>
          <w:t>10.1038/s41563-026-02509-6</w:t>
        </w:r>
      </w:hyperlink>
    </w:p>
    <w:p>
      <w:pPr>
        <w:spacing w:before="0" w:after="80" w:lineRule="auto" w:line="276"/>
      </w:pPr>
      <w:r>
        <w:rPr>
          <w:b/>
        </w:rPr>
        <w:t xml:space="preserve">摘要（ZH）: </w:t>
      </w:r>
      <w:r>
        <w:t>(empty)</w:t>
      </w:r>
    </w:p>
    <w:p>
      <w:pPr>
        <w:spacing w:before="0" w:after="200" w:lineRule="auto" w:line="276"/>
      </w:pPr>
      <w:r>
        <w:rPr>
          <w:b/>
        </w:rPr>
        <w:t xml:space="preserve">Abstract (EN): </w:t>
      </w:r>
      <w:r>
        <w:t>Through remarkable advances in materials design, the efficiency of photovoltaic energy conversion in molecular materials has risen from 1% to over 20% within 2 decades. Some recent reports argue that charge photogeneration can occur directly in neat films of the best-performing molecular materials, and that this process may assist current generation in heterojunction devices. Here we address this assertion by combining experimental measurements of charge generation in single-component and heterojunction devices with a computational model of the generation and evolution of delocalized excited states in such systems. We identify key molecular parameters that are likely to assist charge generation in high-performance materials, including the exciton binding energy, reorganization energy, energetic disorder, electronic coupling and the molecular packing motif. We show that including state delocalization is critical to the results. While we find that charge generation in single domains is unlikely to drive photocurrent generation in low-offset heterojunctions, the same molecular parameters favour charge generation in both device architectures.</w:t>
      </w:r>
    </w:p>
    <w:p>
      <w:pPr>
        <w:spacing w:before="120" w:after="120"/>
      </w:pPr>
      <w:r>
        <w:rPr>
          <w:sz w:val="18"/>
        </w:rPr>
        <w:t>——————————————————————————————————————————————————————————————————————</w:t>
      </w:r>
    </w:p>
    <w:p>
      <w:pPr>
        <w:spacing w:before="160" w:after="40" w:line="240" w:lineRule="auto"/>
      </w:pPr>
      <w:r>
        <w:rPr>
          <w:b/>
        </w:rPr>
        <w:t xml:space="preserve">[31] </w:t>
      </w:r>
      <w:hyperlink r:id="rId57">
        <w:r>
          <w:rPr>
            <w:color w:val="1155CC"/>
            <w:u w:val="single"/>
          </w:rPr>
          <w:t>[ASAP] Strong Exciton Confinement Enabling Near-Unity Photoluminescence Quantum Efficiency in Hybrid Bimetallic Halides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09:00:01+00:00</w:t>
      </w:r>
      <w:r>
        <w:t xml:space="preserve">    </w:t>
      </w:r>
      <w:r>
        <w:rPr>
          <w:b/>
        </w:rPr>
        <w:t xml:space="preserve">DOI: </w:t>
      </w:r>
      <w:hyperlink r:id="rId58">
        <w:r>
          <w:rPr>
            <w:color w:val="1155CC"/>
            <w:u w:val="single"/>
          </w:rPr>
          <w:t>10.1021/jacs.5c23218</w:t>
        </w:r>
      </w:hyperlink>
    </w:p>
    <w:p>
      <w:pPr>
        <w:spacing w:before="0" w:after="80" w:lineRule="auto" w:line="276"/>
      </w:pPr>
      <w:r>
        <w:rPr>
          <w:b/>
        </w:rPr>
        <w:t xml:space="preserve">摘要（ZH）: </w:t>
      </w:r>
      <w:r>
        <w:t>(empty)</w:t>
      </w:r>
    </w:p>
    <w:p>
      <w:pPr>
        <w:spacing w:before="0" w:after="200" w:lineRule="auto" w:line="276"/>
      </w:pPr>
      <w:r>
        <w:rPr>
          <w:b/>
        </w:rPr>
        <w:t xml:space="preserve">Abstract (EN): </w:t>
      </w:r>
      <w:r>
        <w:t>Development of efficient and structurally stable zero-dimensional (0D) hybrid antimony halide materials still encounters huge challenges due to the limited and time-consuming trial-and-error design principle. Here, a host-guest chemistry strategy is employed at the A-site to design a series of hybrid antimony-based bimetallic halides (HABHs) with a general formula of [A(L)6][BCln] (A = lanthanide and alkaline earth metals; B = Sb, In, and Bi; and L = urea ligands with different substituents). Controllable structural regulation is achieved by adjusting the steric effect of large [A(L)6]2+/3+ clusters, realizing a wide photoluminescence (PL) spectral modulation and high photoluminescence quantum efficiency (PLQY) over 98%. Some photophysical properties could be well correlated with specific structural changes. The PL spectral profile and emission energy are mainly dependent on the distortion of the SbCln polyhedra. In particular, a quantitatively exponential relationship between PLQY and structural parameters (bond distortion, angle deviation, and the defined effective Cl number describing the integrity of the hydrogen bonding network) related to the [SbCln](n-3)- sublattice has been reasonably established. As supported by theoretical calculations and photophysical analysis, strong exciton localization with negligible nonradiative recombination has been demonstrated for high PLQY, which results from a highly symmetrical rigid structure and the "shielding effect" of a complete hydrogen bonding network. Environmental stability and unique temperature-dependent PL behaviors enable multiapplications. This work proposes a quantitative "structure-property" correlation insight for new hybrid antimony halides, providing a direction for advancing the design of efficient hybrid metal halide materials.</w:t>
      </w:r>
    </w:p>
    <w:p>
      <w:pPr>
        <w:spacing w:before="120" w:after="120"/>
      </w:pPr>
      <w:r>
        <w:rPr>
          <w:sz w:val="18"/>
        </w:rPr>
        <w:t>——————————————————————————————————————————————————————————————————————</w:t>
      </w:r>
    </w:p>
    <w:p>
      <w:pPr>
        <w:spacing w:before="160" w:after="40" w:line="240" w:lineRule="auto"/>
      </w:pPr>
      <w:r>
        <w:rPr>
          <w:b/>
        </w:rPr>
        <w:t xml:space="preserve">[32] </w:t>
      </w:r>
      <w:hyperlink r:id="rId59">
        <w:r>
          <w:rPr>
            <w:color w:val="1155CC"/>
            <w:u w:val="single"/>
          </w:rPr>
          <w:t>Reconfiguring Band‐Edge States in 2D Metal Halide Perovskites via Electron‐Donating and ‐Withdrawing Organic Cations</w:t>
        </w:r>
      </w:hyperlink>
    </w:p>
    <w:p>
      <w:pPr>
        <w:spacing w:before="0" w:after="120"/>
      </w:pPr>
      <w:r>
        <w:rPr>
          <w:b/>
        </w:rPr>
        <w:t xml:space="preserve">Source: </w:t>
      </w:r>
      <w:r>
        <w:t>Wiley: Angewandte Chemie International Edition: Table of Contents</w:t>
      </w:r>
      <w:r>
        <w:t xml:space="preserve">    </w:t>
      </w:r>
      <w:r>
        <w:rPr>
          <w:b/>
        </w:rPr>
        <w:t xml:space="preserve">Pub date: </w:t>
      </w:r>
      <w:r>
        <w:t>2026-02-27 11:03:28+00:00</w:t>
      </w:r>
      <w:r>
        <w:t xml:space="preserve">    </w:t>
      </w:r>
      <w:r>
        <w:rPr>
          <w:b/>
        </w:rPr>
        <w:t xml:space="preserve">DOI: </w:t>
      </w:r>
      <w:hyperlink r:id="rId60">
        <w:r>
          <w:rPr>
            <w:color w:val="1155CC"/>
            <w:u w:val="single"/>
          </w:rPr>
          <w:t>10.1002/anie.1490993</w:t>
        </w:r>
      </w:hyperlink>
    </w:p>
    <w:p>
      <w:pPr>
        <w:spacing w:before="0" w:after="80" w:lineRule="auto" w:line="276"/>
      </w:pPr>
      <w:r>
        <w:rPr>
          <w:b/>
        </w:rPr>
        <w:t xml:space="preserve">摘要（ZH）: </w:t>
      </w:r>
      <w:r>
        <w:t>(empty)</w:t>
      </w:r>
    </w:p>
    <w:p>
      <w:pPr>
        <w:spacing w:before="0" w:after="200" w:lineRule="auto" w:line="276"/>
      </w:pPr>
      <w:r>
        <w:rPr>
          <w:b/>
        </w:rPr>
        <w:t xml:space="preserve">Abstract (EN): </w:t>
      </w:r>
      <w:r>
        <w:t>Hybrid metal halide perovskites consist of the organic cation (A-site) and inorganic skeleton (B-site metal cation and X-site halide anion). Traditionally, the electronic structures near the band edges are mainly controlled by the inorganic component, with the A-site having negligible influence as its electronic states lie far from the band edges. In this work, we show that by adjusting the configuration of organic cations and introducing substituents, the A-site can directly contribute to the band-edge electronic states. Using density functional theory calculations, ab initio molecular dynamics simulations, confocal spectroscopy, and synchrotron high-pressure diffraction, we uncover the origins of band-edge electronic state reconfiguration in 2D hybrid lead halide perovskites. Our results demonstrate that the conjugation of organic cations, combined with the electron-donating and withdrawing substituents, enables the reconfiguration of band-edge electronic states. Specifically, electron-donating groups raise the energy levels of the organic cation, allowing its contribution to the valence band maximum. Conversely, electron-withdrawing groups lower these levels, enabling participation at the conduction band minimum. This mechanism is confirmed by our use of tailored cations together with temperature- and pressure-dependent studies. This work offers a new approach for tailoring the electronic states of hybrid metal halide perovskites with desired optoelectronic performance.</w:t>
      </w:r>
    </w:p>
    <w:p>
      <w:pPr>
        <w:spacing w:before="120" w:after="120"/>
      </w:pPr>
      <w:r>
        <w:rPr>
          <w:sz w:val="18"/>
        </w:rPr>
        <w:t>——————————————————————————————————————————————————————————————————————</w:t>
      </w:r>
    </w:p>
    <w:p>
      <w:pPr>
        <w:spacing w:before="160" w:after="40" w:line="240" w:lineRule="auto"/>
      </w:pPr>
      <w:r>
        <w:rPr>
          <w:b/>
        </w:rPr>
        <w:t xml:space="preserve">[33] </w:t>
      </w:r>
      <w:hyperlink r:id="rId61">
        <w:r>
          <w:rPr>
            <w:color w:val="1155CC"/>
            <w:u w:val="single"/>
          </w:rPr>
          <w:t>TinyML powered UAV inspection for solar panel monitoring with optimized path planning</w:t>
        </w:r>
      </w:hyperlink>
    </w:p>
    <w:p>
      <w:pPr>
        <w:spacing w:before="0" w:after="120"/>
      </w:pPr>
      <w:r>
        <w:rPr>
          <w:b/>
        </w:rPr>
        <w:t xml:space="preserve">Source: </w:t>
      </w:r>
      <w:r>
        <w:t>ScienceDirect Publication: Applied Energy</w:t>
      </w:r>
      <w:r>
        <w:t xml:space="preserve">    </w:t>
      </w:r>
      <w:r>
        <w:rPr>
          <w:b/>
        </w:rPr>
        <w:t xml:space="preserve">Pub date: </w:t>
      </w:r>
      <w:r>
        <w:t>2026-02-28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[34] </w:t>
      </w:r>
      <w:hyperlink r:id="rId62">
        <w:r>
          <w:rPr>
            <w:color w:val="1155CC"/>
            <w:u w:val="single"/>
          </w:rPr>
          <w:t>Redox Cascade‐Driven Structural Degradation Under Reverse Bias in All‐Perovskite Tandem Solar Cells</w:t>
        </w:r>
      </w:hyperlink>
    </w:p>
    <w:p>
      <w:pPr>
        <w:spacing w:before="0" w:after="120"/>
      </w:pPr>
      <w:r>
        <w:rPr>
          <w:b/>
        </w:rPr>
        <w:t xml:space="preserve">Source: </w:t>
      </w:r>
      <w:r>
        <w:t>Wiley: Advanced Materials: Table of Contents</w:t>
      </w:r>
      <w:r>
        <w:t xml:space="preserve">    </w:t>
      </w:r>
      <w:r>
        <w:rPr>
          <w:b/>
        </w:rPr>
        <w:t xml:space="preserve">Pub date: </w:t>
      </w:r>
      <w:r>
        <w:t>2026-02-28 06:55:24+00:00</w:t>
      </w:r>
      <w:r>
        <w:t xml:space="preserve">    </w:t>
      </w:r>
      <w:r>
        <w:rPr>
          <w:b/>
        </w:rPr>
        <w:t xml:space="preserve">DOI: </w:t>
      </w:r>
      <w:hyperlink r:id="rId63">
        <w:r>
          <w:rPr>
            <w:color w:val="1155CC"/>
            <w:u w:val="single"/>
          </w:rPr>
          <w:t>10.1002/adma.202522942</w:t>
        </w:r>
      </w:hyperlink>
    </w:p>
    <w:p>
      <w:pPr>
        <w:spacing w:before="0" w:after="80" w:lineRule="auto" w:line="276"/>
      </w:pPr>
      <w:r>
        <w:rPr>
          <w:b/>
        </w:rPr>
        <w:t xml:space="preserve">摘要（ZH）: </w:t>
      </w:r>
      <w:r>
        <w:t>(empty)</w:t>
      </w:r>
    </w:p>
    <w:p>
      <w:pPr>
        <w:spacing w:before="0" w:after="200" w:lineRule="auto" w:line="276"/>
      </w:pPr>
      <w:r>
        <w:rPr>
          <w:b/>
        </w:rPr>
        <w:t xml:space="preserve">Abstract (EN): </w:t>
      </w:r>
      <w:r>
        <w:t>Reverse bias, originating from current mismatch or shading, has emerged as a hidden yet fatal instability in all-perovskite tandem solar cells. Here we reveal that sustained reverse bias triggers a redox-coupled lattice collapse within the narrow-bandgap subcells. Under electrical stress, hole injection oxidizes iodide ions into neutral iodine species, which subsequently oxidize tin cations and drive field-directed ion migration. This redox cascade propagates vertically through the lattice, coupling ionic transport with structural reconstruction and interfacial corrosion, ultimately leading to irreversible performance loss. These findings expose all-perovskite tandems as chemomechanical systems in which electrical stress is converted into internal electrochemical damage. To suppress this feedback loop, we introduce a "multideck-fence" interfacial design that integrates a nanometric oxide diffusion barrier with a chemically stable dual-metal electrode. This strategy halts the redox-driven degradation, yielding a power conversion efficiency of 29.03% and more than 30-fold enhancement in reverse-bias endurance. Our results redefine reverse bias as a chemomechanically driven failure mode and establish a mechanistic framework for bias-resilient perovskite architectures.</w:t>
      </w:r>
    </w:p>
    <w:p>
      <w:pPr>
        <w:spacing w:before="120" w:after="120"/>
      </w:pPr>
      <w:r>
        <w:rPr>
          <w:sz w:val="18"/>
        </w:rPr>
        <w:t>——————————————————————————————————————————————————————————————————————</w:t>
      </w:r>
    </w:p>
    <w:p>
      <w:pPr>
        <w:spacing w:before="160" w:after="120"/>
      </w:pPr>
      <w:r>
        <w:rPr>
          <w:b/>
          <w:sz w:val="28"/>
        </w:rPr>
        <w:t>【正极】</w:t>
      </w:r>
    </w:p>
    <w:p>
      <w:pPr>
        <w:spacing w:before="160" w:after="40" w:line="240" w:lineRule="auto"/>
      </w:pPr>
      <w:r>
        <w:rPr>
          <w:b/>
        </w:rPr>
        <w:t xml:space="preserve">[1] </w:t>
      </w:r>
      <w:hyperlink r:id="rId64">
        <w:r>
          <w:rPr>
            <w:color w:val="1155CC"/>
            <w:u w:val="single"/>
          </w:rPr>
          <w:t>From Plating‐Centric to Full‐Cycle Design: A Perspective on the Critical Role of Zinc Anode Stripping</w:t>
        </w:r>
      </w:hyperlink>
    </w:p>
    <w:p>
      <w:pPr>
        <w:spacing w:before="0" w:after="120"/>
      </w:pPr>
      <w:r>
        <w:rPr>
          <w:b/>
        </w:rPr>
        <w:t xml:space="preserve">Source: </w:t>
      </w:r>
      <w:r>
        <w:t>Wiley: Advanced Materials: Table of Contents</w:t>
      </w:r>
      <w:r>
        <w:t xml:space="preserve">    </w:t>
      </w:r>
      <w:r>
        <w:rPr>
          <w:b/>
        </w:rPr>
        <w:t xml:space="preserve">Pub date: </w:t>
      </w:r>
      <w:r>
        <w:t>2026-02-24 12:12:34+00:00</w:t>
      </w:r>
      <w:r>
        <w:t xml:space="preserve">    </w:t>
      </w:r>
      <w:r>
        <w:rPr>
          <w:b/>
        </w:rPr>
        <w:t xml:space="preserve">DOI: </w:t>
      </w:r>
      <w:hyperlink r:id="rId65">
        <w:r>
          <w:rPr>
            <w:color w:val="1155CC"/>
            <w:u w:val="single"/>
          </w:rPr>
          <w:t>10.1002/adma.202522939</w:t>
        </w:r>
      </w:hyperlink>
    </w:p>
    <w:p>
      <w:pPr>
        <w:spacing w:before="0" w:after="80" w:lineRule="auto" w:line="276"/>
      </w:pPr>
      <w:r>
        <w:rPr>
          <w:b/>
        </w:rPr>
        <w:t xml:space="preserve">摘要（ZH）: </w:t>
      </w:r>
      <w:r>
        <w:t>(empty)</w:t>
      </w:r>
    </w:p>
    <w:p>
      <w:pPr>
        <w:spacing w:before="0" w:after="200" w:lineRule="auto" w:line="276"/>
      </w:pPr>
      <w:r>
        <w:rPr>
          <w:b/>
        </w:rPr>
        <w:t xml:space="preserve">Abstract (EN): </w:t>
      </w:r>
      <w:r>
        <w:t>The quest for stable aqueous zinc metal batteries has rightly focused on taming the unruly nature of zinc deposition. Pioneering research has produced a wealth of strategies to achieve uniform zinc plating. While these methods have significantly improved performance in laboratory half-cells, a stubborn performance gap persists when moving to practical full-cells. This chasm points to a fundamental oversight: the critical impact of the anode's initial stripping in a full-cell configuration with zinc-free cathodes. In this perspective, we highlight the pivotal yet underappreciated role of the initial zinc stripping process. We first decipher the operational protocols of zinc-free cathode systems to illustrate how the initial stripping dynamically reshapes the anode and interface. By analyzing the multi-step complexity of stripping, we contrast its mechanistic disparities with plating and assess the limitations of deposition-centric strategies. We then evaluate current approaches that enhance full-cell performance through optimized dissolution. Finally, looking toward future multi-scenario applications, we argue that research must address the intricate coupling among stripping dynamics, chemo-mechano-thermal responses, and the crystallographic properties of zinc anodes. This paradigm shift from a plating-centric view to a full-cycle-oriented is paramount to unlocking the full potential of the zinc metal anode for grid-scale energy storage and beyond.</w:t>
      </w:r>
    </w:p>
    <w:p>
      <w:pPr>
        <w:spacing w:before="120" w:after="120"/>
      </w:pPr>
      <w:r>
        <w:rPr>
          <w:sz w:val="18"/>
        </w:rPr>
        <w:t>——————————————————————————————————————————————————————————————————————</w:t>
      </w:r>
    </w:p>
    <w:p>
      <w:pPr>
        <w:spacing w:before="160" w:after="40" w:line="240" w:lineRule="auto"/>
      </w:pPr>
      <w:r>
        <w:rPr>
          <w:b/>
        </w:rPr>
        <w:t xml:space="preserve">[2] </w:t>
      </w:r>
      <w:hyperlink r:id="rId66">
        <w:r>
          <w:rPr>
            <w:color w:val="1155CC"/>
            <w:u w:val="single"/>
          </w:rPr>
          <w:t>Efficient Direct Recycling Strategy of Spent LiFePO4 Cathodes by Structural Defect Repair and Interface Construction</w:t>
        </w:r>
      </w:hyperlink>
    </w:p>
    <w:p>
      <w:pPr>
        <w:spacing w:before="0" w:after="120"/>
      </w:pPr>
      <w:r>
        <w:rPr>
          <w:b/>
        </w:rPr>
        <w:t xml:space="preserve">Source: </w:t>
      </w:r>
      <w:r>
        <w:t>Wiley: Advanced Materials: Table of Contents</w:t>
      </w:r>
      <w:r>
        <w:t xml:space="preserve">    </w:t>
      </w:r>
      <w:r>
        <w:rPr>
          <w:b/>
        </w:rPr>
        <w:t xml:space="preserve">Pub date: </w:t>
      </w:r>
      <w:r>
        <w:t>2026-02-24 12:45:48+00:00</w:t>
      </w:r>
      <w:r>
        <w:t xml:space="preserve">    </w:t>
      </w:r>
      <w:r>
        <w:rPr>
          <w:b/>
        </w:rPr>
        <w:t xml:space="preserve">DOI: </w:t>
      </w:r>
      <w:hyperlink r:id="rId67">
        <w:r>
          <w:rPr>
            <w:color w:val="1155CC"/>
            <w:u w:val="single"/>
          </w:rPr>
          <w:t>10.1002/adma.202521012</w:t>
        </w:r>
      </w:hyperlink>
    </w:p>
    <w:p>
      <w:pPr>
        <w:spacing w:before="0" w:after="80" w:lineRule="auto" w:line="276"/>
      </w:pPr>
      <w:r>
        <w:rPr>
          <w:b/>
        </w:rPr>
        <w:t xml:space="preserve">摘要（ZH）: </w:t>
      </w:r>
      <w:r>
        <w:t>(empty)</w:t>
      </w:r>
    </w:p>
    <w:p>
      <w:pPr>
        <w:spacing w:before="0" w:after="200" w:lineRule="auto" w:line="276"/>
      </w:pPr>
      <w:r>
        <w:rPr>
          <w:b/>
        </w:rPr>
        <w:t xml:space="preserve">Abstract (EN): </w:t>
      </w:r>
      <w:r>
        <w:t>The increasing number of retired LiFePO4 batteries urgently requires efficient and environmentally friendly recycling methods. The primary causes of LiFePO4 battery failure can be attributed to lithium loss and the formation of Fe(III) phases. Therefore, the synergistic interaction between the green reagent citric acid (CA) and urea (UR) achieves low-temperature spontaneous defect repair and the construction of an N-doped carbon layer. Specifically, CA creates a reductive atmosphere that reduces Fe(III) to the Fe(II) phase, thereby eliminating Li-Fe anti-site defects. Meanwhile, the amino group (─NH2) in UR acts as a nitrogen source, enabling N-doping modification of the carbon layer on the surface of LiFePO4 particles. The formed N-doped carbon layer effectively improves the electronic conductivity and lithium-ion migration dynamics of regenerated LiFePO4 (R-LFP). Moreover, the strengthening of Fe-O and P─O bonds further increases the overall structural stability of R-LFP, resulting in its remarkable electrochemical performance. The R-LFP electrode material delivers 163 mAh/g specific capacity during the first discharge cycle at 0.1C and retains 93.5% of its initial capacity after 500 cycles at 1C. This economical and environmentally friendly recycling strategy provides a greatly promising solution for the sustainable recovery of lithium-ion batteries (LIBs).</w:t>
      </w:r>
    </w:p>
    <w:p>
      <w:pPr>
        <w:spacing w:before="120" w:after="120"/>
      </w:pPr>
      <w:r>
        <w:rPr>
          <w:sz w:val="18"/>
        </w:rPr>
        <w:t>——————————————————————————————————————————————————————————————————————</w:t>
      </w:r>
    </w:p>
    <w:p>
      <w:pPr>
        <w:spacing w:before="160" w:after="40" w:line="240" w:lineRule="auto"/>
      </w:pPr>
      <w:r>
        <w:rPr>
          <w:b/>
        </w:rPr>
        <w:t xml:space="preserve">[3] </w:t>
      </w:r>
      <w:hyperlink r:id="rId68">
        <w:r>
          <w:rPr>
            <w:color w:val="1155CC"/>
            <w:u w:val="single"/>
          </w:rPr>
          <w:t>[ASAP] Thermal Stability Landscape of Solid-State Batteries</w:t>
        </w:r>
      </w:hyperlink>
    </w:p>
    <w:p>
      <w:pPr>
        <w:spacing w:before="0" w:after="120"/>
      </w:pPr>
      <w:r>
        <w:rPr>
          <w:b/>
        </w:rPr>
        <w:t xml:space="preserve">Source: </w:t>
      </w:r>
      <w:r>
        <w:t>ACS Energy Letters: Latest Articles (ACS Publications)</w:t>
      </w:r>
      <w:r>
        <w:t xml:space="preserve">    </w:t>
      </w:r>
      <w:r>
        <w:rPr>
          <w:b/>
        </w:rPr>
        <w:t xml:space="preserve">Pub date: </w:t>
      </w:r>
      <w:r>
        <w:t>2026-02-24 16:21:22+00:00</w:t>
      </w:r>
      <w:r>
        <w:t xml:space="preserve">    </w:t>
      </w:r>
      <w:r>
        <w:rPr>
          <w:b/>
        </w:rPr>
        <w:t xml:space="preserve">DOI: </w:t>
      </w:r>
      <w:hyperlink r:id="rId69">
        <w:r>
          <w:rPr>
            <w:color w:val="1155CC"/>
            <w:u w:val="single"/>
          </w:rPr>
          <w:t>10.1021/acsenergylett.5c03154</w:t>
        </w:r>
      </w:hyperlink>
    </w:p>
    <w:p>
      <w:pPr>
        <w:spacing w:before="0" w:after="80" w:lineRule="auto" w:line="276"/>
      </w:pPr>
      <w:r>
        <w:rPr>
          <w:b/>
        </w:rPr>
        <w:t xml:space="preserve">摘要（ZH）: </w:t>
      </w:r>
      <w:r>
        <w:t>(empty)</w:t>
      </w:r>
    </w:p>
    <w:p>
      <w:pPr>
        <w:spacing w:before="0" w:after="200" w:lineRule="auto" w:line="276"/>
      </w:pPr>
      <w:r>
        <w:rPr>
          <w:b/>
        </w:rPr>
        <w:t xml:space="preserve">Abstract (EN): </w:t>
      </w:r>
      <w:r>
        <w:t>Solid-state batteries (SSBs) with lithium metal anodes promise to offer high energy densities, enabling applications such as long-range electric vehicles and electric aviation. While various challenges related to transport, chemomechanics, and interfacial morphology have been extensively investigated, the thermal stability of the underlying solid/solid interfaces still requires comprehensive assessment. In this Perspective, we present mechanistic insights into the coupled influence of electrode–electrolyte interactions, heterogeneities, and gas-evolution dynamics in governing distinct thermal instability pathways in inorganic SSBs. The critical role of interphase chemistry and lithium morphology in thermal runaway at the anode/solid electrolyte interface and cathode-driven phenomena such as oxygen release, state-of-charge effects, pressure buildup, and crosstalk reactions are discussed. We further examine how operating conditions including pressure, current density, temperature, and moisture exposure modulate thermo-kinetic pathways and the exothermic behavior of SSBs. Key scientific gaps are identified, providing a foundation for future research toward the development of thermally stable and safe SSBs.</w:t>
      </w:r>
    </w:p>
    <w:p>
      <w:pPr>
        <w:spacing w:before="120" w:after="120"/>
      </w:pPr>
      <w:r>
        <w:rPr>
          <w:sz w:val="18"/>
        </w:rPr>
        <w:t>——————————————————————————————————————————————————————————————————————</w:t>
      </w:r>
    </w:p>
    <w:p>
      <w:pPr>
        <w:spacing w:before="160" w:after="40" w:line="240" w:lineRule="auto"/>
      </w:pPr>
      <w:r>
        <w:rPr>
          <w:b/>
        </w:rPr>
        <w:t xml:space="preserve">[4] </w:t>
      </w:r>
      <w:hyperlink r:id="rId70">
        <w:r>
          <w:rPr>
            <w:color w:val="1155CC"/>
            <w:u w:val="single"/>
          </w:rPr>
          <w:t>Boosting tenfold recycling profit by a one-step calcination strategy for upcycling spent LiCoO2 to high-value Li6CoO4</w:t>
        </w:r>
      </w:hyperlink>
    </w:p>
    <w:p>
      <w:pPr>
        <w:spacing w:before="0" w:after="120"/>
      </w:pPr>
      <w:r>
        <w:rPr>
          <w:b/>
        </w:rPr>
        <w:t xml:space="preserve">Source: </w:t>
      </w:r>
      <w:r>
        <w:t>RSC - Energy Environ. Sci. latest articles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Lithium cobalt oxide (LiCoO2) consumes 40% of the global cobalt reserves annually. However, the low profitability of current recycling methods results in extremely low cobalt recovery rates that seriously threaten the sustainability of cobalt resources. Here, we developed an upcycling strategy that regenerates the spent LiCoO2 to high-value Li6CoO4, offering a profit increase of 7–13 times compared with that of the existing recycling technologies. Moreover, the regeneration mechanism and structural evolution were systematically investigated. Benefiting from the naturally endowed carbon coating layer formed during the one-step calcination strategy, the reconstructed Li6CoO4 delivered an irreversible capacity of 850 mAh g−1 when used as a Li+ supplement synergist in lithium-ion batteries, outperforming the commercial Li5FeO4 counterparts by offering 40% performance improvement. Besides, it showed extraordinary air stability, retaining 96% of the capacity after 24 hours of exposure to the atmosphere. This research proposes a sustainable strategy to tackle the global challenges of cobalt recycling and supply shortages.</w:t>
      </w:r>
    </w:p>
    <w:p>
      <w:pPr>
        <w:spacing w:before="120" w:after="120"/>
      </w:pPr>
      <w:r>
        <w:rPr>
          <w:sz w:val="18"/>
        </w:rPr>
        <w:t>——————————————————————————————————————————————————————————————————————</w:t>
      </w:r>
    </w:p>
    <w:p>
      <w:pPr>
        <w:spacing w:before="160" w:after="40" w:line="240" w:lineRule="auto"/>
      </w:pPr>
      <w:r>
        <w:rPr>
          <w:b/>
        </w:rPr>
        <w:t xml:space="preserve">[5] </w:t>
      </w:r>
      <w:hyperlink r:id="rId71">
        <w:r>
          <w:rPr>
            <w:color w:val="1155CC"/>
            <w:u w:val="single"/>
          </w:rPr>
          <w:t>Coupled Electronic‐Catalytic Regulation in All‐in‐One VN/B2O3 Ceramic Enables Fast Polysulfides Conversion in Li‐S Batteries</w:t>
        </w:r>
      </w:hyperlink>
    </w:p>
    <w:p>
      <w:pPr>
        <w:spacing w:before="0" w:after="120"/>
      </w:pPr>
      <w:r>
        <w:rPr>
          <w:b/>
        </w:rPr>
        <w:t xml:space="preserve">Source: </w:t>
      </w:r>
      <w:r>
        <w:t>Wiley: Angewandte Chemie International Edition: Table of Contents</w:t>
      </w:r>
      <w:r>
        <w:t xml:space="preserve">    </w:t>
      </w:r>
      <w:r>
        <w:rPr>
          <w:b/>
        </w:rPr>
        <w:t xml:space="preserve">Pub date: </w:t>
      </w:r>
      <w:r>
        <w:t>2026-02-25 04:19:19+00:00</w:t>
      </w:r>
      <w:r>
        <w:t xml:space="preserve">    </w:t>
      </w:r>
      <w:r>
        <w:rPr>
          <w:b/>
        </w:rPr>
        <w:t xml:space="preserve">DOI: </w:t>
      </w:r>
      <w:hyperlink r:id="rId72">
        <w:r>
          <w:rPr>
            <w:color w:val="1155CC"/>
            <w:u w:val="single"/>
          </w:rPr>
          <w:t>10.1002/anie.202526035</w:t>
        </w:r>
      </w:hyperlink>
    </w:p>
    <w:p>
      <w:pPr>
        <w:spacing w:before="0" w:after="80" w:lineRule="auto" w:line="276"/>
      </w:pPr>
      <w:r>
        <w:rPr>
          <w:b/>
        </w:rPr>
        <w:t xml:space="preserve">摘要（ZH）: </w:t>
      </w:r>
      <w:r>
        <w:t>(empty)</w:t>
      </w:r>
    </w:p>
    <w:p>
      <w:pPr>
        <w:spacing w:before="0" w:after="200" w:lineRule="auto" w:line="276"/>
      </w:pPr>
      <w:r>
        <w:rPr>
          <w:b/>
        </w:rPr>
        <w:t xml:space="preserve">Abstract (EN): </w:t>
      </w:r>
      <w:r>
        <w:t>Lithium-sulfur (Li-S) batteries hold great promise for next-generation high-energy storage but are challenged by sluggish lithium polysulfides (LiPSs) conversion, low sulfur utilization, and limited practical loading. Herein, we report an all-in-one ant-nest-like porous VN/B2O3 (VNBO) ceramic, constructed through a bottom-up sintering-diffusion process of VN nanoparticles coupled with the phase transition of B2O3. This integrated porous ceramic provides a continuous conductive framework with minimized interfacial resistance. The VN nano-units serve as highly active catalytic centers to accelerate LiPSs redox kinetics, while B2O3 component promotes the formation of the hierarchical ant-nest-like network and modulates the electronic structure of the VN/B2O3 heterointerface. This coupled electronic-catalytic regulation effectively suppresses LiPSs shuttling and enables fast, reversible LiPSs conversion. Benefiting from this synergistic architecture, the 2-VNBO@S cathode delivers outstanding electrochemical performances, achieving 1187.2 mAh g-1 at 0.5 C after 200 cycles and retaining 944.3 mAh g-1 over 300 cycles at 3 C with a capacity decay of only 0.054% per cycle. Even under a high sulfur loading of 4 mg cm-2, it maintains 557.9 mAh g-1 after 150 cycles. This work establishes a robust design strategy for high-energy and catalytically active sulfur cathodes.</w:t>
      </w:r>
    </w:p>
    <w:p>
      <w:pPr>
        <w:spacing w:before="120" w:after="120"/>
      </w:pPr>
      <w:r>
        <w:rPr>
          <w:sz w:val="18"/>
        </w:rPr>
        <w:t>——————————————————————————————————————————————————————————————————————</w:t>
      </w:r>
    </w:p>
    <w:p>
      <w:pPr>
        <w:spacing w:before="160" w:after="40" w:line="240" w:lineRule="auto"/>
      </w:pPr>
      <w:r>
        <w:rPr>
          <w:b/>
        </w:rPr>
        <w:t xml:space="preserve">[6] </w:t>
      </w:r>
      <w:hyperlink r:id="rId73">
        <w:r>
          <w:rPr>
            <w:color w:val="1155CC"/>
            <w:u w:val="single"/>
          </w:rPr>
          <w:t>[ASAP] Dense Platinum-Based Intermetallic Nanoparticles Confined into Hollow Mesoporous Carbon for Durable High-Power Heavy-Duty Fuel Cells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17:13:38+00:00</w:t>
      </w:r>
      <w:r>
        <w:t xml:space="preserve">    </w:t>
      </w:r>
      <w:r>
        <w:rPr>
          <w:b/>
        </w:rPr>
        <w:t xml:space="preserve">DOI: </w:t>
      </w:r>
      <w:hyperlink r:id="rId74">
        <w:r>
          <w:rPr>
            <w:color w:val="1155CC"/>
            <w:u w:val="single"/>
          </w:rPr>
          <w:t>10.1021/jacs.5c19791</w:t>
        </w:r>
      </w:hyperlink>
    </w:p>
    <w:p>
      <w:pPr>
        <w:spacing w:before="0" w:after="80" w:lineRule="auto" w:line="276"/>
      </w:pPr>
      <w:r>
        <w:rPr>
          <w:b/>
        </w:rPr>
        <w:t xml:space="preserve">摘要（ZH）: </w:t>
      </w:r>
      <w:r>
        <w:t>(empty)</w:t>
      </w:r>
    </w:p>
    <w:p>
      <w:pPr>
        <w:spacing w:before="0" w:after="200" w:lineRule="auto" w:line="276"/>
      </w:pPr>
      <w:r>
        <w:rPr>
          <w:b/>
        </w:rPr>
        <w:t xml:space="preserve">Abstract (EN): </w:t>
      </w:r>
      <w:r>
        <w:t>Heavy-duty vehicle (HDV) fuel cells require oxygen reduction reaction (ORR) catalysts with exceptional activity and durability under stringent operating conditions. However, conventional solid-solution Pt-based ORR catalysts often fail to simultaneously meet the requirements of high-power density and long-term stability, due to their inherent activity-stability trade-offs and mass-transport limitations at working conditions of fuel cells. Herein, we report a universal ligand-tuned co-reduction strategy to efficiently load Pt-based intermetallic compound (IMC) nanoparticles with high density (&gt;50 wt% metal content and ∼3 nm particle size) and a high degree of ordering into hollow mesoporous carbon (HMC) by narrowing the reduction-potential gap between Pt and other transition metal precursors to achieve stable high-power HDV fuel cells. The dense and ordered IMCs ensure the efficient and stable ORR, while the mass-transport-favorable HMC promotes oxygen transport to the active sites. This design greatly enhances HDV fuel cell ORR activity, stability, and mass-transport efficiency. Under the HDV-relevant conditions (250 kPaabs and cathode loading of 0.15 mgPt cm–2), the optimized H-L10-PtCo/HMC catalyst achieves an exceptional current density of 1.73 A cm–2 at 0.7 V and retains 85% after 90,000 accelerated durability cycles, significantly exceeding the U.S. Department of Energy targets. The findings establish H-L10-PtCo/HMC as a next-generation cathode electrocatalyst for HDV applications.</w:t>
      </w:r>
    </w:p>
    <w:p>
      <w:pPr>
        <w:spacing w:before="120" w:after="120"/>
      </w:pPr>
      <w:r>
        <w:rPr>
          <w:sz w:val="18"/>
        </w:rPr>
        <w:t>——————————————————————————————————————————————————————————————————————</w:t>
      </w:r>
    </w:p>
    <w:p>
      <w:pPr>
        <w:spacing w:before="160" w:after="40" w:line="240" w:lineRule="auto"/>
      </w:pPr>
      <w:r>
        <w:rPr>
          <w:b/>
        </w:rPr>
        <w:t xml:space="preserve">[7] </w:t>
      </w:r>
      <w:hyperlink r:id="rId75">
        <w:r>
          <w:rPr>
            <w:color w:val="1155CC"/>
            <w:u w:val="single"/>
          </w:rPr>
          <w:t>[ASAP] Understanding the Performance Gap between Polycrystalline and Single-Crystal Nickel-Rich Layered Oxide Cathodes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09:38:44+00:00</w:t>
      </w:r>
      <w:r>
        <w:t xml:space="preserve">    </w:t>
      </w:r>
      <w:r>
        <w:rPr>
          <w:b/>
        </w:rPr>
        <w:t xml:space="preserve">DOI: </w:t>
      </w:r>
      <w:hyperlink r:id="rId76">
        <w:r>
          <w:rPr>
            <w:color w:val="1155CC"/>
            <w:u w:val="single"/>
          </w:rPr>
          <w:t>10.1021/jacs.5c18922</w:t>
        </w:r>
      </w:hyperlink>
    </w:p>
    <w:p>
      <w:pPr>
        <w:spacing w:before="0" w:after="80" w:lineRule="auto" w:line="276"/>
      </w:pPr>
      <w:r>
        <w:rPr>
          <w:b/>
        </w:rPr>
        <w:t xml:space="preserve">摘要（ZH）: </w:t>
      </w:r>
      <w:r>
        <w:t>(empty)</w:t>
      </w:r>
    </w:p>
    <w:p>
      <w:pPr>
        <w:spacing w:before="0" w:after="200" w:lineRule="auto" w:line="276"/>
      </w:pPr>
      <w:r>
        <w:rPr>
          <w:b/>
        </w:rPr>
        <w:t xml:space="preserve">Abstract (EN): </w:t>
      </w:r>
      <w:r>
        <w:t>Singe-crystal (SC) nickel-rich layered oxide cathodes, composed of boundary-free particles with high tap density, offer significant advantages in volumetric energy density and mechanical strength compared with polycrystalline (PC) cathode materials. However, as the nickel content increases (≥80%), SC Ni-rich cathodes often suffer from faster performance degradation than PC cathodes of the same composition, and the underlying causes of this discrepancy remain poorly understood. Herein, we reveal the distinct Ni redox behaviors that govern the electrochemical performance of SC and PC Ni-rich cathodes using multiscale and operando characterization techniques. Our results indicate that the increasingly heterogeneous Ni oxidation process in SC cathodes leads to the additional irreversible oxygen redox activity that deteriorates both the mechanical and chemical structures. In contrast, PC cathodes, despite with more pronounced surface reconstruction, exhibit greater chemomechanical stability due to homogeneous redox reactions during charging. Consequently, we find that bulk degradation, more than surface reactions, ultimately leads to fast capacity decay of SC Ni-rich cathodes during cycling. This work offers a comprehensive view on the impact of Ni redox evolutions on the chemomechanical stability in Ni-rich layered oxide cathodes, providing new insights into the longstanding performance gap between SC and PC cathodes, and guiding the rational design of Ni-rich cathode architectures.</w:t>
      </w:r>
    </w:p>
    <w:p>
      <w:pPr>
        <w:spacing w:before="120" w:after="120"/>
      </w:pPr>
      <w:r>
        <w:rPr>
          <w:sz w:val="18"/>
        </w:rPr>
        <w:t>——————————————————————————————————————————————————————————————————————</w:t>
      </w:r>
    </w:p>
    <w:p>
      <w:pPr>
        <w:spacing w:before="160" w:after="40" w:line="240" w:lineRule="auto"/>
      </w:pPr>
      <w:r>
        <w:rPr>
          <w:b/>
        </w:rPr>
        <w:t xml:space="preserve">[8] </w:t>
      </w:r>
      <w:hyperlink r:id="rId77">
        <w:r>
          <w:rPr>
            <w:color w:val="1155CC"/>
            <w:u w:val="single"/>
          </w:rPr>
          <w:t>Upcycling Spent Lithium Iron Phosphate Battery Into Fe‐CN3P Single Atom Catalyst for Environmental Remediation</w:t>
        </w:r>
      </w:hyperlink>
    </w:p>
    <w:p>
      <w:pPr>
        <w:spacing w:before="0" w:after="120"/>
      </w:pPr>
      <w:r>
        <w:rPr>
          <w:b/>
        </w:rPr>
        <w:t xml:space="preserve">Source: </w:t>
      </w:r>
      <w:r>
        <w:t>Wiley: Angewandte Chemie International Edition: Table of Contents</w:t>
      </w:r>
      <w:r>
        <w:t xml:space="preserve">    </w:t>
      </w:r>
      <w:r>
        <w:rPr>
          <w:b/>
        </w:rPr>
        <w:t xml:space="preserve">Pub date: </w:t>
      </w:r>
      <w:r>
        <w:t>2026-02-27 11:24:27+00:00</w:t>
      </w:r>
      <w:r>
        <w:t xml:space="preserve">    </w:t>
      </w:r>
      <w:r>
        <w:rPr>
          <w:b/>
        </w:rPr>
        <w:t xml:space="preserve">DOI: </w:t>
      </w:r>
      <w:hyperlink r:id="rId78">
        <w:r>
          <w:rPr>
            <w:color w:val="1155CC"/>
            <w:u w:val="single"/>
          </w:rPr>
          <w:t>10.1002/anie.2788872</w:t>
        </w:r>
      </w:hyperlink>
    </w:p>
    <w:p>
      <w:pPr>
        <w:spacing w:before="0" w:after="80" w:lineRule="auto" w:line="276"/>
      </w:pPr>
      <w:r>
        <w:rPr>
          <w:b/>
        </w:rPr>
        <w:t xml:space="preserve">摘要（ZH）: </w:t>
      </w:r>
      <w:r>
        <w:t>(empty)</w:t>
      </w:r>
    </w:p>
    <w:p>
      <w:pPr>
        <w:spacing w:before="0" w:after="200" w:lineRule="auto" w:line="276"/>
      </w:pPr>
      <w:r>
        <w:rPr>
          <w:b/>
        </w:rPr>
        <w:t xml:space="preserve">Abstract (EN): </w:t>
      </w:r>
      <w:r>
        <w:t>Increasing environmental pollution and shortage of critical resources call for technologies capable of achieving total resource recovery from waste materials. In this study, high leaching rates of 99.16% for lithium and 97.37% for iron were obtained from spent lithium iron phosphate (LFP) batteries through electrochemical (EC) advanced oxidation processes (EAOPs), and associated leaching mechanism was subsequently investigated. Moreover, residual C, Fe, and P elements in leach residue were directly converted into a P, N-doped asymmetric single-atom Fe catalyst (Fe-CN3P), enabled by well-dispersion of Fe elements and removal of surface passivation layers during leaching. When activated with peroxymonosulfate (PMS), Fe-CN3P catalyst exhibited a pseudo-first-order kinetic rate of 10.768 min-1 for bisphenol A (BPA) degradation, which is approximately 2-10 times higher than those of conventional single-atom catalysts. Based upon experimental and theoretical investigation, the presence of P in the local coordination environment was found to substantially enhance catalytic activity of Fe sites. P incorporation alters the adsorption mode of HSO5 - on Fe active centres and increases Bader charges in the FeIV═O reactive intermediate, thereby improving the capability of Fe to withdraw electrons from the BPA molecules. This study offers new perspectives for synergistically advancing "comprehensive resources recovery" and "waste to treat waste."</w:t>
      </w:r>
    </w:p>
    <w:p>
      <w:pPr>
        <w:spacing w:before="120" w:after="120"/>
      </w:pPr>
      <w:r>
        <w:rPr>
          <w:sz w:val="18"/>
        </w:rPr>
        <w:t>——————————————————————————————————————————————————————————————————————</w:t>
      </w:r>
    </w:p>
    <w:p>
      <w:pPr>
        <w:spacing w:before="160" w:after="40" w:line="240" w:lineRule="auto"/>
      </w:pPr>
      <w:r>
        <w:rPr>
          <w:b/>
        </w:rPr>
        <w:t xml:space="preserve">[9] </w:t>
      </w:r>
      <w:hyperlink r:id="rId79">
        <w:r>
          <w:rPr>
            <w:color w:val="1155CC"/>
            <w:u w:val="single"/>
          </w:rPr>
          <w:t>Built‐In Electric Field Modulates Phase Transition and Suppresses Voltage Hysteresis in Mn‐Based Phosphates Cathode for Sodium–Ion Batteries</w:t>
        </w:r>
      </w:hyperlink>
    </w:p>
    <w:p>
      <w:pPr>
        <w:spacing w:before="0" w:after="120"/>
      </w:pPr>
      <w:r>
        <w:rPr>
          <w:b/>
        </w:rPr>
        <w:t xml:space="preserve">Source: </w:t>
      </w:r>
      <w:r>
        <w:t>Wiley: Angewandte Chemie International Edition: Table of Contents</w:t>
      </w:r>
      <w:r>
        <w:t xml:space="preserve">    </w:t>
      </w:r>
      <w:r>
        <w:rPr>
          <w:b/>
        </w:rPr>
        <w:t xml:space="preserve">Pub date: </w:t>
      </w:r>
      <w:r>
        <w:t>2026-02-28 08:07:59+00:00</w:t>
      </w:r>
      <w:r>
        <w:t xml:space="preserve">    </w:t>
      </w:r>
      <w:r>
        <w:rPr>
          <w:b/>
        </w:rPr>
        <w:t xml:space="preserve">DOI: </w:t>
      </w:r>
      <w:hyperlink r:id="rId80">
        <w:r>
          <w:rPr>
            <w:color w:val="1155CC"/>
            <w:u w:val="single"/>
          </w:rPr>
          <w:t>10.1002/anie.202522507</w:t>
        </w:r>
      </w:hyperlink>
    </w:p>
    <w:p>
      <w:pPr>
        <w:spacing w:before="0" w:after="80" w:lineRule="auto" w:line="276"/>
      </w:pPr>
      <w:r>
        <w:rPr>
          <w:b/>
        </w:rPr>
        <w:t xml:space="preserve">摘要（ZH）: </w:t>
      </w:r>
      <w:r>
        <w:t>(empty)</w:t>
      </w:r>
    </w:p>
    <w:p>
      <w:pPr>
        <w:spacing w:before="0" w:after="200" w:lineRule="auto" w:line="276"/>
      </w:pPr>
      <w:r>
        <w:rPr>
          <w:b/>
        </w:rPr>
        <w:t xml:space="preserve">Abstract (EN): </w:t>
      </w:r>
      <w:r>
        <w:t>The voltage hysteresis and sluggish kinetics of Mn-based mixed phosphate cathode significantly hinder their development and application. Herein, this work fabricates a heterogeneous composite cathode (NFMVP (9-1)-rGO) with a built-in electric field and accelerated electronic pathway. As the key kinetic driving force, the built-in electric field, can selectively promote the diffusion of Na+ in the Na3MnFe(PO4)P2O7 phase while simultaneously suppress the structural degradation of the Na4MnV(PO4)3 phase caused by the "avalanche extraction" of Na+ under high-voltage. The introduction of the dual-carbon layer further establishes a robust conductive framework throughout the electrode. Crucially, in situ electrochemical impedance spectra based on distribution relaxation time reveal that the built-in electric field modulates the phase transition mechanism from a two-phase reaction to a solid-solution behavior in the high-voltage region, significantly accelerating the reaction kinetics and greatly suppressing voltage hysteresis. As a result, NFMVP (9-1)-rGO exhibits excellent capacity delivery (120.2 mAh g-1), high practical energy density (378.3 Wh kg-1), and outstanding long-term cycling stability. Our findings enlighten a new paradigm in the kinetic driving force from built-in electric field and the phase transition regulation mechanism in heterogeneous structures toward high-energy Mn-based sodium-ion batteries.</w:t>
      </w:r>
    </w:p>
    <w:p>
      <w:pPr>
        <w:spacing w:before="120" w:after="120"/>
      </w:pPr>
      <w:r>
        <w:rPr>
          <w:sz w:val="18"/>
        </w:rPr>
        <w:t>——————————————————————————————————————————————————————————————————————</w:t>
      </w:r>
    </w:p>
    <w:p>
      <w:pPr>
        <w:spacing w:before="160" w:after="120"/>
      </w:pPr>
      <w:r>
        <w:rPr>
          <w:b/>
          <w:sz w:val="28"/>
        </w:rPr>
        <w:t>【负极】</w:t>
      </w:r>
    </w:p>
    <w:p>
      <w:pPr>
        <w:spacing w:before="160" w:after="40" w:line="240" w:lineRule="auto"/>
      </w:pPr>
      <w:r>
        <w:rPr>
          <w:b/>
        </w:rPr>
        <w:t xml:space="preserve">[1] </w:t>
      </w:r>
      <w:hyperlink r:id="rId81">
        <w:r>
          <w:rPr>
            <w:color w:val="1155CC"/>
            <w:u w:val="single"/>
          </w:rPr>
          <w:t>Tailorable multiferroic tunnel junctions from all-van der Waals multilayer stacking</w:t>
        </w:r>
      </w:hyperlink>
    </w:p>
    <w:p>
      <w:pPr>
        <w:spacing w:before="0" w:after="120"/>
      </w:pPr>
      <w:r>
        <w:rPr>
          <w:b/>
        </w:rPr>
        <w:t xml:space="preserve">Source: </w:t>
      </w:r>
      <w:r>
        <w:t>Nature Nanotechnology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Multiferroic tunnel junctions (MFTJs) represent a class of multistate, non-volatile spintronic devices, in which electron tunnelling can be manipulated by switching long-range lattice and spin orders. In contrast to conventional oxide-based MFTJs, MFTJs constructed from two-dimensional van der Waals (vdW) crystals promise minimal defect concentration in the constituents and at interfaces, which may allow for probing intrinsic tunnelling physics and the development of high-performance devices. Here we construct Fe3GeTe2/CuInP2S6/Fe3GeTe2 all-vdW MFTJs by assembling multilayer flakes of ferromagnetic Fe3GeTe2 electrodes and a ferroelectric CuInP2S6 spacer. These MFTJs exhibit four non-volatile resistance states featuring sizable tunnelling magnetoresistance of ∼102% and tunnelling electroresistance of ∼104%. To tune the properties of the vdW MFTJ, we make use of the flexibility in material choice offered by vdW heterostructure devices; we use Fe3GeTe2/Fe5GeTe2 asymmetric electrodes to boost the tunnelling electroresistance by 103%, we integrate In2Se3 as a ferroelectric with a smaller bandgap to enhance the ON-state current density by 104% to 104 A cm−2 and we use Fe3GaTe2 electrodes to demonstrate room temperature operation. Furthermore, when we combine the asymmetric ferromagnetic electrodes with the small-bandgap ferroelectric spacer to construct Fe3GeTe2/In2Se3/Fe5GeTe2 MFTJs, we simultaneously realized tunnelling electroresistance of 106% and an ON-state current density of 104 A cm−2, both two orders of magnitude higher than the highest values achieved with conventional oxide-based MFTJs. In the future, our all-vdW MFTJs with the tailorability of all functional layers may make it possible to investigate fundamental aspects of interlayer tunnelling and enable the design of functional magnetoelectric nanodevices.</w:t>
      </w:r>
    </w:p>
    <w:p>
      <w:pPr>
        <w:spacing w:before="120" w:after="120"/>
      </w:pPr>
      <w:r>
        <w:rPr>
          <w:sz w:val="18"/>
        </w:rPr>
        <w:t>——————————————————————————————————————————————————————————————————————</w:t>
      </w:r>
    </w:p>
    <w:p>
      <w:pPr>
        <w:spacing w:before="160" w:after="40" w:line="240" w:lineRule="auto"/>
      </w:pPr>
      <w:r>
        <w:rPr>
          <w:b/>
        </w:rPr>
        <w:t xml:space="preserve">[2] </w:t>
      </w:r>
      <w:hyperlink r:id="rId64">
        <w:r>
          <w:rPr>
            <w:color w:val="1155CC"/>
            <w:u w:val="single"/>
          </w:rPr>
          <w:t>From Plating‐Centric to Full‐Cycle Design: A Perspective on the Critical Role of Zinc Anode Stripping</w:t>
        </w:r>
      </w:hyperlink>
    </w:p>
    <w:p>
      <w:pPr>
        <w:spacing w:before="0" w:after="120"/>
      </w:pPr>
      <w:r>
        <w:rPr>
          <w:b/>
        </w:rPr>
        <w:t xml:space="preserve">Source: </w:t>
      </w:r>
      <w:r>
        <w:t>Wiley: Advanced Materials: Table of Contents</w:t>
      </w:r>
      <w:r>
        <w:t xml:space="preserve">    </w:t>
      </w:r>
      <w:r>
        <w:rPr>
          <w:b/>
        </w:rPr>
        <w:t xml:space="preserve">Pub date: </w:t>
      </w:r>
      <w:r>
        <w:t>2026-02-24 12:12:34+00:00</w:t>
      </w:r>
      <w:r>
        <w:t xml:space="preserve">    </w:t>
      </w:r>
      <w:r>
        <w:rPr>
          <w:b/>
        </w:rPr>
        <w:t xml:space="preserve">DOI: </w:t>
      </w:r>
      <w:hyperlink r:id="rId65">
        <w:r>
          <w:rPr>
            <w:color w:val="1155CC"/>
            <w:u w:val="single"/>
          </w:rPr>
          <w:t>10.1002/adma.202522939</w:t>
        </w:r>
      </w:hyperlink>
    </w:p>
    <w:p>
      <w:pPr>
        <w:spacing w:before="0" w:after="80" w:lineRule="auto" w:line="276"/>
      </w:pPr>
      <w:r>
        <w:rPr>
          <w:b/>
        </w:rPr>
        <w:t xml:space="preserve">摘要（ZH）: </w:t>
      </w:r>
      <w:r>
        <w:t>(empty)</w:t>
      </w:r>
    </w:p>
    <w:p>
      <w:pPr>
        <w:spacing w:before="0" w:after="200" w:lineRule="auto" w:line="276"/>
      </w:pPr>
      <w:r>
        <w:rPr>
          <w:b/>
        </w:rPr>
        <w:t xml:space="preserve">Abstract (EN): </w:t>
      </w:r>
      <w:r>
        <w:t>The quest for stable aqueous zinc metal batteries has rightly focused on taming the unruly nature of zinc deposition. Pioneering research has produced a wealth of strategies to achieve uniform zinc plating. While these methods have significantly improved performance in laboratory half-cells, a stubborn performance gap persists when moving to practical full-cells. This chasm points to a fundamental oversight: the critical impact of the anode's initial stripping in a full-cell configuration with zinc-free cathodes. In this perspective, we highlight the pivotal yet underappreciated role of the initial zinc stripping process. We first decipher the operational protocols of zinc-free cathode systems to illustrate how the initial stripping dynamically reshapes the anode and interface. By analyzing the multi-step complexity of stripping, we contrast its mechanistic disparities with plating and assess the limitations of deposition-centric strategies. We then evaluate current approaches that enhance full-cell performance through optimized dissolution. Finally, looking toward future multi-scenario applications, we argue that research must address the intricate coupling among stripping dynamics, chemo-mechano-thermal responses, and the crystallographic properties of zinc anodes. This paradigm shift from a plating-centric view to a full-cycle-oriented is paramount to unlocking the full potential of the zinc metal anode for grid-scale energy storage and beyond.</w:t>
      </w:r>
    </w:p>
    <w:p>
      <w:pPr>
        <w:spacing w:before="120" w:after="120"/>
      </w:pPr>
      <w:r>
        <w:rPr>
          <w:sz w:val="18"/>
        </w:rPr>
        <w:t>——————————————————————————————————————————————————————————————————————</w:t>
      </w:r>
    </w:p>
    <w:p>
      <w:pPr>
        <w:spacing w:before="160" w:after="40" w:line="240" w:lineRule="auto"/>
      </w:pPr>
      <w:r>
        <w:rPr>
          <w:b/>
        </w:rPr>
        <w:t xml:space="preserve">[3] </w:t>
      </w:r>
      <w:hyperlink r:id="rId82">
        <w:r>
          <w:rPr>
            <w:color w:val="1155CC"/>
            <w:u w:val="single"/>
          </w:rPr>
          <w:t>[ASAP] A Spatially Cued, Sequentially Activated DNA Nanodevice for Atherosclerosis Theranostics via Precise Targeting of Lesional Macrophages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13:54:10+00:00</w:t>
      </w:r>
      <w:r>
        <w:t xml:space="preserve">    </w:t>
      </w:r>
      <w:r>
        <w:rPr>
          <w:b/>
        </w:rPr>
        <w:t xml:space="preserve">DOI: </w:t>
      </w:r>
      <w:hyperlink r:id="rId83">
        <w:r>
          <w:rPr>
            <w:color w:val="1155CC"/>
            <w:u w:val="single"/>
          </w:rPr>
          <w:t>10.1021/jacs.5c19539</w:t>
        </w:r>
      </w:hyperlink>
    </w:p>
    <w:p>
      <w:pPr>
        <w:spacing w:before="0" w:after="80" w:lineRule="auto" w:line="276"/>
      </w:pPr>
      <w:r>
        <w:rPr>
          <w:b/>
        </w:rPr>
        <w:t xml:space="preserve">摘要（ZH）: </w:t>
      </w:r>
      <w:r>
        <w:t>(empty)</w:t>
      </w:r>
    </w:p>
    <w:p>
      <w:pPr>
        <w:spacing w:before="0" w:after="200" w:lineRule="auto" w:line="276"/>
      </w:pPr>
      <w:r>
        <w:rPr>
          <w:b/>
        </w:rPr>
        <w:t xml:space="preserve">Abstract (EN): </w:t>
      </w:r>
      <w:r>
        <w:t>Atherosclerosis (AS), a major contributor to cardiovascular diseases, involves macrophages as a pivotal driver of its pathogenesis. Developing macrophage-targeted therapies that effectively mitigate AS while minimizing systemic effects remains a challenge. Here, we present an intelligent theranostic method for AS using an accurate spatiotemporal-specifically responsive DNA nanostructure (ASfindaCure). To precisely target atherogenic macrophages, we leverage a spatially distinctive expression pattern comprising a membrane protein (SIRPα), a microenvironmental cue (thrombin), and two intracellular biomarkers (APE1 and microRNA-155). By harnessing structural and dynamic DNA nanotechnologies, ASfindaCure temporally orchestrates recognition events for these spatially distributed biomarkers via programmable reactive ion cascades. Utilizing fluorescence and photoacoustic dual-modality imaging, we demonstrate that ASfindaCure accurately targets AS-causing macrophages, providing a noninvasive imaging method to assess AS progression. In both cellular and mouse models, ASfindaCure demonstrated effective delivery of microRNA-33 antisense oligonucleotides to targeted cells, significantly mitigating plaque progression and inflammation. This intelligent theranostic nanoplatform holds great promise for the development of next-generation treatments for AS and has potential applications in other disease conditions.</w:t>
      </w:r>
    </w:p>
    <w:p>
      <w:pPr>
        <w:spacing w:before="120" w:after="120"/>
      </w:pPr>
      <w:r>
        <w:rPr>
          <w:sz w:val="18"/>
        </w:rPr>
        <w:t>——————————————————————————————————————————————————————————————————————</w:t>
      </w:r>
    </w:p>
    <w:p>
      <w:pPr>
        <w:spacing w:before="160" w:after="40" w:line="240" w:lineRule="auto"/>
      </w:pPr>
      <w:r>
        <w:rPr>
          <w:b/>
        </w:rPr>
        <w:t xml:space="preserve">[4] </w:t>
      </w:r>
      <w:hyperlink r:id="rId84">
        <w:r>
          <w:rPr>
            <w:color w:val="1155CC"/>
            <w:u w:val="single"/>
          </w:rPr>
          <w:t>[ASAP] Spatially Selective Lithium Plating and Stripping in Lithium Metal Anodes</w:t>
        </w:r>
      </w:hyperlink>
    </w:p>
    <w:p>
      <w:pPr>
        <w:spacing w:before="0" w:after="120"/>
      </w:pPr>
      <w:r>
        <w:rPr>
          <w:b/>
        </w:rPr>
        <w:t xml:space="preserve">Source: </w:t>
      </w:r>
      <w:r>
        <w:t>ACS Energy Letters: Latest Articles (ACS Publications)</w:t>
      </w:r>
      <w:r>
        <w:t xml:space="preserve">    </w:t>
      </w:r>
      <w:r>
        <w:rPr>
          <w:b/>
        </w:rPr>
        <w:t xml:space="preserve">Pub date: </w:t>
      </w:r>
      <w:r>
        <w:t>2026-02-24 14:37:46+00:00</w:t>
      </w:r>
      <w:r>
        <w:t xml:space="preserve">    </w:t>
      </w:r>
      <w:r>
        <w:rPr>
          <w:b/>
        </w:rPr>
        <w:t xml:space="preserve">DOI: </w:t>
      </w:r>
      <w:hyperlink r:id="rId85">
        <w:r>
          <w:rPr>
            <w:color w:val="1155CC"/>
            <w:u w:val="single"/>
          </w:rPr>
          <w:t>10.1021/acsenergylett.6c00122</w:t>
        </w:r>
      </w:hyperlink>
    </w:p>
    <w:p>
      <w:pPr>
        <w:spacing w:before="0" w:after="80" w:lineRule="auto" w:line="276"/>
      </w:pPr>
      <w:r>
        <w:rPr>
          <w:b/>
        </w:rPr>
        <w:t xml:space="preserve">摘要（ZH）: </w:t>
      </w:r>
      <w:r>
        <w:t>(empty)</w:t>
      </w:r>
    </w:p>
    <w:p>
      <w:pPr>
        <w:spacing w:before="0" w:after="200" w:lineRule="auto" w:line="276"/>
      </w:pPr>
      <w:r>
        <w:rPr>
          <w:b/>
        </w:rPr>
        <w:t xml:space="preserve">Abstract (EN): </w:t>
      </w:r>
      <w:r>
        <w:t>A mechanistic understanding of lithium (Li) plating and stripping is essential for the practical deployment of Li metal batteries (LMBs), yet most in situ studies rely on limited fields of view or spatial averaging, obscuring local heterogeneity. Here, in situ electrochemical AFM (EC-AFM) is used to track the same region over three plating/stripping cycles in the native electrolyte, resolving few-micrometer-scale heterogeneity. Spatially aligned measurements of slope, height change (Δh), and local porosity reveal clear correlations: domains with small |Δh| colocalize with high-slope, porous regions. These observations establish a site-selective voiding mechanism in which stripping at porous, high-slope domains generates subsurface voids and “dead” Li that are only partially refilled during subsequent plating, whereas dense, low-slope domains undergo larger |Δh|. This correlative framework demonstrates that the initial plating morphology critically governs the spatial heterogeneity of void formation during stripping, providing a mechanistic basis for the rational design of Li metal anodes.</w:t>
      </w:r>
    </w:p>
    <w:p>
      <w:pPr>
        <w:spacing w:before="120" w:after="120"/>
      </w:pPr>
      <w:r>
        <w:rPr>
          <w:sz w:val="18"/>
        </w:rPr>
        <w:t>——————————————————————————————————————————————————————————————————————</w:t>
      </w:r>
    </w:p>
    <w:p>
      <w:pPr>
        <w:spacing w:before="160" w:after="40" w:line="240" w:lineRule="auto"/>
      </w:pPr>
      <w:r>
        <w:rPr>
          <w:b/>
        </w:rPr>
        <w:t xml:space="preserve">[5] </w:t>
      </w:r>
      <w:hyperlink r:id="rId68">
        <w:r>
          <w:rPr>
            <w:color w:val="1155CC"/>
            <w:u w:val="single"/>
          </w:rPr>
          <w:t>[ASAP] Thermal Stability Landscape of Solid-State Batteries</w:t>
        </w:r>
      </w:hyperlink>
    </w:p>
    <w:p>
      <w:pPr>
        <w:spacing w:before="0" w:after="120"/>
      </w:pPr>
      <w:r>
        <w:rPr>
          <w:b/>
        </w:rPr>
        <w:t xml:space="preserve">Source: </w:t>
      </w:r>
      <w:r>
        <w:t>ACS Energy Letters: Latest Articles (ACS Publications)</w:t>
      </w:r>
      <w:r>
        <w:t xml:space="preserve">    </w:t>
      </w:r>
      <w:r>
        <w:rPr>
          <w:b/>
        </w:rPr>
        <w:t xml:space="preserve">Pub date: </w:t>
      </w:r>
      <w:r>
        <w:t>2026-02-24 16:21:22+00:00</w:t>
      </w:r>
      <w:r>
        <w:t xml:space="preserve">    </w:t>
      </w:r>
      <w:r>
        <w:rPr>
          <w:b/>
        </w:rPr>
        <w:t xml:space="preserve">DOI: </w:t>
      </w:r>
      <w:hyperlink r:id="rId69">
        <w:r>
          <w:rPr>
            <w:color w:val="1155CC"/>
            <w:u w:val="single"/>
          </w:rPr>
          <w:t>10.1021/acsenergylett.5c03154</w:t>
        </w:r>
      </w:hyperlink>
    </w:p>
    <w:p>
      <w:pPr>
        <w:spacing w:before="0" w:after="80" w:lineRule="auto" w:line="276"/>
      </w:pPr>
      <w:r>
        <w:rPr>
          <w:b/>
        </w:rPr>
        <w:t xml:space="preserve">摘要（ZH）: </w:t>
      </w:r>
      <w:r>
        <w:t>(empty)</w:t>
      </w:r>
    </w:p>
    <w:p>
      <w:pPr>
        <w:spacing w:before="0" w:after="200" w:lineRule="auto" w:line="276"/>
      </w:pPr>
      <w:r>
        <w:rPr>
          <w:b/>
        </w:rPr>
        <w:t xml:space="preserve">Abstract (EN): </w:t>
      </w:r>
      <w:r>
        <w:t>Solid-state batteries (SSBs) with lithium metal anodes promise to offer high energy densities, enabling applications such as long-range electric vehicles and electric aviation. While various challenges related to transport, chemomechanics, and interfacial morphology have been extensively investigated, the thermal stability of the underlying solid/solid interfaces still requires comprehensive assessment. In this Perspective, we present mechanistic insights into the coupled influence of electrode–electrolyte interactions, heterogeneities, and gas-evolution dynamics in governing distinct thermal instability pathways in inorganic SSBs. The critical role of interphase chemistry and lithium morphology in thermal runaway at the anode/solid electrolyte interface and cathode-driven phenomena such as oxygen release, state-of-charge effects, pressure buildup, and crosstalk reactions are discussed. We further examine how operating conditions including pressure, current density, temperature, and moisture exposure modulate thermo-kinetic pathways and the exothermic behavior of SSBs. Key scientific gaps are identified, providing a foundation for future research toward the development of thermally stable and safe SSBs.</w:t>
      </w:r>
    </w:p>
    <w:p>
      <w:pPr>
        <w:spacing w:before="120" w:after="120"/>
      </w:pPr>
      <w:r>
        <w:rPr>
          <w:sz w:val="18"/>
        </w:rPr>
        <w:t>——————————————————————————————————————————————————————————————————————</w:t>
      </w:r>
    </w:p>
    <w:p>
      <w:pPr>
        <w:spacing w:before="160" w:after="40" w:line="240" w:lineRule="auto"/>
      </w:pPr>
      <w:r>
        <w:rPr>
          <w:b/>
        </w:rPr>
        <w:t xml:space="preserve">[6] </w:t>
      </w:r>
      <w:hyperlink r:id="rId86">
        <w:r>
          <w:rPr>
            <w:color w:val="1155CC"/>
            <w:u w:val="single"/>
          </w:rPr>
          <w:t>A novel MIC-BOA-TiDE fusion framework with kernel density estimation for point and probabilistic remaining useful life prediction of lithium-ion batteries</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 </w:t>
      </w:r>
      <w:hyperlink r:id="rId87">
        <w:r>
          <w:rPr>
            <w:color w:val="1155CC"/>
            <w:u w:val="single"/>
          </w:rPr>
          <w:t>Spatiotemporally coupled lithiotropic framework enables highly reversible and long-life 1,200 Wh L−1 Li-metal pouch cell</w:t>
        </w:r>
      </w:hyperlink>
    </w:p>
    <w:p>
      <w:pPr>
        <w:spacing w:before="0" w:after="120"/>
      </w:pPr>
      <w:r>
        <w:rPr>
          <w:b/>
        </w:rPr>
        <w:t xml:space="preserve">Source: </w:t>
      </w:r>
      <w:r>
        <w:t>Joule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Spatiotemporally coupled lithiotropic frameworks are proposed by simultaneously constructing a static epitaxial lithiotropic interface, dynamic lithiotropic embedded seeds, and SEIs. This optimizes Li adsorption, migration, and diffusion at plated substrate, bulk phase, and SEI, controlling multi-scale dense Li nucleation and growth tropism and optimizing the reversibility of ultrathin anodes. Such structures effectively improve the rate performance and cycle life of Li-metal batteries, enabling the practical application of &gt;1,200 Wh L−1 miniature high-energy pouch cells in micro-UAVs.</w:t>
      </w:r>
    </w:p>
    <w:p>
      <w:pPr>
        <w:spacing w:before="120" w:after="120"/>
      </w:pPr>
      <w:r>
        <w:rPr>
          <w:sz w:val="18"/>
        </w:rPr>
        <w:t>——————————————————————————————————————————————————————————————————————</w:t>
      </w:r>
    </w:p>
    <w:p>
      <w:pPr>
        <w:spacing w:before="160" w:after="40" w:line="240" w:lineRule="auto"/>
      </w:pPr>
      <w:r>
        <w:rPr>
          <w:b/>
        </w:rPr>
        <w:t xml:space="preserve">[8] </w:t>
      </w:r>
      <w:hyperlink r:id="rId88">
        <w:r>
          <w:rPr>
            <w:color w:val="1155CC"/>
            <w:u w:val="single"/>
          </w:rPr>
          <w:t>Online identification of characteristic change points in capacity degradation trajectories of lithium-ion batteries</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 </w:t>
      </w:r>
      <w:hyperlink r:id="rId89">
        <w:r>
          <w:rPr>
            <w:color w:val="1155CC"/>
            <w:u w:val="single"/>
          </w:rPr>
          <w:t>Defect engineering for high-performance lithium/sodium-ion capacitor electrodes: mechanisms, advances, and future perspectives</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 </w:t>
      </w:r>
      <w:hyperlink r:id="rId90">
        <w:r>
          <w:rPr>
            <w:color w:val="1155CC"/>
            <w:u w:val="single"/>
          </w:rPr>
          <w:t>Degradation Pathways of Silicon‐Based Anodes in Lithium‐Ion Batteries</w:t>
        </w:r>
      </w:hyperlink>
    </w:p>
    <w:p>
      <w:pPr>
        <w:spacing w:before="0" w:after="120"/>
      </w:pPr>
      <w:r>
        <w:rPr>
          <w:b/>
        </w:rPr>
        <w:t xml:space="preserve">Source: </w:t>
      </w:r>
      <w:r>
        <w:t>Wiley: Advanced Energy Materials: Table of Contents</w:t>
      </w:r>
      <w:r>
        <w:t xml:space="preserve">    </w:t>
      </w:r>
      <w:r>
        <w:rPr>
          <w:b/>
        </w:rPr>
        <w:t xml:space="preserve">Pub date: </w:t>
      </w:r>
      <w:r>
        <w:t>2026-02-25 04:20:47+00:00</w:t>
      </w:r>
      <w:r>
        <w:t xml:space="preserve">    </w:t>
      </w:r>
      <w:r>
        <w:rPr>
          <w:b/>
        </w:rPr>
        <w:t xml:space="preserve">DOI: </w:t>
      </w:r>
      <w:hyperlink r:id="rId91">
        <w:r>
          <w:rPr>
            <w:color w:val="1155CC"/>
            <w:u w:val="single"/>
          </w:rPr>
          <w:t>10.1002/aenm.202506750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 </w:t>
      </w:r>
      <w:hyperlink r:id="rId92">
        <w:r>
          <w:rPr>
            <w:color w:val="1155CC"/>
            <w:u w:val="single"/>
          </w:rPr>
          <w:t>Review of Thin Lithium Metal Battery Anode Fabrication – Microstructure – Electrochemistry Relations (Adv. Mater. 12/2026)</w:t>
        </w:r>
      </w:hyperlink>
    </w:p>
    <w:p>
      <w:pPr>
        <w:spacing w:before="0" w:after="120"/>
      </w:pPr>
      <w:r>
        <w:rPr>
          <w:b/>
        </w:rPr>
        <w:t xml:space="preserve">Source: </w:t>
      </w:r>
      <w:r>
        <w:t>Wiley: Advanced Materials: Table of Contents</w:t>
      </w:r>
      <w:r>
        <w:t xml:space="preserve">    </w:t>
      </w:r>
      <w:r>
        <w:rPr>
          <w:b/>
        </w:rPr>
        <w:t xml:space="preserve">Pub date: </w:t>
      </w:r>
      <w:r>
        <w:t>2026-02-25 06:33:39+00:00</w:t>
      </w:r>
      <w:r>
        <w:t xml:space="preserve">    </w:t>
      </w:r>
      <w:r>
        <w:rPr>
          <w:b/>
        </w:rPr>
        <w:t xml:space="preserve">DOI: </w:t>
      </w:r>
      <w:hyperlink r:id="rId93">
        <w:r>
          <w:rPr>
            <w:color w:val="1155CC"/>
            <w:u w:val="single"/>
          </w:rPr>
          <w:t>10.1002/adma.72465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 </w:t>
      </w:r>
      <w:hyperlink r:id="rId94">
        <w:r>
          <w:rPr>
            <w:color w:val="1155CC"/>
            <w:u w:val="single"/>
          </w:rPr>
          <w:t>Electrosynthesis of Chlorohydrins From Alkenes in Seawater Enabled by On‐Site Generated Active Surface Chlorine Intermediate</w:t>
        </w:r>
      </w:hyperlink>
    </w:p>
    <w:p>
      <w:pPr>
        <w:spacing w:before="0" w:after="120"/>
      </w:pPr>
      <w:r>
        <w:rPr>
          <w:b/>
        </w:rPr>
        <w:t xml:space="preserve">Source: </w:t>
      </w:r>
      <w:r>
        <w:t>Wiley: Angewandte Chemie International Edition: Table of Contents</w:t>
      </w:r>
      <w:r>
        <w:t xml:space="preserve">    </w:t>
      </w:r>
      <w:r>
        <w:rPr>
          <w:b/>
        </w:rPr>
        <w:t xml:space="preserve">Pub date: </w:t>
      </w:r>
      <w:r>
        <w:t>2026-02-25 10:39:39+00:00</w:t>
      </w:r>
      <w:r>
        <w:t xml:space="preserve">    </w:t>
      </w:r>
      <w:r>
        <w:rPr>
          <w:b/>
        </w:rPr>
        <w:t xml:space="preserve">DOI: </w:t>
      </w:r>
      <w:hyperlink r:id="rId95">
        <w:r>
          <w:rPr>
            <w:color w:val="1155CC"/>
            <w:u w:val="single"/>
          </w:rPr>
          <w:t>10.1002/anie.4054670</w:t>
        </w:r>
      </w:hyperlink>
    </w:p>
    <w:p>
      <w:pPr>
        <w:spacing w:before="0" w:after="80" w:lineRule="auto" w:line="276"/>
      </w:pPr>
      <w:r>
        <w:rPr>
          <w:b/>
        </w:rPr>
        <w:t xml:space="preserve">摘要（ZH）: </w:t>
      </w:r>
      <w:r>
        <w:t>(empty)</w:t>
      </w:r>
    </w:p>
    <w:p>
      <w:pPr>
        <w:spacing w:before="0" w:after="200" w:lineRule="auto" w:line="276"/>
      </w:pPr>
      <w:r>
        <w:rPr>
          <w:b/>
        </w:rPr>
        <w:t xml:space="preserve">Abstract (EN): </w:t>
      </w:r>
      <w:r>
        <w:t>Chlorohydrins are essential intermediates in organic synthesis, playing a critical role in drug discovery, green catalysis, and bioactive molecule manufacturing. However, conventional chlorohydrin synthesis usually requires harsh conditions, which create safety risks and poor selectivity. Here we develop a direct and efficient electrocatalytic strategy for synthesizing chlorohydrins from commodity alkenes, which are globally produced at over 200 million metric tons annually. Utilizing a RuSnNbOx polymetallic oxide catalyst, cyclohexene is directly converted to 2-chlorocyclohexanol in NaCl solution with a Faradaic efficiency of 96.1 ± 3% and selectivity of 98.2 ± 0.4% at 1.6 V versus reversible hydrogen electrode. This approach is generalizable to other alkenes, such as styrene and cyclopentene, yielding 2-chloro-1-phenylethanol and 2-chlorocyclopentanol with uncompromised Faradaic efficiency. Mechanistic investigations reveal that the adsorbed active chlorine species, electrogenerated via Cl- oxidation on the RuSnNbOx anode, serve as key intermediates for direct alkene chlorination. Notably, this electrosynthesis method is further upscaled to gram-level in acidic seawater, delivering 3.01 g of 2-chlorocyclohexanol and 0.87 g of 2-chloro-1-phenylethanol. This work provides a sustainable and scalable alternative to conventional chlorohydrin production and offers insights into designing efficient electrolysis for related transformations.</w:t>
      </w:r>
    </w:p>
    <w:p>
      <w:pPr>
        <w:spacing w:before="120" w:after="120"/>
      </w:pPr>
      <w:r>
        <w:rPr>
          <w:sz w:val="18"/>
        </w:rPr>
        <w:t>——————————————————————————————————————————————————————————————————————</w:t>
      </w:r>
    </w:p>
    <w:p>
      <w:pPr>
        <w:spacing w:before="160" w:after="40" w:line="240" w:lineRule="auto"/>
      </w:pPr>
      <w:r>
        <w:rPr>
          <w:b/>
        </w:rPr>
        <w:t xml:space="preserve">[13] </w:t>
      </w:r>
      <w:hyperlink r:id="rId96">
        <w:r>
          <w:rPr>
            <w:color w:val="1155CC"/>
            <w:u w:val="single"/>
          </w:rPr>
          <w:t>Closed-loop recyclable interfacial growth polymerization enables scalable and economical quasi-solid-state lithium metal batteries</w:t>
        </w:r>
      </w:hyperlink>
    </w:p>
    <w:p>
      <w:pPr>
        <w:spacing w:before="0" w:after="120"/>
      </w:pPr>
      <w:r>
        <w:rPr>
          <w:b/>
        </w:rPr>
        <w:t xml:space="preserve">Source: </w:t>
      </w:r>
      <w:r>
        <w:t>Joule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Conventional in situ polymerization processes face challenges with stability, cost, and scaling up when manufacturing quasi-solid-state lithium batteries. This study develops a novel strategy based on inorganic initiators that is stable and environmentally friendly, offering a new pathway for the continuous, cost-effective production of high-performance batteries.</w:t>
      </w:r>
    </w:p>
    <w:p>
      <w:pPr>
        <w:spacing w:before="120" w:after="120"/>
      </w:pPr>
      <w:r>
        <w:rPr>
          <w:sz w:val="18"/>
        </w:rPr>
        <w:t>——————————————————————————————————————————————————————————————————————</w:t>
      </w:r>
    </w:p>
    <w:p>
      <w:pPr>
        <w:spacing w:before="160" w:after="40" w:line="240" w:lineRule="auto"/>
      </w:pPr>
      <w:r>
        <w:rPr>
          <w:b/>
        </w:rPr>
        <w:t xml:space="preserve">[14] </w:t>
      </w:r>
      <w:hyperlink r:id="rId97">
        <w:r>
          <w:rPr>
            <w:color w:val="1155CC"/>
            <w:u w:val="single"/>
          </w:rPr>
          <w:t>p-p orbital hybridization enables durable aqueous zinc-iodine batteries</w:t>
        </w:r>
      </w:hyperlink>
    </w:p>
    <w:p>
      <w:pPr>
        <w:spacing w:before="0" w:after="120"/>
      </w:pPr>
      <w:r>
        <w:rPr>
          <w:b/>
        </w:rPr>
        <w:t xml:space="preserve">Source: </w:t>
      </w:r>
      <w:r>
        <w:t>Chem</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Orbital engineering of p-p hybridization in iodine host materials is demonstrated to enable efficient and durable AZIBs. By incorporating a rationally designed p-block element of Bi SACs with strong interaction between the 6p orbital of Bi and the 5p orbital of iodine, the target Bi-NC catalysts favor rapid redox kinetics and a suppressed polyiodide shuttle effect, delivering exceptional durability with negligible capacity decay at an ultra-high current density of 16 A g−1 over 100,000 cycles.</w:t>
      </w:r>
    </w:p>
    <w:p>
      <w:pPr>
        <w:spacing w:before="120" w:after="120"/>
      </w:pPr>
      <w:r>
        <w:rPr>
          <w:sz w:val="18"/>
        </w:rPr>
        <w:t>——————————————————————————————————————————————————————————————————————</w:t>
      </w:r>
    </w:p>
    <w:p>
      <w:pPr>
        <w:spacing w:before="160" w:after="40" w:line="240" w:lineRule="auto"/>
      </w:pPr>
      <w:r>
        <w:rPr>
          <w:b/>
        </w:rPr>
        <w:t xml:space="preserve">[15] </w:t>
      </w:r>
      <w:hyperlink r:id="rId98">
        <w:r>
          <w:rPr>
            <w:color w:val="1155CC"/>
            <w:u w:val="single"/>
          </w:rPr>
          <w:t>In Situ Constructed “Poly‐Ionic Bridges” Promoting Performances of All‐Solid‐State Lithium‐Sulfur Batteries</w:t>
        </w:r>
      </w:hyperlink>
    </w:p>
    <w:p>
      <w:pPr>
        <w:spacing w:before="0" w:after="120"/>
      </w:pPr>
      <w:r>
        <w:rPr>
          <w:b/>
        </w:rPr>
        <w:t xml:space="preserve">Source: </w:t>
      </w:r>
      <w:r>
        <w:t>Wiley: Advanced Energy Materials: Table of Contents</w:t>
      </w:r>
      <w:r>
        <w:t xml:space="preserve">    </w:t>
      </w:r>
      <w:r>
        <w:rPr>
          <w:b/>
        </w:rPr>
        <w:t xml:space="preserve">Pub date: </w:t>
      </w:r>
      <w:r>
        <w:t>2026-02-26 06:16:55+00:00</w:t>
      </w:r>
      <w:r>
        <w:t xml:space="preserve">    </w:t>
      </w:r>
      <w:r>
        <w:rPr>
          <w:b/>
        </w:rPr>
        <w:t xml:space="preserve">DOI: </w:t>
      </w:r>
      <w:hyperlink r:id="rId99">
        <w:r>
          <w:rPr>
            <w:color w:val="1155CC"/>
            <w:u w:val="single"/>
          </w:rPr>
          <w:t>10.1002/aenm.70792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 </w:t>
      </w:r>
      <w:hyperlink r:id="rId100">
        <w:r>
          <w:rPr>
            <w:color w:val="1155CC"/>
            <w:u w:val="single"/>
          </w:rPr>
          <w:t>Synergistic Interface Engineering of Heterojunction and Oxygen Vacancies in Multiphase Cobalt Oxide/Graphene Composite Host for High‐Performance Lithium–Sulfur Batteries</w:t>
        </w:r>
      </w:hyperlink>
    </w:p>
    <w:p>
      <w:pPr>
        <w:spacing w:before="0" w:after="120"/>
      </w:pPr>
      <w:r>
        <w:rPr>
          <w:b/>
        </w:rPr>
        <w:t xml:space="preserve">Source: </w:t>
      </w:r>
      <w:r>
        <w:t>Wiley: Advanced Energy Materials: Table of Contents</w:t>
      </w:r>
      <w:r>
        <w:t xml:space="preserve">    </w:t>
      </w:r>
      <w:r>
        <w:rPr>
          <w:b/>
        </w:rPr>
        <w:t xml:space="preserve">Pub date: </w:t>
      </w:r>
      <w:r>
        <w:t>2026-02-26 06:21:11+00:00</w:t>
      </w:r>
      <w:r>
        <w:t xml:space="preserve">    </w:t>
      </w:r>
      <w:r>
        <w:rPr>
          <w:b/>
        </w:rPr>
        <w:t xml:space="preserve">DOI: </w:t>
      </w:r>
      <w:hyperlink r:id="rId101">
        <w:r>
          <w:rPr>
            <w:color w:val="1155CC"/>
            <w:u w:val="single"/>
          </w:rPr>
          <w:t>10.1002/aenm.202506549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[17] </w:t>
      </w:r>
      <w:hyperlink r:id="rId102">
        <w:r>
          <w:rPr>
            <w:color w:val="1155CC"/>
            <w:u w:val="single"/>
          </w:rPr>
          <w:t>[ASAP] Which Catalyst Exhibits Superior C–C Bond Cleavage Ability in Ethanol Electrooxidation: An In-Situ ATR-SEIRAS Investigation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09:31:35+00:00</w:t>
      </w:r>
      <w:r>
        <w:t xml:space="preserve">    </w:t>
      </w:r>
      <w:r>
        <w:rPr>
          <w:b/>
        </w:rPr>
        <w:t xml:space="preserve">DOI: </w:t>
      </w:r>
      <w:hyperlink r:id="rId103">
        <w:r>
          <w:rPr>
            <w:color w:val="1155CC"/>
            <w:u w:val="single"/>
          </w:rPr>
          <w:t>10.1021/jacs.5c20407</w:t>
        </w:r>
      </w:hyperlink>
    </w:p>
    <w:p>
      <w:pPr>
        <w:spacing w:before="0" w:after="80" w:lineRule="auto" w:line="276"/>
      </w:pPr>
      <w:r>
        <w:rPr>
          <w:b/>
        </w:rPr>
        <w:t xml:space="preserve">摘要（ZH）: </w:t>
      </w:r>
      <w:r>
        <w:t>(empty)</w:t>
      </w:r>
    </w:p>
    <w:p>
      <w:pPr>
        <w:spacing w:before="0" w:after="200" w:lineRule="auto" w:line="276"/>
      </w:pPr>
      <w:r>
        <w:rPr>
          <w:b/>
        </w:rPr>
        <w:t xml:space="preserve">Abstract (EN): </w:t>
      </w:r>
      <w:r>
        <w:t>Platinum-group metals (PGMs) are among the most active electrocatalysts for the ethanol oxidation reaction. Nevertheless, their intrinsic efficacy in C-C bond scission remains contentious, and unequivocal molecular-level evidence is still wanting. To approach it, we employed in situ electrochemical attenuated total-reflection surface-enhanced infrared spectroscopy under both conventional and thin-layer flow cells as the main method, for the first time, by using the relative population ratio of COad (η) as the descriptor on the identical electrode, to rank the C-C bond cleavage activity of the four PGMs as Ir &gt; Rh &gt; Pd &gt; Pt in alkaline media from both thermodynamic and kinetic perspectives. Moreover, the maximized C-C bond cleavage activity was found at 0.20 ∼ 0.30 V for Pt, Rh, and Ir and at 0.40 ∼ 0.50 V for Pd. This work develops a molecular-level strategy for probing catalytic processes through a simple descriptor and might offer a fresh perspective for investigating surface reaction pathways.</w:t>
      </w:r>
    </w:p>
    <w:p>
      <w:pPr>
        <w:spacing w:before="120" w:after="120"/>
      </w:pPr>
      <w:r>
        <w:rPr>
          <w:sz w:val="18"/>
        </w:rPr>
        <w:t>——————————————————————————————————————————————————————————————————————</w:t>
      </w:r>
    </w:p>
    <w:p>
      <w:pPr>
        <w:spacing w:before="160" w:after="40" w:line="240" w:lineRule="auto"/>
      </w:pPr>
      <w:r>
        <w:rPr>
          <w:b/>
        </w:rPr>
        <w:t xml:space="preserve">[18] </w:t>
      </w:r>
      <w:hyperlink r:id="rId104">
        <w:r>
          <w:rPr>
            <w:color w:val="1155CC"/>
            <w:u w:val="single"/>
          </w:rPr>
          <w:t>Crystallographic Facet Engineering of LiF for Ultrastable and Superfast Charging Sodium Metal Batteries From –40°C to 60°C</w:t>
        </w:r>
      </w:hyperlink>
    </w:p>
    <w:p>
      <w:pPr>
        <w:spacing w:before="0" w:after="120"/>
      </w:pPr>
      <w:r>
        <w:rPr>
          <w:b/>
        </w:rPr>
        <w:t xml:space="preserve">Source: </w:t>
      </w:r>
      <w:r>
        <w:t>Wiley: Advanced Materials: Table of Contents</w:t>
      </w:r>
      <w:r>
        <w:t xml:space="preserve">    </w:t>
      </w:r>
      <w:r>
        <w:rPr>
          <w:b/>
        </w:rPr>
        <w:t xml:space="preserve">Pub date: </w:t>
      </w:r>
      <w:r>
        <w:t>2026-02-27 10:50:37+00:00</w:t>
      </w:r>
      <w:r>
        <w:t xml:space="preserve">    </w:t>
      </w:r>
      <w:r>
        <w:rPr>
          <w:b/>
        </w:rPr>
        <w:t xml:space="preserve">DOI: </w:t>
      </w:r>
      <w:hyperlink r:id="rId105">
        <w:r>
          <w:rPr>
            <w:color w:val="1155CC"/>
            <w:u w:val="single"/>
          </w:rPr>
          <w:t>10.1002/adma.202521479</w:t>
        </w:r>
      </w:hyperlink>
    </w:p>
    <w:p>
      <w:pPr>
        <w:spacing w:before="0" w:after="80" w:lineRule="auto" w:line="276"/>
      </w:pPr>
      <w:r>
        <w:rPr>
          <w:b/>
        </w:rPr>
        <w:t xml:space="preserve">摘要（ZH）: </w:t>
      </w:r>
      <w:r>
        <w:t>(empty)</w:t>
      </w:r>
    </w:p>
    <w:p>
      <w:pPr>
        <w:spacing w:before="0" w:after="200" w:lineRule="auto" w:line="276"/>
      </w:pPr>
      <w:r>
        <w:rPr>
          <w:b/>
        </w:rPr>
        <w:t xml:space="preserve">Abstract (EN): </w:t>
      </w:r>
      <w:r>
        <w:t>Sodium metal batteries (SMBs) are promising next-generation energy storage devices but are plagued by dendritic growth and poor low-temperature performance, rooted in uncontrolled nucleation and sluggish ion transport. Moving beyond conventional interfacial modifications, we report a crystallographic engineering strategy that precisely controls exposed crystal facets to dictate atomic-scale electrochemical behavior. Through density functional theory (DFT) screening, we identify the (220) crystal facet of LiF as superior, exhibiting an optimal Na+ adsorption energy (-1.48 eV) and an ultralow diffusion barrier (0.0978 eV), which promotes epitaxial sodium deposition along the (110) plane and significantly reduces nucleation overpotential. Experimentally, we synthesize LiF nanofibers with dominantly exposed (220) facets and construct a composite LiF@Na anode. This design induces a NaF-rich interphase, markedly enhances desolvation kinetics at the interface, and ensures exceptional interfacial stability. The resulting full cells achieve ultra-long cycling over 9000 cycles at 50 C with 70% capacity retention and outstanding performance from -40°C to 60°C. This study establishes crystal facet control as a fundamental materials design principle for regulating metal nucleation and interphase chemistry, providing a universal pathway toward high-energy, durable, and all-climate metal batteries.</w:t>
      </w:r>
    </w:p>
    <w:p>
      <w:pPr>
        <w:spacing w:before="120" w:after="120"/>
      </w:pPr>
      <w:r>
        <w:rPr>
          <w:sz w:val="18"/>
        </w:rPr>
        <w:t>——————————————————————————————————————————————————————————————————————</w:t>
      </w:r>
    </w:p>
    <w:p>
      <w:pPr>
        <w:spacing w:before="160" w:after="40" w:line="240" w:lineRule="auto"/>
      </w:pPr>
      <w:r>
        <w:rPr>
          <w:b/>
        </w:rPr>
        <w:t xml:space="preserve">[19] </w:t>
      </w:r>
      <w:hyperlink r:id="rId106">
        <w:r>
          <w:rPr>
            <w:color w:val="1155CC"/>
            <w:u w:val="single"/>
          </w:rPr>
          <w:t>Assessing Mesoscale Heterogeneities in Hard Carbon Electrodes Through Deep Learning‐Assisted FIB‐SEM Characterization, Manufacturing and Electrochemical Modeling</w:t>
        </w:r>
      </w:hyperlink>
    </w:p>
    <w:p>
      <w:pPr>
        <w:spacing w:before="0" w:after="120"/>
      </w:pPr>
      <w:r>
        <w:rPr>
          <w:b/>
        </w:rPr>
        <w:t xml:space="preserve">Source: </w:t>
      </w:r>
      <w:r>
        <w:t>Wiley: Advanced Energy Materials: Table of Contents</w:t>
      </w:r>
      <w:r>
        <w:t xml:space="preserve">    </w:t>
      </w:r>
      <w:r>
        <w:rPr>
          <w:b/>
        </w:rPr>
        <w:t xml:space="preserve">Pub date: </w:t>
      </w:r>
      <w:r>
        <w:t>2026-02-27 11:26:21+00:00</w:t>
      </w:r>
      <w:r>
        <w:t xml:space="preserve">    </w:t>
      </w:r>
      <w:r>
        <w:rPr>
          <w:b/>
        </w:rPr>
        <w:t xml:space="preserve">DOI: </w:t>
      </w:r>
      <w:hyperlink r:id="rId107">
        <w:r>
          <w:rPr>
            <w:color w:val="1155CC"/>
            <w:u w:val="single"/>
          </w:rPr>
          <w:t>10.1002/aenm.202506765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 </w:t>
      </w:r>
      <w:hyperlink r:id="rId108">
        <w:r>
          <w:rPr>
            <w:color w:val="1155CC"/>
            <w:u w:val="single"/>
          </w:rPr>
          <w:t>Molecular Polarity Attenuation Tailors Weak Solvation Structure with Accelerated Kinetics and Robust SEI for High‐Areal‐Capacity Large‐Format Pouch Zn‐Based Batteries</w:t>
        </w:r>
      </w:hyperlink>
    </w:p>
    <w:p>
      <w:pPr>
        <w:spacing w:before="0" w:after="120"/>
      </w:pPr>
      <w:r>
        <w:rPr>
          <w:b/>
        </w:rPr>
        <w:t xml:space="preserve">Source: </w:t>
      </w:r>
      <w:r>
        <w:t>Wiley: Advanced Materials: Table of Contents</w:t>
      </w:r>
      <w:r>
        <w:t xml:space="preserve">    </w:t>
      </w:r>
      <w:r>
        <w:rPr>
          <w:b/>
        </w:rPr>
        <w:t xml:space="preserve">Pub date: </w:t>
      </w:r>
      <w:r>
        <w:t>2026-02-27 11:32:18+00:00</w:t>
      </w:r>
      <w:r>
        <w:t xml:space="preserve">    </w:t>
      </w:r>
      <w:r>
        <w:rPr>
          <w:b/>
        </w:rPr>
        <w:t xml:space="preserve">DOI: </w:t>
      </w:r>
      <w:hyperlink r:id="rId109">
        <w:r>
          <w:rPr>
            <w:color w:val="1155CC"/>
            <w:u w:val="single"/>
          </w:rPr>
          <w:t>10.1002/adma.202519996</w:t>
        </w:r>
      </w:hyperlink>
    </w:p>
    <w:p>
      <w:pPr>
        <w:spacing w:before="0" w:after="80" w:lineRule="auto" w:line="276"/>
      </w:pPr>
      <w:r>
        <w:rPr>
          <w:b/>
        </w:rPr>
        <w:t xml:space="preserve">摘要（ZH）: </w:t>
      </w:r>
      <w:r>
        <w:t>(empty)</w:t>
      </w:r>
    </w:p>
    <w:p>
      <w:pPr>
        <w:spacing w:before="0" w:after="200" w:lineRule="auto" w:line="276"/>
      </w:pPr>
      <w:r>
        <w:rPr>
          <w:b/>
        </w:rPr>
        <w:t xml:space="preserve">Abstract (EN): </w:t>
      </w:r>
      <w:r>
        <w:t>Large-format, high-areal-capacity aqueous Zn-ion batteries are pivotal for practical energy storage but remain hindered by sluggish kinetics, heterogeneous local reactions, and drastic interfacial deformation. In this work, a molecular polarity-weakening strategy of electrolyte additive is proposed to customize a rapid-reaction-kinetics solvation structure and a hybrid solid-electrolyte interphase (SEI) for Zn metal pouch batteries. Leveraging this synergistic solvation-SEI regulation, a 25 cm2 Zn||Zn pouch symmetric cell achieves unprecedent 352 h stable cycling at 40 mAh cm-2 (DOD = 68%, 10 mA cm-2). More importantly, a 100 cm2 Zn||I2 pouch full battery delivers a high areal capacity of 9.8 mAh cm-2 and sustains nearly 400 h of stable cycling.</w:t>
      </w:r>
    </w:p>
    <w:p>
      <w:pPr>
        <w:spacing w:before="120" w:after="120"/>
      </w:pPr>
      <w:r>
        <w:rPr>
          <w:sz w:val="18"/>
        </w:rPr>
        <w:t>——————————————————————————————————————————————————————————————————————</w:t>
      </w:r>
    </w:p>
    <w:p>
      <w:pPr>
        <w:spacing w:before="160" w:after="40" w:line="240" w:lineRule="auto"/>
      </w:pPr>
      <w:r>
        <w:rPr>
          <w:b/>
        </w:rPr>
        <w:t xml:space="preserve">[21] </w:t>
      </w:r>
      <w:hyperlink r:id="rId110">
        <w:r>
          <w:rPr>
            <w:color w:val="1155CC"/>
            <w:u w:val="single"/>
          </w:rPr>
          <w:t>Recent Progress on Non‑Biomass Carbon‑Based Anodes for Sodium‑Ion Batteries</w:t>
        </w:r>
      </w:hyperlink>
    </w:p>
    <w:p>
      <w:pPr>
        <w:spacing w:before="0" w:after="120"/>
      </w:pPr>
      <w:r>
        <w:rPr>
          <w:b/>
        </w:rPr>
        <w:t xml:space="preserve">Source: </w:t>
      </w:r>
      <w:r>
        <w:t>Wiley: Advanced Energy Materials: Table of Contents</w:t>
      </w:r>
      <w:r>
        <w:t xml:space="preserve">    </w:t>
      </w:r>
      <w:r>
        <w:rPr>
          <w:b/>
        </w:rPr>
        <w:t xml:space="preserve">Pub date: </w:t>
      </w:r>
      <w:r>
        <w:t>2026-02-27 11:49:26+00:00</w:t>
      </w:r>
      <w:r>
        <w:t xml:space="preserve">    </w:t>
      </w:r>
      <w:r>
        <w:rPr>
          <w:b/>
        </w:rPr>
        <w:t xml:space="preserve">DOI: </w:t>
      </w:r>
      <w:hyperlink r:id="rId111">
        <w:r>
          <w:rPr>
            <w:color w:val="1155CC"/>
            <w:u w:val="single"/>
          </w:rPr>
          <w:t>10.1002/aenm.70769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[22] </w:t>
      </w:r>
      <w:hyperlink r:id="rId112">
        <w:r>
          <w:rPr>
            <w:color w:val="1155CC"/>
            <w:u w:val="single"/>
          </w:rPr>
          <w:t>Addressing Bottlenecks to Achieve High‐Energy Sodium‐Ion Cells Using Tin Anodes</w:t>
        </w:r>
      </w:hyperlink>
    </w:p>
    <w:p>
      <w:pPr>
        <w:spacing w:before="0" w:after="120"/>
      </w:pPr>
      <w:r>
        <w:rPr>
          <w:b/>
        </w:rPr>
        <w:t xml:space="preserve">Source: </w:t>
      </w:r>
      <w:r>
        <w:t>Wiley: Advanced Energy Materials: Table of Contents</w:t>
      </w:r>
      <w:r>
        <w:t xml:space="preserve">    </w:t>
      </w:r>
      <w:r>
        <w:rPr>
          <w:b/>
        </w:rPr>
        <w:t xml:space="preserve">Pub date: </w:t>
      </w:r>
      <w:r>
        <w:t>2026-02-27 12:06:54+00:00</w:t>
      </w:r>
      <w:r>
        <w:t xml:space="preserve">    </w:t>
      </w:r>
      <w:r>
        <w:rPr>
          <w:b/>
        </w:rPr>
        <w:t xml:space="preserve">DOI: </w:t>
      </w:r>
      <w:hyperlink r:id="rId113">
        <w:r>
          <w:rPr>
            <w:color w:val="1155CC"/>
            <w:u w:val="single"/>
          </w:rPr>
          <w:t>10.1002/aenm.202600009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 </w:t>
      </w:r>
      <w:hyperlink r:id="rId114">
        <w:r>
          <w:rPr>
            <w:color w:val="1155CC"/>
            <w:u w:val="single"/>
          </w:rPr>
          <w:t>Seconds‐Integrated Monolithic System of Zn‐Ion Micro‐Battery and Multi‐Functional Sensors for Robotic Autonomous Tactile Sensing</w:t>
        </w:r>
      </w:hyperlink>
    </w:p>
    <w:p>
      <w:pPr>
        <w:spacing w:before="0" w:after="120"/>
      </w:pPr>
      <w:r>
        <w:rPr>
          <w:b/>
        </w:rPr>
        <w:t xml:space="preserve">Source: </w:t>
      </w:r>
      <w:r>
        <w:t>Wiley: Advanced Materials: Table of Contents</w:t>
      </w:r>
      <w:r>
        <w:t xml:space="preserve">    </w:t>
      </w:r>
      <w:r>
        <w:rPr>
          <w:b/>
        </w:rPr>
        <w:t xml:space="preserve">Pub date: </w:t>
      </w:r>
      <w:r>
        <w:t>2026-02-28 10:03:16+00:00</w:t>
      </w:r>
      <w:r>
        <w:t xml:space="preserve">    </w:t>
      </w:r>
      <w:r>
        <w:rPr>
          <w:b/>
        </w:rPr>
        <w:t xml:space="preserve">DOI: </w:t>
      </w:r>
      <w:hyperlink r:id="rId115">
        <w:r>
          <w:rPr>
            <w:color w:val="1155CC"/>
            <w:u w:val="single"/>
          </w:rPr>
          <w:t>10.1002/adma.202520257</w:t>
        </w:r>
      </w:hyperlink>
    </w:p>
    <w:p>
      <w:pPr>
        <w:spacing w:before="0" w:after="80" w:lineRule="auto" w:line="276"/>
      </w:pPr>
      <w:r>
        <w:rPr>
          <w:b/>
        </w:rPr>
        <w:t xml:space="preserve">摘要（ZH）: </w:t>
      </w:r>
      <w:r>
        <w:t>(empty)</w:t>
      </w:r>
    </w:p>
    <w:p>
      <w:pPr>
        <w:spacing w:before="0" w:after="200" w:lineRule="auto" w:line="276"/>
      </w:pPr>
      <w:r>
        <w:rPr>
          <w:b/>
        </w:rPr>
        <w:t xml:space="preserve">Abstract (EN): </w:t>
      </w:r>
      <w:r>
        <w:t>Highly integrated devices that combine energy storage with multi-functional sensing capabilities are pivotal for advancing the practical implementation of intelligent microsystems. However, their development is often hindered by inefficient manufacturing, reliability degradation stemming from interfacial mismatches, and challenges in achieving high-performance, interference-free operation. Herein, we demonstrate an ultrafast and efficient strategy to construct a monolithic multifunctional sensing and energy storage system via the Joule heating effect. This strategy enables seamless integration of all components within 8 s, intrinsically mitigating interfacial incompatibility and signal interference. Through the instantaneous thermal activation, the energy storage unit of anode-free Zn-ion micro-battery delivers a capacity of 850 µAh cm-2 and energy density of 1060 µWh cm-2, superior to most reported aqueous Zn-based micro-batteries. With a rapid charging time of 150 s, it powers the integrated device for over 6 h, achieving an impressive 24-h standby under low-current conditions after full charge. Furthermore, this flexible monolithic system can be directly integrated into unmanned systems such as robotic arms, enabling autonomous environmental perception and adaptive decision-making via machine learning, with object identification and classification accuracy exceeding 99%. This work paves the way for next-generation autonomous microrobots, smart healthcare, and human-machine interfaces.</w:t>
      </w:r>
    </w:p>
    <w:p>
      <w:pPr>
        <w:spacing w:before="120" w:after="120"/>
      </w:pPr>
      <w:r>
        <w:rPr>
          <w:sz w:val="18"/>
        </w:rPr>
        <w:t>——————————————————————————————————————————————————————————————————————</w:t>
      </w:r>
    </w:p>
    <w:p>
      <w:pPr>
        <w:spacing w:before="160" w:after="120"/>
      </w:pPr>
      <w:r>
        <w:rPr>
          <w:b/>
          <w:sz w:val="28"/>
        </w:rPr>
        <w:t>【电解质】</w:t>
      </w:r>
    </w:p>
    <w:p>
      <w:pPr>
        <w:spacing w:before="160" w:after="40" w:line="240" w:lineRule="auto"/>
      </w:pPr>
      <w:r>
        <w:rPr>
          <w:b/>
        </w:rPr>
        <w:t xml:space="preserve">[1] </w:t>
      </w:r>
      <w:hyperlink r:id="rId116">
        <w:r>
          <w:rPr>
            <w:color w:val="1155CC"/>
            <w:u w:val="single"/>
          </w:rPr>
          <w:t>Molecularly engineered covalent hydrophobic interface for enhanced CO2 electromethanation in strong acid</w:t>
        </w:r>
      </w:hyperlink>
    </w:p>
    <w:p>
      <w:pPr>
        <w:spacing w:before="0" w:after="120"/>
      </w:pPr>
      <w:r>
        <w:rPr>
          <w:b/>
        </w:rPr>
        <w:t xml:space="preserve">Source: </w:t>
      </w:r>
      <w:r>
        <w:t>National Science Review Advance Access</w:t>
      </w:r>
      <w:r>
        <w:t xml:space="preserve">    </w:t>
      </w:r>
      <w:r>
        <w:rPr>
          <w:b/>
        </w:rPr>
        <w:t xml:space="preserve">Pub date: </w:t>
      </w:r>
      <w:r>
        <w:t>2026-02-24 00:00:00+00:00</w:t>
      </w:r>
      <w:r>
        <w:t xml:space="preserve">    </w:t>
      </w:r>
      <w:r>
        <w:rPr>
          <w:b/>
        </w:rPr>
        <w:t xml:space="preserve">DOI: </w:t>
      </w:r>
      <w:hyperlink r:id="rId117">
        <w:r>
          <w:rPr>
            <w:color w:val="1155CC"/>
            <w:u w:val="single"/>
          </w:rPr>
          <w:t>10.1093/nsr/nwag116/8496058</w:t>
        </w:r>
      </w:hyperlink>
    </w:p>
    <w:p>
      <w:pPr>
        <w:spacing w:before="0" w:after="80" w:lineRule="auto" w:line="276"/>
      </w:pPr>
      <w:r>
        <w:rPr>
          <w:b/>
        </w:rPr>
        <w:t xml:space="preserve">摘要（ZH）: </w:t>
      </w:r>
      <w:r>
        <w:t>(empty)</w:t>
      </w:r>
    </w:p>
    <w:p>
      <w:pPr>
        <w:spacing w:before="0" w:after="200" w:lineRule="auto" w:line="276"/>
      </w:pPr>
      <w:r>
        <w:rPr>
          <w:b/>
        </w:rPr>
        <w:t xml:space="preserve">Abstract (EN): </w:t>
      </w:r>
      <w:r>
        <w:t>Electrochemical conversion of CO2 to methane provides a sustainable pathway for fuel synthesis, yet it inherently struggles to balance carbon utilization efficiency with product selectivity. Conventional surface engineering based on physical hydrophobic coatings often leads to interfacial instability and diminished charge transfer efficiency. To address these issues, we develop a cysteine-coated copper coordination complex catalyst modified with covalently bonded fluoroalkyl silane (FAS), allowing precise control over surface wettability. A breakthrough in highly acidic electrolytes is demonstrated, achieving a methane Faradaic efficiency of up to 66.2% at 400 mA cm−2 (pH 1.8), alongside a single-pass carbon conversion efficiency of 31.1%, surpassing conventional alkaline-system benchmarks. Surface-enhanced Raman spectroscopy reveals key *COOH intermediate for CO2 activation, while in situ</w:t>
      </w:r>
    </w:p>
    <w:p>
      <w:pPr>
        <w:spacing w:before="120" w:after="120"/>
      </w:pPr>
      <w:r>
        <w:rPr>
          <w:sz w:val="18"/>
        </w:rPr>
        <w:t>——————————————————————————————————————————————————————————————————————</w:t>
      </w:r>
    </w:p>
    <w:p>
      <w:pPr>
        <w:spacing w:before="160" w:after="40" w:line="240" w:lineRule="auto"/>
      </w:pPr>
      <w:r>
        <w:rPr>
          <w:b/>
        </w:rPr>
        <w:t xml:space="preserve">[2] </w:t>
      </w:r>
      <w:hyperlink r:id="rId118">
        <w:r>
          <w:rPr>
            <w:color w:val="1155CC"/>
            <w:u w:val="single"/>
          </w:rPr>
          <w:t>[ASAP] Probing Terra Incognita of Ni–P Catalysts: Operando Explorations during Hydrogen Evolution Reaction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12:54:47+00:00</w:t>
      </w:r>
      <w:r>
        <w:t xml:space="preserve">    </w:t>
      </w:r>
      <w:r>
        <w:rPr>
          <w:b/>
        </w:rPr>
        <w:t xml:space="preserve">DOI: </w:t>
      </w:r>
      <w:hyperlink r:id="rId119">
        <w:r>
          <w:rPr>
            <w:color w:val="1155CC"/>
            <w:u w:val="single"/>
          </w:rPr>
          <w:t>10.1021/jacs.6c01756</w:t>
        </w:r>
      </w:hyperlink>
    </w:p>
    <w:p>
      <w:pPr>
        <w:spacing w:before="0" w:after="80" w:lineRule="auto" w:line="276"/>
      </w:pPr>
      <w:r>
        <w:rPr>
          <w:b/>
        </w:rPr>
        <w:t xml:space="preserve">摘要（ZH）: </w:t>
      </w:r>
      <w:r>
        <w:t>(empty)</w:t>
      </w:r>
    </w:p>
    <w:p>
      <w:pPr>
        <w:spacing w:before="0" w:after="200" w:lineRule="auto" w:line="276"/>
      </w:pPr>
      <w:r>
        <w:rPr>
          <w:b/>
        </w:rPr>
        <w:t xml:space="preserve">Abstract (EN): </w:t>
      </w:r>
      <w:r>
        <w:t>We have developed two Ni phosphide preparation methods allowing operando XAS surface-sensitive studies of well-defined bulk systems. For Ni K-edge XAS, a Ni2P phase-pure powder was sintered into a high-density pellet and polished for grazing incidence XAS. Ni sites were mildly affected by the acidic electrolyte prior to the HER, while the applied cathodic potential caused the reduction of Ni surface states beyond the states of as-prepared Ni2P. The computed fully H-covered Ni2P [0001] model describes the difference in the operando Ni K-edge GIXAS spectrum well. Upon turning the applied bias off, the Ni sites became immediately oxidized, forming NiO on the surface. Thus, the active phase during the HER is covalent Ni0 close to that in the intermetallic phosphides, and Ni2+ oxides formed after, and not during, the HER. For P K-edge XAS, Ni foam was phosphorized to form a thin Ni3P layer while preserving its high surface area. Upon immersion in the acidic electrolyte, the P sites underwent removal of P5+ phosphates and formed new P coordination, possibly due to the adsorption of protons from the electrolyte. These new P surface states were not affected by turning the cathodic current on and off as soon as the sample was immersed in the acidic electrolyte. However, the removal of the sample from the electrochemical cell and drying in air resulted in substantial depletion and oxidation of surface P. Echoing the observed Ni site chemistry during HER, XAS and XPS suggest that the in situ active P sites are different from the oxidized P states observed under ex situ conditions.</w:t>
      </w:r>
    </w:p>
    <w:p>
      <w:pPr>
        <w:spacing w:before="120" w:after="120"/>
      </w:pPr>
      <w:r>
        <w:rPr>
          <w:sz w:val="18"/>
        </w:rPr>
        <w:t>——————————————————————————————————————————————————————————————————————</w:t>
      </w:r>
    </w:p>
    <w:p>
      <w:pPr>
        <w:spacing w:before="160" w:after="40" w:line="240" w:lineRule="auto"/>
      </w:pPr>
      <w:r>
        <w:rPr>
          <w:b/>
        </w:rPr>
        <w:t xml:space="preserve">[3] </w:t>
      </w:r>
      <w:hyperlink r:id="rId68">
        <w:r>
          <w:rPr>
            <w:color w:val="1155CC"/>
            <w:u w:val="single"/>
          </w:rPr>
          <w:t>[ASAP] Thermal Stability Landscape of Solid-State Batteries</w:t>
        </w:r>
      </w:hyperlink>
    </w:p>
    <w:p>
      <w:pPr>
        <w:spacing w:before="0" w:after="120"/>
      </w:pPr>
      <w:r>
        <w:rPr>
          <w:b/>
        </w:rPr>
        <w:t xml:space="preserve">Source: </w:t>
      </w:r>
      <w:r>
        <w:t>ACS Energy Letters: Latest Articles (ACS Publications)</w:t>
      </w:r>
      <w:r>
        <w:t xml:space="preserve">    </w:t>
      </w:r>
      <w:r>
        <w:rPr>
          <w:b/>
        </w:rPr>
        <w:t xml:space="preserve">Pub date: </w:t>
      </w:r>
      <w:r>
        <w:t>2026-02-24 16:21:22+00:00</w:t>
      </w:r>
      <w:r>
        <w:t xml:space="preserve">    </w:t>
      </w:r>
      <w:r>
        <w:rPr>
          <w:b/>
        </w:rPr>
        <w:t xml:space="preserve">DOI: </w:t>
      </w:r>
      <w:hyperlink r:id="rId69">
        <w:r>
          <w:rPr>
            <w:color w:val="1155CC"/>
            <w:u w:val="single"/>
          </w:rPr>
          <w:t>10.1021/acsenergylett.5c03154</w:t>
        </w:r>
      </w:hyperlink>
    </w:p>
    <w:p>
      <w:pPr>
        <w:spacing w:before="0" w:after="80" w:lineRule="auto" w:line="276"/>
      </w:pPr>
      <w:r>
        <w:rPr>
          <w:b/>
        </w:rPr>
        <w:t xml:space="preserve">摘要（ZH）: </w:t>
      </w:r>
      <w:r>
        <w:t>(empty)</w:t>
      </w:r>
    </w:p>
    <w:p>
      <w:pPr>
        <w:spacing w:before="0" w:after="200" w:lineRule="auto" w:line="276"/>
      </w:pPr>
      <w:r>
        <w:rPr>
          <w:b/>
        </w:rPr>
        <w:t xml:space="preserve">Abstract (EN): </w:t>
      </w:r>
      <w:r>
        <w:t>Solid-state batteries (SSBs) with lithium metal anodes promise to offer high energy densities, enabling applications such as long-range electric vehicles and electric aviation. While various challenges related to transport, chemomechanics, and interfacial morphology have been extensively investigated, the thermal stability of the underlying solid/solid interfaces still requires comprehensive assessment. In this Perspective, we present mechanistic insights into the coupled influence of electrode–electrolyte interactions, heterogeneities, and gas-evolution dynamics in governing distinct thermal instability pathways in inorganic SSBs. The critical role of interphase chemistry and lithium morphology in thermal runaway at the anode/solid electrolyte interface and cathode-driven phenomena such as oxygen release, state-of-charge effects, pressure buildup, and crosstalk reactions are discussed. We further examine how operating conditions including pressure, current density, temperature, and moisture exposure modulate thermo-kinetic pathways and the exothermic behavior of SSBs. Key scientific gaps are identified, providing a foundation for future research toward the development of thermally stable and safe SSBs.</w:t>
      </w:r>
    </w:p>
    <w:p>
      <w:pPr>
        <w:spacing w:before="120" w:after="120"/>
      </w:pPr>
      <w:r>
        <w:rPr>
          <w:sz w:val="18"/>
        </w:rPr>
        <w:t>——————————————————————————————————————————————————————————————————————</w:t>
      </w:r>
    </w:p>
    <w:p>
      <w:pPr>
        <w:spacing w:before="160" w:after="40" w:line="240" w:lineRule="auto"/>
      </w:pPr>
      <w:r>
        <w:rPr>
          <w:b/>
        </w:rPr>
        <w:t xml:space="preserve">[4] </w:t>
      </w:r>
      <w:hyperlink r:id="rId120">
        <w:r>
          <w:rPr>
            <w:color w:val="1155CC"/>
            <w:u w:val="single"/>
          </w:rPr>
          <w:t>[ASAP] Electrooxidation of Ethylene Glycol to Glycolic Acid in a Neutral Electrolyte via Enhanced *OH Generation and Directional Spillover</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18:49:56+00:00</w:t>
      </w:r>
      <w:r>
        <w:t xml:space="preserve">    </w:t>
      </w:r>
      <w:r>
        <w:rPr>
          <w:b/>
        </w:rPr>
        <w:t xml:space="preserve">DOI: </w:t>
      </w:r>
      <w:hyperlink r:id="rId121">
        <w:r>
          <w:rPr>
            <w:color w:val="1155CC"/>
            <w:u w:val="single"/>
          </w:rPr>
          <w:t>10.1021/jacs.6c01709</w:t>
        </w:r>
      </w:hyperlink>
    </w:p>
    <w:p>
      <w:pPr>
        <w:spacing w:before="0" w:after="80" w:lineRule="auto" w:line="276"/>
      </w:pPr>
      <w:r>
        <w:rPr>
          <w:b/>
        </w:rPr>
        <w:t xml:space="preserve">摘要（ZH）: </w:t>
      </w:r>
      <w:r>
        <w:t>(empty)</w:t>
      </w:r>
    </w:p>
    <w:p>
      <w:pPr>
        <w:spacing w:before="0" w:after="200" w:lineRule="auto" w:line="276"/>
      </w:pPr>
      <w:r>
        <w:rPr>
          <w:b/>
        </w:rPr>
        <w:t xml:space="preserve">Abstract (EN): </w:t>
      </w:r>
      <w:r>
        <w:t>Electrochemical upcycling of polyethylene terephthalate (PET)-derived ethylene glycol (EG) into glycolic acid (GA) presents a sustainable route toward circular plastic economy. While recent advances have improved EG oxidation reaction (EGOR) performance in alkaline media, the downstream separation of GA remains cumbersome and inevitably coproduces waste salts. Neutral media offer a promising alternative but are constrained by the difficulty in generating and utilizing *OH, a pivotal EGOR intermediate. Although Ir has been reported to promote H2O dissociation into active *OH species, a major challenge lies in ensuring that the generated *OH effectively participates in EGOR, rather than undergoing self-dehydrogenation (*OH → *O). To address this, we designed an atomically isolated Ir decorated Pd alloy with high-density Ir–Pd interfaces, which establishes an *OH transfer network that promotes *OH-mediated EGOR while suppressing *OH self-dehydrogenation. In situ spectroscopic characterizations reveal that Ir1Pd-SAA facilitates the efficient dissociation of H2O into *OH at Ir single-atom sites, followed by *OH spillover to adjacent Pd sites within an atomic scale, thus triggering EGOR. Ir1Pd-SAA delivers a peak current of 56.2 mA cm–2 at 0.89 V vs RHE, outperforming pure Pd (10.7 mA cm–2 at 0.95 V vs RHE) and IrNPPd (7.3 mA cm–2 0.92 V vs RHE), along with high GA selectivity (80.1%), FE (76.3%), and stability over 330 h. Theoretical calculations confirm the Ir–Pd synergistic effect, where Ir promotes *OH generation and optimizes the electronic structure of Pd to initiate EGOR. This work provides fundamental insights for rational catalyst design for alcohol-to-organic acid conversion in neutral media.</w:t>
      </w:r>
    </w:p>
    <w:p>
      <w:pPr>
        <w:spacing w:before="120" w:after="120"/>
      </w:pPr>
      <w:r>
        <w:rPr>
          <w:sz w:val="18"/>
        </w:rPr>
        <w:t>——————————————————————————————————————————————————————————————————————</w:t>
      </w:r>
    </w:p>
    <w:p>
      <w:pPr>
        <w:spacing w:before="160" w:after="40" w:line="240" w:lineRule="auto"/>
      </w:pPr>
      <w:r>
        <w:rPr>
          <w:b/>
        </w:rPr>
        <w:t xml:space="preserve">[5] </w:t>
      </w:r>
      <w:hyperlink r:id="rId122">
        <w:r>
          <w:rPr>
            <w:color w:val="1155CC"/>
            <w:u w:val="single"/>
          </w:rPr>
          <w:t>Field-free full switching of chiral antiferromagnetic order</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Chiral antiferromagnets1,2 host octupole order3,4 and combine the advantages of antiferromagnets and ferromagnets. Despite the development of numerous switching strategies5,6,7,8,9, the field-free full switching remains unknown, posing an important obstacle to their practical application in memory technology. Here we prepared a homo-junction constituted of Mn3Sn(0001) bottom layer and polycrystalline Mn3Sn top layer. The tilted Kagomé geometry in polycrystalline Mn3Sn divides the out-of-plane spin polarization from Mn3Sn(0001) layer10,11 into the out-of-Kagomé-plane and in-Kagomé-plane components, generating the symmetric (antiferromagnet-type) and asymmetric (ferromagnet-type) driving forces, respectively. The former accelerates octupole rotation, whereas the latter determines switching chirality. Field-free full switching is realized in the unconventional protocol that integrates the advantages of both antiferromagnetic and ferromagnetic switching. It goes beyond the conventional full-switching framework requiring perpendicular uniaxial anisotropy7,12. An unprecedented switching efficiency is achieved, with both current density and power consumption an order of magnitude lower than in previous configurations, by virtue of the highly efficient driving forces due to spin-torque characteristics of octupole order and the ultralow energy barrier arising from easy-plane anisotropy, overcoming their trade-off in conventional protocols. The zero-field switching also shows the advantages of octupole-programmable chirality and robustness to external magnetic field.</w:t>
      </w:r>
    </w:p>
    <w:p>
      <w:pPr>
        <w:spacing w:before="120" w:after="120"/>
      </w:pPr>
      <w:r>
        <w:rPr>
          <w:sz w:val="18"/>
        </w:rPr>
        <w:t>——————————————————————————————————————————————————————————————————————</w:t>
      </w:r>
    </w:p>
    <w:p>
      <w:pPr>
        <w:spacing w:before="160" w:after="40" w:line="240" w:lineRule="auto"/>
      </w:pPr>
      <w:r>
        <w:rPr>
          <w:b/>
        </w:rPr>
        <w:t xml:space="preserve">[6] </w:t>
      </w:r>
      <w:hyperlink r:id="rId123">
        <w:r>
          <w:rPr>
            <w:color w:val="1155CC"/>
            <w:u w:val="single"/>
          </w:rPr>
          <w:t>Hydrofluorocarbon electrolytes for energy-dense and low-temperature batteries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Electrolyte solvents for electrochemical devices have been dominated by oxygen (O)-based and nitrogen (N)-based ligands over the past decades1,2,3,4,5, for which the dipole–ion (Li+, Na+ and so on) interaction usually lays the foundations of ion dissociation and transport but frustrates the charge transfer process at the electrolyte–electrode interface6,7,8,9. Here, by synthesizing alkanes with monofluorinated structures, we show that fluorine (F)-based ligands with designed steric hindrance and Lewis basicity enable salt dissolution of more than 2 mol l−1. Among them, 1,3-difluoro-propane (DFP)-based Li-ion electrolyte is endowed with all merits for energy-dense and low-temperature batteries, including low viscosity (0.95 cp), high oxidation stability (&gt;4.9 V) and ionic conductivity of 0.29 mS cm−1 at −70 °C. By incorporating F atoms in the first solvation shell, the weak F–Li+ coordination facilitates the Li plating/stripping process with Coulombic efficiency (CE) up to 99.7% and exchange current density one magnitude larger than O–Li+ coordination at −50 °C. The electrolytes further enable the operation of lithium-metal pouch cells under an electrolyte amount of less than 0.5 g Ah−1, achieving energy densities greater than 700 Wh kg−1 at room temperature and about 400 Wh kg−1 at −50 °C. The hydrofluorocarbon (HFC) electrolytes in this work provide a feasible approach to building electrochemical systems beyond traditional coordination chemistry.</w:t>
      </w:r>
    </w:p>
    <w:p>
      <w:pPr>
        <w:spacing w:before="120" w:after="120"/>
      </w:pPr>
      <w:r>
        <w:rPr>
          <w:sz w:val="18"/>
        </w:rPr>
        <w:t>——————————————————————————————————————————————————————————————————————</w:t>
      </w:r>
    </w:p>
    <w:p>
      <w:pPr>
        <w:spacing w:before="160" w:after="40" w:line="240" w:lineRule="auto"/>
      </w:pPr>
      <w:r>
        <w:rPr>
          <w:b/>
        </w:rPr>
        <w:t xml:space="preserve">[7] </w:t>
      </w:r>
      <w:hyperlink r:id="rId124">
        <w:r>
          <w:rPr>
            <w:color w:val="1155CC"/>
            <w:u w:val="single"/>
          </w:rPr>
          <w:t>Electrolyte design strategies, failure mechanisms, and future perspectives for wide-temperature-range aqueous zinc-ion batteries</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 </w:t>
      </w:r>
      <w:hyperlink r:id="rId125">
        <w:r>
          <w:rPr>
            <w:color w:val="1155CC"/>
            <w:u w:val="single"/>
          </w:rPr>
          <w:t>Engineering Dynamic Proton “Hubs” in Hydrogen‐Bonded Frameworks for Superprotonic Conductivity</w:t>
        </w:r>
      </w:hyperlink>
    </w:p>
    <w:p>
      <w:pPr>
        <w:spacing w:before="0" w:after="120"/>
      </w:pPr>
      <w:r>
        <w:rPr>
          <w:b/>
        </w:rPr>
        <w:t xml:space="preserve">Source: </w:t>
      </w:r>
      <w:r>
        <w:t>Wiley: Angewandte Chemie International Edition: Table of Contents</w:t>
      </w:r>
      <w:r>
        <w:t xml:space="preserve">    </w:t>
      </w:r>
      <w:r>
        <w:rPr>
          <w:b/>
        </w:rPr>
        <w:t xml:space="preserve">Pub date: </w:t>
      </w:r>
      <w:r>
        <w:t>2026-02-25 09:14:18+00:00</w:t>
      </w:r>
      <w:r>
        <w:t xml:space="preserve">    </w:t>
      </w:r>
      <w:r>
        <w:rPr>
          <w:b/>
        </w:rPr>
        <w:t xml:space="preserve">DOI: </w:t>
      </w:r>
      <w:hyperlink r:id="rId126">
        <w:r>
          <w:rPr>
            <w:color w:val="1155CC"/>
            <w:u w:val="single"/>
          </w:rPr>
          <w:t>10.1002/anie.202525282</w:t>
        </w:r>
      </w:hyperlink>
    </w:p>
    <w:p>
      <w:pPr>
        <w:spacing w:before="0" w:after="80" w:lineRule="auto" w:line="276"/>
      </w:pPr>
      <w:r>
        <w:rPr>
          <w:b/>
        </w:rPr>
        <w:t xml:space="preserve">摘要（ZH）: </w:t>
      </w:r>
      <w:r>
        <w:t>(empty)</w:t>
      </w:r>
    </w:p>
    <w:p>
      <w:pPr>
        <w:spacing w:before="0" w:after="200" w:lineRule="auto" w:line="276"/>
      </w:pPr>
      <w:r>
        <w:rPr>
          <w:b/>
        </w:rPr>
        <w:t xml:space="preserve">Abstract (EN): </w:t>
      </w:r>
      <w:r>
        <w:t>Mimicking the synergistic proton conduction in biology remains a formidable challenge for synthetic materials. Here, we report a strategic approach by engineering dynamic proton "hubs" within hydrogen-bonded organic frameworks (HOFs). These hubs are supramolecular secondary building units (SSBUs) formed by charge-assisted hydrogen bonds between ammonium and sulfonate groups, which are programmed into the frameworks to direct proton traffic. The resulting ammonium-sulfonate HOF, BPDS_NH4, exhibits a highly competitive proton conductivity of 0.21 S cm-1 (90°C, 90% RH). The exceptional performance is governed by the dual function of the proton hubs: their high charge density and hydrophilicity create a highway for vehicular transport of solvated proton clusters (H+(H2O)n), while the dense, dynamic H-bonded network within each hub serves as a confined arena for ultrafast Grotthuss hopping. These processes are synergistically coupled, as verified by activation energy analysis and H/D isotope effect. This work establishes the construction of supramolecular proton hubs as a versatile blueprint for the rational design of advanced proton-conducting materials.</w:t>
      </w:r>
    </w:p>
    <w:p>
      <w:pPr>
        <w:spacing w:before="120" w:after="120"/>
      </w:pPr>
      <w:r>
        <w:rPr>
          <w:sz w:val="18"/>
        </w:rPr>
        <w:t>——————————————————————————————————————————————————————————————————————</w:t>
      </w:r>
    </w:p>
    <w:p>
      <w:pPr>
        <w:spacing w:before="160" w:after="40" w:line="240" w:lineRule="auto"/>
      </w:pPr>
      <w:r>
        <w:rPr>
          <w:b/>
        </w:rPr>
        <w:t xml:space="preserve">[9] </w:t>
      </w:r>
      <w:hyperlink r:id="rId127">
        <w:r>
          <w:rPr>
            <w:color w:val="1155CC"/>
            <w:u w:val="single"/>
          </w:rPr>
          <w:t>A Quinoidal Two‐Dimensional Metal–Organic Framework for High‐Performance Micro‐Supercapacitors and Solid‐State Lithium Batteries</w:t>
        </w:r>
      </w:hyperlink>
    </w:p>
    <w:p>
      <w:pPr>
        <w:spacing w:before="0" w:after="120"/>
      </w:pPr>
      <w:r>
        <w:rPr>
          <w:b/>
        </w:rPr>
        <w:t xml:space="preserve">Source: </w:t>
      </w:r>
      <w:r>
        <w:t>Wiley: Angewandte Chemie International Edition: Table of Contents</w:t>
      </w:r>
      <w:r>
        <w:t xml:space="preserve">    </w:t>
      </w:r>
      <w:r>
        <w:rPr>
          <w:b/>
        </w:rPr>
        <w:t xml:space="preserve">Pub date: </w:t>
      </w:r>
      <w:r>
        <w:t>2026-02-25 09:22:42+00:00</w:t>
      </w:r>
      <w:r>
        <w:t xml:space="preserve">    </w:t>
      </w:r>
      <w:r>
        <w:rPr>
          <w:b/>
        </w:rPr>
        <w:t xml:space="preserve">DOI: </w:t>
      </w:r>
      <w:hyperlink r:id="rId128">
        <w:r>
          <w:rPr>
            <w:color w:val="1155CC"/>
            <w:u w:val="single"/>
          </w:rPr>
          <w:t>10.1002/anie.202525047</w:t>
        </w:r>
      </w:hyperlink>
    </w:p>
    <w:p>
      <w:pPr>
        <w:spacing w:before="0" w:after="80" w:lineRule="auto" w:line="276"/>
      </w:pPr>
      <w:r>
        <w:rPr>
          <w:b/>
        </w:rPr>
        <w:t xml:space="preserve">摘要（ZH）: </w:t>
      </w:r>
      <w:r>
        <w:t>(empty)</w:t>
      </w:r>
    </w:p>
    <w:p>
      <w:pPr>
        <w:spacing w:before="0" w:after="200" w:lineRule="auto" w:line="276"/>
      </w:pPr>
      <w:r>
        <w:rPr>
          <w:b/>
        </w:rPr>
        <w:t xml:space="preserve">Abstract (EN): </w:t>
      </w:r>
      <w:r>
        <w:t>Two-dimensional (2D) metal-organic frameworks (MOFs) integrating redox-active linkers enable dense charge sites and open ion pathways for microscale energy storage. We report a quinoidal dicarboxylate ligand, AQM-H2L, derived from p-azaquinodimethane, forming crystalline frameworks with Cu2+ and Zn2+ nodes. The Cu-based MOF (AQM-AQM-H2L-Cu) exhibits layered sheets (&gt;14 Å spacing) constructed from dinuclear Cu-carboxylate units and conjugated AQM linkers, which narrow the bandgap and introduce Cu2+/Cu+ pseudocapacitance. Exfoliated nanosheets (∼5 nm) retain crystallinity and excellent processability. Integrated into graphene films, they deliver areal and volumetric capacitances of 29.6 mF cm-2 and 18.1 F cm-3, achieving 2.6 mWh cm-3 energy density at 160 mW cm-3. As ionic fillers (1 wt%) in PEO solid polymer electrolytes, the nanosheets markedly enhance LiFePO4 cell performance, affording 169.8 mAh g-1 at 0.2 C and 93% retention after 400 cycles. This work establishes quinoidal linkers as a compact and robust design motif for ionically active 2D frameworks toward high-performance miniature and solid-state energy devices.</w:t>
      </w:r>
    </w:p>
    <w:p>
      <w:pPr>
        <w:spacing w:before="120" w:after="120"/>
      </w:pPr>
      <w:r>
        <w:rPr>
          <w:sz w:val="18"/>
        </w:rPr>
        <w:t>——————————————————————————————————————————————————————————————————————</w:t>
      </w:r>
    </w:p>
    <w:p>
      <w:pPr>
        <w:spacing w:before="160" w:after="40" w:line="240" w:lineRule="auto"/>
      </w:pPr>
      <w:r>
        <w:rPr>
          <w:b/>
        </w:rPr>
        <w:t xml:space="preserve">[10] </w:t>
      </w:r>
      <w:hyperlink r:id="rId129">
        <w:r>
          <w:rPr>
            <w:color w:val="1155CC"/>
            <w:u w:val="single"/>
          </w:rPr>
          <w:t>[ASAP] pH Controls Charge Localization in Redox-Active Ladder Polymers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13:32:02+00:00</w:t>
      </w:r>
      <w:r>
        <w:t xml:space="preserve">    </w:t>
      </w:r>
      <w:r>
        <w:rPr>
          <w:b/>
        </w:rPr>
        <w:t xml:space="preserve">DOI: </w:t>
      </w:r>
      <w:hyperlink r:id="rId130">
        <w:r>
          <w:rPr>
            <w:color w:val="1155CC"/>
            <w:u w:val="single"/>
          </w:rPr>
          <w:t>10.1021/jacs.5c19318</w:t>
        </w:r>
      </w:hyperlink>
    </w:p>
    <w:p>
      <w:pPr>
        <w:spacing w:before="0" w:after="80" w:lineRule="auto" w:line="276"/>
      </w:pPr>
      <w:r>
        <w:rPr>
          <w:b/>
        </w:rPr>
        <w:t xml:space="preserve">摘要（ZH）: </w:t>
      </w:r>
      <w:r>
        <w:t>(empty)</w:t>
      </w:r>
    </w:p>
    <w:p>
      <w:pPr>
        <w:spacing w:before="0" w:after="200" w:lineRule="auto" w:line="276"/>
      </w:pPr>
      <w:r>
        <w:rPr>
          <w:b/>
        </w:rPr>
        <w:t xml:space="preserve">Abstract (EN): </w:t>
      </w:r>
      <w:r>
        <w:t>Organic mixed ionic-electronic conducting polymers (OMIECs) are versatile active materials for applications in transistors, energy storage, and bioelectronics. To meet the varied demands of these technologies, the chemical structure of an OMIEC is often designed with the goal of modifying the localization of added charge, modulating the energetics of frontier orbitals, and altering the degree of charge transfer to charge compensating species. Here, we show that the redox behavior of the archetypal ladder OMIEC, poly(benzimidazobenzophenanthroline) (BBL), is fundamentally modulated by the pH of the electrolyte, even under neutral to basic conditions where protons were previously assumed to not participate in redox processes. Through a combination of electrochemical characterization, operando Raman spectroscopy, ab initio simulations and electrochemical modeling with a multicomponent regular solution framework, we untangle BBL's redox mechanism. Our results reveal the competitive formation of proton-coupled and salt cation-coupled redox states, each possessing distinct characteristics. Notably, we find that proton-coupled redox dominates at neutral pHs, challenging the prevailing view that BBL is reduced to its salt-compensated bipolaronic form in this pH regime. Using a modified Pourbaix diagram, we illustrate how the balance between a proton-coupled and salt cation-coupled form of BBL can be continuously tuned via pH and applied potential. These findings highlight the complexity of multiphase coexistence and nontrivial effect of pH in controlling the redox properties of n-type ladder OMIECs, paving the way to understand and ultimately control a wide range of aqueous electrochemical reactions.</w:t>
      </w:r>
    </w:p>
    <w:p>
      <w:pPr>
        <w:spacing w:before="120" w:after="120"/>
      </w:pPr>
      <w:r>
        <w:rPr>
          <w:sz w:val="18"/>
        </w:rPr>
        <w:t>——————————————————————————————————————————————————————————————————————</w:t>
      </w:r>
    </w:p>
    <w:p>
      <w:pPr>
        <w:spacing w:before="160" w:after="40" w:line="240" w:lineRule="auto"/>
      </w:pPr>
      <w:r>
        <w:rPr>
          <w:b/>
        </w:rPr>
        <w:t xml:space="preserve">[11] </w:t>
      </w:r>
      <w:hyperlink r:id="rId131">
        <w:r>
          <w:rPr>
            <w:color w:val="1155CC"/>
            <w:u w:val="single"/>
          </w:rPr>
          <w:t>[ASAP] Conductive Two-Dimensional Metal–Organic Frameworks Connected through Metal N-Heterocyclic Carbene Complexes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16:08:48+00:00</w:t>
      </w:r>
      <w:r>
        <w:t xml:space="preserve">    </w:t>
      </w:r>
      <w:r>
        <w:rPr>
          <w:b/>
        </w:rPr>
        <w:t xml:space="preserve">DOI: </w:t>
      </w:r>
      <w:hyperlink r:id="rId132">
        <w:r>
          <w:rPr>
            <w:color w:val="1155CC"/>
            <w:u w:val="single"/>
          </w:rPr>
          <w:t>10.1021/jacs.5c21368</w:t>
        </w:r>
      </w:hyperlink>
    </w:p>
    <w:p>
      <w:pPr>
        <w:spacing w:before="0" w:after="80" w:lineRule="auto" w:line="276"/>
      </w:pPr>
      <w:r>
        <w:rPr>
          <w:b/>
        </w:rPr>
        <w:t xml:space="preserve">摘要（ZH）: </w:t>
      </w:r>
      <w:r>
        <w:t>(empty)</w:t>
      </w:r>
    </w:p>
    <w:p>
      <w:pPr>
        <w:spacing w:before="0" w:after="200" w:lineRule="auto" w:line="276"/>
      </w:pPr>
      <w:r>
        <w:rPr>
          <w:b/>
        </w:rPr>
        <w:t xml:space="preserve">Abstract (EN): </w:t>
      </w:r>
      <w:r>
        <w:t>Two-dimensional conductive metal-organic frameworks (2D cMOFs) have attracted widespread attention owing to their distinct conjugation and stacked layered structures. However, the linkages of these 2D cMOFs are limited to diamine, diphenol, or dithiophenol metal complexes. In this work, we employed silver and copper &lt;i&gt;N&lt;/i&gt;-heterocyclic carbene (NHC) complexes as linkages for the construction of 2D cMOFs. The obtained materials exhibit high crystallinity, uniform one-dimensional channels, and excellent stability. Significantly, these cMOFs show electronic conductivity and ionic conductivity values as high as 10&lt;sup&gt;-3&lt;/sup&gt; and 10&lt;sup&gt;-4&lt;/sup&gt; S cm&lt;sup&gt;-1&lt;/sup&gt;, respectively. The cMOFs can serve as an artificial solid electrolyte interphase on a sodium metal anode, effectively guiding the uniform nucleation of sodium ions and inhibiting the growth of sodium dendrites. Moreover, full cells incorporating the MOFs interlayer demonstrated remarkable cycling stability, retaining 92% capacity after 830 cycles at 2 C. This work not only expands the structural diversity of 2D cMOFs but also provides a new design strategy for functional 2D crystalline organic polymers.</w:t>
      </w:r>
    </w:p>
    <w:p>
      <w:pPr>
        <w:spacing w:before="120" w:after="120"/>
      </w:pPr>
      <w:r>
        <w:rPr>
          <w:sz w:val="18"/>
        </w:rPr>
        <w:t>——————————————————————————————————————————————————————————————————————</w:t>
      </w:r>
    </w:p>
    <w:p>
      <w:pPr>
        <w:spacing w:before="160" w:after="40" w:line="240" w:lineRule="auto"/>
      </w:pPr>
      <w:r>
        <w:rPr>
          <w:b/>
        </w:rPr>
        <w:t xml:space="preserve">[12] </w:t>
      </w:r>
      <w:hyperlink r:id="rId133">
        <w:r>
          <w:rPr>
            <w:color w:val="1155CC"/>
            <w:u w:val="single"/>
          </w:rPr>
          <w:t>[ASAP] Heterogeneous Cations Enable Crystallographic Regulation of Na Deposition toward Dendrite-Free Sodium Metal Batteries</w:t>
        </w:r>
      </w:hyperlink>
    </w:p>
    <w:p>
      <w:pPr>
        <w:spacing w:before="0" w:after="120"/>
      </w:pPr>
      <w:r>
        <w:rPr>
          <w:b/>
        </w:rPr>
        <w:t xml:space="preserve">Source: </w:t>
      </w:r>
      <w:r>
        <w:t>ACS Energy Letters: Latest Articles (ACS Publications)</w:t>
      </w:r>
      <w:r>
        <w:t xml:space="preserve">    </w:t>
      </w:r>
      <w:r>
        <w:rPr>
          <w:b/>
        </w:rPr>
        <w:t xml:space="preserve">Pub date: </w:t>
      </w:r>
      <w:r>
        <w:t>2026-02-26 10:07:22+00:00</w:t>
      </w:r>
      <w:r>
        <w:t xml:space="preserve">    </w:t>
      </w:r>
      <w:r>
        <w:rPr>
          <w:b/>
        </w:rPr>
        <w:t xml:space="preserve">DOI: </w:t>
      </w:r>
      <w:hyperlink r:id="rId134">
        <w:r>
          <w:rPr>
            <w:color w:val="1155CC"/>
            <w:u w:val="single"/>
          </w:rPr>
          <w:t>10.1021/acsenergylett.5c04001</w:t>
        </w:r>
      </w:hyperlink>
    </w:p>
    <w:p>
      <w:pPr>
        <w:spacing w:before="0" w:after="80" w:lineRule="auto" w:line="276"/>
      </w:pPr>
      <w:r>
        <w:rPr>
          <w:b/>
        </w:rPr>
        <w:t xml:space="preserve">摘要（ZH）: </w:t>
      </w:r>
      <w:r>
        <w:t>(empty)</w:t>
      </w:r>
    </w:p>
    <w:p>
      <w:pPr>
        <w:spacing w:before="0" w:after="200" w:lineRule="auto" w:line="276"/>
      </w:pPr>
      <w:r>
        <w:rPr>
          <w:b/>
        </w:rPr>
        <w:t xml:space="preserve">Abstract (EN): </w:t>
      </w:r>
      <w:r>
        <w:t>Sodium metal batteries have great promise for next-generation energy storage but face fundamental challenges of dendritic growth and interfacial instability. Herein, a gel polymer electrolyte incorporating multifunctional rubidium carbonate (Rb2CO3) additive is proposed (GPE+R) to stabilize the electrolyte–electrode interface and induce uniform Na deposition. Through optimal geometric matching and surface energy anisotropy, Rb+ cations preferentially adsorb onto the Na(200) plane, creating an electrostatic shielding effect that redirects planar Na deposition toward the closest-packed (110) plane. Simultaneously, Rb+ can also participate in competitive solvation with Na+, modifying the solvation structure and reducing the Na+ desolvation barrier. Consequently, the modified electrolyte enables dendrite-free Na deposition and 96.2% capacity retention after 4000 cycles in Na3V2(PO4)3||GPE+R||Na cells. The practical viability and mechanical flexibility are further verified by the operation of NaNi1/3Fe1/3Mn1/3O2||Na pouch cells. This work provides a clue for crystallographic regulation for dendrite-free Na anodes and paves a pathway toward high-energy-density Na metal batteries.</w:t>
      </w:r>
    </w:p>
    <w:p>
      <w:pPr>
        <w:spacing w:before="120" w:after="120"/>
      </w:pPr>
      <w:r>
        <w:rPr>
          <w:sz w:val="18"/>
        </w:rPr>
        <w:t>——————————————————————————————————————————————————————————————————————</w:t>
      </w:r>
    </w:p>
    <w:p>
      <w:pPr>
        <w:spacing w:before="160" w:after="40" w:line="240" w:lineRule="auto"/>
      </w:pPr>
      <w:r>
        <w:rPr>
          <w:b/>
        </w:rPr>
        <w:t xml:space="preserve">[13] </w:t>
      </w:r>
      <w:hyperlink r:id="rId135">
        <w:r>
          <w:rPr>
            <w:color w:val="1155CC"/>
            <w:u w:val="single"/>
          </w:rPr>
          <w:t>[ASAP] Interfacial Adsorbate Competition Regulates Intermediate Stabilization and Onset Potential in Acidic CO2 Electroreduction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12:45:54+00:00</w:t>
      </w:r>
      <w:r>
        <w:t xml:space="preserve">    </w:t>
      </w:r>
      <w:r>
        <w:rPr>
          <w:b/>
        </w:rPr>
        <w:t xml:space="preserve">DOI: </w:t>
      </w:r>
      <w:hyperlink r:id="rId136">
        <w:r>
          <w:rPr>
            <w:color w:val="1155CC"/>
            <w:u w:val="single"/>
          </w:rPr>
          <w:t>10.1021/jacs.5c22970</w:t>
        </w:r>
      </w:hyperlink>
    </w:p>
    <w:p>
      <w:pPr>
        <w:spacing w:before="0" w:after="80" w:lineRule="auto" w:line="276"/>
      </w:pPr>
      <w:r>
        <w:rPr>
          <w:b/>
        </w:rPr>
        <w:t xml:space="preserve">摘要（ZH）: </w:t>
      </w:r>
      <w:r>
        <w:t>(empty)</w:t>
      </w:r>
    </w:p>
    <w:p>
      <w:pPr>
        <w:spacing w:before="0" w:after="200" w:lineRule="auto" w:line="276"/>
      </w:pPr>
      <w:r>
        <w:rPr>
          <w:b/>
        </w:rPr>
        <w:t xml:space="preserve">Abstract (EN): </w:t>
      </w:r>
      <w:r>
        <w:t>Electrochemical CO2 reduction (CO2R) in acid may enable high carbon utilization but faces selectivity challenges, particularly from the Hydrogen Evolution Reaction (HER). While the source of protons and cation concentrations play a role in this balance, the role of anions remains underexplored. Here, we combine in situ surface-enhanced Raman Spectroscopy during CO2R in acid with theoretical simulations to investigate the role of anionic species over copper gas diffusion electrodes at application-relevant current densities (up to 0.2 A·cm-2) and performance. Our observations reveal that sulfate adsorption inhibits CO2R at low pH and delays CO2R intermediate formation, which is enabled by hydroxyl species coadsorption. Such competition regulates *CO stabilization and the balanced *CO coverage needed to favor the formation of multicarbon products. These results shed light on how anion interactions govern CO2R selectivity under acidic conditions and their impact on overpotentials, offering guidance on catalyst-electrolyte interface design.</w:t>
      </w:r>
    </w:p>
    <w:p>
      <w:pPr>
        <w:spacing w:before="120" w:after="120"/>
      </w:pPr>
      <w:r>
        <w:rPr>
          <w:sz w:val="18"/>
        </w:rPr>
        <w:t>——————————————————————————————————————————————————————————————————————</w:t>
      </w:r>
    </w:p>
    <w:p>
      <w:pPr>
        <w:spacing w:before="160" w:after="40" w:line="240" w:lineRule="auto"/>
      </w:pPr>
      <w:r>
        <w:rPr>
          <w:b/>
        </w:rPr>
        <w:t xml:space="preserve">[14] </w:t>
      </w:r>
      <w:hyperlink r:id="rId137">
        <w:r>
          <w:rPr>
            <w:color w:val="1155CC"/>
            <w:u w:val="single"/>
          </w:rPr>
          <w:t>[ASAP] Ion-Conductive Wires Form High-Performance All-Solid-State Polymer Electrolytes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18:21:24+00:00</w:t>
      </w:r>
      <w:r>
        <w:t xml:space="preserve">    </w:t>
      </w:r>
      <w:r>
        <w:rPr>
          <w:b/>
        </w:rPr>
        <w:t xml:space="preserve">DOI: </w:t>
      </w:r>
      <w:hyperlink r:id="rId138">
        <w:r>
          <w:rPr>
            <w:color w:val="1155CC"/>
            <w:u w:val="single"/>
          </w:rPr>
          <w:t>10.1021/jacs.5c18752</w:t>
        </w:r>
      </w:hyperlink>
    </w:p>
    <w:p>
      <w:pPr>
        <w:spacing w:before="0" w:after="80" w:lineRule="auto" w:line="276"/>
      </w:pPr>
      <w:r>
        <w:rPr>
          <w:b/>
        </w:rPr>
        <w:t xml:space="preserve">摘要（ZH）: </w:t>
      </w:r>
      <w:r>
        <w:t>(empty)</w:t>
      </w:r>
    </w:p>
    <w:p>
      <w:pPr>
        <w:spacing w:before="0" w:after="200" w:lineRule="auto" w:line="276"/>
      </w:pPr>
      <w:r>
        <w:rPr>
          <w:b/>
        </w:rPr>
        <w:t xml:space="preserve">Abstract (EN): </w:t>
      </w:r>
      <w:r>
        <w:t>Solid-state batteries are poised to transform energy storage by eliminating the risks of flammable liquid electrolytes, enabling safer, higher-density systems for electric vehicles, renewable grids, and electronics in the race to net-zero emissions by 2050. Yet, all-solid-state polymer electrolytes have been limited by low ionic conductivity, poor lithium transference, and instability at room temperature, often requiring additives or heating that compromise their advantages. We introduce ion-conductive wires (ICWs), a new class of self-assembling nanostructured polymers with a hierarchical block-brush architecture. Featuring a flexible polysiloxane backbone, a PEG-rich core for rapid anisotropic Li+ transport, and a fluorinated sheath for oxidative stability and anion suppression, ICWs self-organize with continuous channels via the fluorous effect. Screening a library of architectures revealed an optimal design delivering an ionic conductivity of 1.8 × 10-4 S cm-1, a lithium transference number of 0.62, and stability up to 5.23 V at 30 °C─without liquids or fillers. This enables 200 cycles in Li/LFP cells with 96% capacity retention, stable operation in high-voltage Li/NCM622 cells, and 2000 h of lithium plating/stripping. ICWs offer a tunable platform for high-performance, scalable solid-state batteries, accelerating sustainable energy solutions.</w:t>
      </w:r>
    </w:p>
    <w:p>
      <w:pPr>
        <w:spacing w:before="120" w:after="120"/>
      </w:pPr>
      <w:r>
        <w:rPr>
          <w:sz w:val="18"/>
        </w:rPr>
        <w:t>——————————————————————————————————————————————————————————————————————</w:t>
      </w:r>
    </w:p>
    <w:p>
      <w:pPr>
        <w:spacing w:before="160" w:after="40" w:line="240" w:lineRule="auto"/>
      </w:pPr>
      <w:r>
        <w:rPr>
          <w:b/>
        </w:rPr>
        <w:t xml:space="preserve">[15] </w:t>
      </w:r>
      <w:hyperlink r:id="rId139">
        <w:r>
          <w:rPr>
            <w:color w:val="1155CC"/>
            <w:u w:val="single"/>
          </w:rPr>
          <w:t>Publisher Correction: Zinc-oligoether carboxylate salts as electrolyte additives for aqueous Zn metal batteries</w:t>
        </w:r>
      </w:hyperlink>
    </w:p>
    <w:p>
      <w:pPr>
        <w:spacing w:before="0" w:after="120"/>
      </w:pPr>
      <w:r>
        <w:rPr>
          <w:b/>
        </w:rPr>
        <w:t xml:space="preserve">Source: </w:t>
      </w:r>
      <w:r>
        <w:t>Nature Communications</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 </w:t>
      </w:r>
      <w:hyperlink r:id="rId140">
        <w:r>
          <w:rPr>
            <w:color w:val="1155CC"/>
            <w:u w:val="single"/>
          </w:rPr>
          <w:t>Lipophilic Self‐Wetting Ionogel Electrodes for Long‐Term High‐Fidelity Electroencephalogram Recording</w:t>
        </w:r>
      </w:hyperlink>
    </w:p>
    <w:p>
      <w:pPr>
        <w:spacing w:before="0" w:after="120"/>
      </w:pPr>
      <w:r>
        <w:rPr>
          <w:b/>
        </w:rPr>
        <w:t xml:space="preserve">Source: </w:t>
      </w:r>
      <w:r>
        <w:t>Wiley: Advanced Materials: Table of Contents</w:t>
      </w:r>
      <w:r>
        <w:t xml:space="preserve">    </w:t>
      </w:r>
      <w:r>
        <w:rPr>
          <w:b/>
        </w:rPr>
        <w:t xml:space="preserve">Pub date: </w:t>
      </w:r>
      <w:r>
        <w:t>2026-02-27 08:00:00+00:00</w:t>
      </w:r>
      <w:r>
        <w:t xml:space="preserve">    </w:t>
      </w:r>
      <w:r>
        <w:rPr>
          <w:b/>
        </w:rPr>
        <w:t xml:space="preserve">DOI: </w:t>
      </w:r>
      <w:hyperlink r:id="rId141">
        <w:r>
          <w:rPr>
            <w:color w:val="1155CC"/>
            <w:u w:val="single"/>
          </w:rPr>
          <w:t>10.1002/adma.202523019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[17] </w:t>
      </w:r>
      <w:hyperlink r:id="rId142">
        <w:r>
          <w:rPr>
            <w:color w:val="1155CC"/>
            <w:u w:val="single"/>
          </w:rPr>
          <w:t>Constructing High‐Power N‐Type Thermocells via Fluoride‐Mediated Imidazole–Iodine Coordination</w:t>
        </w:r>
      </w:hyperlink>
    </w:p>
    <w:p>
      <w:pPr>
        <w:spacing w:before="0" w:after="120"/>
      </w:pPr>
      <w:r>
        <w:rPr>
          <w:b/>
        </w:rPr>
        <w:t xml:space="preserve">Source: </w:t>
      </w:r>
      <w:r>
        <w:t>Wiley: Angewandte Chemie International Edition: Table of Contents</w:t>
      </w:r>
      <w:r>
        <w:t xml:space="preserve">    </w:t>
      </w:r>
      <w:r>
        <w:rPr>
          <w:b/>
        </w:rPr>
        <w:t xml:space="preserve">Pub date: </w:t>
      </w:r>
      <w:r>
        <w:t>2026-02-27 12:25:59+00:00</w:t>
      </w:r>
      <w:r>
        <w:t xml:space="preserve">    </w:t>
      </w:r>
      <w:r>
        <w:rPr>
          <w:b/>
        </w:rPr>
        <w:t xml:space="preserve">DOI: </w:t>
      </w:r>
      <w:hyperlink r:id="rId143">
        <w:r>
          <w:rPr>
            <w:color w:val="1155CC"/>
            <w:u w:val="single"/>
          </w:rPr>
          <w:t>10.1002/anie.202525056</w:t>
        </w:r>
      </w:hyperlink>
    </w:p>
    <w:p>
      <w:pPr>
        <w:spacing w:before="0" w:after="80" w:lineRule="auto" w:line="276"/>
      </w:pPr>
      <w:r>
        <w:rPr>
          <w:b/>
        </w:rPr>
        <w:t xml:space="preserve">摘要（ZH）: </w:t>
      </w:r>
      <w:r>
        <w:t>(empty)</w:t>
      </w:r>
    </w:p>
    <w:p>
      <w:pPr>
        <w:spacing w:before="0" w:after="200" w:lineRule="auto" w:line="276"/>
      </w:pPr>
      <w:r>
        <w:rPr>
          <w:b/>
        </w:rPr>
        <w:t xml:space="preserve">Abstract (EN): </w:t>
      </w:r>
      <w:r>
        <w:t>I-/I3 --based thermocells show great potential for low-grade heat harvesting because of their affordability, adjustable electrochemical Seebeck coefficient (Se), and ease of device integration. However, current strategies of developing high-performance I-/I3 --based thermocells usually result in substantial imbalance between Se and ultimate output power due to deteriorated ion transportation and replenishment. Herein, we propose a novel fluoride-mediated coordination strategy to break this trade-off. By introducing potassium fluoride and 1-(2-hydroxyethyl)imidazole (HEI) into the electrolyte, we engineer in situ formation of thermosensitive HEI-I2F- coordinated complexes. These complexes undergo reversible temperature-dependent precipitation and dissociation, creating a significant concentration ratio gradient, thereby remarkably increasing Se. Concurrently, the introduced ligand ions disrupt the original hydrogen bonding of water molecules, facilitating superior ion transport for increased output current. Consequently, the optimized thermocell achieves a high Se of 1.53 mV K-1 and a maximum power density of 124.74 mW m-2 at ΔT = 30 K. This work provides a versatile and effective pathway toward high-power thermocells for low-grade heat harvesting.</w:t>
      </w:r>
    </w:p>
    <w:p>
      <w:pPr>
        <w:spacing w:before="120" w:after="120"/>
      </w:pPr>
      <w:r>
        <w:rPr>
          <w:sz w:val="18"/>
        </w:rPr>
        <w:t>——————————————————————————————————————————————————————————————————————</w:t>
      </w:r>
    </w:p>
    <w:p>
      <w:pPr>
        <w:spacing w:before="160" w:after="40" w:line="240" w:lineRule="auto"/>
      </w:pPr>
      <w:r>
        <w:rPr>
          <w:b/>
        </w:rPr>
        <w:t xml:space="preserve">[18] </w:t>
      </w:r>
      <w:hyperlink r:id="rId144">
        <w:r>
          <w:rPr>
            <w:color w:val="1155CC"/>
            <w:u w:val="single"/>
          </w:rPr>
          <w:t>Polyanion-stabilized amorphous halide electrolytes with low lithium content for all-solid-state lithium batteries</w:t>
        </w:r>
      </w:hyperlink>
    </w:p>
    <w:p>
      <w:pPr>
        <w:spacing w:before="0" w:after="120"/>
      </w:pPr>
      <w:r>
        <w:rPr>
          <w:b/>
        </w:rPr>
        <w:t xml:space="preserve">Source: </w:t>
      </w:r>
      <w:r>
        <w:t>Nature Communications</w:t>
      </w:r>
      <w:r>
        <w:t xml:space="preserve">    </w:t>
      </w:r>
      <w:r>
        <w:rPr>
          <w:b/>
        </w:rPr>
        <w:t xml:space="preserve">Pub date: </w:t>
      </w:r>
      <w:r>
        <w:t>2026-02-28 00:00:00+00:00</w:t>
      </w:r>
      <w:r>
        <w:t xml:space="preserve">    </w:t>
      </w:r>
      <w:r>
        <w:rPr>
          <w:b/>
        </w:rPr>
        <w:t xml:space="preserve">DOI: </w:t>
      </w:r>
      <w:hyperlink r:id="rId145">
        <w:r>
          <w:rPr>
            <w:color w:val="1155CC"/>
            <w:u w:val="single"/>
          </w:rPr>
          <w:t>10.1038/s41467-026-69737-x</w:t>
        </w:r>
      </w:hyperlink>
    </w:p>
    <w:p>
      <w:pPr>
        <w:spacing w:before="0" w:after="80" w:lineRule="auto" w:line="276"/>
      </w:pPr>
      <w:r>
        <w:rPr>
          <w:b/>
        </w:rPr>
        <w:t xml:space="preserve">摘要（ZH）: </w:t>
      </w:r>
      <w:r>
        <w:t>(empty)</w:t>
      </w:r>
    </w:p>
    <w:p>
      <w:pPr>
        <w:spacing w:before="0" w:after="200" w:lineRule="auto" w:line="276"/>
      </w:pPr>
      <w:r>
        <w:rPr>
          <w:b/>
        </w:rPr>
        <w:t xml:space="preserve">Abstract (EN): </w:t>
      </w:r>
      <w:r>
        <w:t>Lithium halide solid electrolytes have garnered significant attention owing to their high ionic conductivity and positive electrode compatibility. However, achieving target ionic conductivity typically requires high lithium concentration (&gt;4.3 wt%) within optimal structure, which raises costs and exacerbates air sensitivity. Here, we leverage anion clusters to synthesize a series of amorphous halide electrolytes xLi2SO4-ZrCl4, with optimal ionic conductivities of 1.5 mS cm-1 at 30 °C and a significantly reduced lithium content of 2.4 wt%, alongside good air stability. Through neutron/synchrotron X-ray experiments, first-principles calculations and machine learning-accelerated molecular dynamics simulations, we reveal a disordered backbone of [ZraCl4a(SO4)]2- (1 ≤ a ≤ 4) that enables fast Li-ion diffusion via under-coordinated oxygen sites. All-solid-state lithium batteries employing these electrolytes and LiNi0.8Co0.1Mn0.1O2 positive electrode exhibit 81.1% capacity retention after 1400 cycles at 1 C (60 min) and 30 °C. Our findings reveal anion-cluster chemistry as an approach that transforms solid electrolyte design for advanced batteries, bridging materials science with practical energy storage innovation.</w:t>
      </w:r>
    </w:p>
    <w:p>
      <w:pPr>
        <w:spacing w:before="120" w:after="120"/>
      </w:pPr>
      <w:r>
        <w:rPr>
          <w:sz w:val="18"/>
        </w:rPr>
        <w:t>——————————————————————————————————————————————————————————————————————</w:t>
      </w:r>
    </w:p>
    <w:p>
      <w:pPr>
        <w:spacing w:before="160" w:after="120"/>
      </w:pPr>
      <w:r>
        <w:rPr>
          <w:b/>
          <w:sz w:val="28"/>
        </w:rPr>
        <w:t>【非活性材料等】</w:t>
      </w:r>
    </w:p>
    <w:p>
      <w:pPr>
        <w:spacing w:before="160" w:after="40" w:line="240" w:lineRule="auto"/>
      </w:pPr>
      <w:r>
        <w:rPr>
          <w:b/>
        </w:rPr>
        <w:t xml:space="preserve">[1] </w:t>
      </w:r>
      <w:hyperlink r:id="rId146">
        <w:r>
          <w:rPr>
            <w:color w:val="1155CC"/>
            <w:u w:val="single"/>
          </w:rPr>
          <w:t>A water-soluble binder for recyclable lithium-ion batteries</w:t>
        </w:r>
      </w:hyperlink>
    </w:p>
    <w:p>
      <w:pPr>
        <w:spacing w:before="0" w:after="120"/>
      </w:pPr>
      <w:r>
        <w:rPr>
          <w:b/>
        </w:rPr>
        <w:t xml:space="preserve">Source: </w:t>
      </w:r>
      <w:r>
        <w:t>Nature Sustainability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The substantial growth in the market for lithium-ion batteries has created a huge challenge for their end-of-life management and demands sustainable solutions. Direct recycling is a promising choice due to its superior energy efficiency and environmental benefits, particularly the advantage in preserving the original chemistry and structure of the target materials. However, binders hold the active electrode materials and the current collectors tightly together, and their separation usually involves energy-intensive thermal treatment and environmentally hazardous chemicals. Here we present a water-soluble binder by crosslinking natural sericin protein with sulfuric acid through supramolecular interactions. The as-fabricated binder demonstrates comparable electrochemical performance with the most common polyvinylidene fluoride formulation, when applied to a typical LiNi1/3Co1/3Mn1/3O2 (NCM111) cathode. A 1.3-Ah pouch cell retained 85.0% of its initial capacity after 500 cycles. Equally importantly, after being soaked in water at 50 °C for less than 1 min, the NCM111 and graphite can be completely detached from the current collectors for recycling. By integrating the circular economy into the battery design, this work paves the way for the development of next-generation battery chemistries with enhanced sustainability.</w:t>
      </w:r>
    </w:p>
    <w:p>
      <w:pPr>
        <w:spacing w:before="120" w:after="120"/>
      </w:pPr>
      <w:r>
        <w:rPr>
          <w:sz w:val="18"/>
        </w:rPr>
        <w:t>——————————————————————————————————————————————————————————————————————</w:t>
      </w:r>
    </w:p>
    <w:p>
      <w:pPr>
        <w:spacing w:before="160" w:after="40" w:line="240" w:lineRule="auto"/>
      </w:pPr>
      <w:r>
        <w:rPr>
          <w:b/>
        </w:rPr>
        <w:t xml:space="preserve">[2] </w:t>
      </w:r>
      <w:hyperlink r:id="rId147">
        <w:r>
          <w:rPr>
            <w:color w:val="1155CC"/>
            <w:u w:val="single"/>
          </w:rPr>
          <w:t>[ASAP] Advancing Battery Manufacturing: Synchrotron Characterization for Industry</w:t>
        </w:r>
      </w:hyperlink>
    </w:p>
    <w:p>
      <w:pPr>
        <w:spacing w:before="0" w:after="120"/>
      </w:pPr>
      <w:r>
        <w:rPr>
          <w:b/>
        </w:rPr>
        <w:t xml:space="preserve">Source: </w:t>
      </w:r>
      <w:r>
        <w:t>Chemical Reviews: Latest Articles (ACS Publications)</w:t>
      </w:r>
      <w:r>
        <w:t xml:space="preserve">    </w:t>
      </w:r>
      <w:r>
        <w:rPr>
          <w:b/>
        </w:rPr>
        <w:t xml:space="preserve">Pub date: </w:t>
      </w:r>
      <w:r>
        <w:t>2026-02-27 11:13:47+00:00</w:t>
      </w:r>
      <w:r>
        <w:t xml:space="preserve">    </w:t>
      </w:r>
      <w:r>
        <w:rPr>
          <w:b/>
        </w:rPr>
        <w:t xml:space="preserve">DOI: </w:t>
      </w:r>
      <w:hyperlink r:id="rId148">
        <w:r>
          <w:rPr>
            <w:color w:val="1155CC"/>
            <w:u w:val="single"/>
          </w:rPr>
          <w:t>10.1021/acs.chemrev.5c00772</w:t>
        </w:r>
      </w:hyperlink>
    </w:p>
    <w:p>
      <w:pPr>
        <w:spacing w:before="0" w:after="80" w:lineRule="auto" w:line="276"/>
      </w:pPr>
      <w:r>
        <w:rPr>
          <w:b/>
        </w:rPr>
        <w:t xml:space="preserve">摘要（ZH）: </w:t>
      </w:r>
      <w:r>
        <w:t>(empty)</w:t>
      </w:r>
    </w:p>
    <w:p>
      <w:pPr>
        <w:spacing w:before="0" w:after="200" w:lineRule="auto" w:line="276"/>
      </w:pPr>
      <w:r>
        <w:rPr>
          <w:b/>
        </w:rPr>
        <w:t xml:space="preserve">Abstract (EN): </w:t>
      </w:r>
      <w:r>
        <w:t>Large-scale battery manufacturing requires understanding the fundamental principles of materials and interfaces and relies on advanced techniques for detailed interrogation. Despite advancements in the industrial scale production and their associated quality control tools, challenges such as electrode heterogeneity, internal defects, and large-scale material waste (e.g., scrap) can hamper manufacturing. Synchrotron X-ray characterization techniques offer spatial, temporal, and chemical resolution that can provide diagnostic insights for metrology across various manufacturing steps. This review examines the use of synchrotron tools to advance understanding of key steps in the battery manufacturing process. Recent examples demonstrate how synchrotron methods resolve manufacturing challenges and uncover degradation pathways that are otherwise inaccessible. Future directions for advancing battery manufacturing emphasize collaboration between academia and industry through the use of synchrotron X-ray techniques.</w:t>
      </w:r>
    </w:p>
    <w:p>
      <w:pPr>
        <w:spacing w:before="120" w:after="120"/>
      </w:pPr>
      <w:r>
        <w:rPr>
          <w:sz w:val="18"/>
        </w:rPr>
        <w:t>——————————————————————————————————————————————————————————————————————</w:t>
      </w:r>
    </w:p>
    <w:p>
      <w:pPr>
        <w:spacing w:before="160" w:after="40" w:line="240" w:lineRule="auto"/>
      </w:pPr>
      <w:r>
        <w:rPr>
          <w:b/>
        </w:rPr>
        <w:t xml:space="preserve">[3] </w:t>
      </w:r>
      <w:hyperlink r:id="rId149">
        <w:r>
          <w:rPr>
            <w:color w:val="1155CC"/>
            <w:u w:val="single"/>
          </w:rPr>
          <w:t>[ASAP] Battery Research at IIT Bombay: From Fundamental Electrochemistry to Scalable Energy Storage</w:t>
        </w:r>
      </w:hyperlink>
    </w:p>
    <w:p>
      <w:pPr>
        <w:spacing w:before="0" w:after="120"/>
      </w:pPr>
      <w:r>
        <w:rPr>
          <w:b/>
        </w:rPr>
        <w:t xml:space="preserve">Source: </w:t>
      </w:r>
      <w:r>
        <w:t>ACS Energy Letters: Latest Articles (ACS Publications)</w:t>
      </w:r>
      <w:r>
        <w:t xml:space="preserve">    </w:t>
      </w:r>
      <w:r>
        <w:rPr>
          <w:b/>
        </w:rPr>
        <w:t xml:space="preserve">Pub date: </w:t>
      </w:r>
      <w:r>
        <w:t>2026-02-27 14:22:41+00:00</w:t>
      </w:r>
      <w:r>
        <w:t xml:space="preserve">    </w:t>
      </w:r>
      <w:r>
        <w:rPr>
          <w:b/>
        </w:rPr>
        <w:t xml:space="preserve">DOI: </w:t>
      </w:r>
      <w:hyperlink r:id="rId150">
        <w:r>
          <w:rPr>
            <w:color w:val="1155CC"/>
            <w:u w:val="single"/>
          </w:rPr>
          <w:t>10.1021/acsenergylett.6c00404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151">
        <w:r>
          <w:rPr>
            <w:color w:val="1155CC"/>
            <w:u w:val="single"/>
          </w:rPr>
          <w:t>Operando decoding of thermal runaway precursors in lithium-ion batteries: from multimodal sensing to intelligent early warning</w:t>
        </w:r>
      </w:hyperlink>
    </w:p>
    <w:p>
      <w:pPr>
        <w:spacing w:before="0" w:after="120"/>
      </w:pPr>
      <w:r>
        <w:rPr>
          <w:b/>
        </w:rPr>
        <w:t xml:space="preserve">Source: </w:t>
      </w:r>
      <w:r>
        <w:t>ScienceDirect Publication: Applied Energy</w:t>
      </w:r>
      <w:r>
        <w:t xml:space="preserve">    </w:t>
      </w:r>
      <w:r>
        <w:rPr>
          <w:b/>
        </w:rPr>
        <w:t xml:space="preserve">Pub date: </w:t>
      </w:r>
      <w:r>
        <w:t>2026-02-28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【其他储能器件】</w:t>
      </w:r>
    </w:p>
    <w:p>
      <w:pPr>
        <w:spacing w:before="160" w:after="40" w:line="240" w:lineRule="auto"/>
      </w:pPr>
      <w:r>
        <w:rPr>
          <w:b/>
        </w:rPr>
        <w:t xml:space="preserve">[1] </w:t>
      </w:r>
      <w:hyperlink r:id="rId152">
        <w:r>
          <w:rPr>
            <w:color w:val="1155CC"/>
            <w:u w:val="single"/>
          </w:rPr>
          <w:t>Numerical insights into the interplay between mass transport and parasitic hydrogen evolution in vanadium redox flow batteries</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53">
        <w:r>
          <w:rPr>
            <w:color w:val="1155CC"/>
            <w:u w:val="single"/>
          </w:rPr>
          <w:t>Decision-oriented assessment of redox flow batteries for grid-scale energy storage: Scalability, system complexity, and intelligent operation</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 </w:t>
      </w:r>
      <w:hyperlink r:id="rId154">
        <w:r>
          <w:rPr>
            <w:color w:val="1155CC"/>
            <w:u w:val="single"/>
          </w:rPr>
          <w:t>The 2e- vs. 4e- Pathways for ORR in Rechargeable Zinc-Air Batteries</w:t>
        </w:r>
      </w:hyperlink>
    </w:p>
    <w:p>
      <w:pPr>
        <w:spacing w:before="0" w:after="120"/>
      </w:pPr>
      <w:r>
        <w:rPr>
          <w:b/>
        </w:rPr>
        <w:t xml:space="preserve">Source: </w:t>
      </w:r>
      <w:r>
        <w:t>RSC - Energy Environ. Sci. latest articles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Zinc-air batteries (ZABs) represent one of the most promising technologies for sustainable energy storage, boasting a high theoretical energy density of 1086 Wh kg-1 that far exceeds that of conventional lithium-ion systems. However, their widespread commercialization has been critically impeded by the inherent inefficiencies of the traditional four-electron (4e-) oxygen reduction reaction (ORR), which suffers from sluggish kinetics and detrimental parasitic side reactions. This comprehensive review urgently addresses these challenges by delineating a paradigm shift toward the emerging two-electron (2e-) ORR pathway—a transformative strategy that not only circumvents long-standing limitations but also unlocks new opportunities for high-performance metal-air batteries. By elucidating fundamental mechanistic distinctions between 2e- and 4e- ORR processes and providing actionable design principles for advanced electrolytes, catalysts, and electrode architectures, this work lays a foundational roadmap for next-generation ZABs. Furthermore, we highlight compelling research directions—including atomic-scale catalyst engineering, tailored electrode nanoarchitectures, and scalable manufacturing routes—that are essential to accelerating the development of efficient and durable zinc-air battery (ZAB) systems. Given the rapid advancements in materials science and increasing global demand for economical energy storage, this review arrives at a pivotal moment, offering critical insights that may catalyze explosive growth in this emerging field.</w:t>
      </w:r>
    </w:p>
    <w:p>
      <w:pPr>
        <w:spacing w:before="120" w:after="120"/>
      </w:pPr>
      <w:r>
        <w:rPr>
          <w:sz w:val="18"/>
        </w:rPr>
        <w:t>——————————————————————————————————————————————————————————————————————</w:t>
      </w:r>
    </w:p>
    <w:p>
      <w:pPr>
        <w:spacing w:before="160" w:after="40" w:line="240" w:lineRule="auto"/>
      </w:pPr>
      <w:r>
        <w:rPr>
          <w:b/>
        </w:rPr>
        <w:t xml:space="preserve">[4] </w:t>
      </w:r>
      <w:hyperlink r:id="rId155">
        <w:r>
          <w:rPr>
            <w:color w:val="1155CC"/>
            <w:u w:val="single"/>
          </w:rPr>
          <w:t>Technologies and prospects for compressed air energy storage</w:t>
        </w:r>
      </w:hyperlink>
    </w:p>
    <w:p>
      <w:pPr>
        <w:spacing w:before="0" w:after="120"/>
      </w:pPr>
      <w:r>
        <w:rPr>
          <w:b/>
        </w:rPr>
        <w:t xml:space="preserve">Source: </w:t>
      </w:r>
      <w:r>
        <w:t>Nature Reviews Clean Technology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Compressed air energy storage (CAES) can be used as long-duration storage for renewable energy-based grids. CAES systems use electrical energy to drive a compressor, and the stored compressed air can later be used to drive a turbine when electricity is needed. In this Review, we examine fundamental research, technological development, demonstrations and applications of CAES. Large-scale CAES facilities can store more than 300 MW of power, with round-trip efficiencies of 50–70%. Adapting CAES for non-dispatchable renewable electricity sources requires modifications to compressors and expanders to increase their operating pressure to improve efficiency under variable loading conditions. Compressed air can be stored in geological formations or artificial containers, with research focusing on increasing the pressure and/or temperature of the stored gas. The efficiency of CAES systems can be further increased by the integration of thermal energy storage, which captures and stores the heat from the compressor, later using it to heat the turbine inlet air temperature, reducing or removing the need for fossil fuels in system operation. By providing energy storage in the order of 10 h, CAES enables electricity storage beyond what is feasible for electrochemical battery storage alone, potentially increasing grid stability.</w:t>
      </w:r>
    </w:p>
    <w:p>
      <w:pPr>
        <w:spacing w:before="120" w:after="120"/>
      </w:pPr>
      <w:r>
        <w:rPr>
          <w:sz w:val="18"/>
        </w:rPr>
        <w:t>——————————————————————————————————————————————————————————————————————</w:t>
      </w:r>
    </w:p>
    <w:p>
      <w:pPr>
        <w:spacing w:before="160" w:after="40" w:line="240" w:lineRule="auto"/>
      </w:pPr>
      <w:r>
        <w:rPr>
          <w:b/>
        </w:rPr>
        <w:t xml:space="preserve">[5] </w:t>
      </w:r>
      <w:hyperlink r:id="rId156">
        <w:r>
          <w:rPr>
            <w:color w:val="1155CC"/>
            <w:u w:val="single"/>
          </w:rPr>
          <w:t>Commercial-scale glycerol valorization using surface-modified copper cobalt oxide catalyst in high-capacity anion exchange membrane electrolyzer</w:t>
        </w:r>
      </w:hyperlink>
    </w:p>
    <w:p>
      <w:pPr>
        <w:spacing w:before="0" w:after="120"/>
      </w:pPr>
      <w:r>
        <w:rPr>
          <w:b/>
        </w:rPr>
        <w:t xml:space="preserve">Source: </w:t>
      </w:r>
      <w:r>
        <w:t>Joule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In this work, we demonstrate a 64 cm2 scale anion exchange membrane water electrolyzer (AEMWE) cell for commercial-scale glycerol valorization. For large-scale AEMWE cell applications, we developed a method to mass-produce catalysts through co-precipitation and surface treatment. In addition, the AEMWE system significantly enhances glycerol valorization compared with the H-type system. The developed large-scale AEMWE cell can simultaneously perform glycerol valorization and directly capture pure H2. This work presents a strategy that advances the commercialization of glycerol valorization.</w:t>
      </w:r>
    </w:p>
    <w:p>
      <w:pPr>
        <w:spacing w:before="120" w:after="120"/>
      </w:pPr>
      <w:r>
        <w:rPr>
          <w:sz w:val="18"/>
        </w:rPr>
        <w:t>——————————————————————————————————————————————————————————————————————</w:t>
      </w:r>
    </w:p>
    <w:p>
      <w:pPr>
        <w:spacing w:before="160" w:after="40" w:line="240" w:lineRule="auto"/>
      </w:pPr>
      <w:r>
        <w:rPr>
          <w:b/>
        </w:rPr>
        <w:t xml:space="preserve">[6] </w:t>
      </w:r>
      <w:hyperlink r:id="rId149">
        <w:r>
          <w:rPr>
            <w:color w:val="1155CC"/>
            <w:u w:val="single"/>
          </w:rPr>
          <w:t>[ASAP] Battery Research at IIT Bombay: From Fundamental Electrochemistry to Scalable Energy Storage</w:t>
        </w:r>
      </w:hyperlink>
    </w:p>
    <w:p>
      <w:pPr>
        <w:spacing w:before="0" w:after="120"/>
      </w:pPr>
      <w:r>
        <w:rPr>
          <w:b/>
        </w:rPr>
        <w:t xml:space="preserve">Source: </w:t>
      </w:r>
      <w:r>
        <w:t>ACS Energy Letters: Latest Articles (ACS Publications)</w:t>
      </w:r>
      <w:r>
        <w:t xml:space="preserve">    </w:t>
      </w:r>
      <w:r>
        <w:rPr>
          <w:b/>
        </w:rPr>
        <w:t xml:space="preserve">Pub date: </w:t>
      </w:r>
      <w:r>
        <w:t>2026-02-27 14:22:41+00:00</w:t>
      </w:r>
      <w:r>
        <w:t xml:space="preserve">    </w:t>
      </w:r>
      <w:r>
        <w:rPr>
          <w:b/>
        </w:rPr>
        <w:t xml:space="preserve">DOI: </w:t>
      </w:r>
      <w:hyperlink r:id="rId150">
        <w:r>
          <w:rPr>
            <w:color w:val="1155CC"/>
            <w:u w:val="single"/>
          </w:rPr>
          <w:t>10.1021/acsenergylett.6c00404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【热能】</w:t>
      </w:r>
    </w:p>
    <w:p>
      <w:pPr>
        <w:spacing w:before="160" w:after="40" w:line="240" w:lineRule="auto"/>
      </w:pPr>
      <w:r>
        <w:rPr>
          <w:b/>
        </w:rPr>
        <w:t xml:space="preserve">[1] </w:t>
      </w:r>
      <w:hyperlink r:id="rId157">
        <w:r>
          <w:rPr>
            <w:color w:val="1155CC"/>
            <w:u w:val="single"/>
          </w:rPr>
          <w:t>Charge transport physics of organic conductors at high carrier densities</w:t>
        </w:r>
      </w:hyperlink>
    </w:p>
    <w:p>
      <w:pPr>
        <w:spacing w:before="0" w:after="120"/>
      </w:pPr>
      <w:r>
        <w:rPr>
          <w:b/>
        </w:rPr>
        <w:t xml:space="preserve">Source: </w:t>
      </w:r>
      <w:r>
        <w:t>Nature Reviews Materials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Conducting polymers and other organic conductors enable emerging applications in bioelectronics, neuromorphic computing, energy storage and thermoelectric devices. When used in organic electrochemical transistors or other devices, these materials are typically doped in their bulk to very high carrier densities of the order of 1020–1021 cm−3. In this regime, they show fascinating nonlinear, many-body and non-equilibrium transport phenomena that are being exploited in these applications, but whose fundamental origins remain poorly understood. In this Review, we focus on the underlying charge transport physics, examining how complex microstructure, electron–electron interactions and electron–dopant counterion interactions govern transport behaviour, including the evolution of the density of states with carrier density. We also discuss reliable experimental methods for determining carrier concentrations and measuring transport coefficients. An in-depth understanding of the charge transport physics in this high-carrier-density regime is a prerequisite for harnessing these transport phenomena in device applications.</w:t>
      </w:r>
    </w:p>
    <w:p>
      <w:pPr>
        <w:spacing w:before="120" w:after="120"/>
      </w:pPr>
      <w:r>
        <w:rPr>
          <w:sz w:val="18"/>
        </w:rPr>
        <w:t>——————————————————————————————————————————————————————————————————————</w:t>
      </w:r>
    </w:p>
    <w:p>
      <w:pPr>
        <w:spacing w:before="160" w:after="40" w:line="240" w:lineRule="auto"/>
      </w:pPr>
      <w:r>
        <w:rPr>
          <w:b/>
        </w:rPr>
        <w:t xml:space="preserve">[2] </w:t>
      </w:r>
      <w:hyperlink r:id="rId158">
        <w:r>
          <w:rPr>
            <w:color w:val="1155CC"/>
            <w:u w:val="single"/>
          </w:rPr>
          <w:t>Optimal day-ahead scheduling for explicit demand response provision of a renewable energy hub with hot water preparation</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 </w:t>
      </w:r>
      <w:hyperlink r:id="rId159">
        <w:r>
          <w:rPr>
            <w:color w:val="1155CC"/>
            <w:u w:val="single"/>
          </w:rPr>
          <w:t>Climate-driven load shifts and the optimal design of district heating and cooling systems: Planning energy supply for a warming century</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155">
        <w:r>
          <w:rPr>
            <w:color w:val="1155CC"/>
            <w:u w:val="single"/>
          </w:rPr>
          <w:t>Technologies and prospects for compressed air energy storage</w:t>
        </w:r>
      </w:hyperlink>
    </w:p>
    <w:p>
      <w:pPr>
        <w:spacing w:before="0" w:after="120"/>
      </w:pPr>
      <w:r>
        <w:rPr>
          <w:b/>
        </w:rPr>
        <w:t xml:space="preserve">Source: </w:t>
      </w:r>
      <w:r>
        <w:t>Nature Reviews Clean Technology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Compressed air energy storage (CAES) can be used as long-duration storage for renewable energy-based grids. CAES systems use electrical energy to drive a compressor, and the stored compressed air can later be used to drive a turbine when electricity is needed. In this Review, we examine fundamental research, technological development, demonstrations and applications of CAES. Large-scale CAES facilities can store more than 300 MW of power, with round-trip efficiencies of 50–70%. Adapting CAES for non-dispatchable renewable electricity sources requires modifications to compressors and expanders to increase their operating pressure to improve efficiency under variable loading conditions. Compressed air can be stored in geological formations or artificial containers, with research focusing on increasing the pressure and/or temperature of the stored gas. The efficiency of CAES systems can be further increased by the integration of thermal energy storage, which captures and stores the heat from the compressor, later using it to heat the turbine inlet air temperature, reducing or removing the need for fossil fuels in system operation. By providing energy storage in the order of 10 h, CAES enables electricity storage beyond what is feasible for electrochemical battery storage alone, potentially increasing grid stability.</w:t>
      </w:r>
    </w:p>
    <w:p>
      <w:pPr>
        <w:spacing w:before="120" w:after="120"/>
      </w:pPr>
      <w:r>
        <w:rPr>
          <w:sz w:val="18"/>
        </w:rPr>
        <w:t>——————————————————————————————————————————————————————————————————————</w:t>
      </w:r>
    </w:p>
    <w:p>
      <w:pPr>
        <w:spacing w:before="160" w:after="40" w:line="240" w:lineRule="auto"/>
      </w:pPr>
      <w:r>
        <w:rPr>
          <w:b/>
        </w:rPr>
        <w:t xml:space="preserve">[5] </w:t>
      </w:r>
      <w:hyperlink r:id="rId160">
        <w:r>
          <w:rPr>
            <w:color w:val="1155CC"/>
            <w:u w:val="single"/>
          </w:rPr>
          <w:t>Bistable origami thermal switch with high switching ratios</w:t>
        </w:r>
      </w:hyperlink>
    </w:p>
    <w:p>
      <w:pPr>
        <w:spacing w:before="0" w:after="120"/>
      </w:pPr>
      <w:r>
        <w:rPr>
          <w:b/>
        </w:rPr>
        <w:t xml:space="preserve">Source: </w:t>
      </w:r>
      <w:r>
        <w:t>Nature Communications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Effective thermal management is critical for power electronics in AI and robotics, highlighting the need for dynamic, reversible thermal switches. Achieving a high switching ratio remains challenging. Here, we present a bistable origami-inspired thermal switch that switch rapidly between distinct thermal conduction states without external energy or sensory input. Fabricated from a thin film through precise cut-and-fold, it achieves thermal switching ratios of 13,984 in vacuum and 1360 in ambient air, significantly higher than existing approaches. Switching is driven by snap-through instability, actuated by a combination of shape-memory alloy and elastic springs. The energy landscape can be tuned through geometric variations to adjust triggering temperature and switching ratio. We demonstrate stable, repeatable thermal regulation across multiple scenarios, offering a pathway toward passive, programmable thermal management.</w:t>
      </w:r>
    </w:p>
    <w:p>
      <w:pPr>
        <w:spacing w:before="120" w:after="120"/>
      </w:pPr>
      <w:r>
        <w:rPr>
          <w:sz w:val="18"/>
        </w:rPr>
        <w:t>——————————————————————————————————————————————————————————————————————</w:t>
      </w:r>
    </w:p>
    <w:p>
      <w:pPr>
        <w:spacing w:before="160" w:after="40" w:line="240" w:lineRule="auto"/>
      </w:pPr>
      <w:r>
        <w:rPr>
          <w:b/>
        </w:rPr>
        <w:t xml:space="preserve">[6] </w:t>
      </w:r>
      <w:hyperlink r:id="rId161">
        <w:r>
          <w:rPr>
            <w:color w:val="1155CC"/>
            <w:u w:val="single"/>
          </w:rPr>
          <w:t>Bioinspired Swelling‐Deswelling Strategy Unlocks Synergistic Molecular Solar Thermal‐Fabric Systems for Personal Thermal Management (Adv. Mater. 12/2026)</w:t>
        </w:r>
      </w:hyperlink>
    </w:p>
    <w:p>
      <w:pPr>
        <w:spacing w:before="0" w:after="120"/>
      </w:pPr>
      <w:r>
        <w:rPr>
          <w:b/>
        </w:rPr>
        <w:t xml:space="preserve">Source: </w:t>
      </w:r>
      <w:r>
        <w:t>Wiley: Advanced Materials: Table of Contents</w:t>
      </w:r>
      <w:r>
        <w:t xml:space="preserve">    </w:t>
      </w:r>
      <w:r>
        <w:rPr>
          <w:b/>
        </w:rPr>
        <w:t xml:space="preserve">Pub date: </w:t>
      </w:r>
      <w:r>
        <w:t>2026-02-25 06:33:39+00:00</w:t>
      </w:r>
      <w:r>
        <w:t xml:space="preserve">    </w:t>
      </w:r>
      <w:r>
        <w:rPr>
          <w:b/>
        </w:rPr>
        <w:t xml:space="preserve">DOI: </w:t>
      </w:r>
      <w:hyperlink r:id="rId162">
        <w:r>
          <w:rPr>
            <w:color w:val="1155CC"/>
            <w:u w:val="single"/>
          </w:rPr>
          <w:t>10.1002/adma.72466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 </w:t>
      </w:r>
      <w:hyperlink r:id="rId163">
        <w:r>
          <w:rPr>
            <w:color w:val="1155CC"/>
            <w:u w:val="single"/>
          </w:rPr>
          <w:t>Anomalous enhancement of thermal conduction across twisted van der Waals heterointerfaces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2026-02-26 08:00:00+00:00</w:t>
      </w:r>
      <w:r>
        <w:t xml:space="preserve">    </w:t>
      </w:r>
      <w:r>
        <w:rPr>
          <w:b/>
        </w:rPr>
        <w:t xml:space="preserve">DOI: </w:t>
      </w:r>
      <w:hyperlink r:id="rId164">
        <w:r>
          <w:rPr>
            <w:color w:val="1155CC"/>
            <w:u w:val="single"/>
          </w:rPr>
          <w:t>10.1073/pnas.2531049123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advent of interlayer twist has introduced a groundbreaking paradigm, unveiling novel physical phenomena spanning from correlated insulating states to superconductivity. This unprecedented platform facilitates the manipulation of electrons and extends its capabilities to the effective control of bosons. For phonons, a consensus has been reached that interlayer twist greatly suppresses phonon transport as it breaks the symmetry of the lattice. Here, we report a counterintuitive experimental observation in which the interlayer twist can significantly promote the transportation of phonons across an intrinsically asymmetric heterointerface. Employing the time-domain thermoreflectance mapping technique, our results show a 2.5-fold increase in interfacial thermal conductance (ITC) in twisted bilayer MoS</w:t>
        <w:br/>
        <w:t xml:space="preserve">                    2</w:t>
        <w:br/>
        <w:t xml:space="preserve">                    /WS</w:t>
        <w:br/>
        <w:t xml:space="preserve">                    2</w:t>
        <w:br/>
        <w:t xml:space="preserve">                    heterostructures relative to initial commensurate configurations. Combined experimental and atomic simulation results reveal the inelastic scattering-dominated nature of thermal transport at MoS</w:t>
        <w:br/>
        <w:t xml:space="preserve">                    2</w:t>
        <w:br/>
        <w:t xml:space="preserve">                    /WS</w:t>
        <w:br/>
        <w:t xml:space="preserve">                    2</w:t>
        <w:br/>
        <w:t xml:space="preserve">                    heterointerfaces. The introduction of interlayer twist amplifies this effect, triggering a reconstruction of nonequilibrium phonon temperature distributions at the interface. This phenomenon activates efficient optical-to-acoustic phonon conversion through inelastic scattering and creates additional transport channels that overcome the intrinsic phonon mismatch in heterostructures. Our work establishes a paradigm for enhancing ITC by strategically introducing interlayer perturbations to amplify inelastic scattering effects. This breakthrough opens broad avenues for advanced thermal management in integrated circuits.</w:t>
      </w:r>
    </w:p>
    <w:p>
      <w:pPr>
        <w:spacing w:before="120" w:after="120"/>
      </w:pPr>
      <w:r>
        <w:rPr>
          <w:sz w:val="18"/>
        </w:rPr>
        <w:t>——————————————————————————————————————————————————————————————————————</w:t>
      </w:r>
    </w:p>
    <w:p>
      <w:pPr>
        <w:spacing w:before="160" w:after="40" w:line="240" w:lineRule="auto"/>
      </w:pPr>
      <w:r>
        <w:rPr>
          <w:b/>
        </w:rPr>
        <w:t xml:space="preserve">[8] </w:t>
      </w:r>
      <w:hyperlink r:id="rId165">
        <w:r>
          <w:rPr>
            <w:color w:val="1155CC"/>
            <w:u w:val="single"/>
          </w:rPr>
          <w:t>[ASAP] Solution-Phase Synthesis of Nanostructured AgSbTe2: Glass-like Thermal Conductivity and High Thermoelectric Performance</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17:45:35+00:00</w:t>
      </w:r>
      <w:r>
        <w:t xml:space="preserve">    </w:t>
      </w:r>
      <w:r>
        <w:rPr>
          <w:b/>
        </w:rPr>
        <w:t xml:space="preserve">DOI: </w:t>
      </w:r>
      <w:hyperlink r:id="rId166">
        <w:r>
          <w:rPr>
            <w:color w:val="1155CC"/>
            <w:u w:val="single"/>
          </w:rPr>
          <w:t>10.1021/jacs.6c00040</w:t>
        </w:r>
      </w:hyperlink>
    </w:p>
    <w:p>
      <w:pPr>
        <w:spacing w:before="0" w:after="80" w:lineRule="auto" w:line="276"/>
      </w:pPr>
      <w:r>
        <w:rPr>
          <w:b/>
        </w:rPr>
        <w:t xml:space="preserve">摘要（ZH）: </w:t>
      </w:r>
      <w:r>
        <w:t>(empty)</w:t>
      </w:r>
    </w:p>
    <w:p>
      <w:pPr>
        <w:spacing w:before="0" w:after="200" w:lineRule="auto" w:line="276"/>
      </w:pPr>
      <w:r>
        <w:rPr>
          <w:b/>
        </w:rPr>
        <w:t xml:space="preserve">Abstract (EN): </w:t>
      </w:r>
      <w:r>
        <w:t>The realization of ultralow and glass-like lattice thermal conductivity (κ&lt;sub&gt;L&lt;/sub&gt;) in crystalline solids remains a significant challenge, yet it is pivotal for thermoelectrics. Polycrystalline bulk AgSbTe&lt;sub&gt;2&lt;/sub&gt; has long been recognized as a promising mid-temperature thermoelectric material due to its intrinsically low κ&lt;sub&gt;L&lt;/sub&gt;; however, its thermodynamic instability in its pristine form has hindered its practical deployment. Here, we report the simple and scalable synthesis of nanocrystalline, off-stoichiometric, phase-pure Ag&lt;sub&gt;0.8&lt;/sub&gt;Sb&lt;sub&gt;1.2&lt;/sub&gt;Te&lt;sub&gt;2.2&lt;/sub&gt; via a facile hydrothermal route, without any detectable minor secondary phases such as Ag&lt;sub&gt;2&lt;/sub&gt;Te or Sb&lt;sub&gt;2&lt;/sub&gt;Te&lt;sub&gt;3&lt;/sub&gt;, which are commonly present in AgSbTe&lt;sub&gt;2&lt;/sub&gt; and are known to degrade its intrinsic thermoelectric performance. The solution-phase synthesis and spark plasma sintering promote the formation of cation-ordered nanodomains, yielding nanoscale superstructures (∼5-20 nm) and consequently strain in the lattice, which effectively scatter heat-carrying acoustic phonons. This results in a glass-like κ&lt;sub&gt;L&lt;/sub&gt; with an ultralow value of ∼0.1-0.2 W/m K in the temperature range of 30-575 K. Furthermore, the semiconducting nature of nanocrystalline Ag&lt;sub&gt;0.8&lt;/sub&gt;Sb&lt;sub&gt;1.2&lt;/sub&gt;Te&lt;sub&gt;2.2&lt;/sub&gt; enables an exceptionally high room-temperature Seebeck coefficient of ∼330 μV/K. Cumulatively, these attributes deliver a promising thermoelectric figure of merit (&lt;i&gt;zT&lt;/i&gt;) of ∼1.2 at ∼575 K in nanocrystalline Ag&lt;sub&gt;0.8&lt;/sub&gt;Sb&lt;sub&gt;1.2&lt;/sub&gt;Te&lt;sub&gt;2.2&lt;/sub&gt;, which is almost 100% higher than that of bulk Ag&lt;sub&gt;0.8&lt;/sub&gt;Sb&lt;sub&gt;1.2&lt;/sub&gt;Te&lt;sub&gt;2.2&lt;/sub&gt;. With a high &lt;i&gt;zT&lt;/i&gt; maintained across a broad temperature range, the average thermoelectric figure of merit (&lt;i&gt;zT&lt;/i&gt;&lt;sub&gt;avg&lt;/sub&gt;) for nanocrystalline Ag&lt;sub&gt;0.8&lt;/sub&gt;Sb&lt;sub&gt;1.2&lt;/sub&gt;Te&lt;sub&gt;2.2&lt;/sub&gt; is estimated to be 0.86 from room temperature to 575 K.</w:t>
      </w:r>
    </w:p>
    <w:p>
      <w:pPr>
        <w:spacing w:before="120" w:after="120"/>
      </w:pPr>
      <w:r>
        <w:rPr>
          <w:sz w:val="18"/>
        </w:rPr>
        <w:t>——————————————————————————————————————————————————————————————————————</w:t>
      </w:r>
    </w:p>
    <w:p>
      <w:pPr>
        <w:spacing w:before="160" w:after="120"/>
      </w:pPr>
      <w:r>
        <w:rPr>
          <w:b/>
          <w:sz w:val="28"/>
        </w:rPr>
        <w:t>【核能】</w:t>
      </w:r>
    </w:p>
    <w:p>
      <w:pPr>
        <w:spacing w:before="160" w:after="40" w:line="240" w:lineRule="auto"/>
      </w:pPr>
      <w:r>
        <w:rPr>
          <w:b/>
        </w:rPr>
        <w:t xml:space="preserve">[1] </w:t>
      </w:r>
      <w:hyperlink r:id="rId167">
        <w:r>
          <w:rPr>
            <w:color w:val="1155CC"/>
            <w:u w:val="single"/>
          </w:rPr>
          <w:t>Scientists must step up to avert a nuclear breakout</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68">
        <w:r>
          <w:rPr>
            <w:color w:val="1155CC"/>
            <w:u w:val="single"/>
          </w:rPr>
          <w:t>Nuclear weapons testing is harmful — there’s no case for a restart</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 </w:t>
      </w:r>
      <w:hyperlink r:id="rId169">
        <w:r>
          <w:rPr>
            <w:color w:val="1155CC"/>
            <w:u w:val="single"/>
          </w:rPr>
          <w:t>Alleged Chinese nuclear blast may reignite testing</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170">
        <w:r>
          <w:rPr>
            <w:color w:val="1155CC"/>
            <w:u w:val="single"/>
          </w:rPr>
          <w:t>10.1126/science.aeg7162</w:t>
        </w:r>
      </w:hyperlink>
    </w:p>
    <w:p>
      <w:pPr>
        <w:spacing w:before="0" w:after="80" w:lineRule="auto" w:line="276"/>
      </w:pPr>
      <w:r>
        <w:rPr>
          <w:b/>
        </w:rPr>
        <w:t xml:space="preserve">摘要（ZH）: </w:t>
      </w:r>
      <w:r>
        <w:t>(empty)</w:t>
      </w:r>
    </w:p>
    <w:p>
      <w:pPr>
        <w:spacing w:before="0" w:after="200" w:lineRule="auto" w:line="276"/>
      </w:pPr>
      <w:r>
        <w:rPr>
          <w:b/>
        </w:rPr>
        <w:t xml:space="preserve">Abstract (EN): </w:t>
      </w:r>
      <w:r>
        <w:t>As new global arms race looms, accusation highlights limits to monitoring low-yield tests</w:t>
      </w:r>
    </w:p>
    <w:p>
      <w:pPr>
        <w:spacing w:before="120" w:after="120"/>
      </w:pPr>
      <w:r>
        <w:rPr>
          <w:sz w:val="18"/>
        </w:rPr>
        <w:t>——————————————————————————————————————————————————————————————————————</w:t>
      </w:r>
    </w:p>
    <w:p>
      <w:pPr>
        <w:spacing w:before="160" w:after="120"/>
      </w:pPr>
      <w:r>
        <w:rPr>
          <w:b/>
          <w:sz w:val="28"/>
        </w:rPr>
        <w:t>【氢氨醇】</w:t>
      </w:r>
    </w:p>
    <w:p>
      <w:pPr>
        <w:spacing w:before="160" w:after="40" w:line="240" w:lineRule="auto"/>
      </w:pPr>
      <w:r>
        <w:rPr>
          <w:b/>
        </w:rPr>
        <w:t xml:space="preserve">[1] </w:t>
      </w:r>
      <w:hyperlink r:id="rId171">
        <w:r>
          <w:rPr>
            <w:color w:val="1155CC"/>
            <w:u w:val="single"/>
          </w:rPr>
          <w:t>Electricity-driven CO2 and biomass conversion toward formic acid/formate: microenvironment regulation, hydrogen storage potential, and sustainability assessment</w:t>
        </w:r>
      </w:hyperlink>
    </w:p>
    <w:p>
      <w:pPr>
        <w:spacing w:before="0" w:after="120"/>
      </w:pPr>
      <w:r>
        <w:rPr>
          <w:b/>
        </w:rPr>
        <w:t xml:space="preserve">Source: </w:t>
      </w:r>
      <w:r>
        <w:t>RSC - Energy Environ. Sci. latest articles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Formic acid (FA)/formate (FM) is widely recognized as an important energy carrier and high-value chemical. Through electrocatalysis, abundant carbon sources such as CO2 and biomass can be converted into FA or FM, enabling the valorization of feedstocks into high-value chemicals via a promising approach toward eco-friendly and sustainable development. This review elucidates recent milestones and emerging trends in FA/FM production via CO2 electroreduction and biomass electrooxidation, with a particular emphasis on microenvironment regulation. The intrinsic mechanisms underlying the effects of key factors on activity, selectivity, and energy efficiency are elucidated. In addition, environmental impact, hydrogen-storage capabilities, techno-economic analysis, and life cycle assessment are discussed in detail. Finally, future research directions and optimization strategies are proposed, focusing on feedstock pretreatment, catalyst engineering, and membrane–electrode integration. More importantly, this review also discusses CO2–organic paired electrolysis, proposing several solutions to fundamental constraints. Overall, this review aims to provide systematic guidance for three electrocatalytic pathways toward FA/FM—CO2 reduction, biomass oxidation, and their paired electrolysis—highlighting the pivotal role of microenvironment engineering in electrocatalyst design and reaction optimization, thereby delivering scientific insights to support green energy utilization and sustainable chemical manufacturing.</w:t>
      </w:r>
    </w:p>
    <w:p>
      <w:pPr>
        <w:spacing w:before="120" w:after="120"/>
      </w:pPr>
      <w:r>
        <w:rPr>
          <w:sz w:val="18"/>
        </w:rPr>
        <w:t>——————————————————————————————————————————————————————————————————————</w:t>
      </w:r>
    </w:p>
    <w:p>
      <w:pPr>
        <w:spacing w:before="160" w:after="40" w:line="240" w:lineRule="auto"/>
      </w:pPr>
      <w:r>
        <w:rPr>
          <w:b/>
        </w:rPr>
        <w:t xml:space="preserve">[2] </w:t>
      </w:r>
      <w:hyperlink r:id="rId172">
        <w:r>
          <w:rPr>
            <w:color w:val="1155CC"/>
            <w:u w:val="single"/>
          </w:rPr>
          <w:t>A robust MCDM framework with LLM for offshore wind power-seawater hydrogen production-marine ranch integrated system investment decision</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 </w:t>
      </w:r>
      <w:hyperlink r:id="rId173">
        <w:r>
          <w:rPr>
            <w:color w:val="1155CC"/>
            <w:u w:val="single"/>
          </w:rPr>
          <w:t>Corrosion‐Inspired Stabilization of Cobalt Oxide Catalysts via Platinum‐Mediated Redox Buffering for Proton Exchange Membrane Water Electrolysis</w:t>
        </w:r>
      </w:hyperlink>
    </w:p>
    <w:p>
      <w:pPr>
        <w:spacing w:before="0" w:after="120"/>
      </w:pPr>
      <w:r>
        <w:rPr>
          <w:b/>
        </w:rPr>
        <w:t xml:space="preserve">Source: </w:t>
      </w:r>
      <w:r>
        <w:t>Wiley: Advanced Materials: Table of Contents</w:t>
      </w:r>
      <w:r>
        <w:t xml:space="preserve">    </w:t>
      </w:r>
      <w:r>
        <w:rPr>
          <w:b/>
        </w:rPr>
        <w:t xml:space="preserve">Pub date: </w:t>
      </w:r>
      <w:r>
        <w:t>2026-02-24 10:23:12+00:00</w:t>
      </w:r>
      <w:r>
        <w:t xml:space="preserve">    </w:t>
      </w:r>
      <w:r>
        <w:rPr>
          <w:b/>
        </w:rPr>
        <w:t xml:space="preserve">DOI: </w:t>
      </w:r>
      <w:hyperlink r:id="rId174">
        <w:r>
          <w:rPr>
            <w:color w:val="1155CC"/>
            <w:u w:val="single"/>
          </w:rPr>
          <w:t>10.1002/adma.202522703</w:t>
        </w:r>
      </w:hyperlink>
    </w:p>
    <w:p>
      <w:pPr>
        <w:spacing w:before="0" w:after="80" w:lineRule="auto" w:line="276"/>
      </w:pPr>
      <w:r>
        <w:rPr>
          <w:b/>
        </w:rPr>
        <w:t xml:space="preserve">摘要（ZH）: </w:t>
      </w:r>
      <w:r>
        <w:t>(empty)</w:t>
      </w:r>
    </w:p>
    <w:p>
      <w:pPr>
        <w:spacing w:before="0" w:after="200" w:lineRule="auto" w:line="276"/>
      </w:pPr>
      <w:r>
        <w:rPr>
          <w:b/>
        </w:rPr>
        <w:t xml:space="preserve">Abstract (EN): </w:t>
      </w:r>
      <w:r>
        <w:t>Proton exchange membrane water electrolysis (PEMWE) is considered a promising platform for sustainable hydrogen production at scale. However, the durability of anode catalysts under acidic and oxidative conditions remains a critical challenge. Cobalt-based oxides offer an attractive alternative to iridium-based catalysts due to their abundance and cost-effectiveness, yet suffer from severe chemical and structural degradation during the acidic oxygen evolution reaction (OER). In this study, we report a corrosion-inspired stabilization strategy based on platinum (Pt)-mediated redox buffering. Platinum, incorporated within the Co3O4 spinel lattice, functions as a redox-active buffer, preferentially undergoing oxidation during OER to divert oxidative stress away from the cobalt matrix. In situ X-ray absorption spectroscopy, inductively coupled plasma-mass spectrometry analyses, and isotope-labeled differential electrochemical mass spectrometry collectively demonstrate that Pt incorporation suppresses cobalt dissolution and minimizes lattice oxygen participation, preserving the spinel framework under acidic OER conditions. The resulting Pt-incorporated Co3O4 catalyst demonstrates outstanding PEMWE performance, achieving a current density exceeding 2500 mA cm-2 at 2.0 V with a turnover frequency of 0.376 s-1, and maintains stable operation for over 1000 h at 250 mA cm-2.</w:t>
      </w:r>
    </w:p>
    <w:p>
      <w:pPr>
        <w:spacing w:before="120" w:after="120"/>
      </w:pPr>
      <w:r>
        <w:rPr>
          <w:sz w:val="18"/>
        </w:rPr>
        <w:t>——————————————————————————————————————————————————————————————————————</w:t>
      </w:r>
    </w:p>
    <w:p>
      <w:pPr>
        <w:spacing w:before="160" w:after="40" w:line="240" w:lineRule="auto"/>
      </w:pPr>
      <w:r>
        <w:rPr>
          <w:b/>
        </w:rPr>
        <w:t xml:space="preserve">[4] </w:t>
      </w:r>
      <w:hyperlink r:id="rId175">
        <w:r>
          <w:rPr>
            <w:color w:val="1155CC"/>
            <w:u w:val="single"/>
          </w:rPr>
          <w:t>[ASAP] Fluorine Mediates the Deprotonation Pathway over Ruthenium Oxide for Stable Water Electrolysis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20:41:26+00:00</w:t>
      </w:r>
      <w:r>
        <w:t xml:space="preserve">    </w:t>
      </w:r>
      <w:r>
        <w:rPr>
          <w:b/>
        </w:rPr>
        <w:t xml:space="preserve">DOI: </w:t>
      </w:r>
      <w:hyperlink r:id="rId176">
        <w:r>
          <w:rPr>
            <w:color w:val="1155CC"/>
            <w:u w:val="single"/>
          </w:rPr>
          <w:t>10.1021/jacs.6c00523</w:t>
        </w:r>
      </w:hyperlink>
    </w:p>
    <w:p>
      <w:pPr>
        <w:spacing w:before="0" w:after="80" w:lineRule="auto" w:line="276"/>
      </w:pPr>
      <w:r>
        <w:rPr>
          <w:b/>
        </w:rPr>
        <w:t xml:space="preserve">摘要（ZH）: </w:t>
      </w:r>
      <w:r>
        <w:t>(empty)</w:t>
      </w:r>
    </w:p>
    <w:p>
      <w:pPr>
        <w:spacing w:before="0" w:after="200" w:lineRule="auto" w:line="276"/>
      </w:pPr>
      <w:r>
        <w:rPr>
          <w:b/>
        </w:rPr>
        <w:t xml:space="preserve">Abstract (EN): </w:t>
      </w:r>
      <w:r>
        <w:t>Ruthenium oxide (RuO2) is a promising alternative anode catalyst to iridium oxide in proton exchange membrane water electrolysis (PEMWE). However, the unsatisfactory stability of RuO2 and the sluggish proton-coupled electron transfer kinetics of the oxygen evolution reaction (OER) hinder practical application. We report here a fluorine-tuned RuO2 with terminal fluorine (Fter) and bridging fluorine (Fbri) sites that successfully tackles the activity-stability paradox faced by Ru-based catalysts. Comprehensive experimental and theoretical studies reveal an unconventional fluorine-assisted deprotonation mechanism by which the proton transfer is decoupled from the electron transfer during the OER. The Fter acts as a proton relay that accelerates deprotonation of intermediates, while Fbri contributes to suppressing the lattice oxygen oxidation route. The catalyst exhibited a low overpotential of 191 millivolts at 10 mA per square centimeter and maintained this current density over 2000 h. A practical PEMWE based on this catalyst delivered a current density of 1000 mA per square centimeter at a mere 1.72 V and operated stably over 300 h with a voltage degradation rate of 84 microvolts per hour.</w:t>
      </w:r>
    </w:p>
    <w:p>
      <w:pPr>
        <w:spacing w:before="120" w:after="120"/>
      </w:pPr>
      <w:r>
        <w:rPr>
          <w:sz w:val="18"/>
        </w:rPr>
        <w:t>——————————————————————————————————————————————————————————————————————</w:t>
      </w:r>
    </w:p>
    <w:p>
      <w:pPr>
        <w:spacing w:before="160" w:after="40" w:line="240" w:lineRule="auto"/>
      </w:pPr>
      <w:r>
        <w:rPr>
          <w:b/>
        </w:rPr>
        <w:t xml:space="preserve">[5] </w:t>
      </w:r>
      <w:hyperlink r:id="rId177">
        <w:r>
          <w:rPr>
            <w:color w:val="1155CC"/>
            <w:u w:val="single"/>
          </w:rPr>
          <w:t>EU leaders should not rush to revamp green-hydrogen rules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 </w:t>
      </w:r>
      <w:hyperlink r:id="rId178">
        <w:r>
          <w:rPr>
            <w:color w:val="1155CC"/>
            <w:u w:val="single"/>
          </w:rPr>
          <w:t>Energy-system optimization for hydrogen-based green steel production from medium-grade iron ore</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 </w:t>
      </w:r>
      <w:hyperlink r:id="rId179">
        <w:r>
          <w:rPr>
            <w:color w:val="1155CC"/>
            <w:u w:val="single"/>
          </w:rPr>
          <w:t>Modelling UK air quality implications of decarbonisation using hydrogen</w:t>
        </w:r>
      </w:hyperlink>
    </w:p>
    <w:p>
      <w:pPr>
        <w:spacing w:before="0" w:after="120"/>
      </w:pPr>
      <w:r>
        <w:rPr>
          <w:b/>
        </w:rPr>
        <w:t xml:space="preserve">Source: </w:t>
      </w:r>
      <w:r>
        <w:t>ScienceDirect Publication: Energy Policy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 </w:t>
      </w:r>
      <w:hyperlink r:id="rId180">
        <w:r>
          <w:rPr>
            <w:color w:val="1155CC"/>
            <w:u w:val="single"/>
          </w:rPr>
          <w:t>Superstructure optimization reveals novel cost-optimal power-to-methanol pathways using hybrid solid oxide electrolysis cells</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 </w:t>
      </w:r>
      <w:hyperlink r:id="rId181">
        <w:r>
          <w:rPr>
            <w:color w:val="1155CC"/>
            <w:u w:val="single"/>
          </w:rPr>
          <w:t>Biogas-to-methane conversion via sorption-enhanced methanation: experimental evaluation of reactor configuration strategies</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 </w:t>
      </w:r>
      <w:hyperlink r:id="rId182">
        <w:r>
          <w:rPr>
            <w:color w:val="1155CC"/>
            <w:u w:val="single"/>
          </w:rPr>
          <w:t>Biomimetic flow guiding electrode design for high-efficiency seawater electrolysis: Overcoming salt precipitation challenges</w:t>
        </w:r>
      </w:hyperlink>
    </w:p>
    <w:p>
      <w:pPr>
        <w:spacing w:before="0" w:after="120"/>
      </w:pPr>
      <w:r>
        <w:rPr>
          <w:b/>
        </w:rPr>
        <w:t xml:space="preserve">Source: </w:t>
      </w:r>
      <w:r>
        <w:t>Matter</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Seawater electrolysis is plagued by sluggish cathodic bubble detachment and active site blocking induced by Mg2+/Ca2+ precipitation. Inspired by desert beetles and cactus spines, a biomimetic wedge-structured electrode facilitates salt rejection and directional gas transport, achieving efficient and durable H2 production at approximately $1.7/kg of H2, which is below the US Department of Energy’s 2030 target of $2/kg of H2.</w:t>
      </w:r>
    </w:p>
    <w:p>
      <w:pPr>
        <w:spacing w:before="120" w:after="120"/>
      </w:pPr>
      <w:r>
        <w:rPr>
          <w:sz w:val="18"/>
        </w:rPr>
        <w:t>——————————————————————————————————————————————————————————————————————</w:t>
      </w:r>
    </w:p>
    <w:p>
      <w:pPr>
        <w:spacing w:before="160" w:after="40" w:line="240" w:lineRule="auto"/>
      </w:pPr>
      <w:r>
        <w:rPr>
          <w:b/>
        </w:rPr>
        <w:t xml:space="preserve">[11] </w:t>
      </w:r>
      <w:hyperlink r:id="rId183">
        <w:r>
          <w:rPr>
            <w:color w:val="1155CC"/>
            <w:u w:val="single"/>
          </w:rPr>
          <w:t>Molecular level combination of coordination and interfacial regulations via functional ligands for industrial AEM water electrolysis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184">
        <w:r>
          <w:rPr>
            <w:color w:val="1155CC"/>
            <w:u w:val="single"/>
          </w:rPr>
          <w:t>10.1126/sciadv.aea8247</w:t>
        </w:r>
      </w:hyperlink>
    </w:p>
    <w:p>
      <w:pPr>
        <w:spacing w:before="0" w:after="80" w:lineRule="auto" w:line="276"/>
      </w:pPr>
      <w:r>
        <w:rPr>
          <w:b/>
        </w:rPr>
        <w:t xml:space="preserve">摘要（ZH）: </w:t>
      </w:r>
      <w:r>
        <w:t>(empty)</w:t>
      </w:r>
    </w:p>
    <w:p>
      <w:pPr>
        <w:spacing w:before="0" w:after="200" w:lineRule="auto" w:line="276"/>
      </w:pPr>
      <w:r>
        <w:rPr>
          <w:b/>
        </w:rPr>
        <w:t xml:space="preserve">Abstract (EN): </w:t>
      </w:r>
      <w:r>
        <w:t>Coordination engineering is often used to tune the electronic structures of active sites, while their catalytic performances are determined not only by electronic structures but also by microenvironments. Herein, we introduce interfacial functional ligands that not only optimize the electronic structures of active sites but also regulate the interfacial microenvironment for oxygen evolution reaction (OER). Specifically, the pore edge–hosted FeF</w:t>
        <w:br/>
        <w:t xml:space="preserve">                    3</w:t>
        <w:br/>
        <w:t xml:space="preserve">                    O</w:t>
        <w:br/>
        <w:t xml:space="preserve">                    2</w:t>
        <w:br/>
        <w:t xml:space="preserve">                    sites enable a favorable electronic structure to generate</w:t>
        <w:br/>
        <w:t xml:space="preserve">                    *</w:t>
        <w:br/>
        <w:t xml:space="preserve">                    OOH intermediates and simultaneously promote the interfacial transport of hydroxide for enhanced OER kinetics. The F ligands in FeF</w:t>
        <w:br/>
        <w:t xml:space="preserve">                    3</w:t>
        <w:br/>
        <w:t xml:space="preserve">                    O</w:t>
        <w:br/>
        <w:t xml:space="preserve">                    2</w:t>
        <w:br/>
        <w:t xml:space="preserve">                    sites interact with interfacial water strongly via H-bonding to promote H-bond network connectivity, thus encouraging the temporally concerted proton transfer during hydroxide diffusion. Consequently, FeF</w:t>
        <w:br/>
        <w:t xml:space="preserve">                    3</w:t>
        <w:br/>
        <w:t xml:space="preserve">                    O</w:t>
        <w:br/>
        <w:t xml:space="preserve">                    2</w:t>
        <w:br/>
        <w:t xml:space="preserve">                    sites realize the 331.5-fold enhancement in turnover frequency for alkaline OER over the NiOOH and efficient water electrolyzers (1.663 voltage at 1.0 amperes per square centimeter at 60°C, durably operating at 1.0 amperes per square centimeter &amp;gt; 1200 hours).</w:t>
      </w:r>
    </w:p>
    <w:p>
      <w:pPr>
        <w:spacing w:before="120" w:after="120"/>
      </w:pPr>
      <w:r>
        <w:rPr>
          <w:sz w:val="18"/>
        </w:rPr>
        <w:t>——————————————————————————————————————————————————————————————————————</w:t>
      </w:r>
    </w:p>
    <w:p>
      <w:pPr>
        <w:spacing w:before="160" w:after="40" w:line="240" w:lineRule="auto"/>
      </w:pPr>
      <w:r>
        <w:rPr>
          <w:b/>
        </w:rPr>
        <w:t xml:space="preserve">[12] </w:t>
      </w:r>
      <w:hyperlink r:id="rId185">
        <w:r>
          <w:rPr>
            <w:color w:val="1155CC"/>
            <w:u w:val="single"/>
          </w:rPr>
          <w:t>Local Hollandite Phase Inducing Oxygen Path Mechanism Enables Durable PEM Electrolysis</w:t>
        </w:r>
      </w:hyperlink>
    </w:p>
    <w:p>
      <w:pPr>
        <w:spacing w:before="0" w:after="120"/>
      </w:pPr>
      <w:r>
        <w:rPr>
          <w:b/>
        </w:rPr>
        <w:t xml:space="preserve">Source: </w:t>
      </w:r>
      <w:r>
        <w:t>Wiley: Advanced Materials: Table of Contents</w:t>
      </w:r>
      <w:r>
        <w:t xml:space="preserve">    </w:t>
      </w:r>
      <w:r>
        <w:rPr>
          <w:b/>
        </w:rPr>
        <w:t xml:space="preserve">Pub date: </w:t>
      </w:r>
      <w:r>
        <w:t>2026-02-25 13:34:38+00:00</w:t>
      </w:r>
      <w:r>
        <w:t xml:space="preserve">    </w:t>
      </w:r>
      <w:r>
        <w:rPr>
          <w:b/>
        </w:rPr>
        <w:t xml:space="preserve">DOI: </w:t>
      </w:r>
      <w:hyperlink r:id="rId186">
        <w:r>
          <w:rPr>
            <w:color w:val="1155CC"/>
            <w:u w:val="single"/>
          </w:rPr>
          <w:t>10.1002/adma.202521163</w:t>
        </w:r>
      </w:hyperlink>
    </w:p>
    <w:p>
      <w:pPr>
        <w:spacing w:before="0" w:after="80" w:lineRule="auto" w:line="276"/>
      </w:pPr>
      <w:r>
        <w:rPr>
          <w:b/>
        </w:rPr>
        <w:t xml:space="preserve">摘要（ZH）: </w:t>
      </w:r>
      <w:r>
        <w:t>(empty)</w:t>
      </w:r>
    </w:p>
    <w:p>
      <w:pPr>
        <w:spacing w:before="0" w:after="200" w:lineRule="auto" w:line="276"/>
      </w:pPr>
      <w:r>
        <w:rPr>
          <w:b/>
        </w:rPr>
        <w:t xml:space="preserve">Abstract (EN): </w:t>
      </w:r>
      <w:r>
        <w:t>Large-scale proton-exchange-membrane water electrolyzers (PEMWEs) are urgently needed for green hydrogen production, however, their development is largely hindered by the use of high-loading iridium in the anode. While amorphous IrOx catalysts with high activity exist, they typically follow either the lattice oxygen mechanism compromising stability, or the adsorbate evolution mechanism suffering from a high overpotential limit. Oxide path mechanism (OPM) offers a promising alternative by enabling direct *O─*O coupling, but its activation in the pure IrOx system remains challenging given the long distance between adjacent Ir atoms. Herein, we report a class of (La)IrOx porous amorphous catalyst with OPM pathway, featuring local unconventional hollandite phase and abundant water molecules inside its lattice tunnels. We demonstrate that such a unique short-range ordered structure can induce shortened Ir-Iredge distance and highly-active Ir≥5+ species, both contributing to desirable OPM for greatly enhanced catalytic performances. The as-assembled PEMWE achieves a cell voltage of 1.62 V at 1 A cm-2 with a low loading of 0.2 mgIr cm-2, and can operate stably over 500 h at industry-level current density. The accelerated stress test further validates its durability advantage at even lower 0.1 mgIr cm-2 loading, which validates its potential as a viable anode solution for durable low-iridium PEMWEs.</w:t>
      </w:r>
    </w:p>
    <w:p>
      <w:pPr>
        <w:spacing w:before="120" w:after="120"/>
      </w:pPr>
      <w:r>
        <w:rPr>
          <w:sz w:val="18"/>
        </w:rPr>
        <w:t>——————————————————————————————————————————————————————————————————————</w:t>
      </w:r>
    </w:p>
    <w:p>
      <w:pPr>
        <w:spacing w:before="160" w:after="40" w:line="240" w:lineRule="auto"/>
      </w:pPr>
      <w:r>
        <w:rPr>
          <w:b/>
        </w:rPr>
        <w:t xml:space="preserve">[13] </w:t>
      </w:r>
      <w:hyperlink r:id="rId187">
        <w:r>
          <w:rPr>
            <w:color w:val="1155CC"/>
            <w:u w:val="single"/>
          </w:rPr>
          <w:t>A hydrogen-molecule-mediated proton-exchange membrane with near-complete permselectivity</w:t>
        </w:r>
      </w:hyperlink>
    </w:p>
    <w:p>
      <w:pPr>
        <w:spacing w:before="0" w:after="120"/>
      </w:pPr>
      <w:r>
        <w:rPr>
          <w:b/>
        </w:rPr>
        <w:t xml:space="preserve">Source: </w:t>
      </w:r>
      <w:r>
        <w:t>Nature Chemical Engineering</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Ion exchange membranes play a critical role in environmental sustainability, with applications ranging from separations to energy storage and conversion. However, polymer-based membranes typically suffer from a trade-off between selectivity and conductivity, hindering the development of many membrane-based devices. Here we overcome this trade-off in a proton-exchange membrane (PEM) by enabling hydrogen molecules and electrons to be transported through a gas chamber and a solid metal, respectively, instead of relying on proton conduction. The facile conversion between protons, electrons and hydrogen molecules occurs via hydrogen evolution and oxidation reactions at the triple-phase boundary. This design, which we term hydrogen-molecule-mediated PEM, achieves nearly 100% proton selectivity by eliminating direct ionic pathways between 2 electrolytes. Benefiting from the rapid diffusion of hydrogen gas, the high electrical conductivity of metals, and the fast kinetics of hydrogen evolution and oxidation reactions, hydrogen-molecule-mediated PEM exhibits exceptionally low area-specific resistance of 0.15 Ω cm2 at pH 0 and 1.05 Ω cm2 at pH 14, comparable to commercial membranes. Finally, we demonstrate its applications in a pH-decoupled Zn-MnO2 rechargeable battery with stable operation for 200 cycles and an electrochemical stack for efficient acid and base generation from seawater.</w:t>
      </w:r>
    </w:p>
    <w:p>
      <w:pPr>
        <w:spacing w:before="120" w:after="120"/>
      </w:pPr>
      <w:r>
        <w:rPr>
          <w:sz w:val="18"/>
        </w:rPr>
        <w:t>——————————————————————————————————————————————————————————————————————</w:t>
      </w:r>
    </w:p>
    <w:p>
      <w:pPr>
        <w:spacing w:before="160" w:after="40" w:line="240" w:lineRule="auto"/>
      </w:pPr>
      <w:r>
        <w:rPr>
          <w:b/>
        </w:rPr>
        <w:t xml:space="preserve">[14] </w:t>
      </w:r>
      <w:hyperlink r:id="rId188">
        <w:r>
          <w:rPr>
            <w:color w:val="1155CC"/>
            <w:u w:val="single"/>
          </w:rPr>
          <w:t>Leveraging the kinetic isotope effect by compact H-bond motifs for electrochemical hydrogen isotope separation</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2026-02-26 08:00:00+00:00</w:t>
      </w:r>
      <w:r>
        <w:t xml:space="preserve">    </w:t>
      </w:r>
      <w:r>
        <w:rPr>
          <w:b/>
        </w:rPr>
        <w:t xml:space="preserve">DOI: </w:t>
      </w:r>
      <w:hyperlink r:id="rId189">
        <w:r>
          <w:rPr>
            <w:color w:val="1155CC"/>
            <w:u w:val="single"/>
          </w:rPr>
          <w:t>10.1073/pnas.2533803123</w:t>
        </w:r>
      </w:hyperlink>
    </w:p>
    <w:p>
      <w:pPr>
        <w:spacing w:before="0" w:after="80" w:lineRule="auto" w:line="276"/>
      </w:pPr>
      <w:r>
        <w:rPr>
          <w:b/>
        </w:rPr>
        <w:t xml:space="preserve">摘要（ZH）: </w:t>
      </w:r>
      <w:r>
        <w:t>(empty)</w:t>
      </w:r>
    </w:p>
    <w:p>
      <w:pPr>
        <w:spacing w:before="0" w:after="200" w:lineRule="auto" w:line="276"/>
      </w:pPr>
      <w:r>
        <w:rPr>
          <w:b/>
        </w:rPr>
        <w:t xml:space="preserve">Abstract (EN): </w:t>
      </w:r>
      <w:r>
        <w:t>Electrochemical hydrogen isotope separation has been constrained for decades by the similar energy barriers of the rate-determining O–H and O–D bond cleavage step in water isotopologues. Herein, we compact H-bond connectivity through screening a series of additives to stimulate electrochemical proton quantum tunneling (QT) behaviors of “through-barrier”, which are virtually impossible for heavier D-relevant motions. The average H-bond length of H</w:t>
        <w:br/>
        <w:t xml:space="preserve">                    2</w:t>
        <w:br/>
        <w:t xml:space="preserve">                    O⋯OH</w:t>
        <w:br/>
        <w:t xml:space="preserve">                    −</w:t>
        <w:br/>
        <w:t xml:space="preserve">                    is 3.4% shorter (2.78 Å) with isopropanol additive at the engineered interface. Fundamentally, QT effects are magnified by selectively promoting proton transfer-involved reactions through strengthening the H-bond and filling the H-bond gap, which are further proved by both experimental Arrhenius plots with near small-curvature tunneling approximation and a stronger proton excursion in path integral molecular dynamics simulations. Hence, a record-high H</w:t>
        <w:br/>
        <w:t xml:space="preserve">                    2</w:t>
        <w:br/>
        <w:t xml:space="preserve">                    O separation factor of 276 is realized at room temperature with a three-order-of-magnitude growth of H/D kinetic isotope effect constant up to 10,165. Significantly, a large-scale multistage reactor is engineered to obtain continuous enrichment of heavy water with a deuterium atomic fraction over 80%.</w:t>
      </w:r>
    </w:p>
    <w:p>
      <w:pPr>
        <w:spacing w:before="120" w:after="120"/>
      </w:pPr>
      <w:r>
        <w:rPr>
          <w:sz w:val="18"/>
        </w:rPr>
        <w:t>——————————————————————————————————————————————————————————————————————</w:t>
      </w:r>
    </w:p>
    <w:p>
      <w:pPr>
        <w:spacing w:before="160" w:after="40" w:line="240" w:lineRule="auto"/>
      </w:pPr>
      <w:r>
        <w:rPr>
          <w:b/>
        </w:rPr>
        <w:t xml:space="preserve">[15] </w:t>
      </w:r>
      <w:hyperlink r:id="rId190">
        <w:r>
          <w:rPr>
            <w:color w:val="1155CC"/>
            <w:u w:val="single"/>
          </w:rPr>
          <w:t>Low-cost hydrogen production: Techno-economic analysis of high-temperature porous electrode membraneless electrolysis</w:t>
        </w:r>
      </w:hyperlink>
    </w:p>
    <w:p>
      <w:pPr>
        <w:spacing w:before="0" w:after="120"/>
      </w:pPr>
      <w:r>
        <w:rPr>
          <w:b/>
        </w:rPr>
        <w:t xml:space="preserve">Source: </w:t>
      </w:r>
      <w:r>
        <w:t>ScienceDirect Publication: Applied Energy</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 </w:t>
      </w:r>
      <w:hyperlink r:id="rId191">
        <w:r>
          <w:rPr>
            <w:color w:val="1155CC"/>
            <w:u w:val="single"/>
          </w:rPr>
          <w:t>Proton–electron temporal asynchrony on femtosecond timescales enables anti-corrosive low-iridium anodes for PEM electrolysers</w:t>
        </w:r>
      </w:hyperlink>
    </w:p>
    <w:p>
      <w:pPr>
        <w:spacing w:before="0" w:after="120"/>
      </w:pPr>
      <w:r>
        <w:rPr>
          <w:b/>
        </w:rPr>
        <w:t xml:space="preserve">Source: </w:t>
      </w:r>
      <w:r>
        <w:t>Nature Nanotechnology</w:t>
      </w:r>
      <w:r>
        <w:t xml:space="preserve">    </w:t>
      </w:r>
      <w:r>
        <w:rPr>
          <w:b/>
        </w:rPr>
        <w:t xml:space="preserve">Pub date: </w:t>
      </w:r>
      <w:r>
        <w:t>2026-02-27 00:00:00+00:00</w:t>
      </w:r>
      <w:r>
        <w:t xml:space="preserve">    </w:t>
      </w:r>
      <w:r>
        <w:rPr>
          <w:b/>
        </w:rPr>
        <w:t xml:space="preserve">DOI: </w:t>
      </w:r>
      <w:hyperlink r:id="rId192">
        <w:r>
          <w:rPr>
            <w:color w:val="1155CC"/>
            <w:u w:val="single"/>
          </w:rPr>
          <w:t>10.1038/s41565-026-02136-x</w:t>
        </w:r>
      </w:hyperlink>
    </w:p>
    <w:p>
      <w:pPr>
        <w:spacing w:before="0" w:after="80" w:lineRule="auto" w:line="276"/>
      </w:pPr>
      <w:r>
        <w:rPr>
          <w:b/>
        </w:rPr>
        <w:t xml:space="preserve">摘要（ZH）: </w:t>
      </w:r>
      <w:r>
        <w:t>(empty)</w:t>
      </w:r>
    </w:p>
    <w:p>
      <w:pPr>
        <w:spacing w:before="0" w:after="200" w:lineRule="auto" w:line="276"/>
      </w:pPr>
      <w:r>
        <w:rPr>
          <w:b/>
        </w:rPr>
        <w:t xml:space="preserve">Abstract (EN): </w:t>
      </w:r>
      <w:r>
        <w:t>The development of corrosion-resistant low-iridium anode catalysts is the key challenge in proton exchange membrane water electrolysis. However, the fundamental origin of anodic corrosion has been intensely debated over the years, mainly because of the limited mechanistic understanding of the complex proton-coupled electron transfer process. In this work, we employed femtosecond electrochemical transient absorption spectroscopy to probe the spatial–temporal synchronization of protons and electrons during the elementary proton-coupled electron transfer step at the femtosecond (10−15 s) timescale. Here we show that anodic corrosion is initiated within 100 fs after polarization startup, driven by synchronized protons and electrons coupling at the electrode surface. By introducing a Lewis acid (CeO2) as a proton channel, the reaction dynamics of protons and electrons could be decoupled into temporal asynchrony to prevent the generation of soluble Ir6+ species. Owing to this unique desynchronized proton–electron interaction, the CeO2–IrO2 catalyst demonstrates outstanding stability for about 1,400 h of continuous operation.</w:t>
      </w:r>
    </w:p>
    <w:p>
      <w:pPr>
        <w:spacing w:before="120" w:after="120"/>
      </w:pPr>
      <w:r>
        <w:rPr>
          <w:sz w:val="18"/>
        </w:rPr>
        <w:t>——————————————————————————————————————————————————————————————————————</w:t>
      </w:r>
    </w:p>
    <w:p>
      <w:pPr>
        <w:spacing w:before="160" w:after="40" w:line="240" w:lineRule="auto"/>
      </w:pPr>
      <w:r>
        <w:rPr>
          <w:b/>
        </w:rPr>
        <w:t xml:space="preserve">[17] </w:t>
      </w:r>
      <w:hyperlink r:id="rId193">
        <w:r>
          <w:rPr>
            <w:color w:val="1155CC"/>
            <w:u w:val="single"/>
          </w:rPr>
          <w:t>Unlocking Multi-Stage Flexibility Enables Cost-Competitive Hydrogen-Based Steelmaking in China</w:t>
        </w:r>
      </w:hyperlink>
    </w:p>
    <w:p>
      <w:pPr>
        <w:spacing w:before="0" w:after="120"/>
      </w:pPr>
      <w:r>
        <w:rPr>
          <w:b/>
        </w:rPr>
        <w:t xml:space="preserve">Source: </w:t>
      </w:r>
      <w:r>
        <w:t>RSC - Energy Environ. Sci. latest articles</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Addressing climate change requires decarbonizing the iron and steel industry, which accounts for about 7% of global CO₂ emissions. Hydrogen-based direct reduced iron with electric arc furnaces (H₂-DRI-EAF) emerges as a promising pathway, yet its economic viability hinges on effectively managing the variability of renewable energy. However, heterogeneous flexibility potentials across electricity, hydrogen, iron, and steel production, together with the distinct characteristics of intermediate product storage, make coordinated capacity investment highly complex. This study develops a system-level modeling framework for renewable-centric, multi-stage H₂-DRI-EAF that jointly optimizes capacity sizing and flexible operations across production stages under flexibility strategies in representative Chinese steelmaking cities. We find that fully deploying flexibility across all production stages could reduce the levelized cost of steel (LCOS) by 6–10% relative to baseline configurations relying on flexible electrolysis alone. By 2035, flexible H₂-DRI-EAF can achieve near cost parity with conventional steelmaking under moderate carbon pricing ($38 t⁻¹ CO₂) and 50% low-cost scrap addition. Flexibility systematically alters investment patterns through significantly reducing the required capacities of solar and energy storage while moderately inducing differentiated overcapacity in electrolyzers, DRI furnaces, and EAFs. For a 1 Mt yr⁻¹ H₂-DRI-EAF plant, renewable deployment exceeds 100 km²; a PV-only configuration halves the land footprint but raises LCOS by $5–64 t⁻¹. This study provides quantitative insights to support the scalable deployment of green steel pathways under high renewable penetration.</w:t>
      </w:r>
    </w:p>
    <w:p>
      <w:pPr>
        <w:spacing w:before="120" w:after="120"/>
      </w:pPr>
      <w:r>
        <w:rPr>
          <w:sz w:val="18"/>
        </w:rPr>
        <w:t>——————————————————————————————————————————————————————————————————————</w:t>
      </w:r>
    </w:p>
    <w:p>
      <w:pPr>
        <w:spacing w:before="160" w:after="40" w:line="240" w:lineRule="auto"/>
      </w:pPr>
      <w:r>
        <w:rPr>
          <w:b/>
        </w:rPr>
        <w:t xml:space="preserve">[18] </w:t>
      </w:r>
      <w:hyperlink r:id="rId194">
        <w:r>
          <w:rPr>
            <w:color w:val="1155CC"/>
            <w:u w:val="single"/>
          </w:rPr>
          <w:t>A hybrid centralized-distributed green ammonia system for cost-effective decarbonization of China's nitrogen fertilizer production</w:t>
        </w:r>
      </w:hyperlink>
    </w:p>
    <w:p>
      <w:pPr>
        <w:spacing w:before="0" w:after="120"/>
      </w:pPr>
      <w:r>
        <w:rPr>
          <w:b/>
        </w:rPr>
        <w:t xml:space="preserve">Source: </w:t>
      </w:r>
      <w:r>
        <w:t>ScienceDirect Publication: Applied Energy</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 </w:t>
      </w:r>
      <w:hyperlink r:id="rId195">
        <w:r>
          <w:rPr>
            <w:color w:val="1155CC"/>
            <w:u w:val="single"/>
          </w:rPr>
          <w:t>High-quality hydrogen peroxide production through electrochemical reduction of anthraquinone in ambient environment</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196">
        <w:r>
          <w:rPr>
            <w:color w:val="1155CC"/>
            <w:u w:val="single"/>
          </w:rPr>
          <w:t>10.1126/sciadv.ady6378</w:t>
        </w:r>
      </w:hyperlink>
    </w:p>
    <w:p>
      <w:pPr>
        <w:spacing w:before="0" w:after="80" w:lineRule="auto" w:line="276"/>
      </w:pPr>
      <w:r>
        <w:rPr>
          <w:b/>
        </w:rPr>
        <w:t xml:space="preserve">摘要（ZH）: </w:t>
      </w:r>
      <w:r>
        <w:t>(empty)</w:t>
      </w:r>
    </w:p>
    <w:p>
      <w:pPr>
        <w:spacing w:before="0" w:after="200" w:lineRule="auto" w:line="276"/>
      </w:pPr>
      <w:r>
        <w:rPr>
          <w:b/>
        </w:rPr>
        <w:t xml:space="preserve">Abstract (EN): </w:t>
      </w:r>
      <w:r>
        <w:t>At present, the traditional anthraquinone method is the main method for producing high-quality and high-concentration H</w:t>
        <w:br/>
        <w:t xml:space="preserve">                    2</w:t>
        <w:br/>
        <w:t xml:space="preserve">                    O</w:t>
        <w:br/>
        <w:t xml:space="preserve">                    2</w:t>
        <w:br/>
        <w:t xml:space="preserve">                    , but it involves the use of H</w:t>
        <w:br/>
        <w:t xml:space="preserve">                    2</w:t>
        <w:br/>
        <w:t xml:space="preserve">                    , resulting in high carbon emissions and certain risks. The double-electron oxygen reduction reaction has become a more environmentally friendly alternative method for producing H</w:t>
        <w:br/>
        <w:t xml:space="preserve">                    2</w:t>
        <w:br/>
        <w:t xml:space="preserve">                    O</w:t>
        <w:br/>
        <w:t xml:space="preserve">                    2</w:t>
        <w:br/>
        <w:t xml:space="preserve">                    . However, at high overpotentials, the production and conversion rates of H</w:t>
        <w:br/>
        <w:t xml:space="preserve">                    2</w:t>
        <w:br/>
        <w:t xml:space="preserve">                    O</w:t>
        <w:br/>
        <w:t xml:space="preserve">                    2</w:t>
        <w:br/>
        <w:t xml:space="preserve">                    are still limited. Here, we report an electrochemical method that can convert H</w:t>
        <w:br/>
        <w:t xml:space="preserve">                    2</w:t>
        <w:br/>
        <w:t xml:space="preserve">                    O and formaldehyde into high-concentration H</w:t>
        <w:br/>
        <w:t xml:space="preserve">                    2</w:t>
        <w:br/>
        <w:t xml:space="preserve">                    O</w:t>
        <w:br/>
        <w:t xml:space="preserve">                    2</w:t>
        <w:br/>
        <w:t xml:space="preserve">                    and high-value formate salts with high product purity under environmental conditions. At a current density of 30 milliamperes per square centimeter, continuous operation for 5 hours can produce 6.522% (m/v) H</w:t>
        <w:br/>
        <w:t xml:space="preserve">                    2</w:t>
        <w:br/>
        <w:t xml:space="preserve">                    O</w:t>
        <w:br/>
        <w:t xml:space="preserve">                    2</w:t>
        <w:br/>
        <w:t xml:space="preserve">                    , and the product does not contain acid, alkali, or excessive impurities. Faraday efficiency reaches 83%. The chronopotentiometry method shows stable current performance of the electrode after 360 hours of operation. This low-carbon, safe, and sustainable approach provides a promising alternative to traditional H</w:t>
        <w:br/>
        <w:t xml:space="preserve">                    2</w:t>
        <w:br/>
        <w:t xml:space="preserve">                    O</w:t>
        <w:br/>
        <w:t xml:space="preserve">                    2</w:t>
        <w:br/>
        <w:t xml:space="preserve">                    production.</w:t>
      </w:r>
    </w:p>
    <w:p>
      <w:pPr>
        <w:spacing w:before="120" w:after="120"/>
      </w:pPr>
      <w:r>
        <w:rPr>
          <w:sz w:val="18"/>
        </w:rPr>
        <w:t>——————————————————————————————————————————————————————————————————————</w:t>
      </w:r>
    </w:p>
    <w:p>
      <w:pPr>
        <w:spacing w:before="160" w:after="40" w:line="240" w:lineRule="auto"/>
      </w:pPr>
      <w:r>
        <w:rPr>
          <w:b/>
        </w:rPr>
        <w:t xml:space="preserve">[20] </w:t>
      </w:r>
      <w:hyperlink r:id="rId197">
        <w:r>
          <w:rPr>
            <w:color w:val="1155CC"/>
            <w:u w:val="single"/>
          </w:rPr>
          <w:t>[ASAP] Influence of the Size and Shape of Palladium Nanoparticles on Their Electrochemical Hydrogen Sorption Capacity</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19:21:51+00:00</w:t>
      </w:r>
      <w:r>
        <w:t xml:space="preserve">    </w:t>
      </w:r>
      <w:r>
        <w:rPr>
          <w:b/>
        </w:rPr>
        <w:t xml:space="preserve">DOI: </w:t>
      </w:r>
      <w:hyperlink r:id="rId198">
        <w:r>
          <w:rPr>
            <w:color w:val="1155CC"/>
            <w:u w:val="single"/>
          </w:rPr>
          <w:t>10.1021/jacs.5c19692</w:t>
        </w:r>
      </w:hyperlink>
    </w:p>
    <w:p>
      <w:pPr>
        <w:spacing w:before="0" w:after="80" w:lineRule="auto" w:line="276"/>
      </w:pPr>
      <w:r>
        <w:rPr>
          <w:b/>
        </w:rPr>
        <w:t xml:space="preserve">摘要（ZH）: </w:t>
      </w:r>
      <w:r>
        <w:t>(empty)</w:t>
      </w:r>
    </w:p>
    <w:p>
      <w:pPr>
        <w:spacing w:before="0" w:after="200" w:lineRule="auto" w:line="276"/>
      </w:pPr>
      <w:r>
        <w:rPr>
          <w:b/>
        </w:rPr>
        <w:t xml:space="preserve">Abstract (EN): </w:t>
      </w:r>
      <w:r>
        <w:t>Palladium hydrides (PdH&lt;sub&gt;&lt;i&gt;x&lt;/i&gt;&lt;/sub&gt;) represent a prototypal platform for investigating metal-H interactions, owing to their well-defined phase transition, and are also relevant to molecular hydrogen storage, sensing and (electro)catalysis. It is well-known that the H sorption capacity of Pd nanoparticles (NPs) depends on their size and that H atoms become progressively trapped in Pd after repeated H sorption/desorption cycles. However, the influence of the NP shape on these properties has been much less explored. Herein, by synthesizing carbon-supported Pd nanocubes (NCs) enclosed by {100} facets, we reveal a pronounced size-dependent H sorption capacity, with the H:Pd ratio increasing from 0.55 to 0.68 as the Pd NC size increased from 5.4 to 20.2 nm in 0.1 M H&lt;sub&gt;2&lt;/sub&gt;SO&lt;sub&gt;4&lt;/sub&gt; at 20 °C. In parallel, a size-dependent H trapping is evidenced, with the fraction of trapped H decreasing from 13.9% to 5.1% as the Pd NC size increases over the same size range. Combining electrochemical measurements on both cubic and spherical Pd NPs with molecular dynamics simulations, we disentangle size and shape effects and demonstrate that both H sorption capacity and H trapping amplitude are primarily governed by the surface-to-volume ratio of the Pd NPs, rather than by their shape.</w:t>
      </w:r>
    </w:p>
    <w:p>
      <w:pPr>
        <w:spacing w:before="120" w:after="120"/>
      </w:pPr>
      <w:r>
        <w:rPr>
          <w:sz w:val="18"/>
        </w:rPr>
        <w:t>——————————————————————————————————————————————————————————————————————</w:t>
      </w:r>
    </w:p>
    <w:p>
      <w:pPr>
        <w:spacing w:before="160" w:after="40" w:line="240" w:lineRule="auto"/>
      </w:pPr>
      <w:r>
        <w:rPr>
          <w:b/>
        </w:rPr>
        <w:t xml:space="preserve">[21] </w:t>
      </w:r>
      <w:hyperlink r:id="rId199">
        <w:r>
          <w:rPr>
            <w:color w:val="1155CC"/>
            <w:u w:val="single"/>
          </w:rPr>
          <w:t>Oxygen Evolution Reaction Catalysts for Acidic‐Media CO2 Electrolyzers</w:t>
        </w:r>
      </w:hyperlink>
    </w:p>
    <w:p>
      <w:pPr>
        <w:spacing w:before="0" w:after="120"/>
      </w:pPr>
      <w:r>
        <w:rPr>
          <w:b/>
        </w:rPr>
        <w:t xml:space="preserve">Source: </w:t>
      </w:r>
      <w:r>
        <w:t>Wiley: Advanced Materials: Table of Contents</w:t>
      </w:r>
      <w:r>
        <w:t xml:space="preserve">    </w:t>
      </w:r>
      <w:r>
        <w:rPr>
          <w:b/>
        </w:rPr>
        <w:t xml:space="preserve">Pub date: </w:t>
      </w:r>
      <w:r>
        <w:t>2026-02-28 07:01:14+00:00</w:t>
      </w:r>
      <w:r>
        <w:t xml:space="preserve">    </w:t>
      </w:r>
      <w:r>
        <w:rPr>
          <w:b/>
        </w:rPr>
        <w:t xml:space="preserve">DOI: </w:t>
      </w:r>
      <w:hyperlink r:id="rId200">
        <w:r>
          <w:rPr>
            <w:color w:val="1155CC"/>
            <w:u w:val="single"/>
          </w:rPr>
          <w:t>10.1002/adma.72644</w:t>
        </w:r>
      </w:hyperlink>
    </w:p>
    <w:p>
      <w:pPr>
        <w:spacing w:before="0" w:after="80" w:lineRule="auto" w:line="276"/>
      </w:pPr>
      <w:r>
        <w:rPr>
          <w:b/>
        </w:rPr>
        <w:t xml:space="preserve">摘要（ZH）: </w:t>
      </w:r>
      <w:r>
        <w:t>(empty)</w:t>
      </w:r>
    </w:p>
    <w:p>
      <w:pPr>
        <w:spacing w:before="0" w:after="200" w:lineRule="auto" w:line="276"/>
      </w:pPr>
      <w:r>
        <w:rPr>
          <w:b/>
        </w:rPr>
        <w:t xml:space="preserve">Abstract (EN): </w:t>
      </w:r>
      <w:r>
        <w:t>Acidic-media electrochemical CO2 reduction (CO2R) offers high single-pass CO2 conversion (SPCE) and low purification cost, yet relies on scarce noble metals (e.g., iridium and ruthenium) for the anodic oxygen evolution reaction (OER). The limited abundance of these catalysts constrains large-scale deployment. Drawing lessons from proton-exchange membrane water electrolysis (PEMWE), this review integrates recent progress in acidic-media OER catalysis with system-level CO2R. It provides a cross-scale perspective from mechanistic understanding and theoretical modeling to electrode architecture and operational optimization, highlighting how noble- and non-noble-metal catalysts can be engineered for enhanced activity, stability, and resource efficiency. The review further outlines diagnostic and computational approaches that connect atomic-level descriptors with macroscopic durability. By bridging mechanistic insights and scalable system design, this work establishes a roadmap toward durable and economically viable acidic-media CO2 electrolyzers.</w:t>
      </w:r>
    </w:p>
    <w:p>
      <w:pPr>
        <w:spacing w:before="120" w:after="120"/>
      </w:pPr>
      <w:r>
        <w:rPr>
          <w:sz w:val="18"/>
        </w:rPr>
        <w:t>——————————————————————————————————————————————————————————————————————</w:t>
      </w:r>
    </w:p>
    <w:p>
      <w:pPr>
        <w:spacing w:before="160" w:after="40" w:line="240" w:lineRule="auto"/>
      </w:pPr>
      <w:r>
        <w:rPr>
          <w:b/>
        </w:rPr>
        <w:t xml:space="preserve">[22] </w:t>
      </w:r>
      <w:hyperlink r:id="rId201">
        <w:r>
          <w:rPr>
            <w:color w:val="1155CC"/>
            <w:u w:val="single"/>
          </w:rPr>
          <w:t>Quasi‐Chimney Electrode Boosts Hydrogen Evolution Reaction via Polarized Laplace Pressure</w:t>
        </w:r>
      </w:hyperlink>
    </w:p>
    <w:p>
      <w:pPr>
        <w:spacing w:before="0" w:after="120"/>
      </w:pPr>
      <w:r>
        <w:rPr>
          <w:b/>
        </w:rPr>
        <w:t xml:space="preserve">Source: </w:t>
      </w:r>
      <w:r>
        <w:t>Wiley: Advanced Materials: Table of Contents</w:t>
      </w:r>
      <w:r>
        <w:t xml:space="preserve">    </w:t>
      </w:r>
      <w:r>
        <w:rPr>
          <w:b/>
        </w:rPr>
        <w:t xml:space="preserve">Pub date: </w:t>
      </w:r>
      <w:r>
        <w:t>2026-02-28 09:39:23+00:00</w:t>
      </w:r>
      <w:r>
        <w:t xml:space="preserve">    </w:t>
      </w:r>
      <w:r>
        <w:rPr>
          <w:b/>
        </w:rPr>
        <w:t xml:space="preserve">DOI: </w:t>
      </w:r>
      <w:hyperlink r:id="rId202">
        <w:r>
          <w:rPr>
            <w:color w:val="1155CC"/>
            <w:u w:val="single"/>
          </w:rPr>
          <w:t>10.1002/adma.72666</w:t>
        </w:r>
      </w:hyperlink>
    </w:p>
    <w:p>
      <w:pPr>
        <w:spacing w:before="0" w:after="80" w:lineRule="auto" w:line="276"/>
      </w:pPr>
      <w:r>
        <w:rPr>
          <w:b/>
        </w:rPr>
        <w:t xml:space="preserve">摘要（ZH）: </w:t>
      </w:r>
      <w:r>
        <w:t>(empty)</w:t>
      </w:r>
    </w:p>
    <w:p>
      <w:pPr>
        <w:spacing w:before="0" w:after="200" w:lineRule="auto" w:line="276"/>
      </w:pPr>
      <w:r>
        <w:rPr>
          <w:b/>
        </w:rPr>
        <w:t xml:space="preserve">Abstract (EN): </w:t>
      </w:r>
      <w:r>
        <w:t>The effect of mass transfer on hydrogen evolution reaction (HER) is significantly underestimated under high-current-density conditions. Here, we designed a quasi-chimney electrode by integrating 3D superaerophilic microchannels with superaerophobic Pt catalysts to elucidate the influence of mass transfer on HER. Upon encountering superaerophilic channels, hydrogen (H2) bubbles generated on Pt catalysts experience Laplace pressure polarization at the bubble/channel interface, which drives both surface and internal bubbles from the superaerophobic catalytic sites into the superaerophilic network, functioning as a micro-chimney for efficient bubble transport. In addition, the superaerophilic channels shorten the diffusion path of dissolved H2 to the air/water interface, thereby reducing the dissolved H2 concentration. This mass-transfer enhancement yields an exceptional HER performance (a record-low overpotential of about -30 mV at -100 mA cm-2, and a high current density of -2.93 A cm-2 at -0.3 V vs RHE in H2SO4 (0.5 M) along with remarkable durability, confirmed by &lt;5% activity decay at -1000 and -2000 mA cm-2 for 160 h. The proposed quasi-chimney design, which is also applicable to various catalysts, results in an 8- and 14-times increase in current density for Cu-Co and Cu-Mo catalysts, at an overpotential of -500 mV compared with their superaerophobic electrode structures.</w:t>
      </w:r>
    </w:p>
    <w:p>
      <w:pPr>
        <w:spacing w:before="120" w:after="120"/>
      </w:pPr>
      <w:r>
        <w:rPr>
          <w:sz w:val="18"/>
        </w:rPr>
        <w:t>——————————————————————————————————————————————————————————————————————</w:t>
      </w:r>
    </w:p>
    <w:p>
      <w:pPr>
        <w:spacing w:before="160" w:after="40" w:line="240" w:lineRule="auto"/>
      </w:pPr>
      <w:r>
        <w:rPr>
          <w:b/>
        </w:rPr>
        <w:t xml:space="preserve">[23] </w:t>
      </w:r>
      <w:hyperlink r:id="rId203">
        <w:r>
          <w:rPr>
            <w:color w:val="1155CC"/>
            <w:u w:val="single"/>
          </w:rPr>
          <w:t>Economic feasibility and political risk of an e-methanol trade route between Côte d'Ivoire and Germany</w:t>
        </w:r>
      </w:hyperlink>
    </w:p>
    <w:p>
      <w:pPr>
        <w:spacing w:before="0" w:after="120"/>
      </w:pPr>
      <w:r>
        <w:rPr>
          <w:b/>
        </w:rPr>
        <w:t xml:space="preserve">Source: </w:t>
      </w:r>
      <w:r>
        <w:t>ScienceDirect Publication: Applied Energy</w:t>
      </w:r>
      <w:r>
        <w:t xml:space="preserve">    </w:t>
      </w:r>
      <w:r>
        <w:rPr>
          <w:b/>
        </w:rPr>
        <w:t xml:space="preserve">Pub date: </w:t>
      </w:r>
      <w:r>
        <w:t>2026-03-01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 </w:t>
      </w:r>
      <w:hyperlink r:id="rId204">
        <w:r>
          <w:rPr>
            <w:color w:val="1155CC"/>
            <w:u w:val="single"/>
          </w:rPr>
          <w:t>Degradation-aware scheduling and thermal management of solar–battery-powered alkaline water electrolysis systems</w:t>
        </w:r>
      </w:hyperlink>
    </w:p>
    <w:p>
      <w:pPr>
        <w:spacing w:before="0" w:after="120"/>
      </w:pPr>
      <w:r>
        <w:rPr>
          <w:b/>
        </w:rPr>
        <w:t xml:space="preserve">Source: </w:t>
      </w:r>
      <w:r>
        <w:t>ScienceDirect Publication: Applied Energy</w:t>
      </w:r>
      <w:r>
        <w:t xml:space="preserve">    </w:t>
      </w:r>
      <w:r>
        <w:rPr>
          <w:b/>
        </w:rPr>
        <w:t xml:space="preserve">Pub date: </w:t>
      </w:r>
      <w:r>
        <w:t>2026-03-01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【产业降碳】</w:t>
      </w:r>
    </w:p>
    <w:p>
      <w:pPr>
        <w:spacing w:before="160" w:after="40" w:line="240" w:lineRule="auto"/>
      </w:pPr>
      <w:r>
        <w:rPr>
          <w:b/>
        </w:rPr>
        <w:t xml:space="preserve">[1] </w:t>
      </w:r>
      <w:hyperlink r:id="rId205">
        <w:r>
          <w:rPr>
            <w:color w:val="1155CC"/>
            <w:u w:val="single"/>
          </w:rPr>
          <w:t>Corrigendum to “Support mechanisms for low-carbon hydrogen: The risks of segmenting a commodity market” [Energy Policy 202 art 114605 DOI 10.1016/j.enpol.2025.114605]</w:t>
        </w:r>
      </w:hyperlink>
    </w:p>
    <w:p>
      <w:pPr>
        <w:spacing w:before="0" w:after="120"/>
      </w:pPr>
      <w:r>
        <w:rPr>
          <w:b/>
        </w:rPr>
        <w:t xml:space="preserve">Source: </w:t>
      </w:r>
      <w:r>
        <w:t>ScienceDirect Publication: Energy Policy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71">
        <w:r>
          <w:rPr>
            <w:color w:val="1155CC"/>
            <w:u w:val="single"/>
          </w:rPr>
          <w:t>Electricity-driven CO2 and biomass conversion toward formic acid/formate: microenvironment regulation, hydrogen storage potential, and sustainability assessment</w:t>
        </w:r>
      </w:hyperlink>
    </w:p>
    <w:p>
      <w:pPr>
        <w:spacing w:before="0" w:after="120"/>
      </w:pPr>
      <w:r>
        <w:rPr>
          <w:b/>
        </w:rPr>
        <w:t xml:space="preserve">Source: </w:t>
      </w:r>
      <w:r>
        <w:t>RSC - Energy Environ. Sci. latest articles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Formic acid (FA)/formate (FM) is widely recognized as an important energy carrier and high-value chemical. Through electrocatalysis, abundant carbon sources such as CO2 and biomass can be converted into FA or FM, enabling the valorization of feedstocks into high-value chemicals via a promising approach toward eco-friendly and sustainable development. This review elucidates recent milestones and emerging trends in FA/FM production via CO2 electroreduction and biomass electrooxidation, with a particular emphasis on microenvironment regulation. The intrinsic mechanisms underlying the effects of key factors on activity, selectivity, and energy efficiency are elucidated. In addition, environmental impact, hydrogen-storage capabilities, techno-economic analysis, and life cycle assessment are discussed in detail. Finally, future research directions and optimization strategies are proposed, focusing on feedstock pretreatment, catalyst engineering, and membrane–electrode integration. More importantly, this review also discusses CO2–organic paired electrolysis, proposing several solutions to fundamental constraints. Overall, this review aims to provide systematic guidance for three electrocatalytic pathways toward FA/FM—CO2 reduction, biomass oxidation, and their paired electrolysis—highlighting the pivotal role of microenvironment engineering in electrocatalyst design and reaction optimization, thereby delivering scientific insights to support green energy utilization and sustainable chemical manufacturing.</w:t>
      </w:r>
    </w:p>
    <w:p>
      <w:pPr>
        <w:spacing w:before="120" w:after="120"/>
      </w:pPr>
      <w:r>
        <w:rPr>
          <w:sz w:val="18"/>
        </w:rPr>
        <w:t>——————————————————————————————————————————————————————————————————————</w:t>
      </w:r>
    </w:p>
    <w:p>
      <w:pPr>
        <w:spacing w:before="160" w:after="40" w:line="240" w:lineRule="auto"/>
      </w:pPr>
      <w:r>
        <w:rPr>
          <w:b/>
        </w:rPr>
        <w:t xml:space="preserve">[3] </w:t>
      </w:r>
      <w:hyperlink r:id="rId206">
        <w:r>
          <w:rPr>
            <w:color w:val="1155CC"/>
            <w:u w:val="single"/>
          </w:rPr>
          <w:t>Enhancing industrial energy efficiency: Strategies, barriers and opportunities in the context of electricity supply challenges</w:t>
        </w:r>
      </w:hyperlink>
    </w:p>
    <w:p>
      <w:pPr>
        <w:spacing w:before="0" w:after="120"/>
      </w:pPr>
      <w:r>
        <w:rPr>
          <w:b/>
        </w:rPr>
        <w:t xml:space="preserve">Source: </w:t>
      </w:r>
      <w:r>
        <w:t>ScienceDirect Publication: Energy Policy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207">
        <w:r>
          <w:rPr>
            <w:color w:val="1155CC"/>
            <w:u w:val="single"/>
          </w:rPr>
          <w:t>We need a global assessment of avoidable climate-change risks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 </w:t>
      </w:r>
      <w:hyperlink r:id="rId208">
        <w:r>
          <w:rPr>
            <w:color w:val="1155CC"/>
            <w:u w:val="single"/>
          </w:rPr>
          <w:t>Ambient air operation</w:t>
        </w:r>
      </w:hyperlink>
    </w:p>
    <w:p>
      <w:pPr>
        <w:spacing w:before="0" w:after="120"/>
      </w:pPr>
      <w:r>
        <w:rPr>
          <w:b/>
        </w:rPr>
        <w:t xml:space="preserve">Source: </w:t>
      </w:r>
      <w:r>
        <w:t>Nature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 </w:t>
      </w:r>
      <w:hyperlink r:id="rId209">
        <w:r>
          <w:rPr>
            <w:color w:val="1155CC"/>
            <w:u w:val="single"/>
          </w:rPr>
          <w:t>A novel bi-level optimization scheduling framework for electricity-carbon-water Nexus in power systems</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 </w:t>
      </w:r>
      <w:hyperlink r:id="rId210">
        <w:r>
          <w:rPr>
            <w:color w:val="1155CC"/>
            <w:u w:val="single"/>
          </w:rPr>
          <w:t>Millennial land carbon emissions in China offset by carbon sinks of the past four decades</w:t>
        </w:r>
      </w:hyperlink>
    </w:p>
    <w:p>
      <w:pPr>
        <w:spacing w:before="0" w:after="120"/>
      </w:pPr>
      <w:r>
        <w:rPr>
          <w:b/>
        </w:rPr>
        <w:t xml:space="preserve">Source: </w:t>
      </w:r>
      <w:r>
        <w:t>Nature Communications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China experienced substantial millennial-scale climate and anthropogenic land use changes, yet their combined impacts on land carbon dynamics remain largely unexamined. Here, we quantify spatiotemporal changes in terrestrial organic carbon over 851–2022 using a land surface model driven by reconstructed climate and land cover forcings. Simulated results show China’s pre-industrial millennial land carbon dynamics aligned with global carbon stock and atmospheric CO2 fluctuations, such as the ~284 ppm peak in the 12th century linked to land use during the Medieval Climate Anomaly-warmed Song Dynasty. Notably, China’s total land carbon emissions (13 ± 0.5 PgC) accounted for 22% of global land carbon emissions during 1700–1900, with Northeast and Southwest China experiencing the largest historical land carbon losses from intensive deforestation. Nevertheless, the 17.0 ± 1.7 PgC emissions during 851–1980 were fully offset by rapid carbon sinks over 1980–2022, driven by CO2 fertilization and large-scale afforestation. These findings provide insights into China’s historical land carbon dynamics, their underlying drivers, and global implications.</w:t>
      </w:r>
    </w:p>
    <w:p>
      <w:pPr>
        <w:spacing w:before="120" w:after="120"/>
      </w:pPr>
      <w:r>
        <w:rPr>
          <w:sz w:val="18"/>
        </w:rPr>
        <w:t>——————————————————————————————————————————————————————————————————————</w:t>
      </w:r>
    </w:p>
    <w:p>
      <w:pPr>
        <w:spacing w:before="160" w:after="40" w:line="240" w:lineRule="auto"/>
      </w:pPr>
      <w:r>
        <w:rPr>
          <w:b/>
        </w:rPr>
        <w:t xml:space="preserve">[8] </w:t>
      </w:r>
      <w:hyperlink r:id="rId211">
        <w:r>
          <w:rPr>
            <w:color w:val="1155CC"/>
            <w:u w:val="single"/>
          </w:rPr>
          <w:t>Chemical Primary Color Pixels for Full‐Color Image Encoding and Decoding</w:t>
        </w:r>
      </w:hyperlink>
    </w:p>
    <w:p>
      <w:pPr>
        <w:spacing w:before="0" w:after="120"/>
      </w:pPr>
      <w:r>
        <w:rPr>
          <w:b/>
        </w:rPr>
        <w:t xml:space="preserve">Source: </w:t>
      </w:r>
      <w:r>
        <w:t>Wiley: Angewandte Chemie International Edition: Table of Contents</w:t>
      </w:r>
      <w:r>
        <w:t xml:space="preserve">    </w:t>
      </w:r>
      <w:r>
        <w:rPr>
          <w:b/>
        </w:rPr>
        <w:t xml:space="preserve">Pub date: </w:t>
      </w:r>
      <w:r>
        <w:t>2026-02-26 06:24:12+00:00</w:t>
      </w:r>
      <w:r>
        <w:t xml:space="preserve">    </w:t>
      </w:r>
      <w:r>
        <w:rPr>
          <w:b/>
        </w:rPr>
        <w:t xml:space="preserve">DOI: </w:t>
      </w:r>
      <w:hyperlink r:id="rId212">
        <w:r>
          <w:rPr>
            <w:color w:val="1155CC"/>
            <w:u w:val="single"/>
          </w:rPr>
          <w:t>10.1002/anie.3633333</w:t>
        </w:r>
      </w:hyperlink>
    </w:p>
    <w:p>
      <w:pPr>
        <w:spacing w:before="0" w:after="80" w:lineRule="auto" w:line="276"/>
      </w:pPr>
      <w:r>
        <w:rPr>
          <w:b/>
        </w:rPr>
        <w:t xml:space="preserve">摘要（ZH）: </w:t>
      </w:r>
      <w:r>
        <w:t>(empty)</w:t>
      </w:r>
    </w:p>
    <w:p>
      <w:pPr>
        <w:spacing w:before="0" w:after="200" w:lineRule="auto" w:line="276"/>
      </w:pPr>
      <w:r>
        <w:rPr>
          <w:b/>
        </w:rPr>
        <w:t xml:space="preserve">Abstract (EN): </w:t>
      </w:r>
      <w:r>
        <w:t>Reflective displays use eye-compatible ambient light to showcase the image, thus featuring better readability and higher energy efficiency over the emissive displays. Primary colors suitable for reflective display can be easily produced via various chemical chromogenic reactions, but from primary colors to color pixels, assigning and instruction of binary data is essential, which in turn guide the generation of colorful images via encoding and decoding. Herein, we proposed a chemical primary color pixel strategy using Rose Bengal (RB, a derivative of the well-known logic gate molecule fluorescein), together with a chromogenic substrate 3,3',5,5'-tetramethylbenzidine (TMB), to achieve chemical primary color pixels. Specificall Yey, the pH-dependent photosensitization activity of RB was explored (oxidation of TMB) and combined with the pH-modulated refreshable TMB-based chromogenic reaction, which allowed the use of pH and light to dually modulate the chromogenic reaction for CMY primary color output. Meanwhile, such system could perform binary logic gates, and was capable of decoding and encoding the binary data of images. The resultant chemical primary color pixels featured a full-color gamut and facile refreshing, which permitted image display in a full-color reflective mode with a resolution of 51 PPI and extreme visual comfort.</w:t>
      </w:r>
    </w:p>
    <w:p>
      <w:pPr>
        <w:spacing w:before="120" w:after="120"/>
      </w:pPr>
      <w:r>
        <w:rPr>
          <w:sz w:val="18"/>
        </w:rPr>
        <w:t>——————————————————————————————————————————————————————————————————————</w:t>
      </w:r>
    </w:p>
    <w:p>
      <w:pPr>
        <w:spacing w:before="160" w:after="40" w:line="240" w:lineRule="auto"/>
      </w:pPr>
      <w:r>
        <w:rPr>
          <w:b/>
        </w:rPr>
        <w:t xml:space="preserve">[9] </w:t>
      </w:r>
      <w:hyperlink r:id="rId213">
        <w:r>
          <w:rPr>
            <w:color w:val="1155CC"/>
            <w:u w:val="single"/>
          </w:rPr>
          <w:t>Why Biden-era clean energy investment policies had limited political returns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2026-02-26 08:00:00+00:00</w:t>
      </w:r>
      <w:r>
        <w:t xml:space="preserve">    </w:t>
      </w:r>
      <w:r>
        <w:rPr>
          <w:b/>
        </w:rPr>
        <w:t xml:space="preserve">DOI: </w:t>
      </w:r>
      <w:hyperlink r:id="rId214">
        <w:r>
          <w:rPr>
            <w:color w:val="1155CC"/>
            <w:u w:val="single"/>
          </w:rPr>
          <w:t>10.1073/pnas.2526802123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Biden Administration enacted the largest federal policy framework to incentivize clean energy and decarbonization in U.S. history. We examine whether Biden-era green investments produced political returns by affecting public opinion. Using geolocated survey data linked to investment records and a database of company and politician statements, we assess project visibility and credit attribution. People closer to new renewable energy and green manufacturing facilities are more likely to notice these investments but are not more likely to credit the Biden Administration. Instead, the public sees governors as most responsible. This credit allocation pattern aligns with the political message environment: Governors more frequently claim credit than the White House and companies spread recognition broadly across political actors. This fragmented information environment illustrates the limits of using less traceable forms of green spending to generate electoral gains and public support for climate policy.</w:t>
      </w:r>
    </w:p>
    <w:p>
      <w:pPr>
        <w:spacing w:before="120" w:after="120"/>
      </w:pPr>
      <w:r>
        <w:rPr>
          <w:sz w:val="18"/>
        </w:rPr>
        <w:t>——————————————————————————————————————————————————————————————————————</w:t>
      </w:r>
    </w:p>
    <w:p>
      <w:pPr>
        <w:spacing w:before="160" w:after="40" w:line="240" w:lineRule="auto"/>
      </w:pPr>
      <w:r>
        <w:rPr>
          <w:b/>
        </w:rPr>
        <w:t xml:space="preserve">[10] </w:t>
      </w:r>
      <w:hyperlink r:id="rId193">
        <w:r>
          <w:rPr>
            <w:color w:val="1155CC"/>
            <w:u w:val="single"/>
          </w:rPr>
          <w:t>Unlocking Multi-Stage Flexibility Enables Cost-Competitive Hydrogen-Based Steelmaking in China</w:t>
        </w:r>
      </w:hyperlink>
    </w:p>
    <w:p>
      <w:pPr>
        <w:spacing w:before="0" w:after="120"/>
      </w:pPr>
      <w:r>
        <w:rPr>
          <w:b/>
        </w:rPr>
        <w:t xml:space="preserve">Source: </w:t>
      </w:r>
      <w:r>
        <w:t>RSC - Energy Environ. Sci. latest articles</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Addressing climate change requires decarbonizing the iron and steel industry, which accounts for about 7% of global CO₂ emissions. Hydrogen-based direct reduced iron with electric arc furnaces (H₂-DRI-EAF) emerges as a promising pathway, yet its economic viability hinges on effectively managing the variability of renewable energy. However, heterogeneous flexibility potentials across electricity, hydrogen, iron, and steel production, together with the distinct characteristics of intermediate product storage, make coordinated capacity investment highly complex. This study develops a system-level modeling framework for renewable-centric, multi-stage H₂-DRI-EAF that jointly optimizes capacity sizing and flexible operations across production stages under flexibility strategies in representative Chinese steelmaking cities. We find that fully deploying flexibility across all production stages could reduce the levelized cost of steel (LCOS) by 6–10% relative to baseline configurations relying on flexible electrolysis alone. By 2035, flexible H₂-DRI-EAF can achieve near cost parity with conventional steelmaking under moderate carbon pricing ($38 t⁻¹ CO₂) and 50% low-cost scrap addition. Flexibility systematically alters investment patterns through significantly reducing the required capacities of solar and energy storage while moderately inducing differentiated overcapacity in electrolyzers, DRI furnaces, and EAFs. For a 1 Mt yr⁻¹ H₂-DRI-EAF plant, renewable deployment exceeds 100 km²; a PV-only configuration halves the land footprint but raises LCOS by $5–64 t⁻¹. This study provides quantitative insights to support the scalable deployment of green steel pathways under high renewable penetration.</w:t>
      </w:r>
    </w:p>
    <w:p>
      <w:pPr>
        <w:spacing w:before="120" w:after="120"/>
      </w:pPr>
      <w:r>
        <w:rPr>
          <w:sz w:val="18"/>
        </w:rPr>
        <w:t>——————————————————————————————————————————————————————————————————————</w:t>
      </w:r>
    </w:p>
    <w:p>
      <w:pPr>
        <w:spacing w:before="160" w:after="40" w:line="240" w:lineRule="auto"/>
      </w:pPr>
      <w:r>
        <w:rPr>
          <w:b/>
        </w:rPr>
        <w:t xml:space="preserve">[11] </w:t>
      </w:r>
      <w:hyperlink r:id="rId215">
        <w:r>
          <w:rPr>
            <w:color w:val="1155CC"/>
            <w:u w:val="single"/>
          </w:rPr>
          <w:t>Scientific evidence does not support oyster farming as a marine carbon dioxide removal strategy for climate mitigation</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216">
        <w:r>
          <w:rPr>
            <w:color w:val="1155CC"/>
            <w:u w:val="single"/>
          </w:rPr>
          <w:t>10.1073/pnas.2533459123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 </w:t>
      </w:r>
      <w:hyperlink r:id="rId217">
        <w:r>
          <w:rPr>
            <w:color w:val="1155CC"/>
            <w:u w:val="single"/>
          </w:rPr>
          <w:t>Energy policy strategies for cleaner production: The roles of renewable energy and green innovation</w:t>
        </w:r>
      </w:hyperlink>
    </w:p>
    <w:p>
      <w:pPr>
        <w:spacing w:before="0" w:after="120"/>
      </w:pPr>
      <w:r>
        <w:rPr>
          <w:b/>
        </w:rPr>
        <w:t xml:space="preserve">Source: </w:t>
      </w:r>
      <w:r>
        <w:t>ScienceDirect Publication: Energy Policy</w:t>
      </w:r>
      <w:r>
        <w:t xml:space="preserve">    </w:t>
      </w:r>
      <w:r>
        <w:rPr>
          <w:b/>
        </w:rPr>
        <w:t xml:space="preserve">Pub date: </w:t>
      </w:r>
      <w:r>
        <w:t>2026-02-28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【CCUS】</w:t>
      </w:r>
    </w:p>
    <w:p>
      <w:pPr>
        <w:spacing w:before="160" w:after="40" w:line="240" w:lineRule="auto"/>
      </w:pPr>
      <w:r>
        <w:rPr>
          <w:b/>
        </w:rPr>
        <w:t xml:space="preserve">[1] </w:t>
      </w:r>
      <w:hyperlink r:id="rId171">
        <w:r>
          <w:rPr>
            <w:color w:val="1155CC"/>
            <w:u w:val="single"/>
          </w:rPr>
          <w:t>Electricity-driven CO2 and biomass conversion toward formic acid/formate: microenvironment regulation, hydrogen storage potential, and sustainability assessment</w:t>
        </w:r>
      </w:hyperlink>
    </w:p>
    <w:p>
      <w:pPr>
        <w:spacing w:before="0" w:after="120"/>
      </w:pPr>
      <w:r>
        <w:rPr>
          <w:b/>
        </w:rPr>
        <w:t xml:space="preserve">Source: </w:t>
      </w:r>
      <w:r>
        <w:t>RSC - Energy Environ. Sci. latest articles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Formic acid (FA)/formate (FM) is widely recognized as an important energy carrier and high-value chemical. Through electrocatalysis, abundant carbon sources such as CO2 and biomass can be converted into FA or FM, enabling the valorization of feedstocks into high-value chemicals via a promising approach toward eco-friendly and sustainable development. This review elucidates recent milestones and emerging trends in FA/FM production via CO2 electroreduction and biomass electrooxidation, with a particular emphasis on microenvironment regulation. The intrinsic mechanisms underlying the effects of key factors on activity, selectivity, and energy efficiency are elucidated. In addition, environmental impact, hydrogen-storage capabilities, techno-economic analysis, and life cycle assessment are discussed in detail. Finally, future research directions and optimization strategies are proposed, focusing on feedstock pretreatment, catalyst engineering, and membrane–electrode integration. More importantly, this review also discusses CO2–organic paired electrolysis, proposing several solutions to fundamental constraints. Overall, this review aims to provide systematic guidance for three electrocatalytic pathways toward FA/FM—CO2 reduction, biomass oxidation, and their paired electrolysis—highlighting the pivotal role of microenvironment engineering in electrocatalyst design and reaction optimization, thereby delivering scientific insights to support green energy utilization and sustainable chemical manufacturing.</w:t>
      </w:r>
    </w:p>
    <w:p>
      <w:pPr>
        <w:spacing w:before="120" w:after="120"/>
      </w:pPr>
      <w:r>
        <w:rPr>
          <w:sz w:val="18"/>
        </w:rPr>
        <w:t>——————————————————————————————————————————————————————————————————————</w:t>
      </w:r>
    </w:p>
    <w:p>
      <w:pPr>
        <w:spacing w:before="160" w:after="40" w:line="240" w:lineRule="auto"/>
      </w:pPr>
      <w:r>
        <w:rPr>
          <w:b/>
        </w:rPr>
        <w:t xml:space="preserve">[2] </w:t>
      </w:r>
      <w:hyperlink r:id="rId218">
        <w:r>
          <w:rPr>
            <w:color w:val="1155CC"/>
            <w:u w:val="single"/>
          </w:rPr>
          <w:t>Electrified CO2 uptake in quinone-based covalent organic frameworks</w:t>
        </w:r>
      </w:hyperlink>
    </w:p>
    <w:p>
      <w:pPr>
        <w:spacing w:before="0" w:after="120"/>
      </w:pPr>
      <w:r>
        <w:rPr>
          <w:b/>
        </w:rPr>
        <w:t xml:space="preserve">Source: </w:t>
      </w:r>
      <w:r>
        <w:t>Chem</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Electrochemical CO2 capture using molecular quinones is often limited by solubility and oxygen sensitivity in liquid systems. Embedding quinones into porous covalent organic frameworks (COFs) enhances stability, shifts reactivity into an oxygen-tolerant regime, and localizes redox activity to the solid sorbent. We developed a scalable synthesis of quinone-based COFs and validated their performance in a device operating under simulated flue gas, capturing CO2 efficiently for 80 h. This approach offers a promising, solid-state pathway toward electrochemical carbon-capture technologies.</w:t>
      </w:r>
    </w:p>
    <w:p>
      <w:pPr>
        <w:spacing w:before="120" w:after="120"/>
      </w:pPr>
      <w:r>
        <w:rPr>
          <w:sz w:val="18"/>
        </w:rPr>
        <w:t>——————————————————————————————————————————————————————————————————————</w:t>
      </w:r>
    </w:p>
    <w:p>
      <w:pPr>
        <w:spacing w:before="160" w:after="40" w:line="240" w:lineRule="auto"/>
      </w:pPr>
      <w:r>
        <w:rPr>
          <w:b/>
        </w:rPr>
        <w:t xml:space="preserve">[3] </w:t>
      </w:r>
      <w:hyperlink r:id="rId219">
        <w:r>
          <w:rPr>
            <w:color w:val="1155CC"/>
            <w:u w:val="single"/>
          </w:rPr>
          <w:t>The future of carbon capture, utilization and storage technologies</w:t>
        </w:r>
      </w:hyperlink>
    </w:p>
    <w:p>
      <w:pPr>
        <w:spacing w:before="0" w:after="120"/>
      </w:pPr>
      <w:r>
        <w:rPr>
          <w:b/>
        </w:rPr>
        <w:t xml:space="preserve">Source: </w:t>
      </w:r>
      <w:r>
        <w:t>Nature Chemical Engineering</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220">
        <w:r>
          <w:rPr>
            <w:color w:val="1155CC"/>
            <w:u w:val="single"/>
          </w:rPr>
          <w:t>Capturing CO2 from waste-fired CHP plants at low marginal cost</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 </w:t>
      </w:r>
      <w:hyperlink r:id="rId221">
        <w:r>
          <w:rPr>
            <w:color w:val="1155CC"/>
            <w:u w:val="single"/>
          </w:rPr>
          <w:t>[ASAP] Oxides and Carbonates Accelerate Copper Instability in CO2 Electroreduction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13:38:12+00:00</w:t>
      </w:r>
      <w:r>
        <w:t xml:space="preserve">    </w:t>
      </w:r>
      <w:r>
        <w:rPr>
          <w:b/>
        </w:rPr>
        <w:t xml:space="preserve">DOI: </w:t>
      </w:r>
      <w:hyperlink r:id="rId222">
        <w:r>
          <w:rPr>
            <w:color w:val="1155CC"/>
            <w:u w:val="single"/>
          </w:rPr>
          <w:t>10.1021/jacs.5c21287</w:t>
        </w:r>
      </w:hyperlink>
    </w:p>
    <w:p>
      <w:pPr>
        <w:spacing w:before="0" w:after="80" w:lineRule="auto" w:line="276"/>
      </w:pPr>
      <w:r>
        <w:rPr>
          <w:b/>
        </w:rPr>
        <w:t xml:space="preserve">摘要（ZH）: </w:t>
      </w:r>
      <w:r>
        <w:t>(empty)</w:t>
      </w:r>
    </w:p>
    <w:p>
      <w:pPr>
        <w:spacing w:before="0" w:after="200" w:lineRule="auto" w:line="276"/>
      </w:pPr>
      <w:r>
        <w:rPr>
          <w:b/>
        </w:rPr>
        <w:t xml:space="preserve">Abstract (EN): </w:t>
      </w:r>
      <w:r>
        <w:t>The electrochemical CO2 reduction reaction (CO2RR) is one of the key chemical transformations promoting the transition from fossil fuel-based energy systems to renewable systems. Copper (Cu)-based materials uniquely catalyze the production of multicarbon (C2+) products from CO2. Yet, copper operational instability limits long-term performance. Herein, we investigate the impact of the chemical nature of the initial Cu surface, particularly oxidation state and carbonate formation, on the structural and operational stability of Cu catalysts along with the reconstruction kinetics of the catalyst. We combine state-of-the-art well-defined catalysts with quasi-operando electrochemical liquid-phase transmission electron microscopy (ec-LPTEM) along with electrochemical characterization to learn about underlying differences. We demonstrate that catalysts with higher initial oxide content undergo faster structural reconstruction and suffer from faster operational deactivation. Interestingly, we find that Cu carbonates further exacerbate structural instability while also suppressing the CO2RR activity. Our results highlight the critical role of oxides and carbonates in dictating the reconstruction pathways and durability of Cu under CO2RR conditions, offering insights into tuning the Cu-based catalyst design for enhanced CO2RR stability and efficiency.</w:t>
      </w:r>
    </w:p>
    <w:p>
      <w:pPr>
        <w:spacing w:before="120" w:after="120"/>
      </w:pPr>
      <w:r>
        <w:rPr>
          <w:sz w:val="18"/>
        </w:rPr>
        <w:t>——————————————————————————————————————————————————————————————————————</w:t>
      </w:r>
    </w:p>
    <w:p>
      <w:pPr>
        <w:spacing w:before="160" w:after="40" w:line="240" w:lineRule="auto"/>
      </w:pPr>
      <w:r>
        <w:rPr>
          <w:b/>
        </w:rPr>
        <w:t xml:space="preserve">[6] </w:t>
      </w:r>
      <w:hyperlink r:id="rId223">
        <w:r>
          <w:rPr>
            <w:color w:val="1155CC"/>
            <w:u w:val="single"/>
          </w:rPr>
          <w:t>[ASAP] Scalable Carbon Dioxide Capture Using Clay-Derived Zeolites via Atomic Rearrangement</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16:53:07+00:00</w:t>
      </w:r>
      <w:r>
        <w:t xml:space="preserve">    </w:t>
      </w:r>
      <w:r>
        <w:rPr>
          <w:b/>
        </w:rPr>
        <w:t xml:space="preserve">DOI: </w:t>
      </w:r>
      <w:hyperlink r:id="rId224">
        <w:r>
          <w:rPr>
            <w:color w:val="1155CC"/>
            <w:u w:val="single"/>
          </w:rPr>
          <w:t>10.1021/jacs.5c20976</w:t>
        </w:r>
      </w:hyperlink>
    </w:p>
    <w:p>
      <w:pPr>
        <w:spacing w:before="0" w:after="80" w:lineRule="auto" w:line="276"/>
      </w:pPr>
      <w:r>
        <w:rPr>
          <w:b/>
        </w:rPr>
        <w:t xml:space="preserve">摘要（ZH）: </w:t>
      </w:r>
      <w:r>
        <w:t>(empty)</w:t>
      </w:r>
    </w:p>
    <w:p>
      <w:pPr>
        <w:spacing w:before="0" w:after="200" w:lineRule="auto" w:line="276"/>
      </w:pPr>
      <w:r>
        <w:rPr>
          <w:b/>
        </w:rPr>
        <w:t xml:space="preserve">Abstract (EN): </w:t>
      </w:r>
      <w:r>
        <w:t>Effective carbon capture materials are crucial for mitigating climate change and supporting sustainable industrial processes. However, developing scalable, cost-effective adsorbents with high carbon dioxide capacity, superior selectivity, and long-term stability remains a major challenge. Here, we report the scalable synthesis of Linde Type A zeolite via atomic reassembly of halloysite clay using mature industrial processes, achieving a high carbon dioxide adsorption capacity of 5.0 mmol g–1 with good cyclic stability. The transformation from a layered to a cubic framework with enlarged vacant spaces significantly enhances carbon dioxide accommodation. Additionally, the as-prepared zeolite demonstrates outstanding carbon dioxide/nitrogen selectivity (178 for 5% carbon dioxide) and robust thermal stability over multiple adsorption–desorption cycles. In situ tests reveal that adsorption is primarily governed by weakly bound interactions, allowing for the easy regeneration. This study presents a promising and scalable strategy for developing high-performance adsorbents toward gigaton-scale carbon dioxide capture applications.</w:t>
      </w:r>
    </w:p>
    <w:p>
      <w:pPr>
        <w:spacing w:before="120" w:after="120"/>
      </w:pPr>
      <w:r>
        <w:rPr>
          <w:sz w:val="18"/>
        </w:rPr>
        <w:t>——————————————————————————————————————————————————————————————————————</w:t>
      </w:r>
    </w:p>
    <w:p>
      <w:pPr>
        <w:spacing w:before="160" w:after="40" w:line="240" w:lineRule="auto"/>
      </w:pPr>
      <w:r>
        <w:rPr>
          <w:b/>
        </w:rPr>
        <w:t xml:space="preserve">[7] </w:t>
      </w:r>
      <w:hyperlink r:id="rId225">
        <w:r>
          <w:rPr>
            <w:color w:val="1155CC"/>
            <w:u w:val="single"/>
          </w:rPr>
          <w:t>A scenario-responsive siting framework of CO₂ capture and electrochemical conversion systems using integrated spatial and multi-criteria decision analysis</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 </w:t>
      </w:r>
      <w:hyperlink r:id="rId226">
        <w:r>
          <w:rPr>
            <w:color w:val="1155CC"/>
            <w:u w:val="single"/>
          </w:rPr>
          <w:t>Understanding and mitigating degradation in amine-based sorbents for CO2 direct air capture</w:t>
        </w:r>
      </w:hyperlink>
    </w:p>
    <w:p>
      <w:pPr>
        <w:spacing w:before="0" w:after="120"/>
      </w:pPr>
      <w:r>
        <w:rPr>
          <w:b/>
        </w:rPr>
        <w:t xml:space="preserve">Source: </w:t>
      </w:r>
      <w:r>
        <w:t>Chem</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Direct air capture of CO2 via amine-based sorbents is currently limited by sorbent degradation. This review connects mechanisms of degradation to sorbent chemistry and process conditions, discusses design strategies for more durable materials, and outlines future directions for improving sorbent lifetime.</w:t>
      </w:r>
    </w:p>
    <w:p>
      <w:pPr>
        <w:spacing w:before="120" w:after="120"/>
      </w:pPr>
      <w:r>
        <w:rPr>
          <w:sz w:val="18"/>
        </w:rPr>
        <w:t>——————————————————————————————————————————————————————————————————————</w:t>
      </w:r>
    </w:p>
    <w:p>
      <w:pPr>
        <w:spacing w:before="160" w:after="40" w:line="240" w:lineRule="auto"/>
      </w:pPr>
      <w:r>
        <w:rPr>
          <w:b/>
        </w:rPr>
        <w:t xml:space="preserve">[9] </w:t>
      </w:r>
      <w:hyperlink r:id="rId135">
        <w:r>
          <w:rPr>
            <w:color w:val="1155CC"/>
            <w:u w:val="single"/>
          </w:rPr>
          <w:t>[ASAP] Interfacial Adsorbate Competition Regulates Intermediate Stabilization and Onset Potential in Acidic CO2 Electroreduction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12:45:54+00:00</w:t>
      </w:r>
      <w:r>
        <w:t xml:space="preserve">    </w:t>
      </w:r>
      <w:r>
        <w:rPr>
          <w:b/>
        </w:rPr>
        <w:t xml:space="preserve">DOI: </w:t>
      </w:r>
      <w:hyperlink r:id="rId136">
        <w:r>
          <w:rPr>
            <w:color w:val="1155CC"/>
            <w:u w:val="single"/>
          </w:rPr>
          <w:t>10.1021/jacs.5c22970</w:t>
        </w:r>
      </w:hyperlink>
    </w:p>
    <w:p>
      <w:pPr>
        <w:spacing w:before="0" w:after="80" w:lineRule="auto" w:line="276"/>
      </w:pPr>
      <w:r>
        <w:rPr>
          <w:b/>
        </w:rPr>
        <w:t xml:space="preserve">摘要（ZH）: </w:t>
      </w:r>
      <w:r>
        <w:t>(empty)</w:t>
      </w:r>
    </w:p>
    <w:p>
      <w:pPr>
        <w:spacing w:before="0" w:after="200" w:lineRule="auto" w:line="276"/>
      </w:pPr>
      <w:r>
        <w:rPr>
          <w:b/>
        </w:rPr>
        <w:t xml:space="preserve">Abstract (EN): </w:t>
      </w:r>
      <w:r>
        <w:t>Electrochemical CO2 reduction (CO2R) in acid may enable high carbon utilization but faces selectivity challenges, particularly from the Hydrogen Evolution Reaction (HER). While the source of protons and cation concentrations play a role in this balance, the role of anions remains underexplored. Here, we combine in situ surface-enhanced Raman Spectroscopy during CO2R in acid with theoretical simulations to investigate the role of anionic species over copper gas diffusion electrodes at application-relevant current densities (up to 0.2 A·cm-2) and performance. Our observations reveal that sulfate adsorption inhibits CO2R at low pH and delays CO2R intermediate formation, which is enabled by hydroxyl species coadsorption. Such competition regulates *CO stabilization and the balanced *CO coverage needed to favor the formation of multicarbon products. These results shed light on how anion interactions govern CO2R selectivity under acidic conditions and their impact on overpotentials, offering guidance on catalyst-electrolyte interface design.</w:t>
      </w:r>
    </w:p>
    <w:p>
      <w:pPr>
        <w:spacing w:before="120" w:after="120"/>
      </w:pPr>
      <w:r>
        <w:rPr>
          <w:sz w:val="18"/>
        </w:rPr>
        <w:t>——————————————————————————————————————————————————————————————————————</w:t>
      </w:r>
    </w:p>
    <w:p>
      <w:pPr>
        <w:spacing w:before="160" w:after="40" w:line="240" w:lineRule="auto"/>
      </w:pPr>
      <w:r>
        <w:rPr>
          <w:b/>
        </w:rPr>
        <w:t xml:space="preserve">[10] </w:t>
      </w:r>
      <w:hyperlink r:id="rId227">
        <w:r>
          <w:rPr>
            <w:color w:val="1155CC"/>
            <w:u w:val="single"/>
          </w:rPr>
          <w:t>CO2 capture with post-modified nitrile and styrene-butadiene-styrene rubbers</w:t>
        </w:r>
      </w:hyperlink>
    </w:p>
    <w:p>
      <w:pPr>
        <w:spacing w:before="0" w:after="120"/>
      </w:pPr>
      <w:r>
        <w:rPr>
          <w:b/>
        </w:rPr>
        <w:t xml:space="preserve">Source: </w:t>
      </w:r>
      <w:r>
        <w:t>Chem</w:t>
      </w:r>
      <w:r>
        <w:t xml:space="preserve">    </w:t>
      </w:r>
      <w:r>
        <w:rPr>
          <w:b/>
        </w:rPr>
        <w:t xml:space="preserve">Pub date: </w:t>
      </w:r>
      <w:r>
        <w:t>2026-02-27 00:00:00+00:00</w:t>
      </w:r>
      <w:r>
        <w:t xml:space="preserve">    </w:t>
      </w:r>
      <w:r>
        <w:rPr>
          <w:b/>
        </w:rPr>
        <w:t xml:space="preserve">DOI: </w:t>
      </w:r>
      <w:hyperlink r:id="rId228">
        <w:r>
          <w:rPr>
            <w:color w:val="1155CC"/>
            <w:u w:val="single"/>
          </w:rPr>
          <w:t>10.1016/j.chempr.2025.102918</w:t>
        </w:r>
      </w:hyperlink>
    </w:p>
    <w:p>
      <w:pPr>
        <w:spacing w:before="0" w:after="80" w:lineRule="auto" w:line="276"/>
      </w:pPr>
      <w:r>
        <w:rPr>
          <w:b/>
        </w:rPr>
        <w:t xml:space="preserve">摘要（ZH）: </w:t>
      </w:r>
      <w:r>
        <w:t>(empty)</w:t>
      </w:r>
    </w:p>
    <w:p>
      <w:pPr>
        <w:spacing w:before="0" w:after="200" w:lineRule="auto" w:line="276"/>
      </w:pPr>
      <w:r>
        <w:rPr>
          <w:b/>
        </w:rPr>
        <w:t xml:space="preserve">Abstract (EN): </w:t>
      </w:r>
      <w:r>
        <w:t>Using carbon capture to abate climate change is an immense challenge due to the current gigaton-per-year scale CO2 emissions, which will require enormous amounts of CO2-sorbing materials from readily available and low-cost feedstocks. Substantial waste fractions, such as single-use nitrile gloves or related rubbers, are shown here to be converted into effective adsorbents for potential use within point-source CO2 capture, such as from flue gases. This work shows a proof of concept to upcycle waste to be used for carbon capture.</w:t>
      </w:r>
    </w:p>
    <w:p>
      <w:pPr>
        <w:spacing w:before="120" w:after="120"/>
      </w:pPr>
      <w:r>
        <w:rPr>
          <w:sz w:val="18"/>
        </w:rPr>
        <w:t>——————————————————————————————————————————————————————————————————————</w:t>
      </w:r>
    </w:p>
    <w:p>
      <w:pPr>
        <w:spacing w:before="160" w:after="40" w:line="240" w:lineRule="auto"/>
      </w:pPr>
      <w:r>
        <w:rPr>
          <w:b/>
        </w:rPr>
        <w:t xml:space="preserve">[11] </w:t>
      </w:r>
      <w:hyperlink r:id="rId229">
        <w:r>
          <w:rPr>
            <w:color w:val="1155CC"/>
            <w:u w:val="single"/>
          </w:rPr>
          <w:t>Reassessing boreal wildfire drivers enables high-resolution mapping of emissions for climate adaptation</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230">
        <w:r>
          <w:rPr>
            <w:color w:val="1155CC"/>
            <w:u w:val="single"/>
          </w:rPr>
          <w:t>10.1126/sciadv.adw5226</w:t>
        </w:r>
      </w:hyperlink>
    </w:p>
    <w:p>
      <w:pPr>
        <w:spacing w:before="0" w:after="80" w:lineRule="auto" w:line="276"/>
      </w:pPr>
      <w:r>
        <w:rPr>
          <w:b/>
        </w:rPr>
        <w:t xml:space="preserve">摘要（ZH）: </w:t>
      </w:r>
      <w:r>
        <w:t>(empty)</w:t>
      </w:r>
    </w:p>
    <w:p>
      <w:pPr>
        <w:spacing w:before="0" w:after="200" w:lineRule="auto" w:line="276"/>
      </w:pPr>
      <w:r>
        <w:rPr>
          <w:b/>
        </w:rPr>
        <w:t xml:space="preserve">Abstract (EN): </w:t>
      </w:r>
      <w:r>
        <w:t>The expansive carbon reservoirs of the boreal region are becoming some of the most rapidly growing sources of greenhouse gasses under a positive feedback between intensifying fire activity and climate change. However, current regional-scale methods lack the spatial precision needed to improve understanding of the drivers of these fluxes to inform strategies aimed at maximizing landscape carbon storage. Here, we develop an alternative and highly constrained procedure for estimating wildfire emissions at both local (10 meters) and regional (1000 kilometers) scales in boreal Fennoscandia. This approach reassessed existing knowledge of heat development within the context of modern geospatial datasets, revealing expanded applications of satellite-derived fire radiative power in classifying distinct smoldering dynamics. The findings additionally emphasized the importance of capturing fine-scale variation in climate-sensitive fuel loading when determining regional fire season impact. Comparisons revealed substantial limitations in existing boreal carbon accounting methods while providing insights into the sensitivity of fire regime characteristics to climate, management, and landscape structure.</w:t>
      </w:r>
    </w:p>
    <w:p>
      <w:pPr>
        <w:spacing w:before="120" w:after="120"/>
      </w:pPr>
      <w:r>
        <w:rPr>
          <w:sz w:val="18"/>
        </w:rPr>
        <w:t>——————————————————————————————————————————————————————————————————————</w:t>
      </w:r>
    </w:p>
    <w:p>
      <w:pPr>
        <w:spacing w:before="160" w:after="40" w:line="240" w:lineRule="auto"/>
      </w:pPr>
      <w:r>
        <w:rPr>
          <w:b/>
        </w:rPr>
        <w:t xml:space="preserve">[12] </w:t>
      </w:r>
      <w:hyperlink r:id="rId231">
        <w:r>
          <w:rPr>
            <w:color w:val="1155CC"/>
            <w:u w:val="single"/>
          </w:rPr>
          <w:t>Electrified release of pure CO2 from postcapture liquid: A two-stage system lowers the total energy cost</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232">
        <w:r>
          <w:rPr>
            <w:color w:val="1155CC"/>
            <w:u w:val="single"/>
          </w:rPr>
          <w:t>10.1073/pnas.2528655123</w:t>
        </w:r>
      </w:hyperlink>
    </w:p>
    <w:p>
      <w:pPr>
        <w:spacing w:before="0" w:after="80" w:lineRule="auto" w:line="276"/>
      </w:pPr>
      <w:r>
        <w:rPr>
          <w:b/>
        </w:rPr>
        <w:t xml:space="preserve">摘要（ZH）: </w:t>
      </w:r>
      <w:r>
        <w:t>(empty)</w:t>
      </w:r>
    </w:p>
    <w:p>
      <w:pPr>
        <w:spacing w:before="0" w:after="200" w:lineRule="auto" w:line="276"/>
      </w:pPr>
      <w:r>
        <w:rPr>
          <w:b/>
        </w:rPr>
        <w:t xml:space="preserve">Abstract (EN): </w:t>
      </w:r>
      <w:r>
        <w:t>Electrified carbon capture and release holds promise in carbon management; but it is constrained by high energy demand. Here, we studied two candidate systems for electrochemical CO</w:t>
        <w:br/>
        <w:t xml:space="preserve">                    2</w:t>
        <w:br/>
        <w:t xml:space="preserve">                    release from a direct air capture (DAC) postcapture liquid: The first, a hydrogen loop cell, is electricity-efficient, but its evolved CO</w:t>
        <w:br/>
        <w:t xml:space="preserve">                    2</w:t>
        <w:br/>
        <w:t xml:space="preserve">                    is mixed with H</w:t>
        <w:br/>
        <w:t xml:space="preserve">                    2</w:t>
        <w:br/>
        <w:t xml:space="preserve">                    , introducing a 3 to 4 GJ/tonCO</w:t>
        <w:br/>
        <w:t xml:space="preserve">                    2</w:t>
        <w:br/>
        <w:t xml:space="preserve">                    additional energy separation cost. The second system, a solid-state metal oxide redox couple (proton sponge), avoids the gas separation challenge but is stable only in the bicarbonate and not the highly alkaline regime. These considerations led us to examine a two-stage system: An efficient hydrogen loop would first downshift the pH from 13.5 to 9; and a second metal oxide would be used to release CO</w:t>
        <w:br/>
        <w:t xml:space="preserve">                    2</w:t>
        <w:br/>
        <w:t xml:space="preserve">                    from bicarbonate. We report an electrified process that provides the release of a pure CO</w:t>
        <w:br/>
        <w:t xml:space="preserve">                    2</w:t>
        <w:br/>
        <w:t xml:space="preserve">                    stream from a post-DAC liquid with a measured total energy of ~4.5 GJ/tonCO</w:t>
        <w:br/>
        <w:t xml:space="preserve">                    2</w:t>
        <w:br/>
        <w:t xml:space="preserve">                    : 2.4 GJ from the H</w:t>
        <w:br/>
        <w:t xml:space="preserve">                    2</w:t>
        <w:br/>
        <w:t xml:space="preserve">                    looping stage and 2.1 GJ from the MnO</w:t>
        <w:br/>
        <w:t xml:space="preserve">                    2</w:t>
        <w:br/>
        <w:t xml:space="preserve">                    -based stage—substantially lower than the &amp;gt;=10 GJ/tonCO</w:t>
        <w:br/>
        <w:t xml:space="preserve">                    2</w:t>
        <w:br/>
        <w:t xml:space="preserve">                    required by pH-swing methods such as bipolar membrane electrodialysis. We conclude with a generalized analysis of how staged pH downshifting reduces the overall Nernst voltage penalty and facilitates energy-efficient CO</w:t>
        <w:br/>
        <w:t xml:space="preserve">                    2</w:t>
        <w:br/>
        <w:t xml:space="preserve">                    release.</w:t>
      </w:r>
    </w:p>
    <w:p>
      <w:pPr>
        <w:spacing w:before="120" w:after="120"/>
      </w:pPr>
      <w:r>
        <w:rPr>
          <w:sz w:val="18"/>
        </w:rPr>
        <w:t>——————————————————————————————————————————————————————————————————————</w:t>
      </w:r>
    </w:p>
    <w:p>
      <w:pPr>
        <w:spacing w:before="160" w:after="40" w:line="240" w:lineRule="auto"/>
      </w:pPr>
      <w:r>
        <w:rPr>
          <w:b/>
        </w:rPr>
        <w:t xml:space="preserve">[13] </w:t>
      </w:r>
      <w:hyperlink r:id="rId233">
        <w:r>
          <w:rPr>
            <w:color w:val="1155CC"/>
            <w:u w:val="single"/>
          </w:rPr>
          <w:t>Control strategies to optimize adsorption-based direct air capture under varying weather conditions</w:t>
        </w:r>
      </w:hyperlink>
    </w:p>
    <w:p>
      <w:pPr>
        <w:spacing w:before="0" w:after="120"/>
      </w:pPr>
      <w:r>
        <w:rPr>
          <w:b/>
        </w:rPr>
        <w:t xml:space="preserve">Source: </w:t>
      </w:r>
      <w:r>
        <w:t>ScienceDirect Publication: Applied Energy</w:t>
      </w:r>
      <w:r>
        <w:t xml:space="preserve">    </w:t>
      </w:r>
      <w:r>
        <w:rPr>
          <w:b/>
        </w:rPr>
        <w:t xml:space="preserve">Pub date: </w:t>
      </w:r>
      <w:r>
        <w:t>2026-03-01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【塑料回收】</w:t>
      </w:r>
    </w:p>
    <w:p>
      <w:pPr>
        <w:spacing w:before="160" w:after="40" w:line="240" w:lineRule="auto"/>
      </w:pPr>
      <w:r>
        <w:rPr>
          <w:b/>
        </w:rPr>
        <w:t xml:space="preserve">[1] </w:t>
      </w:r>
      <w:hyperlink r:id="rId234">
        <w:r>
          <w:rPr>
            <w:color w:val="1155CC"/>
            <w:u w:val="single"/>
          </w:rPr>
          <w:t>From depolymerization challenges to macro-scale applications of lignin</w:t>
        </w:r>
      </w:hyperlink>
    </w:p>
    <w:p>
      <w:pPr>
        <w:spacing w:before="0" w:after="120"/>
      </w:pPr>
      <w:r>
        <w:rPr>
          <w:b/>
        </w:rPr>
        <w:t xml:space="preserve">Source: </w:t>
      </w:r>
      <w:r>
        <w:t>Nature Reviews Clean Technology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235">
        <w:r>
          <w:rPr>
            <w:color w:val="1155CC"/>
            <w:u w:val="single"/>
          </w:rPr>
          <w:t>[ASAP] Solar-Driven Upcycling of Polystyrene Enabled by Elemental Sulfur</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14:07:51+00:00</w:t>
      </w:r>
      <w:r>
        <w:t xml:space="preserve">    </w:t>
      </w:r>
      <w:r>
        <w:rPr>
          <w:b/>
        </w:rPr>
        <w:t xml:space="preserve">DOI: </w:t>
      </w:r>
      <w:hyperlink r:id="rId236">
        <w:r>
          <w:rPr>
            <w:color w:val="1155CC"/>
            <w:u w:val="single"/>
          </w:rPr>
          <w:t>10.1021/jacs.6c01318</w:t>
        </w:r>
      </w:hyperlink>
    </w:p>
    <w:p>
      <w:pPr>
        <w:spacing w:before="0" w:after="80" w:lineRule="auto" w:line="276"/>
      </w:pPr>
      <w:r>
        <w:rPr>
          <w:b/>
        </w:rPr>
        <w:t xml:space="preserve">摘要（ZH）: </w:t>
      </w:r>
      <w:r>
        <w:t>(empty)</w:t>
      </w:r>
    </w:p>
    <w:p>
      <w:pPr>
        <w:spacing w:before="0" w:after="200" w:lineRule="auto" w:line="276"/>
      </w:pPr>
      <w:r>
        <w:rPr>
          <w:b/>
        </w:rPr>
        <w:t xml:space="preserve">Abstract (EN): </w:t>
      </w:r>
      <w:r>
        <w:t>Polystyrene (PS) is one of the most widely used plastics, and its notably low recycling rate has prompted the consideration of chemical upcycling of waste PS. Oxidative methodologies have been extensively investigated, employing molecular oxygen to upcycle PS into oxygenated products. Sulfur, a group congener of oxygen, has rarely been exploited in PS upcycling. Furthermore, elemental sulfur currently confronts an issue of an annual production surplus. Here, we report the coupcycling of PS and elemental sulfur into 2,4-diphenylthiophene and 1,3,5-triphenylbenzene by leveraging solar energy as the driving force. The practicality of this strategy is demonstrated by the rapid and efficient conversion of various postconsumer waste PS plastics under solvent-free, ambient air conditions. The photothermal effect of elemental sulfur and the generation of sulfur radicals at elevated temperatures are critical to enable this transformation. Experimental and computational studies of dimeric and tetrameric PS model compounds show that sulfur-radical-mediated hydrogen atom abstraction is the key to sustaining the reaction. These findings provide valuable insights into the photothermal behavior and reaction characteristics of elemental sulfur and hold significant implications for polymer conversion.</w:t>
      </w:r>
    </w:p>
    <w:p>
      <w:pPr>
        <w:spacing w:before="120" w:after="120"/>
      </w:pPr>
      <w:r>
        <w:rPr>
          <w:sz w:val="18"/>
        </w:rPr>
        <w:t>——————————————————————————————————————————————————————————————————————</w:t>
      </w:r>
    </w:p>
    <w:p>
      <w:pPr>
        <w:spacing w:before="160" w:after="40" w:line="240" w:lineRule="auto"/>
      </w:pPr>
      <w:r>
        <w:rPr>
          <w:b/>
        </w:rPr>
        <w:t xml:space="preserve">[3] </w:t>
      </w:r>
      <w:hyperlink r:id="rId237">
        <w:r>
          <w:rPr>
            <w:color w:val="1155CC"/>
            <w:u w:val="single"/>
          </w:rPr>
          <w:t>Designing circular plastics from a single monomer</w:t>
        </w:r>
      </w:hyperlink>
    </w:p>
    <w:p>
      <w:pPr>
        <w:spacing w:before="0" w:after="120"/>
      </w:pPr>
      <w:r>
        <w:rPr>
          <w:b/>
        </w:rPr>
        <w:t xml:space="preserve">Source: </w:t>
      </w:r>
      <w:r>
        <w:t>Nature Reviews Materials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【其他】</w:t>
      </w:r>
    </w:p>
    <w:p>
      <w:pPr>
        <w:spacing w:before="160" w:after="40" w:line="240" w:lineRule="auto"/>
      </w:pPr>
      <w:r>
        <w:rPr>
          <w:b/>
        </w:rPr>
        <w:t xml:space="preserve">[1] </w:t>
      </w:r>
      <w:hyperlink r:id="rId238">
        <w:r>
          <w:rPr>
            <w:color w:val="1155CC"/>
            <w:u w:val="single"/>
          </w:rPr>
          <w:t>Disordered light-harvesting aggregates can host functional vibronic couplings at room temperature</w:t>
        </w:r>
      </w:hyperlink>
    </w:p>
    <w:p>
      <w:pPr>
        <w:spacing w:before="0" w:after="120"/>
      </w:pPr>
      <w:r>
        <w:rPr>
          <w:b/>
        </w:rPr>
        <w:t xml:space="preserve">Source: </w:t>
      </w:r>
      <w:r>
        <w:t>Nature Communications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Photosynthesis relies on a network of chlorophyll-like molecules which together lead to efficient long-range energy transfer. Evidence at cryogenic temperatures suggests that mechanistic details of energy/charge transfer must invoke coupled vibrational-electronic (vibronic) states. Whether these survive at physiological temperature in large photosynthetic aggregates is an open question. Parallel research on artificial templates has relied on cyanines which are unlike chlorophylls. Here we report time-resolved optical spectra of porphyrin nanotubes where we selectively probe coupled Qx − Qy states through polarization control. Early time cross peaks between electronic states, their rapid broadening and survival of quantum beats with anisotropic beating amplitude conclusively demonstrate that overlapping vibrational-electronic bands of photosynthetic aggregates indeed host functional vibronic couplings at room temperature. Calculations reveal that disorder is the vital ingredient that dramatically enhances intraband vibronic couplings across the entire Q band. The parameter regime where energetic disorder is of the order of dense Raman-active vibrations with weak reorganization energies may be the key design principle.</w:t>
      </w:r>
    </w:p>
    <w:p>
      <w:pPr>
        <w:spacing w:before="120" w:after="120"/>
      </w:pPr>
      <w:r>
        <w:rPr>
          <w:sz w:val="18"/>
        </w:rPr>
        <w:t>——————————————————————————————————————————————————————————————————————</w:t>
      </w:r>
    </w:p>
    <w:p>
      <w:pPr>
        <w:spacing w:before="160" w:after="40" w:line="240" w:lineRule="auto"/>
      </w:pPr>
      <w:r>
        <w:rPr>
          <w:b/>
        </w:rPr>
        <w:t xml:space="preserve">[2] </w:t>
      </w:r>
      <w:hyperlink r:id="rId239">
        <w:r>
          <w:rPr>
            <w:color w:val="1155CC"/>
            <w:u w:val="single"/>
          </w:rPr>
          <w:t>Scalable hydrogel smart windows with moisture retention and low-emissivity for sustainable buildings</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 </w:t>
      </w:r>
      <w:hyperlink r:id="rId240">
        <w:r>
          <w:rPr>
            <w:color w:val="1155CC"/>
            <w:u w:val="single"/>
          </w:rPr>
          <w:t>Scaling up floating offshore wind farm installation: From conventional to modular strategies</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241">
        <w:r>
          <w:rPr>
            <w:color w:val="1155CC"/>
            <w:u w:val="single"/>
          </w:rPr>
          <w:t>China is waging war on Alzheimer’s. What can its approach teach the rest of the world?</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 </w:t>
      </w:r>
      <w:hyperlink r:id="rId242">
        <w:r>
          <w:rPr>
            <w:color w:val="1155CC"/>
            <w:u w:val="single"/>
          </w:rPr>
          <w:t>COVID’s origins: what we do and don’t know</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 </w:t>
      </w:r>
      <w:hyperlink r:id="rId243">
        <w:r>
          <w:rPr>
            <w:color w:val="1155CC"/>
            <w:u w:val="single"/>
          </w:rPr>
          <w:t>Evidence alone won’t save biodiversity: the golden apple snail reveals an implementation gap</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 </w:t>
      </w:r>
      <w:hyperlink r:id="rId244">
        <w:r>
          <w:rPr>
            <w:color w:val="1155CC"/>
            <w:u w:val="single"/>
          </w:rPr>
          <w:t>This ant species is composed of only queens — no workers or males</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 </w:t>
      </w:r>
      <w:hyperlink r:id="rId245">
        <w:r>
          <w:rPr>
            <w:color w:val="1155CC"/>
            <w:u w:val="single"/>
          </w:rPr>
          <w:t>Account for AI in the environmental footprint of scientific publishing</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 </w:t>
      </w:r>
      <w:hyperlink r:id="rId246">
        <w:r>
          <w:rPr>
            <w:color w:val="1155CC"/>
            <w:u w:val="single"/>
          </w:rPr>
          <w:t>Defunding Chile’s climate research will undermine science and the region</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 </w:t>
      </w:r>
      <w:hyperlink r:id="rId247">
        <w:r>
          <w:rPr>
            <w:color w:val="1155CC"/>
            <w:u w:val="single"/>
          </w:rPr>
          <w:t>Treasures of scientific history could be hiding in plain sight</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 </w:t>
      </w:r>
      <w:hyperlink r:id="rId248">
        <w:r>
          <w:rPr>
            <w:color w:val="1155CC"/>
            <w:u w:val="single"/>
          </w:rPr>
          <w:t>Sewage systems secretly waft pollution into the air</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 </w:t>
      </w:r>
      <w:hyperlink r:id="rId249">
        <w:r>
          <w:rPr>
            <w:color w:val="1155CC"/>
            <w:u w:val="single"/>
          </w:rPr>
          <w:t>The Contributor Role Taxonomy tool must serve to record extent of authorship</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 </w:t>
      </w:r>
      <w:hyperlink r:id="rId250">
        <w:r>
          <w:rPr>
            <w:color w:val="1155CC"/>
            <w:u w:val="single"/>
          </w:rPr>
          <w:t>Dynamic antigen expression and cytotoxic T cell resistance in HIV reservoir clones</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Clonally expanded CD4+ T-cells harboring rebound-competent HIV persist lifelong during ART1-5. Latency is considered the principal barrier to viral eradication and has resisted pharmacological reversal6,7, yet sustained immune pressure appears to erode reservoirs8-15. Recent advances have yielded glimpses into exceptionally rare reservoir-harboring cells, implicating pro-survival properties in persistence16-18. Here, we isolate and characterize authentic reservoir clones (ARCs) that robustly proliferate and accumulate while producing infectious virus, without overtly succumbing to cytopathicity. At any moment, only small fractions of ARCs expressed HIV proteins, a state associated with conserved host transcriptional programs but remarkably refractory to potent T-cell stimulation. Nevertheless, sustained co-culture with a CD8+ cytotoxic T-lymphocyte clone substantially culled proliferating ARCs, revealing time-integrated vulnerability to immune pressure. The corresponding ex vivo CD8+ T-cell response was poorly cytotoxic and in vivo erosion of ARCs occurred only slowly. A regulatory T-cell ARC displayed pronounced cell-intrinsic resistance to CTL—a longstanding hypothesis now directly demonstrated—linked to low oxidative stress and reversed with deferoxamine19, a hypoxic stress inducer and FDA-approved therapeutic. Overall, we provide novel insights into the vulnerabilities of reservoir clones to potent, sustained CTL pressure and highlight intrinsic resistance pathways as actionable therapeutic targets, opening opportunities for advancing immune-based HIV cure strategies.</w:t>
      </w:r>
    </w:p>
    <w:p>
      <w:pPr>
        <w:spacing w:before="120" w:after="120"/>
      </w:pPr>
      <w:r>
        <w:rPr>
          <w:sz w:val="18"/>
        </w:rPr>
        <w:t>——————————————————————————————————————————————————————————————————————</w:t>
      </w:r>
    </w:p>
    <w:p>
      <w:pPr>
        <w:spacing w:before="160" w:after="40" w:line="240" w:lineRule="auto"/>
      </w:pPr>
      <w:r>
        <w:rPr>
          <w:b/>
        </w:rPr>
        <w:t xml:space="preserve">[14] </w:t>
      </w:r>
      <w:hyperlink r:id="rId251">
        <w:r>
          <w:rPr>
            <w:color w:val="1155CC"/>
            <w:u w:val="single"/>
          </w:rPr>
          <w:t>Author Correction: Global subsidence of river deltas</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 </w:t>
      </w:r>
      <w:hyperlink r:id="rId252">
        <w:r>
          <w:rPr>
            <w:color w:val="1155CC"/>
            <w:u w:val="single"/>
          </w:rPr>
          <w:t>Dual-polarization fluorescent DNA framework nanomaterials</w:t>
        </w:r>
      </w:hyperlink>
    </w:p>
    <w:p>
      <w:pPr>
        <w:spacing w:before="0" w:after="120"/>
      </w:pPr>
      <w:r>
        <w:rPr>
          <w:b/>
        </w:rPr>
        <w:t xml:space="preserve">Source: </w:t>
      </w:r>
      <w:r>
        <w:t>Chem</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DNA origami offers a programmable way to arrange fluorescent molecules into architectures with tailored optical behaviors. By encoding dye orientation and interactions within the DNA framework, we create structures that emit two distinct polarization signals whose balance can be precisely controlled. This built-in optical signature allows the 3D orientation of the DNA structures to be read out without complex instrumentation. Our approach provides a general strategy for designing fluorescent materials with customizable, structure-encoded properties for imaging and photonic applications.</w:t>
      </w:r>
    </w:p>
    <w:p>
      <w:pPr>
        <w:spacing w:before="120" w:after="120"/>
      </w:pPr>
      <w:r>
        <w:rPr>
          <w:sz w:val="18"/>
        </w:rPr>
        <w:t>——————————————————————————————————————————————————————————————————————</w:t>
      </w:r>
    </w:p>
    <w:p>
      <w:pPr>
        <w:spacing w:before="160" w:after="40" w:line="240" w:lineRule="auto"/>
      </w:pPr>
      <w:r>
        <w:rPr>
          <w:b/>
        </w:rPr>
        <w:t xml:space="preserve">[16] </w:t>
      </w:r>
      <w:hyperlink r:id="rId253">
        <w:r>
          <w:rPr>
            <w:color w:val="1155CC"/>
            <w:u w:val="single"/>
          </w:rPr>
          <w:t>Explainable Singular Spectrum Analysis deep learning model for half-hourly electricity price prediction</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[17] </w:t>
      </w:r>
      <w:hyperlink r:id="rId254">
        <w:r>
          <w:rPr>
            <w:color w:val="1155CC"/>
            <w:u w:val="single"/>
          </w:rPr>
          <w:t>A fluid vacation model for renewable-powered electric vehicle charging systems: Performance evaluation and cost-optimal battery sizing</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[18] </w:t>
      </w:r>
      <w:hyperlink r:id="rId255">
        <w:r>
          <w:rPr>
            <w:color w:val="1155CC"/>
            <w:u w:val="single"/>
          </w:rPr>
          <w:t>SAGE: Sustainable and green energy-aware client selection for federated learning in IoT</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 </w:t>
      </w:r>
      <w:hyperlink r:id="rId256">
        <w:r>
          <w:rPr>
            <w:color w:val="1155CC"/>
            <w:u w:val="single"/>
          </w:rPr>
          <w:t>Luminescence in macrocyclic supramolecular systems</w:t>
        </w:r>
      </w:hyperlink>
    </w:p>
    <w:p>
      <w:pPr>
        <w:spacing w:before="0" w:after="120"/>
      </w:pPr>
      <w:r>
        <w:rPr>
          <w:b/>
        </w:rPr>
        <w:t xml:space="preserve">Source: </w:t>
      </w:r>
      <w:r>
        <w:t>RSC - Chem. Soc. Rev. latest articles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Macrocyclic supramolecular luminescent systems play an important role in the development of supramolecular chemistry and materials science, offering a powerful alternative to conventional luminescent systems by enabling precise control over emission properties through non-covalent interactions. Macrocyclic hosts provide an ideal platform for construction of advanced supramolecular luminescent systems by using the host–guest interactions to enhance luminescence efficiency, generate new luminescence properties, and facilitate stimulus-responsive behavior. Consequently, the development of new supramolecular luminescent systems is becoming a frontier and hot topic in supramolecular and macrocyclic chemistry. Therefore, in this review, we present the recent advances in the construction and applications of the new supramolecular luminescent systems emerged in recent years. We will systematically summarize the design and construction strategies of new macrocyclic supramolecular luminescent systems according to different luminescence mechanisms and highlight their applications in chemical sensing, bioimaging, information anti-counterfeiting, photocatalysis, etc. Moreover, we will discuss the prevailing challenges and future research directions, aiming to guide the development of novel smart luminescent materials with enhanced functionality and practical utility.</w:t>
      </w:r>
    </w:p>
    <w:p>
      <w:pPr>
        <w:spacing w:before="120" w:after="120"/>
      </w:pPr>
      <w:r>
        <w:rPr>
          <w:sz w:val="18"/>
        </w:rPr>
        <w:t>——————————————————————————————————————————————————————————————————————</w:t>
      </w:r>
    </w:p>
    <w:p>
      <w:pPr>
        <w:spacing w:before="160" w:after="40" w:line="240" w:lineRule="auto"/>
      </w:pPr>
      <w:r>
        <w:rPr>
          <w:b/>
        </w:rPr>
        <w:t xml:space="preserve">[20] </w:t>
      </w:r>
      <w:hyperlink r:id="rId257">
        <w:r>
          <w:rPr>
            <w:color w:val="1155CC"/>
            <w:u w:val="single"/>
          </w:rPr>
          <w:t>Daily briefing: COVID’s origins — what we do and don’t know</w:t>
        </w:r>
      </w:hyperlink>
    </w:p>
    <w:p>
      <w:pPr>
        <w:spacing w:before="0" w:after="120"/>
      </w:pPr>
      <w:r>
        <w:rPr>
          <w:b/>
        </w:rPr>
        <w:t xml:space="preserve">Source: </w:t>
      </w:r>
      <w:r>
        <w:t>Nature</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 </w:t>
      </w:r>
      <w:hyperlink r:id="rId258">
        <w:r>
          <w:rPr>
            <w:color w:val="1155CC"/>
            <w:u w:val="single"/>
          </w:rPr>
          <w:t>Good students, mimics and laggards: Policy lessons for closing electricity access gaps in Africa</w:t>
        </w:r>
      </w:hyperlink>
    </w:p>
    <w:p>
      <w:pPr>
        <w:spacing w:before="0" w:after="120"/>
      </w:pPr>
      <w:r>
        <w:rPr>
          <w:b/>
        </w:rPr>
        <w:t xml:space="preserve">Source: </w:t>
      </w:r>
      <w:r>
        <w:t>ScienceDirect Publication: Energy Policy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[22] </w:t>
      </w:r>
      <w:hyperlink r:id="rId259">
        <w:r>
          <w:rPr>
            <w:color w:val="1155CC"/>
            <w:u w:val="single"/>
          </w:rPr>
          <w:t>Stem-like memory-T maintenance and differentiation into tissue-resident T cells sustain chronic graft-versus-host disease in mice</w:t>
        </w:r>
      </w:hyperlink>
    </w:p>
    <w:p>
      <w:pPr>
        <w:spacing w:before="0" w:after="120"/>
      </w:pPr>
      <w:r>
        <w:rPr>
          <w:b/>
        </w:rPr>
        <w:t xml:space="preserve">Source: </w:t>
      </w:r>
      <w:r>
        <w:t>Nature Communications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Pathogenic CD4+ memory T cells (Tm) sustain chronic inflammation, but mechanisms remain undefined. Here, we identify four donor-type CD4+ Tm subsets in the target tissues of autoimmune-like chronic graft-versus-host disease in mice: Ly108+CD69− stem-like memory T cells (Tsm), Ly108+CD69+ resident memory progenitor T cells (Trmp), Ly108−CD69+ terminally differentiated tissue-resident T cells (Trm), and Ly108−CD69− intermediate T cells (Tint). Trm are terminally differentiated but not exhausted and show highly biased clonotypes with high proinflammatory cytokine expression. Tsm cells require TCR-MHCII interactions for their maintenance and expansion and show greater capacity than Trmp cells in self-renewal/expansion, generation of Trm, and pathogenicity in adoptive recipients. The transcription factors TCF1/BCL6 and BHLHE40 differentially regulate the stemness and differentiation of Tsm into Trm, respectively, and their selective targeting reduces the number of Trm in tissues and ameliorates inflammation. Thus, our findings indicate that targeting the Tsm subset, involved in the maintenance of the pathogenic Tm pool, offers an attractive approach to treat T cell-mediated chronic inflammation.</w:t>
      </w:r>
    </w:p>
    <w:p>
      <w:pPr>
        <w:spacing w:before="120" w:after="120"/>
      </w:pPr>
      <w:r>
        <w:rPr>
          <w:sz w:val="18"/>
        </w:rPr>
        <w:t>——————————————————————————————————————————————————————————————————————</w:t>
      </w:r>
    </w:p>
    <w:p>
      <w:pPr>
        <w:spacing w:before="160" w:after="40" w:line="240" w:lineRule="auto"/>
      </w:pPr>
      <w:r>
        <w:rPr>
          <w:b/>
        </w:rPr>
        <w:t xml:space="preserve">[23] </w:t>
      </w:r>
      <w:hyperlink r:id="rId260">
        <w:r>
          <w:rPr>
            <w:color w:val="1155CC"/>
            <w:u w:val="single"/>
          </w:rPr>
          <w:t>Blunt-force assembly of programmable DNA architectures using π–π stacking</w:t>
        </w:r>
      </w:hyperlink>
    </w:p>
    <w:p>
      <w:pPr>
        <w:spacing w:before="0" w:after="120"/>
      </w:pPr>
      <w:r>
        <w:rPr>
          <w:b/>
        </w:rPr>
        <w:t xml:space="preserve">Source: </w:t>
      </w:r>
      <w:r>
        <w:t>Nature Communications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Sticky-ended cohesion has been the driving force for DNA self-assembly and has enabled model and design programmability in DNA nanotechnology for over 40 years. Traditional units within self-assembled crystals have rationally-designed sticky ends to avoid unpredictable packing behavior, but in doing so, the surprising variety of contact flavors available to natural nucleic acids remains unexploited. Here, we employ composable DNA tiles to form complex 3D architectures using blunt-ended motifs with single duplex interfaces, thereby leveraging the geometry of the tile and the terminal nucleobase identity to control self-assembly outcomes. These crystals yielded X-ray diffraction at resolutions between 10.0 and 1.86 Å. We establish programmability and tunable packing, including translational and inversion symmetries, 5’−3’ and 5’−5’ stacking, and both positive and negative helical twist values. Finally, we establish the ability of racemic mixtures of L- and D-DNA motifs to perform programmable co-assembly driven by terminal π–π interactions, demonstrating molecular recognition and coexistence between mirror molecular systems.</w:t>
      </w:r>
    </w:p>
    <w:p>
      <w:pPr>
        <w:spacing w:before="120" w:after="120"/>
      </w:pPr>
      <w:r>
        <w:rPr>
          <w:sz w:val="18"/>
        </w:rPr>
        <w:t>——————————————————————————————————————————————————————————————————————</w:t>
      </w:r>
    </w:p>
    <w:p>
      <w:pPr>
        <w:spacing w:before="160" w:after="40" w:line="240" w:lineRule="auto"/>
      </w:pPr>
      <w:r>
        <w:rPr>
          <w:b/>
        </w:rPr>
        <w:t xml:space="preserve">[24] </w:t>
      </w:r>
      <w:hyperlink r:id="rId261">
        <w:r>
          <w:rPr>
            <w:color w:val="1155CC"/>
            <w:u w:val="single"/>
          </w:rPr>
          <w:t>Sustainability going deep for batteries</w:t>
        </w:r>
      </w:hyperlink>
    </w:p>
    <w:p>
      <w:pPr>
        <w:spacing w:before="0" w:after="120"/>
      </w:pPr>
      <w:r>
        <w:rPr>
          <w:b/>
        </w:rPr>
        <w:t xml:space="preserve">Source: </w:t>
      </w:r>
      <w:r>
        <w:t>Nature Sustainability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 </w:t>
      </w:r>
      <w:hyperlink r:id="rId262">
        <w:r>
          <w:rPr>
            <w:color w:val="1155CC"/>
            <w:u w:val="single"/>
          </w:rPr>
          <w:t>Urban-scale estimation of window-to-wall ratio from street view imagery via computer vision for improved building energy modeling</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 </w:t>
      </w:r>
      <w:hyperlink r:id="rId263">
        <w:r>
          <w:rPr>
            <w:color w:val="1155CC"/>
            <w:u w:val="single"/>
          </w:rPr>
          <w:t>Corrigendum to “Domestic energy managers and their implications for future smart grids” [Energy Pol. 206 (2025) 114772]</w:t>
        </w:r>
      </w:hyperlink>
    </w:p>
    <w:p>
      <w:pPr>
        <w:spacing w:before="0" w:after="120"/>
      </w:pPr>
      <w:r>
        <w:rPr>
          <w:b/>
        </w:rPr>
        <w:t xml:space="preserve">Source: </w:t>
      </w:r>
      <w:r>
        <w:t>ScienceDirect Publication: Energy Policy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 </w:t>
      </w:r>
      <w:hyperlink r:id="rId264">
        <w:r>
          <w:rPr>
            <w:color w:val="1155CC"/>
            <w:u w:val="single"/>
          </w:rPr>
          <w:t>Cutting the cord for high-throughput electrochemistry</w:t>
        </w:r>
      </w:hyperlink>
    </w:p>
    <w:p>
      <w:pPr>
        <w:spacing w:before="0" w:after="120"/>
      </w:pPr>
      <w:r>
        <w:rPr>
          <w:b/>
        </w:rPr>
        <w:t xml:space="preserve">Source: </w:t>
      </w:r>
      <w:r>
        <w:t>Nature Chemical Engineering</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 </w:t>
      </w:r>
      <w:hyperlink r:id="rId265">
        <w:r>
          <w:rPr>
            <w:color w:val="1155CC"/>
            <w:u w:val="single"/>
          </w:rPr>
          <w:t>Recent progress in transition-metal-catalysed intermolecular saturated C(sp3)–N(sp3) bond formation reactions</w:t>
        </w:r>
      </w:hyperlink>
    </w:p>
    <w:p>
      <w:pPr>
        <w:spacing w:before="0" w:after="120"/>
      </w:pPr>
      <w:r>
        <w:rPr>
          <w:b/>
        </w:rPr>
        <w:t xml:space="preserve">Source: </w:t>
      </w:r>
      <w:r>
        <w:t>RSC - Chem. Soc. Rev. latest articles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Saturated C(sp3)–N(sp3) bonds are ubiquitous in organic molecules and serve as key subunits in natural products, pharmaceuticals, agrochemicals, and organic materials. Transition-metal-catalysed C–N cross-coupling reactions have evolved as an enabling platform for C–N bond formation, providing an indispensable synthetic tool for the rapid assembly of valuable molecular skeletons. Over recent years, C(sp3)–N(sp3) bond formation has attracted significant attention from the synthetic community, providing straightforward access to sp3-rich C–N bond containing architectures from readily available and cost-effective starting materials. This review highlights recent advances in transition-metal-catalysed intermolecular C(sp3)–N(sp3) bond formation. Key strategies for transition-metal-catalysed C(sp3)–N(sp3) bond formation and mechanistic insights are summarized and discussed. Moreover, ongoing challenges and directions for future opportunities are discussed to inspire further efforts for developing C(sp3)–N(sp3) bond-forming processes.</w:t>
      </w:r>
    </w:p>
    <w:p>
      <w:pPr>
        <w:spacing w:before="120" w:after="120"/>
      </w:pPr>
      <w:r>
        <w:rPr>
          <w:sz w:val="18"/>
        </w:rPr>
        <w:t>——————————————————————————————————————————————————————————————————————</w:t>
      </w:r>
    </w:p>
    <w:p>
      <w:pPr>
        <w:spacing w:before="160" w:after="40" w:line="240" w:lineRule="auto"/>
      </w:pPr>
      <w:r>
        <w:rPr>
          <w:b/>
        </w:rPr>
        <w:t xml:space="preserve">[29] </w:t>
      </w:r>
      <w:hyperlink r:id="rId266">
        <w:r>
          <w:rPr>
            <w:color w:val="1155CC"/>
            <w:u w:val="single"/>
          </w:rPr>
          <w:t>Catalytic bromine recycling from waste</w:t>
        </w:r>
      </w:hyperlink>
    </w:p>
    <w:p>
      <w:pPr>
        <w:spacing w:before="0" w:after="120"/>
      </w:pPr>
      <w:r>
        <w:rPr>
          <w:b/>
        </w:rPr>
        <w:t xml:space="preserve">Source: </w:t>
      </w:r>
      <w:r>
        <w:t>Nature Sustainability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Bromine (Br), mostly extracted from nature, plays an essential role in the form of organobromides in various goods, including electronics, vehicles and furniture. At the same time, Br is continuously released into the environment in the form of persistent brominated pollutants upon the retirement of those goods, causing severe environmental consequences and loss of resources. Here we propose a catalytic strategy that enables the selective and mild-condition conversion of all organobromides present in wastes into renewed bromides for Br recycling. It employs Ullmann-type reactions enabled by inexpensive Cu(I), simple ligands and hydroxides in DMSO–H2O solvent. This strategy achieved &gt;95% bromide yields at a temperature ≤120 °C for complex real-world Br-laden wastes. It can produce bromide-rich solution amenable to Br2 production, as demonstrated by the inorganicization–evaporation–oxidation process, and recoverable debrominated solids with preserved chemical states. Mechanistic studies revealed a full debromination framework encompassing diverse activated pathways. This work provides a viable approach for Br recycling and potentially facilitates a circular and sustainable anthropogenic Br flow.</w:t>
      </w:r>
    </w:p>
    <w:p>
      <w:pPr>
        <w:spacing w:before="120" w:after="120"/>
      </w:pPr>
      <w:r>
        <w:rPr>
          <w:sz w:val="18"/>
        </w:rPr>
        <w:t>——————————————————————————————————————————————————————————————————————</w:t>
      </w:r>
    </w:p>
    <w:p>
      <w:pPr>
        <w:spacing w:before="160" w:after="40" w:line="240" w:lineRule="auto"/>
      </w:pPr>
      <w:r>
        <w:rPr>
          <w:b/>
        </w:rPr>
        <w:t xml:space="preserve">[30] </w:t>
      </w:r>
      <w:hyperlink r:id="rId267">
        <w:r>
          <w:rPr>
            <w:color w:val="1155CC"/>
            <w:u w:val="single"/>
          </w:rPr>
          <w:t>Multi-zonal anaerobic ammonium oxidation for mainstream municipal wastewater treatment</w:t>
        </w:r>
      </w:hyperlink>
    </w:p>
    <w:p>
      <w:pPr>
        <w:spacing w:before="0" w:after="120"/>
      </w:pPr>
      <w:r>
        <w:rPr>
          <w:b/>
        </w:rPr>
        <w:t xml:space="preserve">Source: </w:t>
      </w:r>
      <w:r>
        <w:t>Nature Sustainability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Biological nitrogen removal is a main contributor to the carbon footprint of municipal wastewater treatment plants (MWWTPs). Anaerobic ammonium oxidation (anammox) is key to decarbonizing MWWTPs. However, anammox technology has long been developed following the ‘hotspot’ concept, which spatially confines anammox to specific zones in MWWTPs, leaving its potential underexploited in mainstream treatment. Here we propose a ‘multi-zonal anammox’ concept to expand the anammox process throughout the whole MWWTP mainstream. It allows the implementation of anammox in existing MWWTPs with minimal reconstruction requirements. We evaluated the feasibility of this concept in an anaerobic–anoxic–oxic (A2O) biosystem, which is one of the most widely used processes in MWWTPs. During a 2-year-long operation, anammox bacteria highly self-enriched and contributed to nitrogen removal throughout the mainstream, with relative abundances reaching 4.8%, 5.7–10.0% and 0.2–1.0% in anaerobic, anoxic and oxic zones, respectively. The multi-zonal anammox enhanced nitrogen removal efficiency by 20%, reduced aerating electricity input by 20%, mitigated nitrous oxide emissions by 66% and eliminated the need for supplemental organic carbon. Overall, this work opens a promising avenue for implementing the anammox process, paving the way towards sustainable wastewater management.</w:t>
      </w:r>
    </w:p>
    <w:p>
      <w:pPr>
        <w:spacing w:before="120" w:after="120"/>
      </w:pPr>
      <w:r>
        <w:rPr>
          <w:sz w:val="18"/>
        </w:rPr>
        <w:t>——————————————————————————————————————————————————————————————————————</w:t>
      </w:r>
    </w:p>
    <w:p>
      <w:pPr>
        <w:spacing w:before="160" w:after="40" w:line="240" w:lineRule="auto"/>
      </w:pPr>
      <w:r>
        <w:rPr>
          <w:b/>
        </w:rPr>
        <w:t xml:space="preserve">[31] </w:t>
      </w:r>
      <w:hyperlink r:id="rId268">
        <w:r>
          <w:rPr>
            <w:color w:val="1155CC"/>
            <w:u w:val="single"/>
          </w:rPr>
          <w:t>Villification of the intestinal epithelium is driven by Foxl1 through activation of PDGFRα and BMPs</w:t>
        </w:r>
      </w:hyperlink>
    </w:p>
    <w:p>
      <w:pPr>
        <w:spacing w:before="0" w:after="120"/>
      </w:pPr>
      <w:r>
        <w:rPr>
          <w:b/>
        </w:rPr>
        <w:t xml:space="preserve">Source: </w:t>
      </w:r>
      <w:r>
        <w:t>Nature Communications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The primitive gut tube of mammals initially forms as a simple cylinder consisting of the endoderm-derived, pseudostratified epithelium and the mesoderm-derived surrounding mesenchyme. During mid-gestation, a dramatic transformation occurs in which the epithelium is both restructured into its final cuboidal form and simultaneously folded and refolded to create intestinal villi and intervillus regions. Here, we show that the mesenchymal winged helix transcription factor Foxl1, itself induced by epithelial hedgehog signaling, controls villification by activating BMP and PDGFRα and the planar cell polarity factor Fat4 in epithelial-adjacent telocyte progenitors either directly or indirectly. In the absence of Foxl1-dependent mesenchymal signaling, villus formation and the separation of epithelial cells into mitotic intervillus and postmitotic villus are delayed, and the differentiation of secretory progenitors temporarily blocked. Thus, Foxl1 orchestrates key events during the epithelial transition of the fetal mammalian gut.</w:t>
      </w:r>
    </w:p>
    <w:p>
      <w:pPr>
        <w:spacing w:before="120" w:after="120"/>
      </w:pPr>
      <w:r>
        <w:rPr>
          <w:sz w:val="18"/>
        </w:rPr>
        <w:t>——————————————————————————————————————————————————————————————————————</w:t>
      </w:r>
    </w:p>
    <w:p>
      <w:pPr>
        <w:spacing w:before="160" w:after="40" w:line="240" w:lineRule="auto"/>
      </w:pPr>
      <w:r>
        <w:rPr>
          <w:b/>
        </w:rPr>
        <w:t xml:space="preserve">[32] </w:t>
      </w:r>
      <w:hyperlink r:id="rId269">
        <w:r>
          <w:rPr>
            <w:color w:val="1155CC"/>
            <w:u w:val="single"/>
          </w:rPr>
          <w:t>DNA-PK-mediated phosphorylation of STAT6 establishes a non-canonical type 2 immunity axis to prevent macrophage senescence</w:t>
        </w:r>
      </w:hyperlink>
    </w:p>
    <w:p>
      <w:pPr>
        <w:spacing w:before="0" w:after="120"/>
      </w:pPr>
      <w:r>
        <w:rPr>
          <w:b/>
        </w:rPr>
        <w:t xml:space="preserve">Source: </w:t>
      </w:r>
      <w:r>
        <w:t>Nature Communications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Macrophage senescence drives inflammaging, a chronic, age-related inflammation. To date, the protective mechanisms against inflammaging are poorly defined. Here, we identify DNA-PK-mediated phosphorylation of murine STAT6 at serine 807 (Ser807) as a crucial post-translational modification for preventing macrophage senescence. Ser807 phosphorylation blocks STAT6 ubiquitination-mediated degradation and promotes STAT6 partnering with PU.1 to activate DNA repair genes. Macrophages lacking Ser807 phosphorylation exhibit DNA repair defects, undergo senescence, and fuel inflammaging. In vivo, the phosphor-null STAT6 mutant (STAT6(S807A)) accelerates macrophage senescence, tissue fibrosis, and systemic aging. Adoptive transfer of phosphomimetic STAT6(S807E)-expressing macrophages rescues accelerated aging. Importantly, phosphorylation of human STAT6 at the homologous residue (Ser817) is significantly reduced in the lungs of patients with chronic obstructive pulmonary disease (COPD), correlating with increased DNA damage and senescence. Thus, our findings reveal a DNA-PK-STAT6 axis enacting a non-canonical type 2 immunity via DNA repair to prevent macrophage senescence, presenting a therapeutic target for healthy aging.</w:t>
      </w:r>
    </w:p>
    <w:p>
      <w:pPr>
        <w:spacing w:before="120" w:after="120"/>
      </w:pPr>
      <w:r>
        <w:rPr>
          <w:sz w:val="18"/>
        </w:rPr>
        <w:t>——————————————————————————————————————————————————————————————————————</w:t>
      </w:r>
    </w:p>
    <w:p>
      <w:pPr>
        <w:spacing w:before="160" w:after="40" w:line="240" w:lineRule="auto"/>
      </w:pPr>
      <w:r>
        <w:rPr>
          <w:b/>
        </w:rPr>
        <w:t xml:space="preserve">[33] </w:t>
      </w:r>
      <w:hyperlink r:id="rId270">
        <w:r>
          <w:rPr>
            <w:color w:val="1155CC"/>
            <w:u w:val="single"/>
          </w:rPr>
          <w:t>Cryo-EM structures of light chain fibrils from abdominal fat biopsies of multiple myeloma patients</w:t>
        </w:r>
      </w:hyperlink>
    </w:p>
    <w:p>
      <w:pPr>
        <w:spacing w:before="0" w:after="120"/>
      </w:pPr>
      <w:r>
        <w:rPr>
          <w:b/>
        </w:rPr>
        <w:t xml:space="preserve">Source: </w:t>
      </w:r>
      <w:r>
        <w:t>Nature Communications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Multiple myeloma (MM) is a hematological malignancy characterized by the abnormal proliferation of plasma cells in the bone marrow and is closely associated with systemic light chain amyloidosis (AL), a disease triggered by the amyloid aggregation of antibody light chain (LC). High-resolution structures of amyloid LC fibrils from MM patients remain largely unexplored. Here, we extracted LC amyloid fibrils directly from abdominal fat biopsies of two living MM patients. Using cryo-electron microscopy (cryo-EM), we further determined the structures of three distinct LC fibril morphologies, which differ significantly from previously reported fibril structures derived from AL amyloidosis patients. Structural comparisons and computational analyses suggested distinct LC fibrillation mechanisms in MM compared to AL amyloidosis, highlighting a potential role of elevated protein concentration in driving LC aggregation in MM. These findings provide essential molecular insights into LC fibril formation in MM and offer a structural foundation for biological diagnosis of living MM patients based on accessible abdominal fat biopsy samples.</w:t>
      </w:r>
    </w:p>
    <w:p>
      <w:pPr>
        <w:spacing w:before="120" w:after="120"/>
      </w:pPr>
      <w:r>
        <w:rPr>
          <w:sz w:val="18"/>
        </w:rPr>
        <w:t>——————————————————————————————————————————————————————————————————————</w:t>
      </w:r>
    </w:p>
    <w:p>
      <w:pPr>
        <w:spacing w:before="160" w:after="40" w:line="240" w:lineRule="auto"/>
      </w:pPr>
      <w:r>
        <w:rPr>
          <w:b/>
        </w:rPr>
        <w:t xml:space="preserve">[34] </w:t>
      </w:r>
      <w:hyperlink r:id="rId271">
        <w:r>
          <w:rPr>
            <w:color w:val="1155CC"/>
            <w:u w:val="single"/>
          </w:rPr>
          <w:t>Solution-processed electrochromics for synergistic solar and radiative heat management</w:t>
        </w:r>
      </w:hyperlink>
    </w:p>
    <w:p>
      <w:pPr>
        <w:spacing w:before="0" w:after="120"/>
      </w:pPr>
      <w:r>
        <w:rPr>
          <w:b/>
        </w:rPr>
        <w:t xml:space="preserve">Source: </w:t>
      </w:r>
      <w:r>
        <w:t>Nature Sustainability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Maintaining thermal comfort sustainably is critical to reduce the share of global energy used for heating and cooling. However, current radiative materials for personal thermal management typically offer a singular direction of operation (either heating or cooling), lacking intelligent and sustainable adaptability to fluctuating environments. Here we report an all-solid-state autonomous colour-changing skin (ACCS) that integrates both solar heating and radiative cooling within a single energy-efficient platform. Inspired by the adaptive behaviour of chameleon skin, the ACCS enables continuous modulation of emissivity across the solar (0.3–2.5 µm) and mid-infrared (8–13 µm) spectra. The device tunes solar absorptivity by ~40% and infrared emissivity by over 50% under a voltage bias of only ±1.3 V, maintaining each state for more than 24 h without power consumption. Outdoor tests revealed reversible temperature differences of up to 15.5 °C between heating and cooling modes, while a single smartphone battery can power over 200 full-range switching cycles. The solution-processable functional layers permit scalable fabrication via drop-casting and roll-to-roll techniques, extending applications from wearable devices to large-area environmental control. This flexible, energy-neutral platform advances adaptive personal thermoregulation and illustrates how multispectral electrochromic design can decouple human comfort from fossil fuel-based climate control, contributing to global sustainability goals.</w:t>
      </w:r>
    </w:p>
    <w:p>
      <w:pPr>
        <w:spacing w:before="120" w:after="120"/>
      </w:pPr>
      <w:r>
        <w:rPr>
          <w:sz w:val="18"/>
        </w:rPr>
        <w:t>——————————————————————————————————————————————————————————————————————</w:t>
      </w:r>
    </w:p>
    <w:p>
      <w:pPr>
        <w:spacing w:before="160" w:after="40" w:line="240" w:lineRule="auto"/>
      </w:pPr>
      <w:r>
        <w:rPr>
          <w:b/>
        </w:rPr>
        <w:t xml:space="preserve">[35] </w:t>
      </w:r>
      <w:hyperlink r:id="rId272">
        <w:r>
          <w:rPr>
            <w:color w:val="1155CC"/>
            <w:u w:val="single"/>
          </w:rPr>
          <w:t>Bundling electric vehicles with off-grid wind power: A strategy for high-electricity-Price markets</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 </w:t>
      </w:r>
      <w:hyperlink r:id="rId273">
        <w:r>
          <w:rPr>
            <w:color w:val="1155CC"/>
            <w:u w:val="single"/>
          </w:rPr>
          <w:t>A testis-specific E3 ubiquitin ligase complex governs spermiogenesis and male fertility</w:t>
        </w:r>
      </w:hyperlink>
    </w:p>
    <w:p>
      <w:pPr>
        <w:spacing w:before="0" w:after="120"/>
      </w:pPr>
      <w:r>
        <w:rPr>
          <w:b/>
        </w:rPr>
        <w:t xml:space="preserve">Source: </w:t>
      </w:r>
      <w:r>
        <w:t>Nature Communications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The ubiquitin-proteasome system (UPS) represents an evolutionarily conserved machinery governing proteostasis through spatiotemporal regulation of protein degradation. While spermatogenesis involves multilayered regulatory mechanisms spanning translation to dynamic post-translational modifications (PTMs), the identity of UPS-associated E3 ligases orchestrating germ cell-specific protein turnover remains elusive. Here, we identify a testis-specific E3 ubiquitin ligase complex comprising elongin B/C, Cullin-2 (CUL2), RING-box protein-1 (RBX1), and SOCS box protein ASB9, designated ECSASB9. Genetic ablation of ECSASB9 in mice via ubiquitous Asb9 knockout (KO) or spermatid-specific elongin B/C conditional KO disrupts spermiogenesis and compromises fertility. Mechanistic studies reveal that ECSASB9 engages tubulin beta 4 A (TUBB4A) through substrate recognition, catalyzing K48-linked polyubiquitination at lysine 379 (K379) to promote proteasomal degradation. Notably, Tubb4aK379R knock-in (KI) mice phenocopy the spermiogenesis defects observed upon ECSASB9 deficiency. Clinically, we identify three hemizygous missense variants in X-linked ASB9 among Chinese males with idiopathic infertility. Male mice bearing orthologous ASB9 variant exhibit oligoasthenoteratozoospermia (OAT) and subfertility, mirroring human phenotypes. Taken together, our findings establish ECSASB9 as an important regulator of spermatogenic proteostasis and provide mechanistic insights into UPS-mediated tissue-specific degradation, while implicating ASB9 variants in male infertility pathogenesis.</w:t>
      </w:r>
    </w:p>
    <w:p>
      <w:pPr>
        <w:spacing w:before="120" w:after="120"/>
      </w:pPr>
      <w:r>
        <w:rPr>
          <w:sz w:val="18"/>
        </w:rPr>
        <w:t>——————————————————————————————————————————————————————————————————————</w:t>
      </w:r>
    </w:p>
    <w:p>
      <w:pPr>
        <w:spacing w:before="160" w:after="40" w:line="240" w:lineRule="auto"/>
      </w:pPr>
      <w:r>
        <w:rPr>
          <w:b/>
        </w:rPr>
        <w:t xml:space="preserve">[37] </w:t>
      </w:r>
      <w:hyperlink r:id="rId274">
        <w:r>
          <w:rPr>
            <w:color w:val="1155CC"/>
            <w:u w:val="single"/>
          </w:rPr>
          <w:t>Switching speed limits in electrically driven VO2 structural Mott–Peierls transition</w:t>
        </w:r>
      </w:hyperlink>
    </w:p>
    <w:p>
      <w:pPr>
        <w:spacing w:before="0" w:after="120"/>
      </w:pPr>
      <w:r>
        <w:rPr>
          <w:b/>
        </w:rPr>
        <w:t xml:space="preserve">Source: </w:t>
      </w:r>
      <w:r>
        <w:t>Nature Communications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Mott materials are archetypal quantum systems actively explored as next-generation electronic and photonic platforms, with potential applications spanning non-Von Neumann computing, robotics, energy storage, and microwave technologies. Among these, vanadium dioxide (VO2) has emerged as one of the most intensively studied compounds, owing to its sharp, near-room-temperature insulator-to-metal phase transition. VO2 also serves as a benchmark system for testing cutting-edge theories and experimental techniques. Here, we directly visualize the electrically driven transition dynamics in VO2 using a microwave-driven, frequency-tunable pulsed transmission electron microscope that combines nanometer spatial and picosecond temporal resolution. Under high-frequency (MHz–GHz) excitation, we capture the ultrafast nucleation, propagation, and dissolution of metallic domains within an operating device over millions of reversible cycles. We observe the ultrafast formation of consistent metallic nuclei beneath the electrodes, followed by the propagation of a structural phase front at 4.54 nm/ns. Our experiments show that phonon-mediated structural recovery ultimately limits reversible switching of VO2 at GHz frequencies, and that a tunable regime for reversible operation spans from kHz to GHz through device engineering. Beyond VO2, our approach provides a powerful framework for probing non-equilibrium structural transformations in correlated and functional materials under realistic electrical stimuli.</w:t>
      </w:r>
    </w:p>
    <w:p>
      <w:pPr>
        <w:spacing w:before="120" w:after="120"/>
      </w:pPr>
      <w:r>
        <w:rPr>
          <w:sz w:val="18"/>
        </w:rPr>
        <w:t>——————————————————————————————————————————————————————————————————————</w:t>
      </w:r>
    </w:p>
    <w:p>
      <w:pPr>
        <w:spacing w:before="160" w:after="40" w:line="240" w:lineRule="auto"/>
      </w:pPr>
      <w:r>
        <w:rPr>
          <w:b/>
        </w:rPr>
        <w:t xml:space="preserve">[38] </w:t>
      </w:r>
      <w:hyperlink r:id="rId275">
        <w:r>
          <w:rPr>
            <w:color w:val="1155CC"/>
            <w:u w:val="single"/>
          </w:rPr>
          <w:t>Physics-based and stability-aware analytical modeling of wind turbine wakes</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[39] </w:t>
      </w:r>
      <w:hyperlink r:id="rId276">
        <w:r>
          <w:rPr>
            <w:color w:val="1155CC"/>
            <w:u w:val="single"/>
          </w:rPr>
          <w:t>Climate-aware capacity expansion planning for power grids exposed to heat waves</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[40] </w:t>
      </w:r>
      <w:hyperlink r:id="rId277">
        <w:r>
          <w:rPr>
            <w:color w:val="1155CC"/>
            <w:u w:val="single"/>
          </w:rPr>
          <w:t>Intermediate temperature proton exchange membrane fuel cells: a systematic review of recently electrochemically evaluated materials</w:t>
        </w:r>
      </w:hyperlink>
    </w:p>
    <w:p>
      <w:pPr>
        <w:spacing w:before="0" w:after="120"/>
      </w:pPr>
      <w:r>
        <w:rPr>
          <w:b/>
        </w:rPr>
        <w:t xml:space="preserve">Source: </w:t>
      </w:r>
      <w:r>
        <w:t>ScienceDirect Publication: Applied Energy</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[41] </w:t>
      </w:r>
      <w:hyperlink r:id="rId278">
        <w:r>
          <w:rPr>
            <w:color w:val="1155CC"/>
            <w:u w:val="single"/>
          </w:rPr>
          <w:t>Simultaneous water and energy harvesting from routine acid-base neutralization via biomimetic nanofluidic membranes</w:t>
        </w:r>
      </w:hyperlink>
    </w:p>
    <w:p>
      <w:pPr>
        <w:spacing w:before="0" w:after="120"/>
      </w:pPr>
      <w:r>
        <w:rPr>
          <w:b/>
        </w:rPr>
        <w:t xml:space="preserve">Source: </w:t>
      </w:r>
      <w:r>
        <w:t>Matter</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Recovering both water and energy from wastewater is significant for addressing the water and energy crisis. Here, a bamboo-biomimetic Ti3C2Tx membrane with super-aligned and densified structure is designed, exhibiting excellent proton-selective transport behavior. Benefiting from this, simultaneous water and energy recovery is achieved during a routine wastewater treatment process—acid-base neutralization.</w:t>
      </w:r>
    </w:p>
    <w:p>
      <w:pPr>
        <w:spacing w:before="120" w:after="120"/>
      </w:pPr>
      <w:r>
        <w:rPr>
          <w:sz w:val="18"/>
        </w:rPr>
        <w:t>——————————————————————————————————————————————————————————————————————</w:t>
      </w:r>
    </w:p>
    <w:p>
      <w:pPr>
        <w:spacing w:before="160" w:after="40" w:line="240" w:lineRule="auto"/>
      </w:pPr>
      <w:r>
        <w:rPr>
          <w:b/>
        </w:rPr>
        <w:t xml:space="preserve">[42] </w:t>
      </w:r>
      <w:hyperlink r:id="rId279">
        <w:r>
          <w:rPr>
            <w:color w:val="1155CC"/>
            <w:u w:val="single"/>
          </w:rPr>
          <w:t>Superior high-temperature electrostatic energy storage in flexible dielectric film enabled by metal-coordination crosslinked network</w:t>
        </w:r>
      </w:hyperlink>
    </w:p>
    <w:p>
      <w:pPr>
        <w:spacing w:before="0" w:after="120"/>
      </w:pPr>
      <w:r>
        <w:rPr>
          <w:b/>
        </w:rPr>
        <w:t xml:space="preserve">Source: </w:t>
      </w:r>
      <w:r>
        <w:t>RSC - Energy Environ. Sci. latest articles</w:t>
      </w:r>
      <w:r>
        <w:t xml:space="preserve">    </w:t>
      </w:r>
      <w:r>
        <w:rPr>
          <w:b/>
        </w:rPr>
        <w:t xml:space="preserve">Pub date: </w:t>
      </w:r>
      <w:r>
        <w:t>2026-02-24 00:00:00+00:00</w:t>
      </w:r>
    </w:p>
    <w:p>
      <w:pPr>
        <w:spacing w:before="0" w:after="80" w:lineRule="auto" w:line="276"/>
      </w:pPr>
      <w:r>
        <w:rPr>
          <w:b/>
        </w:rPr>
        <w:t xml:space="preserve">摘要（ZH）: </w:t>
      </w:r>
      <w:r>
        <w:t>(empty)</w:t>
      </w:r>
    </w:p>
    <w:p>
      <w:pPr>
        <w:spacing w:before="0" w:after="200" w:lineRule="auto" w:line="276"/>
      </w:pPr>
      <w:r>
        <w:rPr>
          <w:b/>
        </w:rPr>
        <w:t xml:space="preserve">Abstract (EN): </w:t>
      </w:r>
      <w:r>
        <w:t>Flexible dielectrics for high-temperature electrostatic energy storage suffer from poor thermal stability, low insulation strength and inferior charge-discharge performances at elevated temperatures and high electric fields. Constructing a crosslinked structure in flexible dielectrics has been proven to be an effective strategy to enhance the thermal and insulation properties. Nevertheless, the crosslinking centers in traditional crosslinked networks are electrically neutral, and they are chemically or physically inert to the thermally excited electrons. The lack of a strong interaction between charge carriers and host dielectrics would lead to the formation of a severe conduction loss and reduction in breakdown strength at elevated temperatures, ultimately leading to an inferior electrostatic charge-discharge performance. Moreover, the traditional crosslinked polymer dielectrics are based on an irreversible covalent bond rather than a reversible interaction, and their waste becomes a significant environmental burden. Herein, we constructed a metal-coordination crosslinked network in polymer dielectrics via using metal ions as crosslinking points. The metal ions exhibit strong affinity to the electrons and accordingly can act as deep traps to capture the energetic electrons. Moreover, the dense crosslinked network can reduce the free volume and increase the mechanical strength, consequently contributing to the improvement of thermal stability and electrical insulation performances. The resultant film exhibits a superior electrostatic energy storage performance with a discharged energy density of 4.68 J/cm3 above 90% charge-discharge efficiency at 200 °C, which increases by more than 5 times compared to that of pristine film. Additionally, this type of network can be dynamically dissociated and reformed in an acidic condition, thereby contributing to the recycling of dielectrics. The recycled sample also displays a good electrostatic energy storage performance. This strategy not only strengthens the interaction between charge carriers and host dielectrics but also solves the unrecyclability of traditional crosslinked flexible dielectrics. These findings offer an effective approach to designing high-performance and environmentally-friendly flexible dielectrics.</w:t>
      </w:r>
    </w:p>
    <w:p>
      <w:pPr>
        <w:spacing w:before="120" w:after="120"/>
      </w:pPr>
      <w:r>
        <w:rPr>
          <w:sz w:val="18"/>
        </w:rPr>
        <w:t>——————————————————————————————————————————————————————————————————————</w:t>
      </w:r>
    </w:p>
    <w:p>
      <w:pPr>
        <w:spacing w:before="160" w:after="40" w:line="240" w:lineRule="auto"/>
      </w:pPr>
      <w:r>
        <w:rPr>
          <w:b/>
        </w:rPr>
        <w:t xml:space="preserve">[43] </w:t>
      </w:r>
      <w:hyperlink r:id="rId280">
        <w:r>
          <w:rPr>
            <w:color w:val="1155CC"/>
            <w:u w:val="single"/>
          </w:rPr>
          <w:t>Understanding human metacontrol and its pathologies using deep neural networks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281">
        <w:r>
          <w:rPr>
            <w:color w:val="1155CC"/>
            <w:u w:val="single"/>
          </w:rPr>
          <w:t>10.1073/pnas.2510334123</w:t>
        </w:r>
      </w:hyperlink>
    </w:p>
    <w:p>
      <w:pPr>
        <w:spacing w:before="0" w:after="80" w:lineRule="auto" w:line="276"/>
      </w:pPr>
      <w:r>
        <w:rPr>
          <w:b/>
        </w:rPr>
        <w:t xml:space="preserve">摘要（ZH）: </w:t>
      </w:r>
      <w:r>
        <w:t>(empty)</w:t>
      </w:r>
    </w:p>
    <w:p>
      <w:pPr>
        <w:spacing w:before="0" w:after="200" w:lineRule="auto" w:line="276"/>
      </w:pPr>
      <w:r>
        <w:rPr>
          <w:b/>
        </w:rPr>
        <w:t xml:space="preserve">Abstract (EN): </w:t>
      </w:r>
      <w:r>
        <w:t>Error monitoring is crucial for inferring how controllable an environment is, and thus for estimating the value of control processes (metacontrol). In this study, we use computational simulations with deep neural networks to investigate its behavioral and neural correlates. We trained both humans and deep reinforcement learning (RL) agents to perform a reward-guided learning task that required adaptation to changes in action controllability. Deep RL agents could only solve the task when designed to explicitly predict action prediction errors that fire in the medial prefrontal cortex. When trained this way, they displayed signatures of metacontrol that closely resembled those observed in humans. Moreover, when deep RL agents were trained to over- or underestimate controllability, they developed behavioral pathologies partially matching those of humans who reported depressive, anxious, or compulsive traits on transdiagnostic questionnaires. These findings open up avenues for studying metacontrol using deep neural networks.</w:t>
      </w:r>
    </w:p>
    <w:p>
      <w:pPr>
        <w:spacing w:before="120" w:after="120"/>
      </w:pPr>
      <w:r>
        <w:rPr>
          <w:sz w:val="18"/>
        </w:rPr>
        <w:t>——————————————————————————————————————————————————————————————————————</w:t>
      </w:r>
    </w:p>
    <w:p>
      <w:pPr>
        <w:spacing w:before="160" w:after="40" w:line="240" w:lineRule="auto"/>
      </w:pPr>
      <w:r>
        <w:rPr>
          <w:b/>
        </w:rPr>
        <w:t xml:space="preserve">[44] </w:t>
      </w:r>
      <w:hyperlink r:id="rId282">
        <w:r>
          <w:rPr>
            <w:color w:val="1155CC"/>
            <w:u w:val="single"/>
          </w:rPr>
          <w:t>In This Issue</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283">
        <w:r>
          <w:rPr>
            <w:color w:val="1155CC"/>
            <w:u w:val="single"/>
          </w:rPr>
          <w:t>10.1073/iti0826123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[45] </w:t>
      </w:r>
      <w:hyperlink r:id="rId284">
        <w:r>
          <w:rPr>
            <w:color w:val="1155CC"/>
            <w:u w:val="single"/>
          </w:rPr>
          <w:t>School shootings and the strategic contributions of gun policy PACs in US House elections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285">
        <w:r>
          <w:rPr>
            <w:color w:val="1155CC"/>
            <w:u w:val="single"/>
          </w:rPr>
          <w:t>10.1073/pnas.2514343123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American public consistently supports stricter gun laws. We show that the gun lobby is most concerned that this support will translate into federal legislative action when fatal school shootings occur. Leveraging a dataset of political action committee (PAC) contributions and school shootings, we implement a staggered difference-in-differences design to estimate the causal effect of fatal school shootings on contributions to House candidates. We find progun Political Action Committees increase contributions by 31% to candidates in districts with fatal school shootings, and 20% for gun safety PACs. Neither show any significant response to nonfatal school shootings or mass shootings. The temporal pattern also reveals strategic behavior: For both progun and gun safety PACs, contribution spikes emerge in the wake of fatal school shootings, with effects dramatically amplified as Election Day approaches; when a shooting occurs within two months of Election Day, contributions from progun PACs increase by 2,820% while gun safety PAC contributions increase by 917%. These effects are concentrated in competitive districts (</w:t>
        <w:br/>
        <w:t xml:space="preserve">                    </w:t>
        <w:br/>
        <w:t xml:space="preserve">                      </w:t>
        <w:br/>
        <w:t xml:space="preserve">                        ≤</w:t>
        <w:br/>
        <w:t xml:space="preserve">                      </w:t>
        <w:br/>
        <w:t xml:space="preserve">                    </w:t>
        <w:br/>
        <w:t xml:space="preserve">                    5% margins) where the two-sided surge in contributions offsets any measurable electoral impact. These results provide robust evidence that PACs strategically deploy contributions after school shootings, with the magnitude and timing suggesting a deliberate mobilization to advance its agenda. Our findings underscore a gap in democratic accountability: While public opinion should drive policy change, campaign contributions are wielded to blunt electoral responsiveness, providing insight into the inability of Congress to adopt broadly supported gun safety measures.</w:t>
      </w:r>
    </w:p>
    <w:p>
      <w:pPr>
        <w:spacing w:before="120" w:after="120"/>
      </w:pPr>
      <w:r>
        <w:rPr>
          <w:sz w:val="18"/>
        </w:rPr>
        <w:t>——————————————————————————————————————————————————————————————————————</w:t>
      </w:r>
    </w:p>
    <w:p>
      <w:pPr>
        <w:spacing w:before="160" w:after="40" w:line="240" w:lineRule="auto"/>
      </w:pPr>
      <w:r>
        <w:rPr>
          <w:b/>
        </w:rPr>
        <w:t xml:space="preserve">[46] </w:t>
      </w:r>
      <w:hyperlink r:id="rId286">
        <w:r>
          <w:rPr>
            <w:color w:val="1155CC"/>
            <w:u w:val="single"/>
          </w:rPr>
          <w:t>mtDNA leakage promotes neuron–glia crosstalk to induce epilepsy by cGAS–STING-driven neuroinflammation and serine metabolic reprogramming</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287">
        <w:r>
          <w:rPr>
            <w:color w:val="1155CC"/>
            <w:u w:val="single"/>
          </w:rPr>
          <w:t>10.1073/pnas.2522313123</w:t>
        </w:r>
      </w:hyperlink>
    </w:p>
    <w:p>
      <w:pPr>
        <w:spacing w:before="0" w:after="80" w:lineRule="auto" w:line="276"/>
      </w:pPr>
      <w:r>
        <w:rPr>
          <w:b/>
        </w:rPr>
        <w:t xml:space="preserve">摘要（ZH）: </w:t>
      </w:r>
      <w:r>
        <w:t>(empty)</w:t>
      </w:r>
    </w:p>
    <w:p>
      <w:pPr>
        <w:spacing w:before="0" w:after="200" w:lineRule="auto" w:line="276"/>
      </w:pPr>
      <w:r>
        <w:rPr>
          <w:b/>
        </w:rPr>
        <w:t xml:space="preserve">Abstract (EN): </w:t>
      </w:r>
      <w:r>
        <w:t>Epilepsy is increasingly recognized as a disorder involving metabolic dysregulation beyond neural hyperexcitability, yet the underlying metabolic mechanisms remain poorly defined. Here, we identify a mitochondrion–immunity–metabolism axis that drives spontaneous chronic epilepsy. Brain-specific deletion of Mic19 impairs mitochondrial cristae structure and mitochondrial integrity in neurons, leading to activation of the Z-mitochondrial DNA (mtDNA)–ZBP1–RIPK3–mixed lineage kinase domain-like protein (MLKL) axis and p-MLKL-mediated pore formation on the mitochondrial membrane. This process results in cytosolic and extracellular leakage of mtDNA, which is subsequently taken up by microglia and triggers cyclic GMP-AMP synthase (cGAS)–STING-dependent inflammatory signaling. The resulting neuroinflammation promotes sustained activation of astrocytes. Critically, reactive astrocytes undergo profound metabolic reprogramming, marked by upregulated glycolysis and enhanced L-serine biosynthesis. Astrocyte-derived L-serine is subsequently transferred to neurons and converted into D-serine, a key NMDA receptor coagonist that enhances neuronal excitability. This metabolic shift in astrocytes exacerbates excitotoxicity and sustains epileptic activity. Importantly, pharmacologic inhibition of STING with H-151 treatment markedly suppresses seizures, reinforcing the therapeutic potential of targeting immunometabolic crosstalk in epilepsy. Our findings reveal that mtDNA-mediated cGAS–STING activation and D-serine act as important drivers of epilepsy initiation, offering mechanistic insights into neuron–microglia–astrocyte crosstalk and highlighting immunometabolic modulation as a promising therapeutic strategy for epilepsy.</w:t>
      </w:r>
    </w:p>
    <w:p>
      <w:pPr>
        <w:spacing w:before="120" w:after="120"/>
      </w:pPr>
      <w:r>
        <w:rPr>
          <w:sz w:val="18"/>
        </w:rPr>
        <w:t>——————————————————————————————————————————————————————————————————————</w:t>
      </w:r>
    </w:p>
    <w:p>
      <w:pPr>
        <w:spacing w:before="160" w:after="40" w:line="240" w:lineRule="auto"/>
      </w:pPr>
      <w:r>
        <w:rPr>
          <w:b/>
        </w:rPr>
        <w:t xml:space="preserve">[47] </w:t>
      </w:r>
      <w:hyperlink r:id="rId288">
        <w:r>
          <w:rPr>
            <w:color w:val="1155CC"/>
            <w:u w:val="single"/>
          </w:rPr>
          <w:t>Academic journals’ AI policies fail to curb the surge in AI-assisted academic writing</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289">
        <w:r>
          <w:rPr>
            <w:color w:val="1155CC"/>
            <w:u w:val="single"/>
          </w:rPr>
          <w:t>10.1073/pnas.2526734123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rapid integration of generative AI into academic writing has prompted widespread policy responses from journals and publishers. However, the effectiveness of these policies remains unclear. Here, we analyze 5,114 journals and over 5.2 million papers to evaluate the real-world impact of AI usage guidelines. We show that despite 70% of journals adopting AI policies (primarily requiring disclosure), researchers’ use of AI writing tools has increased dramatically across disciplines, with no significant difference between journals with or without policies. Non-English-speaking countries, physical sciences, and high-OA journals exhibit the highest growth rates. Crucially, full-text analysis on 164 k scientific publications reveals a striking transparency gap: Of the 75 k papers published since 2023, only 76 (~0.1%) explicitly disclosed AI use. Our findings suggest that current policies have largely failed to promote transparency or restrain AI adoption. We urge a reevaluation of ethical frameworks to foster responsible AI integration in science.</w:t>
      </w:r>
    </w:p>
    <w:p>
      <w:pPr>
        <w:spacing w:before="120" w:after="120"/>
      </w:pPr>
      <w:r>
        <w:rPr>
          <w:sz w:val="18"/>
        </w:rPr>
        <w:t>——————————————————————————————————————————————————————————————————————</w:t>
      </w:r>
    </w:p>
    <w:p>
      <w:pPr>
        <w:spacing w:before="160" w:after="40" w:line="240" w:lineRule="auto"/>
      </w:pPr>
      <w:r>
        <w:rPr>
          <w:b/>
        </w:rPr>
        <w:t xml:space="preserve">[48] </w:t>
      </w:r>
      <w:hyperlink r:id="rId290">
        <w:r>
          <w:rPr>
            <w:color w:val="1155CC"/>
            <w:u w:val="single"/>
          </w:rPr>
          <w:t>Transmission lowers US generation costs, but generator incentives are not aligned</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291">
        <w:r>
          <w:rPr>
            <w:color w:val="1155CC"/>
            <w:u w:val="single"/>
          </w:rPr>
          <w:t>10.1073/pnas.2524463123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US electricity grid is rapidly evolving with the entry of low-cost renewable electricity. As a result, new supply is not spatially matched to demand, and the transmission network has become more strained. Better market integration could thus lower US generation costs. We document that eliminating interregional constraints would have reduced electricity generation costs across the lower US 48 states by $5.8 to 7.1 billion in 2022 and $3.4 to 5.0 billion in 2023. But market integration creates winners and losers among generation companies, and we show that producers in some regions have incentives to delay or block grid integration despite the overall system benefits.</w:t>
      </w:r>
    </w:p>
    <w:p>
      <w:pPr>
        <w:spacing w:before="120" w:after="120"/>
      </w:pPr>
      <w:r>
        <w:rPr>
          <w:sz w:val="18"/>
        </w:rPr>
        <w:t>——————————————————————————————————————————————————————————————————————</w:t>
      </w:r>
    </w:p>
    <w:p>
      <w:pPr>
        <w:spacing w:before="160" w:after="40" w:line="240" w:lineRule="auto"/>
      </w:pPr>
      <w:r>
        <w:rPr>
          <w:b/>
        </w:rPr>
        <w:t xml:space="preserve">[49] </w:t>
      </w:r>
      <w:hyperlink r:id="rId292">
        <w:r>
          <w:rPr>
            <w:color w:val="1155CC"/>
            <w:u w:val="single"/>
          </w:rPr>
          <w:t>An accurate and efficient framework for modeling multimetal competitive adsorption on clay minerals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293">
        <w:r>
          <w:rPr>
            <w:color w:val="1155CC"/>
            <w:u w:val="single"/>
          </w:rPr>
          <w:t>10.1073/pnas.2527567123</w:t>
        </w:r>
      </w:hyperlink>
    </w:p>
    <w:p>
      <w:pPr>
        <w:spacing w:before="0" w:after="80" w:lineRule="auto" w:line="276"/>
      </w:pPr>
      <w:r>
        <w:rPr>
          <w:b/>
        </w:rPr>
        <w:t xml:space="preserve">摘要（ZH）: </w:t>
      </w:r>
      <w:r>
        <w:t>(empty)</w:t>
      </w:r>
    </w:p>
    <w:p>
      <w:pPr>
        <w:spacing w:before="0" w:after="200" w:lineRule="auto" w:line="276"/>
      </w:pPr>
      <w:r>
        <w:rPr>
          <w:b/>
        </w:rPr>
        <w:t xml:space="preserve">Abstract (EN): </w:t>
      </w:r>
      <w:r>
        <w:t>Multiple toxic metal elements usually coexist and thus their competitive adsorption always occurs in natural and engineered clay-rich systems. Currently, however, the competitive adsorption mechanisms of multicomponent metal systems on clay mineral surfaces are still unclear, hindering the accurate prediction of toxic metal distribution in soil-water environments. In this study, we uncovered the microscopic mechanism of competitive adsorption of multimetals on heterogeneous clay mineral surfaces using first principles calculation, which indicates that metal ion size largely dominates their complexation on clay mineral surfaces, and competitive adsorption of metals plays a key modulatory role in the adsorption process on clay minerals. By integrating theoretically and experimentally derived multiscale information, a state-of-the-art surface complexation model (SCM) framework has been developed for modeling competitive adsorption. Extensive tests showed that the SCM framework accurately and efficiently reproduces the toxic metal distribution, which enables the quantitative prediction and understanding in realistic environmental conditions. Our results have wide applications in future fundamental studies and the design of environmental materials for toxic metal removal from aquatic systems.</w:t>
      </w:r>
    </w:p>
    <w:p>
      <w:pPr>
        <w:spacing w:before="120" w:after="120"/>
      </w:pPr>
      <w:r>
        <w:rPr>
          <w:sz w:val="18"/>
        </w:rPr>
        <w:t>——————————————————————————————————————————————————————————————————————</w:t>
      </w:r>
    </w:p>
    <w:p>
      <w:pPr>
        <w:spacing w:before="160" w:after="40" w:line="240" w:lineRule="auto"/>
      </w:pPr>
      <w:r>
        <w:rPr>
          <w:b/>
        </w:rPr>
        <w:t xml:space="preserve">[50] </w:t>
      </w:r>
      <w:hyperlink r:id="rId294">
        <w:r>
          <w:rPr>
            <w:color w:val="1155CC"/>
            <w:u w:val="single"/>
          </w:rPr>
          <w:t>Class-I myosin responds to changes in membrane tension during clathrin-mediated endocytosis in human induced pluripotent stem cells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295">
        <w:r>
          <w:rPr>
            <w:color w:val="1155CC"/>
            <w:u w:val="single"/>
          </w:rPr>
          <w:t>10.1073/pnas.2532817123</w:t>
        </w:r>
      </w:hyperlink>
    </w:p>
    <w:p>
      <w:pPr>
        <w:spacing w:before="0" w:after="80" w:lineRule="auto" w:line="276"/>
      </w:pPr>
      <w:r>
        <w:rPr>
          <w:b/>
        </w:rPr>
        <w:t xml:space="preserve">摘要（ZH）: </w:t>
      </w:r>
      <w:r>
        <w:t>(empty)</w:t>
      </w:r>
    </w:p>
    <w:p>
      <w:pPr>
        <w:spacing w:before="0" w:after="200" w:lineRule="auto" w:line="276"/>
      </w:pPr>
      <w:r>
        <w:rPr>
          <w:b/>
        </w:rPr>
        <w:t xml:space="preserve">Abstract (EN): </w:t>
      </w:r>
      <w:r>
        <w:t>Clathrin-mediated endocytosis (CME) is an essential cellular process that needs to operate efficiently across a wide range of conditions. Internalization of the endocytic site involves forces generated by membrane-bound proteins and Arp2/3-mediated branched actin filament assembly to bend the plasma membrane from flat to omega-shaped. In mammalian CME, the requirement for a branched actin filament network varies depending on cell type and differences in membrane tension. However, how the actin network adapts to changes in load in order to ensure robustness of this process over a range of membrane tensions is not understood. Here, we combine live-cell imaging and superresolution microscopy of genome-edited human induced pluripotent stem cells to investigate the role of the mammalian class-I myosin, Myosin1E (Myo1E), in load adaptation. Under normal conditions, sites that recruit Myo1E are rare and exhibit slow CME dynamics. However, as membrane tension increases and CME dynamics are slowed globally, Myo1E is recruited to more sites, likely to increase actin assembly and motor activity, resulting in increased force generation to rescue stalled sites and promote internalization. Loss of Myo1E results in increased Arp2/3 complex lifetime at CME sites under normal conditions, and at high membrane tension, these sites fail to recruit as many Arp2/3 molecules. We propose that Myo1E is recruited to CME sites that have stalled due to increased membrane tension, where it helps build a more effective branched actin network by generating force through motor activity and recruiting additional Arp2/3 complexes to rescue stalled sites.</w:t>
      </w:r>
    </w:p>
    <w:p>
      <w:pPr>
        <w:spacing w:before="120" w:after="120"/>
      </w:pPr>
      <w:r>
        <w:rPr>
          <w:sz w:val="18"/>
        </w:rPr>
        <w:t>——————————————————————————————————————————————————————————————————————</w:t>
      </w:r>
    </w:p>
    <w:p>
      <w:pPr>
        <w:spacing w:before="160" w:after="40" w:line="240" w:lineRule="auto"/>
      </w:pPr>
      <w:r>
        <w:rPr>
          <w:b/>
        </w:rPr>
        <w:t xml:space="preserve">[51] </w:t>
      </w:r>
      <w:hyperlink r:id="rId296">
        <w:r>
          <w:rPr>
            <w:color w:val="1155CC"/>
            <w:u w:val="single"/>
          </w:rPr>
          <w:t>Human oncogenic herpesvirus latency proteins activate NEK2 to promote chromosomal instability and tumorigenesis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297">
        <w:r>
          <w:rPr>
            <w:color w:val="1155CC"/>
            <w:u w:val="single"/>
          </w:rPr>
          <w:t>10.1073/pnas.2535073123</w:t>
        </w:r>
      </w:hyperlink>
    </w:p>
    <w:p>
      <w:pPr>
        <w:spacing w:before="0" w:after="80" w:lineRule="auto" w:line="276"/>
      </w:pPr>
      <w:r>
        <w:rPr>
          <w:b/>
        </w:rPr>
        <w:t xml:space="preserve">摘要（ZH）: </w:t>
      </w:r>
      <w:r>
        <w:t>(empty)</w:t>
      </w:r>
    </w:p>
    <w:p>
      <w:pPr>
        <w:spacing w:before="0" w:after="200" w:lineRule="auto" w:line="276"/>
      </w:pPr>
      <w:r>
        <w:rPr>
          <w:b/>
        </w:rPr>
        <w:t xml:space="preserve">Abstract (EN): </w:t>
      </w:r>
      <w:r>
        <w:t>Never in mitosis A (NIMA)-related kinase 2 (NEK2) is a serine/threonine kinase that plays a crucial role in cell cycle regulation and is frequently induced across multiple cancer types, where its elevated levels are associated with poor prognosis. Epstein–Barr virus (EBV) and Kaposi’s sarcoma–associated herpesvirus (KSHV), both known to drive various malignancies, were observed to induce NEK2 expression during both primary infection and latent phases of infection. Increased NEK2 expression contributes to chromosomal instability by promoting nondisjunction, leading to a rise in aneuploid cell populations and fostering uncontrolled cell proliferation. Mechanistically, EBV latent protein EBNA2 and KSHV latent antigen LANA were identified as principal regulators of NEK2 upregulation, acting through modulation of RBP-Jκ activities at the NEK2 promoter region. Additionally, we demonstrated that targeting NEK2 impaired EBV- and KSHV-mediated tumor progression, highlighting its potential as a critical driver of virus-induced oncogenesis and a promising therapeutic target.</w:t>
      </w:r>
    </w:p>
    <w:p>
      <w:pPr>
        <w:spacing w:before="120" w:after="120"/>
      </w:pPr>
      <w:r>
        <w:rPr>
          <w:sz w:val="18"/>
        </w:rPr>
        <w:t>——————————————————————————————————————————————————————————————————————</w:t>
      </w:r>
    </w:p>
    <w:p>
      <w:pPr>
        <w:spacing w:before="160" w:after="40" w:line="240" w:lineRule="auto"/>
      </w:pPr>
      <w:r>
        <w:rPr>
          <w:b/>
        </w:rPr>
        <w:t xml:space="preserve">[52] </w:t>
      </w:r>
      <w:hyperlink r:id="rId298">
        <w:r>
          <w:rPr>
            <w:color w:val="1155CC"/>
            <w:u w:val="single"/>
          </w:rPr>
          <w:t>Bilingual language processing relies on shared semantic representations that are modulated by each language</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299">
        <w:r>
          <w:rPr>
            <w:color w:val="1155CC"/>
            <w:u w:val="single"/>
          </w:rPr>
          <w:t>10.1073/pnas.2503721123</w:t>
        </w:r>
      </w:hyperlink>
    </w:p>
    <w:p>
      <w:pPr>
        <w:spacing w:before="0" w:after="80" w:lineRule="auto" w:line="276"/>
      </w:pPr>
      <w:r>
        <w:rPr>
          <w:b/>
        </w:rPr>
        <w:t xml:space="preserve">摘要（ZH）: </w:t>
      </w:r>
      <w:r>
        <w:t>(empty)</w:t>
      </w:r>
    </w:p>
    <w:p>
      <w:pPr>
        <w:spacing w:before="0" w:after="200" w:lineRule="auto" w:line="276"/>
      </w:pPr>
      <w:r>
        <w:rPr>
          <w:b/>
        </w:rPr>
        <w:t xml:space="preserve">Abstract (EN): </w:t>
      </w:r>
      <w:r>
        <w:t>Billions of people throughout the world are bilingual, and they can extract meaning from multiple languages. While some evidence suggests that there is a shared system in the human brain for processing semantic information from native and non-native languages, other evidence suggests that semantic processing is language specific. We conducted a study to determine how semantic information for different languages is represented in the brains of bilinguals. Functional magnetic resonance imaging (fMRI) was used to record brain responses while participants read several hours of natural narratives in their native (Chinese) and non-native (English) languages. These data were then used to compare semantic representations between the two languages. We find that semantic representations are largely shared between languages, while there are fine-grained differences in the representation of some semantic categories across languages. These results reconcile current competing theories of bilingual language processing.</w:t>
      </w:r>
    </w:p>
    <w:p>
      <w:pPr>
        <w:spacing w:before="120" w:after="120"/>
      </w:pPr>
      <w:r>
        <w:rPr>
          <w:sz w:val="18"/>
        </w:rPr>
        <w:t>——————————————————————————————————————————————————————————————————————</w:t>
      </w:r>
    </w:p>
    <w:p>
      <w:pPr>
        <w:spacing w:before="160" w:after="40" w:line="240" w:lineRule="auto"/>
      </w:pPr>
      <w:r>
        <w:rPr>
          <w:b/>
        </w:rPr>
        <w:t xml:space="preserve">[53] </w:t>
      </w:r>
      <w:hyperlink r:id="rId300">
        <w:r>
          <w:rPr>
            <w:color w:val="1155CC"/>
            <w:u w:val="single"/>
          </w:rPr>
          <w:t>Differential disease tolerance mediates sex-biased illness severity in sepsis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2026-02-24 08:00:00+00:00</w:t>
      </w:r>
      <w:r>
        <w:t xml:space="preserve">    </w:t>
      </w:r>
      <w:r>
        <w:rPr>
          <w:b/>
        </w:rPr>
        <w:t xml:space="preserve">DOI: </w:t>
      </w:r>
      <w:hyperlink r:id="rId301">
        <w:r>
          <w:rPr>
            <w:color w:val="1155CC"/>
            <w:u w:val="single"/>
          </w:rPr>
          <w:t>10.1073/pnas.2522764123</w:t>
        </w:r>
      </w:hyperlink>
    </w:p>
    <w:p>
      <w:pPr>
        <w:spacing w:before="0" w:after="80" w:lineRule="auto" w:line="276"/>
      </w:pPr>
      <w:r>
        <w:rPr>
          <w:b/>
        </w:rPr>
        <w:t xml:space="preserve">摘要（ZH）: </w:t>
      </w:r>
      <w:r>
        <w:t>(empty)</w:t>
      </w:r>
    </w:p>
    <w:p>
      <w:pPr>
        <w:spacing w:before="0" w:after="200" w:lineRule="auto" w:line="276"/>
      </w:pPr>
      <w:r>
        <w:rPr>
          <w:b/>
        </w:rPr>
        <w:t xml:space="preserve">Abstract (EN): </w:t>
      </w:r>
      <w:r>
        <w:t>Sepsis in humans, as well as mouse models of infection, demonstrates sex-biased outcomes in which males tend to have a higher incidence, higher severity, and higher mortality compared to females. Despite this important sex-bias in sepsis outcomes, little is known about its mechanistic drivers nor therapeutic implications. Much of the foundational data on sepsis pathogenesis is derived from animal studies that included only male subjects, potentially contributing to the notable paucity of successful mouse-to-human translation of sepsis therapeutics. In this study, we demonstrate that male-biased illness severity and organ dysfunction in mouse models of bacterial sepsis are mediated by impaired disease tolerance in males, involving impaired tolerogenic shifts in mitochondrial oxidative metabolism compared to females. Microbiological and immunological analyses of sepsis between males and females revealed that sex-biased disease tolerance was independent of infection resistance mechanisms, as well as canonical immune/inflammatory dysregulation. Therapeutic potentiation of mitochondrial tolerance with doxycycline neutralized sexual dimorphism of illness severity and organ dysfunction through a male-predominant treatment effect. These data reveal that biological sex is a fundamental determinant of illness severity and treatment responsiveness in sepsis through modulation of disease tolerance, which may be harnessed therapeutically to address sex-biased outcomes in sepsis.</w:t>
      </w:r>
    </w:p>
    <w:p>
      <w:pPr>
        <w:spacing w:before="120" w:after="120"/>
      </w:pPr>
      <w:r>
        <w:rPr>
          <w:sz w:val="18"/>
        </w:rPr>
        <w:t>——————————————————————————————————————————————————————————————————————</w:t>
      </w:r>
    </w:p>
    <w:p>
      <w:pPr>
        <w:spacing w:before="160" w:after="40" w:line="240" w:lineRule="auto"/>
      </w:pPr>
      <w:r>
        <w:rPr>
          <w:b/>
        </w:rPr>
        <w:t xml:space="preserve">[54] </w:t>
      </w:r>
      <w:hyperlink r:id="rId302">
        <w:r>
          <w:rPr>
            <w:color w:val="1155CC"/>
            <w:u w:val="single"/>
          </w:rPr>
          <w:t>[ASAP] Coherent Electron Spin Precession Enabled by Ultrafast Hole Transfer in Type-II Two-Dimensional Perovskites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09:34:41+00:00</w:t>
      </w:r>
      <w:r>
        <w:t xml:space="preserve">    </w:t>
      </w:r>
      <w:r>
        <w:rPr>
          <w:b/>
        </w:rPr>
        <w:t xml:space="preserve">DOI: </w:t>
      </w:r>
      <w:hyperlink r:id="rId303">
        <w:r>
          <w:rPr>
            <w:color w:val="1155CC"/>
            <w:u w:val="single"/>
          </w:rPr>
          <w:t>10.1021/jacs.6c00769</w:t>
        </w:r>
      </w:hyperlink>
    </w:p>
    <w:p>
      <w:pPr>
        <w:spacing w:before="0" w:after="80" w:lineRule="auto" w:line="276"/>
      </w:pPr>
      <w:r>
        <w:rPr>
          <w:b/>
        </w:rPr>
        <w:t xml:space="preserve">摘要（ZH）: </w:t>
      </w:r>
      <w:r>
        <w:t>(empty)</w:t>
      </w:r>
    </w:p>
    <w:p>
      <w:pPr>
        <w:spacing w:before="0" w:after="200" w:lineRule="auto" w:line="276"/>
      </w:pPr>
      <w:r>
        <w:rPr>
          <w:b/>
        </w:rPr>
        <w:t xml:space="preserve">Abstract (EN): </w:t>
      </w:r>
      <w:r>
        <w:t>Two-dimensional (2D) lead halide perovskites constitute a versatile platform to explore the intriguing interplay between electron spin, light helicity, and structural chirality for novel quantum and spintronic applications. However, strong electron-hole exchange interaction limits the spin lifetime in typical 2D monolayer perovskites to be as short as subps. While recent studies employed organic spacer engineering to extend the spin lifetime to above 10 ps at room temperature, coherent spin precession, which is a starting point to exploit the genuine quantum nature of the optically injected spins, has not been realized in these systems. Here, we study spin relaxation and precession dynamics in a type-II 2D perovskite with carbazole-based organic spacers. Ultrafast hole transfer (ca. 60 fs) from the inorganic layer to the organic layer decouples electron-hole interaction, giving rise to a room-temperature electron spin lifetime of 40 ps that is 200-fold longer than typical 2D perovskites. The spin lifetime is further prolonged to 260 ps at 60 K, with the temperature dependence well described by scattering with phonon modes of ca. 22 meV. Most importantly, coherent electron spin precession under a transverse magnetic field is directly observed. Dephasing time is also limited by phonon scattering, but the phonon modes of ca. 11 meV are distinct from those responsible for spin depolarization. This work not only provides key mechanistic insights into spin relaxation and precession dynamics in 2D perovskites but also establishes the viability of these materials as a novel platform for spin quantum manipulation.</w:t>
      </w:r>
    </w:p>
    <w:p>
      <w:pPr>
        <w:spacing w:before="120" w:after="120"/>
      </w:pPr>
      <w:r>
        <w:rPr>
          <w:sz w:val="18"/>
        </w:rPr>
        <w:t>——————————————————————————————————————————————————————————————————————</w:t>
      </w:r>
    </w:p>
    <w:p>
      <w:pPr>
        <w:spacing w:before="160" w:after="40" w:line="240" w:lineRule="auto"/>
      </w:pPr>
      <w:r>
        <w:rPr>
          <w:b/>
        </w:rPr>
        <w:t xml:space="preserve">[55] </w:t>
      </w:r>
      <w:hyperlink r:id="rId304">
        <w:r>
          <w:rPr>
            <w:color w:val="1155CC"/>
            <w:u w:val="single"/>
          </w:rPr>
          <w:t>Spin‐Dependent Photoluminescence in Carbon‐Based Quantum Dots</w:t>
        </w:r>
      </w:hyperlink>
    </w:p>
    <w:p>
      <w:pPr>
        <w:spacing w:before="0" w:after="120"/>
      </w:pPr>
      <w:r>
        <w:rPr>
          <w:b/>
        </w:rPr>
        <w:t xml:space="preserve">Source: </w:t>
      </w:r>
      <w:r>
        <w:t>Wiley: Advanced Materials: Table of Contents</w:t>
      </w:r>
      <w:r>
        <w:t xml:space="preserve">    </w:t>
      </w:r>
      <w:r>
        <w:rPr>
          <w:b/>
        </w:rPr>
        <w:t xml:space="preserve">Pub date: </w:t>
      </w:r>
      <w:r>
        <w:t>2026-02-24 10:09:27+00:00</w:t>
      </w:r>
      <w:r>
        <w:t xml:space="preserve">    </w:t>
      </w:r>
      <w:r>
        <w:rPr>
          <w:b/>
        </w:rPr>
        <w:t xml:space="preserve">DOI: </w:t>
      </w:r>
      <w:hyperlink r:id="rId305">
        <w:r>
          <w:rPr>
            <w:color w:val="1155CC"/>
            <w:u w:val="single"/>
          </w:rPr>
          <w:t>10.1002/adma.202518572</w:t>
        </w:r>
      </w:hyperlink>
    </w:p>
    <w:p>
      <w:pPr>
        <w:spacing w:before="0" w:after="80" w:lineRule="auto" w:line="276"/>
      </w:pPr>
      <w:r>
        <w:rPr>
          <w:b/>
        </w:rPr>
        <w:t xml:space="preserve">摘要（ZH）: </w:t>
      </w:r>
      <w:r>
        <w:t>(empty)</w:t>
      </w:r>
    </w:p>
    <w:p>
      <w:pPr>
        <w:spacing w:before="0" w:after="200" w:lineRule="auto" w:line="276"/>
      </w:pPr>
      <w:r>
        <w:rPr>
          <w:b/>
        </w:rPr>
        <w:t xml:space="preserve">Abstract (EN): </w:t>
      </w:r>
      <w:r>
        <w:t>The ability to modulate the photoluminescence (PL) of nanomaterials via spin-related effects is vital for many emerging quantum technologies, with nanoscale quantum sensing and imaging being particular areas of focus. Carbon-based quantum dots (CQDs) are among the most common forms of luminescent nanomaterials, appealing due to their ease of synthesis, tunability through organic chemistry, high brightness, and natural biocompatibility. However, the observation of room-temperature, spin-dependent PL has remained elusive. Here, we report on the observation of PL modulation of CQDs by magnetic fields ( ∼ 10 $\sim 10$  mT) under ambient conditions. Using pyrolysis, we synthesize a series of CQDs using 19 different amino acids as the starting material. These provide samples with a range of PL emission spectra. Surprisingly, the vast majority of them exhibit a clear magneto-PL effect (up to ∼ 1 % $\sim 1\%$ change) in dry form, which generally persists in solution. Furthermore, an electron spin resonance is detected in the PL with a g $g$ -factor of g ≈ 2 $g\approx 2$ , suggesting a process similar to the radical pair mechanism is responsible for the spin-dependent PL. Finally, we show that the magneto-PL contrast decreases in the presence of paramagnetic species, which we attribute to an increase in magnetic noise-induced spin relaxation in the CQDs. Our work brings new functionalities to these commonly used and biocompatible luminescent nanoparticles, opening new opportunities for in situ quantum sensing and imaging of biological samples.</w:t>
      </w:r>
    </w:p>
    <w:p>
      <w:pPr>
        <w:spacing w:before="120" w:after="120"/>
      </w:pPr>
      <w:r>
        <w:rPr>
          <w:sz w:val="18"/>
        </w:rPr>
        <w:t>——————————————————————————————————————————————————————————————————————</w:t>
      </w:r>
    </w:p>
    <w:p>
      <w:pPr>
        <w:spacing w:before="160" w:after="40" w:line="240" w:lineRule="auto"/>
      </w:pPr>
      <w:r>
        <w:rPr>
          <w:b/>
        </w:rPr>
        <w:t xml:space="preserve">[56] </w:t>
      </w:r>
      <w:hyperlink r:id="rId306">
        <w:r>
          <w:rPr>
            <w:color w:val="1155CC"/>
            <w:u w:val="single"/>
          </w:rPr>
          <w:t>[ASAP] Robust Homochiral Hydrogen-Bonded Biohybrid Nanochannel Membranes for High-Efficiency Enantioseparation of Amino Acids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10:29:06+00:00</w:t>
      </w:r>
      <w:r>
        <w:t xml:space="preserve">    </w:t>
      </w:r>
      <w:r>
        <w:rPr>
          <w:b/>
        </w:rPr>
        <w:t xml:space="preserve">DOI: </w:t>
      </w:r>
      <w:hyperlink r:id="rId307">
        <w:r>
          <w:rPr>
            <w:color w:val="1155CC"/>
            <w:u w:val="single"/>
          </w:rPr>
          <w:t>10.1021/jacs.5c22150</w:t>
        </w:r>
      </w:hyperlink>
    </w:p>
    <w:p>
      <w:pPr>
        <w:spacing w:before="0" w:after="80" w:lineRule="auto" w:line="276"/>
      </w:pPr>
      <w:r>
        <w:rPr>
          <w:b/>
        </w:rPr>
        <w:t xml:space="preserve">摘要（ZH）: </w:t>
      </w:r>
      <w:r>
        <w:t>(empty)</w:t>
      </w:r>
    </w:p>
    <w:p>
      <w:pPr>
        <w:spacing w:before="0" w:after="200" w:lineRule="auto" w:line="276"/>
      </w:pPr>
      <w:r>
        <w:rPr>
          <w:b/>
        </w:rPr>
        <w:t xml:space="preserve">Abstract (EN): </w:t>
      </w:r>
      <w:r>
        <w:t>Homochiral nanochannel membranes hold promise for scalable enantiomer separation, yet achieving high enantioselectivity with robust flux remains challenging due to structural instability and heterogeneous active sites. Here, we report for the first time a voltage-driven in situ assembly strategy to construct a homochiral hydrogen-bonded biohybrid framework (HBF) within poly(ethylene terephthalate) (PET) nanochannels (HBF@PET). Leveraging directional hydrogen bonding between bovine serum albumin and 1,3,6,8-tetra (terephthalic acid) pyrene (H4TBAPy), the membrane inherits BSA's chiral microenvironment while achieving exceptional structural stability. The HBF@PET membrane enables near-complete resolution of racemic histidine (ee &gt;99%) with d-His preferentially transported at a record flux of 4.52 ± 0.04 mmol m-2 h-1, surpassing state-of-the-art nanochannel systems. Mechanistic studies reveal stronger binding affinity of HBF for l-His, hindering its diffusion while facilitating d-His permeation. The membrane further demonstrates broad applicability to tryptophan and arginine enantiomers. This work pioneers the development of protein-guided hydrogen-bonded frameworks within nanochannels, offering a scalable platform for high-efficiency chiral separations in pharmaceuticals.</w:t>
      </w:r>
    </w:p>
    <w:p>
      <w:pPr>
        <w:spacing w:before="120" w:after="120"/>
      </w:pPr>
      <w:r>
        <w:rPr>
          <w:sz w:val="18"/>
        </w:rPr>
        <w:t>——————————————————————————————————————————————————————————————————————</w:t>
      </w:r>
    </w:p>
    <w:p>
      <w:pPr>
        <w:spacing w:before="160" w:after="40" w:line="240" w:lineRule="auto"/>
      </w:pPr>
      <w:r>
        <w:rPr>
          <w:b/>
        </w:rPr>
        <w:t xml:space="preserve">[57] </w:t>
      </w:r>
      <w:hyperlink r:id="rId308">
        <w:r>
          <w:rPr>
            <w:color w:val="1155CC"/>
            <w:u w:val="single"/>
          </w:rPr>
          <w:t>[ASAP] Defective Single-Site Nanozymes with Exposed Unsaturated Cu–N2 Sites for Antitumor Immunotherapy via Innate Immune-Checkpoint Blockade</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10:51:05+00:00</w:t>
      </w:r>
      <w:r>
        <w:t xml:space="preserve">    </w:t>
      </w:r>
      <w:r>
        <w:rPr>
          <w:b/>
        </w:rPr>
        <w:t xml:space="preserve">DOI: </w:t>
      </w:r>
      <w:hyperlink r:id="rId309">
        <w:r>
          <w:rPr>
            <w:color w:val="1155CC"/>
            <w:u w:val="single"/>
          </w:rPr>
          <w:t>10.1021/jacs.5c13802</w:t>
        </w:r>
      </w:hyperlink>
    </w:p>
    <w:p>
      <w:pPr>
        <w:spacing w:before="0" w:after="80" w:lineRule="auto" w:line="276"/>
      </w:pPr>
      <w:r>
        <w:rPr>
          <w:b/>
        </w:rPr>
        <w:t xml:space="preserve">摘要（ZH）: </w:t>
      </w:r>
      <w:r>
        <w:t>(empty)</w:t>
      </w:r>
    </w:p>
    <w:p>
      <w:pPr>
        <w:spacing w:before="0" w:after="200" w:lineRule="auto" w:line="276"/>
      </w:pPr>
      <w:r>
        <w:rPr>
          <w:b/>
        </w:rPr>
        <w:t xml:space="preserve">Abstract (EN): </w:t>
      </w:r>
      <w:r>
        <w:t>Disrupting the redox balance of tumor cells while blocking MER proto-oncogene tyrosine kinase (MerTK)-mediated macrophage efferocytosis can simultaneously awaken and enhance innate and adaptive antitumor immunity. Herein, we develop an MRX-2843 (MerTK inhibitor) and Mn2+ codelivered defective metal-organic framework (copper-2,3,6,7,10,11-hexaiminotriphenylene (Cu-HITP))-based single-site nanozyme (Ir@D-Cu-HITP-MMP) for antitumor immunotherapy via innate immune-checkpoint blockade. Highly exposed unsaturated Cu-N2 sites feature asymmetric electron distribution, inducing localized electron polarization and exhibiting excellent enzyme-like catalytic performance for reactive oxygen species (ROS) generation. The ROS surge disrupts redox homeostasis, impairing mitochondrial function and adenosine triphosphate production, while affecting copper transport for cuproptosis and suppressing heat shock protein expression to facilitate mild photothermal therapy. Furthermore, the tumor microenvironment-triggered release of MRX-2843 inhibits macrophage efferocytosis, increasing tumor immunogenicity and promoting prolonged cyclic GMP-AMP (cGAMP) transport. This synergizes with Mn2+ to enhance the stimulator of interferon genes (STING) activation, triggering robust immune responses. Overall, Ir@D-Cu-HITP-MMP demonstrates potent antitumor effects by activating powerful innate and adaptive immune responses.</w:t>
      </w:r>
    </w:p>
    <w:p>
      <w:pPr>
        <w:spacing w:before="120" w:after="120"/>
      </w:pPr>
      <w:r>
        <w:rPr>
          <w:sz w:val="18"/>
        </w:rPr>
        <w:t>——————————————————————————————————————————————————————————————————————</w:t>
      </w:r>
    </w:p>
    <w:p>
      <w:pPr>
        <w:spacing w:before="160" w:after="40" w:line="240" w:lineRule="auto"/>
      </w:pPr>
      <w:r>
        <w:rPr>
          <w:b/>
        </w:rPr>
        <w:t xml:space="preserve">[58] </w:t>
      </w:r>
      <w:hyperlink r:id="rId310">
        <w:r>
          <w:rPr>
            <w:color w:val="1155CC"/>
            <w:u w:val="single"/>
          </w:rPr>
          <w:t>Sequential Homo‐ and Hetero‐Coupling of Isocyanide and Carbon Monoxide Mediated by Acyclic Imino(silyl)Silylene</w:t>
        </w:r>
      </w:hyperlink>
    </w:p>
    <w:p>
      <w:pPr>
        <w:spacing w:before="0" w:after="120"/>
      </w:pPr>
      <w:r>
        <w:rPr>
          <w:b/>
        </w:rPr>
        <w:t xml:space="preserve">Source: </w:t>
      </w:r>
      <w:r>
        <w:t>Wiley: Angewandte Chemie International Edition: Table of Contents</w:t>
      </w:r>
      <w:r>
        <w:t xml:space="preserve">    </w:t>
      </w:r>
      <w:r>
        <w:rPr>
          <w:b/>
        </w:rPr>
        <w:t xml:space="preserve">Pub date: </w:t>
      </w:r>
      <w:r>
        <w:t>2026-02-24 11:25:11+00:00</w:t>
      </w:r>
      <w:r>
        <w:t xml:space="preserve">    </w:t>
      </w:r>
      <w:r>
        <w:rPr>
          <w:b/>
        </w:rPr>
        <w:t xml:space="preserve">DOI: </w:t>
      </w:r>
      <w:hyperlink r:id="rId311">
        <w:r>
          <w:rPr>
            <w:color w:val="1155CC"/>
            <w:u w:val="single"/>
          </w:rPr>
          <w:t>10.1002/anie.9929509</w:t>
        </w:r>
      </w:hyperlink>
    </w:p>
    <w:p>
      <w:pPr>
        <w:spacing w:before="0" w:after="80" w:lineRule="auto" w:line="276"/>
      </w:pPr>
      <w:r>
        <w:rPr>
          <w:b/>
        </w:rPr>
        <w:t xml:space="preserve">摘要（ZH）: </w:t>
      </w:r>
      <w:r>
        <w:t>(empty)</w:t>
      </w:r>
    </w:p>
    <w:p>
      <w:pPr>
        <w:spacing w:before="0" w:after="200" w:lineRule="auto" w:line="276"/>
      </w:pPr>
      <w:r>
        <w:rPr>
          <w:b/>
        </w:rPr>
        <w:t xml:space="preserve">Abstract (EN): </w:t>
      </w:r>
      <w:r>
        <w:t>Carbon monoxide (CO) and its isoelectronic analogues, isocyanides (RNC), have been extensively employed as model substrates to elucidate elementary steps of the Fischer-Tropsch (F-T) process, particularly those governing C-C bond construction. Building on this concept, we demonstrate carbon chain growth mediated by an acyclic imino(hypersilyl)silylene through sequential reactions with CO and isocyanides, ultimately affording well-defined C6 frameworks composed of four isocyanide and two CO units. A proposed mechanism for the homo- and hetero-coupling processes, derived from experimental observations and corroborated by quantum chemical calculations, reveals that the silylene functions as an initiator, inducing the stepwise homocoupling of RNC through consecutive formation of electrophilic sites, as well as promoting heterocoupling reactions with CO.</w:t>
      </w:r>
    </w:p>
    <w:p>
      <w:pPr>
        <w:spacing w:before="120" w:after="120"/>
      </w:pPr>
      <w:r>
        <w:rPr>
          <w:sz w:val="18"/>
        </w:rPr>
        <w:t>——————————————————————————————————————————————————————————————————————</w:t>
      </w:r>
    </w:p>
    <w:p>
      <w:pPr>
        <w:spacing w:before="160" w:after="40" w:line="240" w:lineRule="auto"/>
      </w:pPr>
      <w:r>
        <w:rPr>
          <w:b/>
        </w:rPr>
        <w:t xml:space="preserve">[59] </w:t>
      </w:r>
      <w:hyperlink r:id="rId312">
        <w:r>
          <w:rPr>
            <w:color w:val="1155CC"/>
            <w:u w:val="single"/>
          </w:rPr>
          <w:t>Multistage Phase Programming in Fibrillated Peptide Coacervates</w:t>
        </w:r>
      </w:hyperlink>
    </w:p>
    <w:p>
      <w:pPr>
        <w:spacing w:before="0" w:after="120"/>
      </w:pPr>
      <w:r>
        <w:rPr>
          <w:b/>
        </w:rPr>
        <w:t xml:space="preserve">Source: </w:t>
      </w:r>
      <w:r>
        <w:t>Wiley: Advanced Materials: Table of Contents</w:t>
      </w:r>
      <w:r>
        <w:t xml:space="preserve">    </w:t>
      </w:r>
      <w:r>
        <w:rPr>
          <w:b/>
        </w:rPr>
        <w:t xml:space="preserve">Pub date: </w:t>
      </w:r>
      <w:r>
        <w:t>2026-02-24 12:02:57+00:00</w:t>
      </w:r>
      <w:r>
        <w:t xml:space="preserve">    </w:t>
      </w:r>
      <w:r>
        <w:rPr>
          <w:b/>
        </w:rPr>
        <w:t xml:space="preserve">DOI: </w:t>
      </w:r>
      <w:hyperlink r:id="rId313">
        <w:r>
          <w:rPr>
            <w:color w:val="1155CC"/>
            <w:u w:val="single"/>
          </w:rPr>
          <w:t>10.1002/adma.202517594</w:t>
        </w:r>
      </w:hyperlink>
    </w:p>
    <w:p>
      <w:pPr>
        <w:spacing w:before="0" w:after="80" w:lineRule="auto" w:line="276"/>
      </w:pPr>
      <w:r>
        <w:rPr>
          <w:b/>
        </w:rPr>
        <w:t xml:space="preserve">摘要（ZH）: </w:t>
      </w:r>
      <w:r>
        <w:t>(empty)</w:t>
      </w:r>
    </w:p>
    <w:p>
      <w:pPr>
        <w:spacing w:before="0" w:after="200" w:lineRule="auto" w:line="276"/>
      </w:pPr>
      <w:r>
        <w:rPr>
          <w:b/>
        </w:rPr>
        <w:t xml:space="preserve">Abstract (EN): </w:t>
      </w:r>
      <w:r>
        <w:t>Natural protein condensates respond to external stresses through stimuli-triggered multistage phase transitions. Reprogramming such transitions in synthetic systems is critical for rational design of self-adaptive materials with precisely regulated stimuli-responsiveness. Nevertheless, the sequence complexity of intrinsically disordered proteins (IDPs) and their competing assembly pathways often impede effective programing of multistage transitions in physiological conditions. Here, a class of short peptide synthons (Mw≈1500 Dalton) is synthesized by integrating intrinsically disordered and transiently ordered motifs derived from the low-complexity domain of IDPs. Remarkably, these peptide synthons exhibit thermoreversible quadruple phase transitions among monomers, self-coacervates, liquid crystals, and semi-crystallized solid gels. Mechanistic study reveals that the phase transitions are governed by two distinct assembly pathways, namely coacervation and fibrillization, which interact in both collaborative and competitive manners. Modifying the peptide sequence or molecular decorations allows for precise control over the phase transition temperatures, enabling sequential, multi-stage transitions to be activated by dose-dependent pathological cues (e.g., lactic acid) at the body temperature (37°C). These findings establish a highly versatile and programmable material platform to sequentially encode multistage phase behaviors into synthetic peptide assemblies, inspiring the development of next-generation disease biosensors, drug-delivery vehicles, and self-adaptive microrobots.</w:t>
      </w:r>
    </w:p>
    <w:p>
      <w:pPr>
        <w:spacing w:before="120" w:after="120"/>
      </w:pPr>
      <w:r>
        <w:rPr>
          <w:sz w:val="18"/>
        </w:rPr>
        <w:t>——————————————————————————————————————————————————————————————————————</w:t>
      </w:r>
    </w:p>
    <w:p>
      <w:pPr>
        <w:spacing w:before="160" w:after="40" w:line="240" w:lineRule="auto"/>
      </w:pPr>
      <w:r>
        <w:rPr>
          <w:b/>
        </w:rPr>
        <w:t xml:space="preserve">[60] </w:t>
      </w:r>
      <w:hyperlink r:id="rId314">
        <w:r>
          <w:rPr>
            <w:color w:val="1155CC"/>
            <w:u w:val="single"/>
          </w:rPr>
          <w:t>Rapid Assignment of Chemical Shifts From Crystal Structures in Solid‐State NMR</w:t>
        </w:r>
      </w:hyperlink>
    </w:p>
    <w:p>
      <w:pPr>
        <w:spacing w:before="0" w:after="120"/>
      </w:pPr>
      <w:r>
        <w:rPr>
          <w:b/>
        </w:rPr>
        <w:t xml:space="preserve">Source: </w:t>
      </w:r>
      <w:r>
        <w:t>Wiley: Angewandte Chemie International Edition: Table of Contents</w:t>
      </w:r>
      <w:r>
        <w:t xml:space="preserve">    </w:t>
      </w:r>
      <w:r>
        <w:rPr>
          <w:b/>
        </w:rPr>
        <w:t xml:space="preserve">Pub date: </w:t>
      </w:r>
      <w:r>
        <w:t>2026-02-24 12:33:49+00:00</w:t>
      </w:r>
      <w:r>
        <w:t xml:space="preserve">    </w:t>
      </w:r>
      <w:r>
        <w:rPr>
          <w:b/>
        </w:rPr>
        <w:t xml:space="preserve">DOI: </w:t>
      </w:r>
      <w:hyperlink r:id="rId315">
        <w:r>
          <w:rPr>
            <w:color w:val="1155CC"/>
            <w:u w:val="single"/>
          </w:rPr>
          <w:t>10.1002/anie.202525558</w:t>
        </w:r>
      </w:hyperlink>
    </w:p>
    <w:p>
      <w:pPr>
        <w:spacing w:before="0" w:after="80" w:lineRule="auto" w:line="276"/>
      </w:pPr>
      <w:r>
        <w:rPr>
          <w:b/>
        </w:rPr>
        <w:t xml:space="preserve">摘要（ZH）: </w:t>
      </w:r>
      <w:r>
        <w:t>(empty)</w:t>
      </w:r>
    </w:p>
    <w:p>
      <w:pPr>
        <w:spacing w:before="0" w:after="200" w:lineRule="auto" w:line="276"/>
      </w:pPr>
      <w:r>
        <w:rPr>
          <w:b/>
        </w:rPr>
        <w:t xml:space="preserve">Abstract (EN): </w:t>
      </w:r>
      <w:r>
        <w:t>Chemical shift assignment in solid-state nuclear magnetic resonance (NMR) is a challenging process that usually relies on a set of 1D and 2D experiments to determine the assignment by establishing connectivities along the covalent backbone. A Bayesian probabilistic assignment method was recently introduced based on a fragment analysis using a database of chemical shifts. Here, we propose a fast 3D structure validation method that utilizes predictions from a crystal structure as a starting point for Bayesian probabilistic chemical shift assignment. We demonstrate the approach with improved confidence in the 1H and 13C assignments for the structures of cocaine and Atuliflapon, and finally Lorlatinib which has Z' = 2.</w:t>
      </w:r>
    </w:p>
    <w:p>
      <w:pPr>
        <w:spacing w:before="120" w:after="120"/>
      </w:pPr>
      <w:r>
        <w:rPr>
          <w:sz w:val="18"/>
        </w:rPr>
        <w:t>——————————————————————————————————————————————————————————————————————</w:t>
      </w:r>
    </w:p>
    <w:p>
      <w:pPr>
        <w:spacing w:before="160" w:after="40" w:line="240" w:lineRule="auto"/>
      </w:pPr>
      <w:r>
        <w:rPr>
          <w:b/>
        </w:rPr>
        <w:t xml:space="preserve">[61] </w:t>
      </w:r>
      <w:hyperlink r:id="rId316">
        <w:r>
          <w:rPr>
            <w:color w:val="1155CC"/>
            <w:u w:val="single"/>
          </w:rPr>
          <w:t>Micropore‐Confined ROS‐Responsive 3D‐Printed Shell‐Core Scaffolds for Long‐Term NO Release to Orchestrate Immunomodulation and Angiogenesis in Diabetic Bone Defect Repair</w:t>
        </w:r>
      </w:hyperlink>
    </w:p>
    <w:p>
      <w:pPr>
        <w:spacing w:before="0" w:after="120"/>
      </w:pPr>
      <w:r>
        <w:rPr>
          <w:b/>
        </w:rPr>
        <w:t xml:space="preserve">Source: </w:t>
      </w:r>
      <w:r>
        <w:t>Wiley: Advanced Materials: Table of Contents</w:t>
      </w:r>
      <w:r>
        <w:t xml:space="preserve">    </w:t>
      </w:r>
      <w:r>
        <w:rPr>
          <w:b/>
        </w:rPr>
        <w:t xml:space="preserve">Pub date: </w:t>
      </w:r>
      <w:r>
        <w:t>2026-02-24 12:36:20+00:00</w:t>
      </w:r>
      <w:r>
        <w:t xml:space="preserve">    </w:t>
      </w:r>
      <w:r>
        <w:rPr>
          <w:b/>
        </w:rPr>
        <w:t xml:space="preserve">DOI: </w:t>
      </w:r>
      <w:hyperlink r:id="rId317">
        <w:r>
          <w:rPr>
            <w:color w:val="1155CC"/>
            <w:u w:val="single"/>
          </w:rPr>
          <w:t>10.1002/adma.202521475</w:t>
        </w:r>
      </w:hyperlink>
    </w:p>
    <w:p>
      <w:pPr>
        <w:spacing w:before="0" w:after="80" w:lineRule="auto" w:line="276"/>
      </w:pPr>
      <w:r>
        <w:rPr>
          <w:b/>
        </w:rPr>
        <w:t xml:space="preserve">摘要（ZH）: </w:t>
      </w:r>
      <w:r>
        <w:t>(empty)</w:t>
      </w:r>
    </w:p>
    <w:p>
      <w:pPr>
        <w:spacing w:before="0" w:after="200" w:lineRule="auto" w:line="276"/>
      </w:pPr>
      <w:r>
        <w:rPr>
          <w:b/>
        </w:rPr>
        <w:t xml:space="preserve">Abstract (EN): </w:t>
      </w:r>
      <w:r>
        <w:t>The healing of diabetic bone defects is critically impaired by multifaceted pathological factors, including immune dysregulation, persistent inflammation, excessive reactive oxygen species (ROS), and impaired vascular-osteogenic coupling. Although nitric oxide (NO) holds promise for its anti-inflammatory and regenerative properties, its clinical translation is limited by a short half-life and uncontrolled release, failing to match chronic diabetic bone repair. Herein, we present an MP-LAS scaffold based on a micropore-confinement strategy, which transforms release kinetics from a "burst-exhaustion" mode to a sustained, on-demand output. The scaffold is fabricated by 3D printing coupled with phase separation, featuring a core of ROS-degradable hydrogel loaded with L-arginine (L-Arg) and a shell of nano-hydroxyapatite/polycaprolactone (nHA/PCL) with interconnected microporosity. The well-designed micropores precisely confine the ROS/L-Arg reaction, triggering localized degradation of the core and controllable L-Arg release for subsequent in situ NO generation. This system maintains a stable NO supply for 3 months, avoiding burst-release toxicity while continuously neutralizing pathological ROS. Both in vitro and in vivo evaluations demonstrate that this dual action synergistically modulates macrophage M2 polarization, angiogenesis, and osteogenic differentiation, ultimately facilitating diabetic bone regeneration via NO-mediated vascular-osteogenic coupling. This work offers a novel, versatile micropore-confined platform for precise molecule delivery in complex pathological microenvironments.</w:t>
      </w:r>
    </w:p>
    <w:p>
      <w:pPr>
        <w:spacing w:before="120" w:after="120"/>
      </w:pPr>
      <w:r>
        <w:rPr>
          <w:sz w:val="18"/>
        </w:rPr>
        <w:t>——————————————————————————————————————————————————————————————————————</w:t>
      </w:r>
    </w:p>
    <w:p>
      <w:pPr>
        <w:spacing w:before="160" w:after="40" w:line="240" w:lineRule="auto"/>
      </w:pPr>
      <w:r>
        <w:rPr>
          <w:b/>
        </w:rPr>
        <w:t xml:space="preserve">[62] </w:t>
      </w:r>
      <w:hyperlink r:id="rId318">
        <w:r>
          <w:rPr>
            <w:color w:val="1155CC"/>
            <w:u w:val="single"/>
          </w:rPr>
          <w:t>Speciation, Structural Refinement, and Distribution of Ti Sites in Titanium Silicalite‐1 From 47/49Ti NMR Crystallography at 28.2 Tesla</w:t>
        </w:r>
      </w:hyperlink>
    </w:p>
    <w:p>
      <w:pPr>
        <w:spacing w:before="0" w:after="120"/>
      </w:pPr>
      <w:r>
        <w:rPr>
          <w:b/>
        </w:rPr>
        <w:t xml:space="preserve">Source: </w:t>
      </w:r>
      <w:r>
        <w:t>Wiley: Angewandte Chemie International Edition: Table of Contents</w:t>
      </w:r>
      <w:r>
        <w:t xml:space="preserve">    </w:t>
      </w:r>
      <w:r>
        <w:rPr>
          <w:b/>
        </w:rPr>
        <w:t xml:space="preserve">Pub date: </w:t>
      </w:r>
      <w:r>
        <w:t>2026-02-24 12:43:06+00:00</w:t>
      </w:r>
      <w:r>
        <w:t xml:space="preserve">    </w:t>
      </w:r>
      <w:r>
        <w:rPr>
          <w:b/>
        </w:rPr>
        <w:t xml:space="preserve">DOI: </w:t>
      </w:r>
      <w:hyperlink r:id="rId319">
        <w:r>
          <w:rPr>
            <w:color w:val="1155CC"/>
            <w:u w:val="single"/>
          </w:rPr>
          <w:t>10.1002/anie.202524232</w:t>
        </w:r>
      </w:hyperlink>
    </w:p>
    <w:p>
      <w:pPr>
        <w:spacing w:before="0" w:after="80" w:lineRule="auto" w:line="276"/>
      </w:pPr>
      <w:r>
        <w:rPr>
          <w:b/>
        </w:rPr>
        <w:t xml:space="preserve">摘要（ZH）: </w:t>
      </w:r>
      <w:r>
        <w:t>(empty)</w:t>
      </w:r>
    </w:p>
    <w:p>
      <w:pPr>
        <w:spacing w:before="0" w:after="200" w:lineRule="auto" w:line="276"/>
      </w:pPr>
      <w:r>
        <w:rPr>
          <w:b/>
        </w:rPr>
        <w:t xml:space="preserve">Abstract (EN): </w:t>
      </w:r>
      <w:r>
        <w:t>Titanium silicalite-1 (TS-1) is industrially used for selective oxidation processes. Despite being discovered over 40 years ago, TS-1 is seeing an increase in use in the chemical industry. The catalyst structure, especially the Ti speciation and local environment in the zeolitic framework, as well as the nuclearity of the Ti sites in the pristine zeolite material, are still debated. Here, we address this issue by applying high field (28.2 T) 47/49Ti NMR and 17O NMR spectroscopy for an array of TS-1 catalysts. For extra-framework-free TS-1 catalysts, the Ti sites are associated with a distinct NMR signature-δiso (49Ti) = -900 ppm; CQ,0(49Ti) = 7.2 MHz-which can be translated into structural parameters and a dominant first coordination environment according to an extended Czjzek model. With the implementation of a 47/49Ti NMR crystallography protocol, benchmarked on molecular models, this signature was assigned to the presence of mononuclear Ti framework sites in pristine TS-1 structures. The observed distribution of the NMR parameters presumably originates from variations of mononuclear Ti framework sites in the first and second coordination sphere, likely due to the occupancy of several T-sites.</w:t>
      </w:r>
    </w:p>
    <w:p>
      <w:pPr>
        <w:spacing w:before="120" w:after="120"/>
      </w:pPr>
      <w:r>
        <w:rPr>
          <w:sz w:val="18"/>
        </w:rPr>
        <w:t>——————————————————————————————————————————————————————————————————————</w:t>
      </w:r>
    </w:p>
    <w:p>
      <w:pPr>
        <w:spacing w:before="160" w:after="40" w:line="240" w:lineRule="auto"/>
      </w:pPr>
      <w:r>
        <w:rPr>
          <w:b/>
        </w:rPr>
        <w:t xml:space="preserve">[63] </w:t>
      </w:r>
      <w:hyperlink r:id="rId320">
        <w:r>
          <w:rPr>
            <w:color w:val="1155CC"/>
            <w:u w:val="single"/>
          </w:rPr>
          <w:t>Mechanism‐Guided Precision Hydrolysis of Early Transition Metals to Access (Mixed‐Metal) Oxo Clusters</w:t>
        </w:r>
      </w:hyperlink>
    </w:p>
    <w:p>
      <w:pPr>
        <w:spacing w:before="0" w:after="120"/>
      </w:pPr>
      <w:r>
        <w:rPr>
          <w:b/>
        </w:rPr>
        <w:t xml:space="preserve">Source: </w:t>
      </w:r>
      <w:r>
        <w:t>Wiley: Angewandte Chemie International Edition: Table of Contents</w:t>
      </w:r>
      <w:r>
        <w:t xml:space="preserve">    </w:t>
      </w:r>
      <w:r>
        <w:rPr>
          <w:b/>
        </w:rPr>
        <w:t xml:space="preserve">Pub date: </w:t>
      </w:r>
      <w:r>
        <w:t>2026-02-24 12:43:19+00:00</w:t>
      </w:r>
      <w:r>
        <w:t xml:space="preserve">    </w:t>
      </w:r>
      <w:r>
        <w:rPr>
          <w:b/>
        </w:rPr>
        <w:t xml:space="preserve">DOI: </w:t>
      </w:r>
      <w:hyperlink r:id="rId321">
        <w:r>
          <w:rPr>
            <w:color w:val="1155CC"/>
            <w:u w:val="single"/>
          </w:rPr>
          <w:t>10.1002/anie.202525769</w:t>
        </w:r>
      </w:hyperlink>
    </w:p>
    <w:p>
      <w:pPr>
        <w:spacing w:before="0" w:after="80" w:lineRule="auto" w:line="276"/>
      </w:pPr>
      <w:r>
        <w:rPr>
          <w:b/>
        </w:rPr>
        <w:t xml:space="preserve">摘要（ZH）: </w:t>
      </w:r>
      <w:r>
        <w:t>(empty)</w:t>
      </w:r>
    </w:p>
    <w:p>
      <w:pPr>
        <w:spacing w:before="0" w:after="200" w:lineRule="auto" w:line="276"/>
      </w:pPr>
      <w:r>
        <w:rPr>
          <w:b/>
        </w:rPr>
        <w:t xml:space="preserve">Abstract (EN): </w:t>
      </w:r>
      <w:r>
        <w:t>Zirconium and hafnium oxo clusters are catalysts, and building blocks for MOFs, 3D-printing and polymer composites. However, their synthesis is often a matter of trial and error, and new structures are hard to design retrosynthetically. Here, we use our recent insight in the formation mechanism of   Zr 6 O 4  ${\rm Zr}_6{\rm O}_4$  (OH)   4 $_4$  (OOCR)   12 $_{12}$  oxo clusters to redesign their synthesis with higher reaction rates, more economical precursors, more sustainable solvents, and higher atom economy, all at room temperature at gram scale. We add exactly 1.33 equivalents of water for the precision hydrolysis of the metals toward Zr6-carboxylate or Hf6-carboxylate oxo clusters (carboxylate  =  acetate, oleate, and 2-methylbutanoate). Furthermore, we use precision hydrolysis to synthesize the elusive bimetallic Zr/Hf oxo clusters and to expand rational oxo cluster synthesis to the group 5, accessing the new   Nb 8 O 12  ${\rm Nb}_8{\rm O}_{12}$  (OEt)   8 $_8$  (OBz)   8 $_8$  and   Ta 8 O 12  ${\rm Ta}_8{\rm O}_{12}$  (OEt)   8 $_8$  (OBz)   8 $_8$  clusters (OBz = benzoate). Precision hydrolysis allows for a rational design and an economic production of oxo clusters on a multigram scale, with potential to become the workhorse for cluster synthesis.</w:t>
      </w:r>
    </w:p>
    <w:p>
      <w:pPr>
        <w:spacing w:before="120" w:after="120"/>
      </w:pPr>
      <w:r>
        <w:rPr>
          <w:sz w:val="18"/>
        </w:rPr>
        <w:t>——————————————————————————————————————————————————————————————————————</w:t>
      </w:r>
    </w:p>
    <w:p>
      <w:pPr>
        <w:spacing w:before="160" w:after="40" w:line="240" w:lineRule="auto"/>
      </w:pPr>
      <w:r>
        <w:rPr>
          <w:b/>
        </w:rPr>
        <w:t xml:space="preserve">[64] </w:t>
      </w:r>
      <w:hyperlink r:id="rId322">
        <w:r>
          <w:rPr>
            <w:color w:val="1155CC"/>
            <w:u w:val="single"/>
          </w:rPr>
          <w:t>[ASAP] Correction to “Azetidines with All-Carbon Quaternary Centers: Merging Relay Catalysis with Strain Release Functionalization”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12:58:35+00:00</w:t>
      </w:r>
      <w:r>
        <w:t xml:space="preserve">    </w:t>
      </w:r>
      <w:r>
        <w:rPr>
          <w:b/>
        </w:rPr>
        <w:t xml:space="preserve">DOI: </w:t>
      </w:r>
      <w:hyperlink r:id="rId323">
        <w:r>
          <w:rPr>
            <w:color w:val="1155CC"/>
            <w:u w:val="single"/>
          </w:rPr>
          <w:t>10.1021/jacs.6c02114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[65] </w:t>
      </w:r>
      <w:hyperlink r:id="rId324">
        <w:r>
          <w:rPr>
            <w:color w:val="1155CC"/>
            <w:u w:val="single"/>
          </w:rPr>
          <w:t>[ASAP] Low-Temperature Non-Oxidative Coupling of Methane on Atomically Dispersed Titanium–Aluminum–Boron Nanopowder</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14:23:58+00:00</w:t>
      </w:r>
      <w:r>
        <w:t xml:space="preserve">    </w:t>
      </w:r>
      <w:r>
        <w:rPr>
          <w:b/>
        </w:rPr>
        <w:t xml:space="preserve">DOI: </w:t>
      </w:r>
      <w:hyperlink r:id="rId325">
        <w:r>
          <w:rPr>
            <w:color w:val="1155CC"/>
            <w:u w:val="single"/>
          </w:rPr>
          <w:t>10.1021/jacs.6c01503</w:t>
        </w:r>
      </w:hyperlink>
    </w:p>
    <w:p>
      <w:pPr>
        <w:spacing w:before="0" w:after="80" w:lineRule="auto" w:line="276"/>
      </w:pPr>
      <w:r>
        <w:rPr>
          <w:b/>
        </w:rPr>
        <w:t xml:space="preserve">摘要（ZH）: </w:t>
      </w:r>
      <w:r>
        <w:t>(empty)</w:t>
      </w:r>
    </w:p>
    <w:p>
      <w:pPr>
        <w:spacing w:before="0" w:after="200" w:lineRule="auto" w:line="276"/>
      </w:pPr>
      <w:r>
        <w:rPr>
          <w:b/>
        </w:rPr>
        <w:t xml:space="preserve">Abstract (EN): </w:t>
      </w:r>
      <w:r>
        <w:t>Nonoxidative coupling of methane represents a long-standing challenge in heterogeneous catalysis, as it requires activation of the carbon–hydrogen (C–H) bond, controlled carbon–carbon (C–C) bond formation, and effective hydrogen management without relying on oxidants. Here, we report a low-temperature C–H activation and nonoxidative C–C coupling of methane over atomically dispersed titanium–aluminum–boron nanopowder (Ti–Al–B NP) utilizing a catalytic microreactor coupled to synchrotron single-photon photoionization reflectron time-of-flight mass spectrometry. The soft-ionization, in situ probing method detects the nascent reaction products and radical intermediates under operando conditions, including methyl radical, C2 hydrocarbons, and molecular hydrogen. Methane activation is initiated at 800 K, approximately 700 K below the gas-phase decomposition threshold, leading predominantly to ethylene formation with selectivity reaching up to 78% among the C–C coupled products. Electronic structure calculations on model Ti–Al–B clusters elucidate a cooperative catalytic mechanism in which titanium enables methane adsorption and C–H activation, boron acts as a reversible hydrogen reservoir, and aluminum stabilizes methylene intermediates, thereby facilitating selective C–C coupling and dehydrogenation. These findings establish a distinct catalyst architecture for nonoxidative methane coupling based on earth abundant elements alternative to expensive platinum and other noble metal-containing conventional catalysts and provide molecular-level design principles for controlling dehydrogenation and subsequent C–C bond formation in challenging light alkane conversions.</w:t>
      </w:r>
    </w:p>
    <w:p>
      <w:pPr>
        <w:spacing w:before="120" w:after="120"/>
      </w:pPr>
      <w:r>
        <w:rPr>
          <w:sz w:val="18"/>
        </w:rPr>
        <w:t>——————————————————————————————————————————————————————————————————————</w:t>
      </w:r>
    </w:p>
    <w:p>
      <w:pPr>
        <w:spacing w:before="160" w:after="40" w:line="240" w:lineRule="auto"/>
      </w:pPr>
      <w:r>
        <w:rPr>
          <w:b/>
        </w:rPr>
        <w:t xml:space="preserve">[66] </w:t>
      </w:r>
      <w:hyperlink r:id="rId326">
        <w:r>
          <w:rPr>
            <w:color w:val="1155CC"/>
            <w:u w:val="single"/>
          </w:rPr>
          <w:t>[ASAP] Safe and Highly Efficient Lipid-Pro-Dexamethasone Nanoparticles for mRNA Delivery and Base Editing</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15:19:39+00:00</w:t>
      </w:r>
      <w:r>
        <w:t xml:space="preserve">    </w:t>
      </w:r>
      <w:r>
        <w:rPr>
          <w:b/>
        </w:rPr>
        <w:t xml:space="preserve">DOI: </w:t>
      </w:r>
      <w:hyperlink r:id="rId327">
        <w:r>
          <w:rPr>
            <w:color w:val="1155CC"/>
            <w:u w:val="single"/>
          </w:rPr>
          <w:t>10.1021/jacs.6c01708</w:t>
        </w:r>
      </w:hyperlink>
    </w:p>
    <w:p>
      <w:pPr>
        <w:spacing w:before="0" w:after="80" w:lineRule="auto" w:line="276"/>
      </w:pPr>
      <w:r>
        <w:rPr>
          <w:b/>
        </w:rPr>
        <w:t xml:space="preserve">摘要（ZH）: </w:t>
      </w:r>
      <w:r>
        <w:t>(empty)</w:t>
      </w:r>
    </w:p>
    <w:p>
      <w:pPr>
        <w:spacing w:before="0" w:after="200" w:lineRule="auto" w:line="276"/>
      </w:pPr>
      <w:r>
        <w:rPr>
          <w:b/>
        </w:rPr>
        <w:t xml:space="preserve">Abstract (EN): </w:t>
      </w:r>
      <w:r>
        <w:t>The inherent immunogenicity of mRNA lipid nanoparticles (LNPs) poses a major challenge to their application in disease treatment. In this study, we developed a series of innovative dexamethasone (DEX) prodrug ionizable lipids (DPILs) to address the need for safe and effective mRNA delivery, leading to the establishment of the Safe and Highly Efficient Lipid-pro-dexamethasone (SHIELD) LNP platform. The lead formulation, DEX-SPM-CP10 SHIELD LNP, not only markedly decreased the levels of multiple proinflammatory cytokines but also achieved mRNA delivery efficiency comparable to that of the FDA-approved SM-102 LNP. Furthermore, the SHIELD platform demonstrated universality, as incorporating specific ratios of DPILs into various LNPs targeting different organs (such as the liver, lungs, spleen, and pancreas) led to notable reductions in inflammatory responses and enhancements in mRNA expression, highlighting its superiority over strategies that incorporate free DEX. Subsequently, we investigated its application in gene editing therapy by codelivering ABEmax mRNA and sgRNA to edit the EGFP reporter gene and endogenous PCSK9 gene, as well as in protein replacement therapy through multiple injections of mRNA-SHIELD LNPs. All of these results demonstrated excellent delivery efficacy with minimal immunogenicity, fully illustrating the therapeutic potential of this platform. Taken together, the SHIELD platform offers safe and efficient mRNA delivery and has the potential to expand the therapeutic applications of mRNA-based therapies.</w:t>
      </w:r>
    </w:p>
    <w:p>
      <w:pPr>
        <w:spacing w:before="120" w:after="120"/>
      </w:pPr>
      <w:r>
        <w:rPr>
          <w:sz w:val="18"/>
        </w:rPr>
        <w:t>——————————————————————————————————————————————————————————————————————</w:t>
      </w:r>
    </w:p>
    <w:p>
      <w:pPr>
        <w:spacing w:before="160" w:after="40" w:line="240" w:lineRule="auto"/>
      </w:pPr>
      <w:r>
        <w:rPr>
          <w:b/>
        </w:rPr>
        <w:t xml:space="preserve">[67] </w:t>
      </w:r>
      <w:hyperlink r:id="rId328">
        <w:r>
          <w:rPr>
            <w:color w:val="1155CC"/>
            <w:u w:val="single"/>
          </w:rPr>
          <w:t>[ASAP] Correction to “Multireference Embedding and Fragmentation Methods for Classical and Quantum Computers: From Model Systems to Realistic Applications”</w:t>
        </w:r>
      </w:hyperlink>
    </w:p>
    <w:p>
      <w:pPr>
        <w:spacing w:before="0" w:after="120"/>
      </w:pPr>
      <w:r>
        <w:rPr>
          <w:b/>
        </w:rPr>
        <w:t xml:space="preserve">Source: </w:t>
      </w:r>
      <w:r>
        <w:t>Chemical Reviews: Latest Articles (ACS Publications)</w:t>
      </w:r>
      <w:r>
        <w:t xml:space="preserve">    </w:t>
      </w:r>
      <w:r>
        <w:rPr>
          <w:b/>
        </w:rPr>
        <w:t xml:space="preserve">Pub date: </w:t>
      </w:r>
      <w:r>
        <w:t>2026-02-24 16:01:55+00:00</w:t>
      </w:r>
      <w:r>
        <w:t xml:space="preserve">    </w:t>
      </w:r>
      <w:r>
        <w:rPr>
          <w:b/>
        </w:rPr>
        <w:t xml:space="preserve">DOI: </w:t>
      </w:r>
      <w:hyperlink r:id="rId329">
        <w:r>
          <w:rPr>
            <w:color w:val="1155CC"/>
            <w:u w:val="single"/>
          </w:rPr>
          <w:t>10.1021/acs.chemrev.6c00071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 </w:t>
      </w:r>
      <w:hyperlink r:id="rId330">
        <w:r>
          <w:rPr>
            <w:color w:val="1155CC"/>
            <w:u w:val="single"/>
          </w:rPr>
          <w:t>[ASAP] Local Symmetry Breaking in 3D Hybrid Perovskites with 3-Hydroxyazetidinium</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16:44:49+00:00</w:t>
      </w:r>
      <w:r>
        <w:t xml:space="preserve">    </w:t>
      </w:r>
      <w:r>
        <w:rPr>
          <w:b/>
        </w:rPr>
        <w:t xml:space="preserve">DOI: </w:t>
      </w:r>
      <w:hyperlink r:id="rId331">
        <w:r>
          <w:rPr>
            <w:color w:val="1155CC"/>
            <w:u w:val="single"/>
          </w:rPr>
          <w:t>10.1021/jacs.5c21300</w:t>
        </w:r>
      </w:hyperlink>
    </w:p>
    <w:p>
      <w:pPr>
        <w:spacing w:before="0" w:after="80" w:lineRule="auto" w:line="276"/>
      </w:pPr>
      <w:r>
        <w:rPr>
          <w:b/>
        </w:rPr>
        <w:t xml:space="preserve">摘要（ZH）: </w:t>
      </w:r>
      <w:r>
        <w:t>(empty)</w:t>
      </w:r>
    </w:p>
    <w:p>
      <w:pPr>
        <w:spacing w:before="0" w:after="200" w:lineRule="auto" w:line="276"/>
      </w:pPr>
      <w:r>
        <w:rPr>
          <w:b/>
        </w:rPr>
        <w:t xml:space="preserve">Abstract (EN): </w:t>
      </w:r>
      <w:r>
        <w:t>Two-dimensional (2D) hybrid perovskite semiconductors with nonprimary ammonium cations (NPACs) have recently attracted interest for spin-optoelectronics owing to the symmetry-breaking distortions in their crystal structures. However, implementing this design strategy in three-dimensional (3D) analogs remains largely unexplored, primarily due to stricter restrictions on cation size. Here, we introduce a family of 3D hybrid perovskites (3DHPs), ASnX3, where A = 3-hydroxyazetidinium (AzOH; +NH2(CH2)2CHOH) and X = Cl, Br, and I. The choice of a bulky NPAC, coupled with the incorporation of a polar group (−OH), targets broken symmetry within the 3D frameworks. While single-crystal X-ray diffraction analysis reveals spatially averaged centrosymmetric cubic (i.e., Pm-3m space group) unit cells, with the largest lattice parameters among existing ASnX3 analogs, first-principles molecular dynamics and electronic structure calculations indicate that the relatively fixed dipoles of AzOH within the SnX6-derived framework introduce local inversion asymmetry and spin polarization. By incorporating a polar cation with limited mobility into the 3D perovskite framework, (AzOH)SnX3 unlocks potential for spin-optoelectronics, photovoltaics, ferroelectrics, and nonlinear optics.</w:t>
      </w:r>
    </w:p>
    <w:p>
      <w:pPr>
        <w:spacing w:before="120" w:after="120"/>
      </w:pPr>
      <w:r>
        <w:rPr>
          <w:sz w:val="18"/>
        </w:rPr>
        <w:t>——————————————————————————————————————————————————————————————————————</w:t>
      </w:r>
    </w:p>
    <w:p>
      <w:pPr>
        <w:spacing w:before="160" w:after="40" w:line="240" w:lineRule="auto"/>
      </w:pPr>
      <w:r>
        <w:rPr>
          <w:b/>
        </w:rPr>
        <w:t xml:space="preserve">[69] </w:t>
      </w:r>
      <w:hyperlink r:id="rId332">
        <w:r>
          <w:rPr>
            <w:color w:val="1155CC"/>
            <w:u w:val="single"/>
          </w:rPr>
          <w:t>[ASAP] Chained Materials: Definition, Understandings, and Applications</w:t>
        </w:r>
      </w:hyperlink>
    </w:p>
    <w:p>
      <w:pPr>
        <w:spacing w:before="0" w:after="120"/>
      </w:pPr>
      <w:r>
        <w:rPr>
          <w:b/>
        </w:rPr>
        <w:t xml:space="preserve">Source: </w:t>
      </w:r>
      <w:r>
        <w:t>Chemical Reviews: Latest Articles (ACS Publications)</w:t>
      </w:r>
      <w:r>
        <w:t xml:space="preserve">    </w:t>
      </w:r>
      <w:r>
        <w:rPr>
          <w:b/>
        </w:rPr>
        <w:t xml:space="preserve">Pub date: </w:t>
      </w:r>
      <w:r>
        <w:t>2026-02-24 16:46:13+00:00</w:t>
      </w:r>
      <w:r>
        <w:t xml:space="preserve">    </w:t>
      </w:r>
      <w:r>
        <w:rPr>
          <w:b/>
        </w:rPr>
        <w:t xml:space="preserve">DOI: </w:t>
      </w:r>
      <w:hyperlink r:id="rId333">
        <w:r>
          <w:rPr>
            <w:color w:val="1155CC"/>
            <w:u w:val="single"/>
          </w:rPr>
          <w:t>10.1021/acs.chemrev.5c00527</w:t>
        </w:r>
      </w:hyperlink>
    </w:p>
    <w:p>
      <w:pPr>
        <w:spacing w:before="0" w:after="80" w:lineRule="auto" w:line="276"/>
      </w:pPr>
      <w:r>
        <w:rPr>
          <w:b/>
        </w:rPr>
        <w:t xml:space="preserve">摘要（ZH）: </w:t>
      </w:r>
      <w:r>
        <w:t>(empty)</w:t>
      </w:r>
    </w:p>
    <w:p>
      <w:pPr>
        <w:spacing w:before="0" w:after="200" w:lineRule="auto" w:line="276"/>
      </w:pPr>
      <w:r>
        <w:rPr>
          <w:b/>
        </w:rPr>
        <w:t xml:space="preserve">Abstract (EN): </w:t>
      </w:r>
      <w:r>
        <w:t>The crystal structures of materials directly determine their properties and thus their applications. Chained materials, namely crystalline materials composed of one-dimensional (1D) atomic chains, have attracted a lot of attentions in the last ten years due to their unique properties and promising device performance. By now, traditional three-dimensional (3D) and two-dimensional (2D) crystal structural materials have been systematically investigated; exploration and understanding of 1D chained materials are much less. This review aims to provide a comprehensive understanding on the uniqueness of 1D crystal structure and characteristics of chained materials, and expect to unveil more extraordinary properties and innovative opportunities. In this review, we present the current status of chained materials, focusing especially on the theoretical and experimental studies reported to date. The structure features, optoelectronic properties, and growth mechanisms are discussed carefully, in comparison with 3D and 2D crystal structural materials. Main applications and key advances of chained semiconductor materials are then summarized in several different categories. Finally, a brief perspective on the future applications of chained semiconductors ends this review.</w:t>
      </w:r>
    </w:p>
    <w:p>
      <w:pPr>
        <w:spacing w:before="120" w:after="120"/>
      </w:pPr>
      <w:r>
        <w:rPr>
          <w:sz w:val="18"/>
        </w:rPr>
        <w:t>——————————————————————————————————————————————————————————————————————</w:t>
      </w:r>
    </w:p>
    <w:p>
      <w:pPr>
        <w:spacing w:before="160" w:after="40" w:line="240" w:lineRule="auto"/>
      </w:pPr>
      <w:r>
        <w:rPr>
          <w:b/>
        </w:rPr>
        <w:t xml:space="preserve">[70] </w:t>
      </w:r>
      <w:hyperlink r:id="rId334">
        <w:r>
          <w:rPr>
            <w:color w:val="1155CC"/>
            <w:u w:val="single"/>
          </w:rPr>
          <w:t>[ASAP] Eutectic Processing of Semiconductor Colloidal Nanocrystals for Energy Applications</w:t>
        </w:r>
      </w:hyperlink>
    </w:p>
    <w:p>
      <w:pPr>
        <w:spacing w:before="0" w:after="120"/>
      </w:pPr>
      <w:r>
        <w:rPr>
          <w:b/>
        </w:rPr>
        <w:t xml:space="preserve">Source: </w:t>
      </w:r>
      <w:r>
        <w:t>ACS Energy Letters: Latest Articles (ACS Publications)</w:t>
      </w:r>
      <w:r>
        <w:t xml:space="preserve">    </w:t>
      </w:r>
      <w:r>
        <w:rPr>
          <w:b/>
        </w:rPr>
        <w:t xml:space="preserve">Pub date: </w:t>
      </w:r>
      <w:r>
        <w:t>2026-02-24 16:52:17+00:00</w:t>
      </w:r>
      <w:r>
        <w:t xml:space="preserve">    </w:t>
      </w:r>
      <w:r>
        <w:rPr>
          <w:b/>
        </w:rPr>
        <w:t xml:space="preserve">DOI: </w:t>
      </w:r>
      <w:hyperlink r:id="rId335">
        <w:r>
          <w:rPr>
            <w:color w:val="1155CC"/>
            <w:u w:val="single"/>
          </w:rPr>
          <w:t>10.1021/acsenergylett.6c00100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 </w:t>
      </w:r>
      <w:hyperlink r:id="rId336">
        <w:r>
          <w:rPr>
            <w:color w:val="1155CC"/>
            <w:u w:val="single"/>
          </w:rPr>
          <w:t>[ASAP] Mechanistic Insights into Photoredox/Nickel Dual-Catalyzed Difunctionalization of Alkynes: Revealing Roles of Noninnocent P-Ligand and Origins of Selectivities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16:52:29+00:00</w:t>
      </w:r>
      <w:r>
        <w:t xml:space="preserve">    </w:t>
      </w:r>
      <w:r>
        <w:rPr>
          <w:b/>
        </w:rPr>
        <w:t xml:space="preserve">DOI: </w:t>
      </w:r>
      <w:hyperlink r:id="rId337">
        <w:r>
          <w:rPr>
            <w:color w:val="1155CC"/>
            <w:u w:val="single"/>
          </w:rPr>
          <w:t>10.1021/jacs.5c20533</w:t>
        </w:r>
      </w:hyperlink>
    </w:p>
    <w:p>
      <w:pPr>
        <w:spacing w:before="0" w:after="80" w:lineRule="auto" w:line="276"/>
      </w:pPr>
      <w:r>
        <w:rPr>
          <w:b/>
        </w:rPr>
        <w:t xml:space="preserve">摘要（ZH）: </w:t>
      </w:r>
      <w:r>
        <w:t>(empty)</w:t>
      </w:r>
    </w:p>
    <w:p>
      <w:pPr>
        <w:spacing w:before="0" w:after="200" w:lineRule="auto" w:line="276"/>
      </w:pPr>
      <w:r>
        <w:rPr>
          <w:b/>
        </w:rPr>
        <w:t xml:space="preserve">Abstract (EN): </w:t>
      </w:r>
      <w:r>
        <w:t>Photoredox/nickel cooperative catalysis has advanced greatly to accomplish many challenging cross-coupling reactions. Nevertheless, the detailed mechanistic pathways of photoredox/nickel dual catalysis could be complicated in terms of conversions of oxidation states of the Ni complex and origins of chemo- and regioselectivities of products, which deserve further clarification. Herein, we conduct a combined computational and experimental study to gain mechanistic insights into the photoredox/Ni dual-catalyzed difunctionalization of alkynes. First, a novel route to transform the NiCl2(PCy3)2 precatalyst to a Ni(0) species is proposed under photoredox conditions. The noninnocent PCy3 ligand could play an important role in quenching the excited Ir(III) photocatalyst via a single-electron transfer (SET) step to yield a PCy3•+ species + Ir(II). Then, the reduced Ir(II) species could undergo a second SET with Ni(II) to afford a Ni(I) species. Meanwhile, the formed PCy3•+ species could combine with the hydroxide anion to yield a Cy3P(OH)• radical, which subsequently undergoes an H atom transfer step with the formed Ni(I) to furnish a Ni(0) species. In addition, the single-electron oxidation of Ni(II)ArCl by the excited photocatalyst to form a Ni(III)ArCl+ intermediate and the coordination of the alkynyl moiety of the substrate with the Ni(III) species are important factors to account for the chemoselective generation of Cl•, instead of Ar•, in the photoinduced ligand-to-metal charge transfer (LMCT) process. The generated Cl• could then undergo radical attack to the alkynyl moiety of the substrate, and a radical sorting mechanism is proposed to rationalize the origin of regioselectivity of the product.</w:t>
      </w:r>
    </w:p>
    <w:p>
      <w:pPr>
        <w:spacing w:before="120" w:after="120"/>
      </w:pPr>
      <w:r>
        <w:rPr>
          <w:sz w:val="18"/>
        </w:rPr>
        <w:t>——————————————————————————————————————————————————————————————————————</w:t>
      </w:r>
    </w:p>
    <w:p>
      <w:pPr>
        <w:spacing w:before="160" w:after="40" w:line="240" w:lineRule="auto"/>
      </w:pPr>
      <w:r>
        <w:rPr>
          <w:b/>
        </w:rPr>
        <w:t xml:space="preserve">[72] </w:t>
      </w:r>
      <w:hyperlink r:id="rId338">
        <w:r>
          <w:rPr>
            <w:color w:val="1155CC"/>
            <w:u w:val="single"/>
          </w:rPr>
          <w:t>[ASAP] Peptidic Catalysts Conformationally Tuned for Fluoride Binding and Delivery</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18:12:38+00:00</w:t>
      </w:r>
      <w:r>
        <w:t xml:space="preserve">    </w:t>
      </w:r>
      <w:r>
        <w:rPr>
          <w:b/>
        </w:rPr>
        <w:t xml:space="preserve">DOI: </w:t>
      </w:r>
      <w:hyperlink r:id="rId339">
        <w:r>
          <w:rPr>
            <w:color w:val="1155CC"/>
            <w:u w:val="single"/>
          </w:rPr>
          <w:t>10.1021/jacs.6c01667</w:t>
        </w:r>
      </w:hyperlink>
    </w:p>
    <w:p>
      <w:pPr>
        <w:spacing w:before="0" w:after="80" w:lineRule="auto" w:line="276"/>
      </w:pPr>
      <w:r>
        <w:rPr>
          <w:b/>
        </w:rPr>
        <w:t xml:space="preserve">摘要（ZH）: </w:t>
      </w:r>
      <w:r>
        <w:t>(empty)</w:t>
      </w:r>
    </w:p>
    <w:p>
      <w:pPr>
        <w:spacing w:before="0" w:after="200" w:lineRule="auto" w:line="276"/>
      </w:pPr>
      <w:r>
        <w:rPr>
          <w:b/>
        </w:rPr>
        <w:t xml:space="preserve">Abstract (EN): </w:t>
      </w:r>
      <w:r>
        <w:t>Knowledge on how fluoride interacts with peptides is currently limited to in silico studies. Here, we report an experimental investigation on the ability of peptidic scaffolds to bind fluoride using TBAF·3H2O or CsF. For CsF, in-depth NMR and GOAT-DFT studies shed light on peptides acting as chelators to both fluoride and cesium ions. This finding led to the development of the first peptide-catalyzed fluorination reactions. These advances open a new avenue to investigate fluorination chemistry with peptide-based catalysts that are considered as the possible ancestors to enzymes.</w:t>
      </w:r>
    </w:p>
    <w:p>
      <w:pPr>
        <w:spacing w:before="120" w:after="120"/>
      </w:pPr>
      <w:r>
        <w:rPr>
          <w:sz w:val="18"/>
        </w:rPr>
        <w:t>——————————————————————————————————————————————————————————————————————</w:t>
      </w:r>
    </w:p>
    <w:p>
      <w:pPr>
        <w:spacing w:before="160" w:after="40" w:line="240" w:lineRule="auto"/>
      </w:pPr>
      <w:r>
        <w:rPr>
          <w:b/>
        </w:rPr>
        <w:t xml:space="preserve">[73] </w:t>
      </w:r>
      <w:hyperlink r:id="rId340">
        <w:r>
          <w:rPr>
            <w:color w:val="1155CC"/>
            <w:u w:val="single"/>
          </w:rPr>
          <w:t>[ASAP] Redox-Controlled Chalcogen Bonding as a Modulator of ZnCl2 Chelation and Transport</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2026-02-24 20:15:01+00:00</w:t>
      </w:r>
      <w:r>
        <w:t xml:space="preserve">    </w:t>
      </w:r>
      <w:r>
        <w:rPr>
          <w:b/>
        </w:rPr>
        <w:t xml:space="preserve">DOI: </w:t>
      </w:r>
      <w:hyperlink r:id="rId341">
        <w:r>
          <w:rPr>
            <w:color w:val="1155CC"/>
            <w:u w:val="single"/>
          </w:rPr>
          <w:t>10.1021/jacs.5c19650</w:t>
        </w:r>
      </w:hyperlink>
    </w:p>
    <w:p>
      <w:pPr>
        <w:spacing w:before="0" w:after="80" w:lineRule="auto" w:line="276"/>
      </w:pPr>
      <w:r>
        <w:rPr>
          <w:b/>
        </w:rPr>
        <w:t xml:space="preserve">摘要（ZH）: </w:t>
      </w:r>
      <w:r>
        <w:t>(empty)</w:t>
      </w:r>
    </w:p>
    <w:p>
      <w:pPr>
        <w:spacing w:before="0" w:after="200" w:lineRule="auto" w:line="276"/>
      </w:pPr>
      <w:r>
        <w:rPr>
          <w:b/>
        </w:rPr>
        <w:t xml:space="preserve">Abstract (EN): </w:t>
      </w:r>
      <w:r>
        <w:t>Zinc is a ubiquitous metal in biological systems where an elaborate array of zinc transporters is involved in maintaining its homeostatic levels. Because toggling these levels may define new therapeutic approaches, strategies for the selective transport of Zn2+ ions are becoming increasingly coveted. Here, we describe a unique stimulus-responsive Zn2+ transporter, the activity of which can be adjusted by a redox-controlled intramolecular chalcogen bonding motif positioned at the heart of the construct. This system features a dipicolylamine (DPA) zinc chelator engaged, through its amino group, in a N–Te chalcogen bond with an adjacent diaryl tellurium moiety. Our work shows that oxidation of the tellurium center to the tetravalent state decreases the Zn2+ affinity of the DPA unit because of strengthened N–Te chalcogen bonding. We exploited this property for the differentiated transport of Zn2+ ions across phospholipid bilayers while also demonstrating the stimulus-responsive nature of this system in a set of experiments where transport is initiated in situ through reduction of the TeIV form of the transporter into its divalent counterpart using glutathione.</w:t>
      </w:r>
    </w:p>
    <w:p>
      <w:pPr>
        <w:spacing w:before="120" w:after="120"/>
      </w:pPr>
      <w:r>
        <w:rPr>
          <w:sz w:val="18"/>
        </w:rPr>
        <w:t>——————————————————————————————————————————————————————————————————————</w:t>
      </w:r>
    </w:p>
    <w:p>
      <w:pPr>
        <w:spacing w:before="160" w:after="40" w:line="240" w:lineRule="auto"/>
      </w:pPr>
      <w:r>
        <w:rPr>
          <w:b/>
        </w:rPr>
        <w:t xml:space="preserve">[74] </w:t>
      </w:r>
      <w:hyperlink r:id="rId342">
        <w:r>
          <w:rPr>
            <w:color w:val="1155CC"/>
            <w:u w:val="single"/>
          </w:rPr>
          <w:t>Scientists face fallout for past associations with Epstein</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 </w:t>
      </w:r>
      <w:hyperlink r:id="rId343">
        <w:r>
          <w:rPr>
            <w:color w:val="1155CC"/>
            <w:u w:val="single"/>
          </w:rPr>
          <w:t>Cavity-altered superconductivity</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Is it feasible to alter the ground-state properties of a material by engineering its electromagnetic environment? Inspired by theoretical predictions1,2,3,4,5,6,7,8,9,10,11,12, experimental realizations of such cavity-controlled properties without optical excitation are beginning to emerge13,14,15,16,17,18,19. Here we devised and implemented a new platform to realize cavity-altered materials. Single crystals of hyperbolic van der Waals (vdW) compounds provide a resonant electromagnetic environment with enhanced density of photonic states and prominent mode confinement20,21,22,23,24. We interfaced hexagonal boron nitride (hBN) with the molecular superconductor κ-(BEDT-TTF)2Cu[N(CN)2]Br (κ-ET). The frequencies of infrared hyperbolic modes (HMs) of hBN (refs. 25,26) match the infrared-active carbon–carbon (C=C) stretching molecular resonance of κ-ET implicated in superconductivity27. Nano-optical data supported by first-principles molecular Langevin dynamics simulations confirm the presence of resonant coupling between the hBN hyperbolic cavity modes and the C=C stretching mode in κ-ET. Meissner-effect measurements using magnetic force microscopy (MFM) demonstrate a strong suppression of superfluid density near the hBN/κ-ET interface. Non-resonant control heterostructures, including RuCl3/κ-ET and hBN/Bi2Sr2CaCu2O8+x (BSCCO), do not show the pronounced superfluid suppression. These observations suggest that hBN/κ-ET realizes a cavity-altered superconducting ground state. Our work highlights the potential of dark cavities devoid of external photons for engineering electronic ground-state properties of complex quantum materials.</w:t>
      </w:r>
    </w:p>
    <w:p>
      <w:pPr>
        <w:spacing w:before="120" w:after="120"/>
      </w:pPr>
      <w:r>
        <w:rPr>
          <w:sz w:val="18"/>
        </w:rPr>
        <w:t>——————————————————————————————————————————————————————————————————————</w:t>
      </w:r>
    </w:p>
    <w:p>
      <w:pPr>
        <w:spacing w:before="160" w:after="40" w:line="240" w:lineRule="auto"/>
      </w:pPr>
      <w:r>
        <w:rPr>
          <w:b/>
        </w:rPr>
        <w:t xml:space="preserve">[76] </w:t>
      </w:r>
      <w:hyperlink r:id="rId344">
        <w:r>
          <w:rPr>
            <w:color w:val="1155CC"/>
            <w:u w:val="single"/>
          </w:rPr>
          <w:t>What's the best way to change research fields? These three scientists have ideas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 </w:t>
      </w:r>
      <w:hyperlink r:id="rId345">
        <w:r>
          <w:rPr>
            <w:color w:val="1155CC"/>
            <w:u w:val="single"/>
          </w:rPr>
          <w:t>Convergent MurJ flippase inhibition by phage lysis proteins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Antimicrobial drug resistance poses a global health challenge that necessitates the identification of new druggable targets1,2,3. The essential lipid II flippase MurJ is a promising yet underexplored antimicrobial target in bacterial cell wall biosynthesis4,5,6,7. The only known inhibitors of Gram-negative (diderm) MurJ are the single-gene lysis proteins (Sgls) from the lytic single-strand RNA phages M (SglM) and PP7 (SglPP7)8,9. SglM and SglPP7 have distinct evolutionary origins and share no sequence similarity. Here we describe a common mechanism of MurJ inhibition by these phage-encoded Sgls. We determined the structures of MurJ-bound SglM and SglPP7 and discovered a third distinct MurJ-targeting Sgl from the predicted phage Changjiang3 (SglCJ3) that we also characterized structurally. Our findings demonstrate that all three Sgls evolved convergently to trap MurJ in a periplasm-open conformation through a common MurJ interface, revealing a pathway for drug design.</w:t>
      </w:r>
    </w:p>
    <w:p>
      <w:pPr>
        <w:spacing w:before="120" w:after="120"/>
      </w:pPr>
      <w:r>
        <w:rPr>
          <w:sz w:val="18"/>
        </w:rPr>
        <w:t>——————————————————————————————————————————————————————————————————————</w:t>
      </w:r>
    </w:p>
    <w:p>
      <w:pPr>
        <w:spacing w:before="160" w:after="40" w:line="240" w:lineRule="auto"/>
      </w:pPr>
      <w:r>
        <w:rPr>
          <w:b/>
        </w:rPr>
        <w:t xml:space="preserve">[78] </w:t>
      </w:r>
      <w:hyperlink r:id="rId346">
        <w:r>
          <w:rPr>
            <w:color w:val="1155CC"/>
            <w:u w:val="single"/>
          </w:rPr>
          <w:t>OR7A10 GPCR engineering boosts CAR-NK therapy against solid tumours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Chimeric antigen receptor (CAR)-natural killer (NK) cell therapies hold promise for solid tumours but remain limited because of poor tumour infiltration, persistence and resistance in the tumour microenvironment1,2,3,4. Here, to identify gain-of-function targets that enhance CAR-NK cell efficacy, we performed an unbiased in vivo CRISPR activation screen followed by a barcoded targeted in vivo open reading frame screen in primary human CAR-NK cells. We identified and comprehensively validated OR7A10, a G protein-coupled receptor (GPCR), as the top candidate. Engineering CAR-NK cells with OR7A10 cDNA (a CRISPR-independent method with a simple manufacturing strategy) enhanced their proliferation, activation, degranulation, cytokine production, death ligand expression, chemokine receptor expression, cytotoxicity, persistence, metabolic fitness and tumour microenvironment resistance. Moreover, exhaustion in primary human NK cells derived from multiple peripheral blood and cord blood donors was reduced. OR7A10 gain-of-function CAR-NK cells displayed strong in vivo efficacy across multiple solid tumour models. For example, 100% complete response with long-term tumour control and survival benefit in an orthotopic breast cancer mouse model were achieved. These findings establish OR7A10-engineered CAR-NK cells as a highly potent and scalable off-the-shelf therapeutic for solid tumours.</w:t>
      </w:r>
    </w:p>
    <w:p>
      <w:pPr>
        <w:spacing w:before="120" w:after="120"/>
      </w:pPr>
      <w:r>
        <w:rPr>
          <w:sz w:val="18"/>
        </w:rPr>
        <w:t>——————————————————————————————————————————————————————————————————————</w:t>
      </w:r>
    </w:p>
    <w:p>
      <w:pPr>
        <w:spacing w:before="160" w:after="40" w:line="240" w:lineRule="auto"/>
      </w:pPr>
      <w:r>
        <w:rPr>
          <w:b/>
        </w:rPr>
        <w:t xml:space="preserve">[79] </w:t>
      </w:r>
      <w:hyperlink r:id="rId347">
        <w:r>
          <w:rPr>
            <w:color w:val="1155CC"/>
            <w:u w:val="single"/>
          </w:rPr>
          <w:t>A disease model resource reveals core principles of tissue-specific cancer evolution</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Oncogenes such as KRAS display marked tissue specificity in their oncogenic potential, genetic interactions and phenotypic effects, but the underlying determinants remain largely unresolved1,2,3,4,5. Here, to address these questions, we developed the Mouse Cancer Cell line Atlas, a broad-utility resource of 590 comprehensively characterized models across a wide range of entities (www.mcca.tum.de). Comparative and functional studies using this platform, human cohorts and mice identified core principles underlying tissue-specific evolution of KRAS-initiated cancers. First, we show that mutant KRAS dosage gain through allelic imbalance exerts cell-type-specific effects, defining its timing across entities, as exemplified by dosage-sensitive developmental reprogramming during pancreatic cancer initiation. Second, we highlight how tissue- and stage-specific evolutionary requirements, such as block of differentiation in the intestine, select for KRAS-collaborating alterations. Third, we identified context-dependent epistatic KRAS–tumour suppressor interactions and show that reciprocal dosage sensitivities dictate the entity-specific patterns of cancer gene alterations, explaining their frequency, zygosity and acquisition chronology. These findings highlight how intrinsic and acquired determinants instruct cancer evolution in different tissues, with predictable molecular patterns, temporal dynamics and phenotypic outcomes. Our study provides major advances towards a mechanistic understanding of cancer genomes.</w:t>
      </w:r>
    </w:p>
    <w:p>
      <w:pPr>
        <w:spacing w:before="120" w:after="120"/>
      </w:pPr>
      <w:r>
        <w:rPr>
          <w:sz w:val="18"/>
        </w:rPr>
        <w:t>——————————————————————————————————————————————————————————————————————</w:t>
      </w:r>
    </w:p>
    <w:p>
      <w:pPr>
        <w:spacing w:before="160" w:after="40" w:line="240" w:lineRule="auto"/>
      </w:pPr>
      <w:r>
        <w:rPr>
          <w:b/>
        </w:rPr>
        <w:t xml:space="preserve">[80] </w:t>
      </w:r>
      <w:hyperlink r:id="rId348">
        <w:r>
          <w:rPr>
            <w:color w:val="1155CC"/>
            <w:u w:val="single"/>
          </w:rPr>
          <w:t>Rewiring an E3 ligase enhances cold resilience and phosphate use in maize</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Cold stress restricts plant growth and inorganic phosphate (Pi) uptake, reducing yield and increasing fertilizer demand1,2,3. Enhancing both cold tolerance and phosphorus use efficiency (PUE) is crucial for sustainable crop productivity. Here we identify the SPX-domain-containing E3 ubiquitin ligase NITROGEN LIMITATION ADAPTATION (NLA) as a central regulator that links cold signalling to Pi homeostasis in maize (Zea mays L.). Under cold conditions, NLA promotes the degradation of the transcriptional repressor JAZ11, activating jasmonate signalling to enhance cold tolerance; however, NLA also simultaneously represses Pi uptake, through inositol polyphosphate (InsP)-dependent ubiquitination of the Pi transporter PT4. A ubiquitinome-informed genome-wide association study identified a natural PT4(K267A) (lysine-to-alanine substitution) variant that attenuates NLA-mediated degradation and increases Pi uptake in cold conditions. To overcome this nutrient–stress trade-off, we combined artificial-intelligence-guided structural modelling and ligand docking with genome editing to generate the nlaΔ12 allele, which encodes an NLA variant in which binding to InsP is impaired but JAZ11 targeting is retained. The Δ12 modification selectively redirects the activity of NLA towards jasmonate signalling, resulting in improved cold resilience, higher PUE and increased yield in multi-site field trials. These findings reveal a tunable SPX regulatory module that integrates environmental and nutrient signals, and provide a molecular framework for engineering climate-resilient, nutrient-efficient crops.</w:t>
      </w:r>
    </w:p>
    <w:p>
      <w:pPr>
        <w:spacing w:before="120" w:after="120"/>
      </w:pPr>
      <w:r>
        <w:rPr>
          <w:sz w:val="18"/>
        </w:rPr>
        <w:t>——————————————————————————————————————————————————————————————————————</w:t>
      </w:r>
    </w:p>
    <w:p>
      <w:pPr>
        <w:spacing w:before="160" w:after="40" w:line="240" w:lineRule="auto"/>
      </w:pPr>
      <w:r>
        <w:rPr>
          <w:b/>
        </w:rPr>
        <w:t xml:space="preserve">[81] </w:t>
      </w:r>
      <w:hyperlink r:id="rId349">
        <w:r>
          <w:rPr>
            <w:color w:val="1155CC"/>
            <w:u w:val="single"/>
          </w:rPr>
          <w:t>Argentine fossil rewrites evolutionary history of a baffling dinosaur clade</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Alvarezsauroids are an enigmatic clade of predominantly small-bodied theropod dinosaurs that are known mainly from the Jurassic to Cretaceous periods of Asia and South America1,2,3. Late Cretaceous alvarezsauroids possess specialized forelimbs adapted for digging4,5, minute supernumerary teeth and heightened sensory capacities6, and are interpreted as myrmecophagous. They are hypothesized to exhibit evolutionary miniaturization coupled to their dietary specialization2. Fragmentary South American taxa are traditionally arrayed as a paraphyletic grade with respect to the Late Cretaceous Asian subclade Parvicursorinae2,3, invoking dispersal to explain their disjunct distributions. Here we describe a skeleton of the alvarezsauroid Alnashetri cerropoliciensis7 representing to our knowledge the most complete and smallest South American taxon to date. We also recognize two alvarezsauroids among historic taxa from the Northern Hemisphere. Phylogenetic analysis recovers Alnashetri among basal non-alvarezsaurids, rendering South American taxa polyphyletic. Combined with the new taxa recognized here, our biogeographical analyses infer a Pangaean ancestral distribution for Alvarezsauroidea, with vicariance dominating the early history of the clade. The early branching position of Alnashetri among larger-bodied relatives revises best-fit models of body size evolution in alvarezsauroids—we find no support for evolutionary miniaturization but, rather, find support for repeated evolution within a narrow body size range.</w:t>
      </w:r>
    </w:p>
    <w:p>
      <w:pPr>
        <w:spacing w:before="120" w:after="120"/>
      </w:pPr>
      <w:r>
        <w:rPr>
          <w:sz w:val="18"/>
        </w:rPr>
        <w:t>——————————————————————————————————————————————————————————————————————</w:t>
      </w:r>
    </w:p>
    <w:p>
      <w:pPr>
        <w:spacing w:before="160" w:after="40" w:line="240" w:lineRule="auto"/>
      </w:pPr>
      <w:r>
        <w:rPr>
          <w:b/>
        </w:rPr>
        <w:t xml:space="preserve">[82] </w:t>
      </w:r>
      <w:hyperlink r:id="rId350">
        <w:r>
          <w:rPr>
            <w:color w:val="1155CC"/>
            <w:u w:val="single"/>
          </w:rPr>
          <w:t>Coral microbiomes as reservoirs of unknown genomic and biosynthetic diversity</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Coral reefs are marine biodiversity hotspots that provide a wide range of ecosystem services1. They are reservoirs of bioactive metabolites, many produced by microorganisms associated with reef invertebrate hosts2. However, for the keystone species of coral reefs—the reef-building corals—we still lack a systematic assessment of their microbially encoded biosynthetic potential and the molecular resources at stake due to the alarming decline in reef biodiversity. Here we analysed microbial genomes reconstructed from 820 reef-building coral samples of three representative coral genera collected at 99 reefs across 32 islands throughout the Pacific Ocean (Tara Pacific expedition)3. By contextualizing our analyses with the microbiomes of other reef species, we found that only 10% of the 4,224 microbial species and less than 1% of the 645 species exclusively identified in Tara Pacific samples had genomic information available. Furthermore, the biosynthetic potential of reef-building coral microbiomes rivalled or surpassed that of traditional natural product sources such as sponges. Among the biosynthetically rich bacteria in the reef microbiome, we identified new groups of Acidobacteriota that encode previously unknown enzymology, in turn opening promising avenues for functional protein engineering. Together, this study underscores the importance of conserving coral reefs as vital reservoirs of molecular diversity.</w:t>
      </w:r>
    </w:p>
    <w:p>
      <w:pPr>
        <w:spacing w:before="120" w:after="120"/>
      </w:pPr>
      <w:r>
        <w:rPr>
          <w:sz w:val="18"/>
        </w:rPr>
        <w:t>——————————————————————————————————————————————————————————————————————</w:t>
      </w:r>
    </w:p>
    <w:p>
      <w:pPr>
        <w:spacing w:before="160" w:after="40" w:line="240" w:lineRule="auto"/>
      </w:pPr>
      <w:r>
        <w:rPr>
          <w:b/>
        </w:rPr>
        <w:t xml:space="preserve">[83] </w:t>
      </w:r>
      <w:hyperlink r:id="rId351">
        <w:r>
          <w:rPr>
            <w:color w:val="1155CC"/>
            <w:u w:val="single"/>
          </w:rPr>
          <w:t>Parkinson’s disease affects network of brain regions that controls whole-body action</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[84] </w:t>
      </w:r>
      <w:hyperlink r:id="rId352">
        <w:r>
          <w:rPr>
            <w:color w:val="1155CC"/>
            <w:u w:val="single"/>
          </w:rPr>
          <w:t>Targeting de novo pyrimidine synthesis confers vulnerability to copper-mediated ATR inactivation in PARP inhibitor-resistant ovarian cancer</w:t>
        </w:r>
      </w:hyperlink>
    </w:p>
    <w:p>
      <w:pPr>
        <w:spacing w:before="0" w:after="120"/>
      </w:pPr>
      <w:r>
        <w:rPr>
          <w:b/>
        </w:rPr>
        <w:t xml:space="preserve">Source: </w:t>
      </w:r>
      <w:r>
        <w:t>Nature Communications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Although poly(ADP-ribose) polymerase (PARP) inhibitors (PARPi) as monotherapy or in combination with other DNA-damaging agents exhibit promising clinical efficacy, the therapeutic responses are usually transient, with subsequent development of acquired resistance posing a significant challenge. Here, through a small-molecule compound screening, we identify elesclomol, a potent copper ionophore, which sensitizes BRCA-proficient ovarian cancer cells to PARPi by inhibiting activation of the ATR-CHK1 pathway. Mechanistically, we demonstrate that copper directly binds to ATRIP, a critical cofactor of ATR activation, disrupting the ATR-ATRIP interaction, further impairing ATR-mediated DNA damage repair signaling and potentiating PARPi sensitivity. Importantly, we reveal a secondary metabolic vulnerability in PARPi-resistant ovarian cancer associated with de novo pyrimidine synthesis, suggesting that targeting this pathway as an effective strategy to eradicate drug-adaptive residual tumors and resistant patient-derived xenograft models following ATR and PARP co-inhibition. These findings propose de novo pyrimidine synthesis as an adaptive metabolic vulnerability that can be therapeutically targeted to overcome PARPi resistance in BRCA-proficient ovarian cancer.</w:t>
      </w:r>
    </w:p>
    <w:p>
      <w:pPr>
        <w:spacing w:before="120" w:after="120"/>
      </w:pPr>
      <w:r>
        <w:rPr>
          <w:sz w:val="18"/>
        </w:rPr>
        <w:t>——————————————————————————————————————————————————————————————————————</w:t>
      </w:r>
    </w:p>
    <w:p>
      <w:pPr>
        <w:spacing w:before="160" w:after="40" w:line="240" w:lineRule="auto"/>
      </w:pPr>
      <w:r>
        <w:rPr>
          <w:b/>
        </w:rPr>
        <w:t xml:space="preserve">[85] </w:t>
      </w:r>
      <w:hyperlink r:id="rId353">
        <w:r>
          <w:rPr>
            <w:color w:val="1155CC"/>
            <w:u w:val="single"/>
          </w:rPr>
          <w:t>CLCC1 promotes hepatic neutral lipid flux and nuclear pore complex assembly</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Imbalances in lipid storage and secretion lead to hepatic steatosis, the accumulation of lipid droplets in hepatocytes1,2. Our understanding of the mechanisms that govern the channelling of neutral lipids in hepatocytes towards cytosolic lipid droplets or secreted lipoproteins remains incomplete3,4. Here we performed a series of CRISPR–Cas9 screens under different metabolic states that led to the identification of CLCC1 as a critical regulator of neutral lipid storage and secretion in hepatocytes. Loss of CLCC1 resulted in the buildup of large lipid droplets in hepatoma cells and Clcc1 knockout in mice caused liver steatosis. Lipid droplets were present in the lumen of the endoplasmic reticulum of the Clcc1-knockout hepatocytes and exhibited properties of lipoproteins, indicating a profound shift in neutral lipid flux. The loss of CLCC1 also led to the accumulation of nuclear membrane herniations accompanied by a reduction in nuclear pores. Remote homology searches identified a domain in CLCC1 that is homologous to yeast Brl1 and Brr6, factors that promote nuclear envelope fusion during nuclear pore complex assembly. Molecular dynamics simulations and mutagenesis studies support a model in which CLCC1 mediates membrane bending and fusion. We propose that CLCC1 mediates membrane fusion to promote hepatic neutral lipid flux and nuclear pore complex assembly.</w:t>
      </w:r>
    </w:p>
    <w:p>
      <w:pPr>
        <w:spacing w:before="120" w:after="120"/>
      </w:pPr>
      <w:r>
        <w:rPr>
          <w:sz w:val="18"/>
        </w:rPr>
        <w:t>——————————————————————————————————————————————————————————————————————</w:t>
      </w:r>
    </w:p>
    <w:p>
      <w:pPr>
        <w:spacing w:before="160" w:after="40" w:line="240" w:lineRule="auto"/>
      </w:pPr>
      <w:r>
        <w:rPr>
          <w:b/>
        </w:rPr>
        <w:t xml:space="preserve">[86] </w:t>
      </w:r>
      <w:hyperlink r:id="rId354">
        <w:r>
          <w:rPr>
            <w:color w:val="1155CC"/>
            <w:u w:val="single"/>
          </w:rPr>
          <w:t>Functional dissection of complex trait variants at single-nucleotide resolution</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Identifying the causal variants and mechanisms that drive complex traits and diseases remains a core problem in human genetics1,2,3,4,5. Most of these variants individually have weak effects6 and lie in non-coding gene-regulatory elements7,8,9,10, for which we lack a complete understanding of how single-nucleotide alterations modulate transcriptional processes to affect human phenotypes5,11,12,13,14,15. To address this problem, we measured the activity of 221,412 fine-mapped trait-associated variants using a massively parallel reporter assay16,17,18,19,20 in 5 diverse cell types. We show that this assay effectively discriminates between likely causal variants and controls, and identified 13,121 regulatory variants with high precision. Although the effects of these variants largely agree with orthogonal measures of function, only 69% of them can plausibly be explained by the disruption of a known transcription factor binding motif. We investigated the mechanisms of 136 variants using saturation mutagenesis and assigned affected transcription factors for 91% of variants without a clear canonical mechanism. Finally, we detected regulatory epistasis at 11% of tested regulatory variants in close proximity and identified multiple functional variants on the same haplotype at a small, but important, subset of trait-associated loci. Overall, our study provides a systematic functional characterization of likely causal common variants that underlie complex and molecular human traits, enabling new insights into the regulatory grammar underlying disease risk.</w:t>
      </w:r>
    </w:p>
    <w:p>
      <w:pPr>
        <w:spacing w:before="120" w:after="120"/>
      </w:pPr>
      <w:r>
        <w:rPr>
          <w:sz w:val="18"/>
        </w:rPr>
        <w:t>——————————————————————————————————————————————————————————————————————</w:t>
      </w:r>
    </w:p>
    <w:p>
      <w:pPr>
        <w:spacing w:before="160" w:after="40" w:line="240" w:lineRule="auto"/>
      </w:pPr>
      <w:r>
        <w:rPr>
          <w:b/>
        </w:rPr>
        <w:t xml:space="preserve">[87] </w:t>
      </w:r>
      <w:hyperlink r:id="rId355">
        <w:r>
          <w:rPr>
            <w:color w:val="1155CC"/>
            <w:u w:val="single"/>
          </w:rPr>
          <w:t>Human hippocampal neurogenesis in adulthood, ageing and Alzheimer’s disease</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The existence of human hippocampal neurogenesis has long been disputed1,2,3,4,5,6,7,8,9,10,11,12 and its relevance in cognition remains unknown. Recent studies have established the presence of proliferating progenitors and immature neurons and a reduction in the latter in Alzheimer’s disease (AD)11,13. However, their origin and the molecular networks that regulate neurogenesis and function are poorly understood. Here we studied human post-mortem hippocampi obtained from different cohorts: young adults with intact memory, aged adults with no cognitive impairments, aged adults with extraordinary memory capacity (SuperAgers)14,15, adults with preclinical intermediate pathology or adults with AD. Using multiomic single-cell sequencing (single-nucleus RNA sequencing and single-nuclei assay for transposase-accessible chromatin with sequencing), we analysed the profiles of 355,997 nuclei isolated from the hippocampus samples and identified neural stem cells, neuroblasts and immature granule neurons. Dysregulated neurogenesis was largely associated with changes in chromatin accessibility. Analyses of transcription factors and target gene signatures that distinguished each of the groups revealed early alterations in chromatin accessibility of neurogenic cells from individuals with preclinical AD, and such changes were even more evident in samples from individuals with AD. We identified a distinct profile of neurogenesis in SuperAgers that may reflect a ‘resilience signature’. Finally, alterations in the profile of astrocytes and CA1 neurons govern cognitive function in the ageing hippocampus. Together, our study points to a multiomic molecular signature of the hippocampus that distinguishes cognitive resilience and deterioration with ageing.</w:t>
      </w:r>
    </w:p>
    <w:p>
      <w:pPr>
        <w:spacing w:before="120" w:after="120"/>
      </w:pPr>
      <w:r>
        <w:rPr>
          <w:sz w:val="18"/>
        </w:rPr>
        <w:t>——————————————————————————————————————————————————————————————————————</w:t>
      </w:r>
    </w:p>
    <w:p>
      <w:pPr>
        <w:spacing w:before="160" w:after="40" w:line="240" w:lineRule="auto"/>
      </w:pPr>
      <w:r>
        <w:rPr>
          <w:b/>
        </w:rPr>
        <w:t xml:space="preserve">[88] </w:t>
      </w:r>
      <w:hyperlink r:id="rId356">
        <w:r>
          <w:rPr>
            <w:color w:val="1155CC"/>
            <w:u w:val="single"/>
          </w:rPr>
          <w:t>Entanglement-assisted non-local optical interferometry in a quantum network</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The sensitivity of non-local optical measurements at low light intensities, such as those involved in long-baseline telescope arrays1,2, is limited by fundamental quantum noise and photon losses3. Distributed quantum entanglement has been proposed as a route towards overcoming these limitations and accessing new regimes of non-local optical sensing4,5,6. Here we demonstrate the use of entangled quantum memories in a quantum network of silicon–vacancy centres in diamond nanocavities7,8,9 to experimentally perform such non-local phase measurements. Specifically, we combine the generation of event-ready remote quantum entanglement, photon mode erasure that hides the ‘which-path’ information of temporally and spatially separated incoming optical modes and non-local, non-destructive photon heralding enabled by remote entanglement to perform a proof-of-concept entanglement-assisted differential phase measurement of weak incident light between two spatially separate stations. Demonstrating successful operation of the remote phase sensing protocol with a fibre link baseline up to 1.55 km, our results provide an opportunity for a new class of quantum-enhanced optical imaging methods with potential applications ranging from long-baseline interferometry and astronomy to microscopy10,11.</w:t>
      </w:r>
    </w:p>
    <w:p>
      <w:pPr>
        <w:spacing w:before="120" w:after="120"/>
      </w:pPr>
      <w:r>
        <w:rPr>
          <w:sz w:val="18"/>
        </w:rPr>
        <w:t>——————————————————————————————————————————————————————————————————————</w:t>
      </w:r>
    </w:p>
    <w:p>
      <w:pPr>
        <w:spacing w:before="160" w:after="40" w:line="240" w:lineRule="auto"/>
      </w:pPr>
      <w:r>
        <w:rPr>
          <w:b/>
        </w:rPr>
        <w:t xml:space="preserve">[89] </w:t>
      </w:r>
      <w:hyperlink r:id="rId357">
        <w:r>
          <w:rPr>
            <w:color w:val="1155CC"/>
            <w:u w:val="single"/>
          </w:rPr>
          <w:t>Stem cells provide a potent treatment for frailty</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 </w:t>
      </w:r>
      <w:hyperlink r:id="rId358">
        <w:r>
          <w:rPr>
            <w:color w:val="1155CC"/>
            <w:u w:val="single"/>
          </w:rPr>
          <w:t>The age of animal experiments is waning. Where will science go next?</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 </w:t>
      </w:r>
      <w:hyperlink r:id="rId359">
        <w:r>
          <w:rPr>
            <w:color w:val="1155CC"/>
            <w:u w:val="single"/>
          </w:rPr>
          <w:t>The protein carriers of hundreds of lipids have been identified</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 </w:t>
      </w:r>
      <w:hyperlink r:id="rId360">
        <w:r>
          <w:rPr>
            <w:color w:val="1155CC"/>
            <w:u w:val="single"/>
          </w:rPr>
          <w:t>Flexible paths to multicellularity</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 </w:t>
      </w:r>
      <w:hyperlink r:id="rId361">
        <w:r>
          <w:rPr>
            <w:color w:val="1155CC"/>
            <w:u w:val="single"/>
          </w:rPr>
          <w:t>Brains of ‘super agers’ are still strong producers of new neurons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 </w:t>
      </w:r>
      <w:hyperlink r:id="rId362">
        <w:r>
          <w:rPr>
            <w:color w:val="1155CC"/>
            <w:u w:val="single"/>
          </w:rPr>
          <w:t>Environmental exposure trains the immune system to dampen allergic responses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 </w:t>
      </w:r>
      <w:hyperlink r:id="rId363">
        <w:r>
          <w:rPr>
            <w:color w:val="1155CC"/>
            <w:u w:val="single"/>
          </w:rPr>
          <w:t>CLCC1 governs ER bilayer equilibration to maintain lipid homeostasis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Orchestration of lipid production, storage and mobilization is vital for cellular and systemic homeostasis1,2. Dysfunctional plasma lipid control represents the major risk factor for cardiometabolic diseases—the leading cause of human mortality3,4. Within the cellular landscape, the endoplasmic reticulum (ER) is the central hub of lipid synthesis and secretion, particularly in metabolically active hepatocytes in the liver or enterocytes in the gut5,6. Initially assembled in the ER lumen, lipid-ferrying lipoproteins necessitate the cross-membrane transfer of both neutral and phospholipids onto the lumenal apolipoprotein B (APOB), in a poorly defined process7,8,9,10. Here we show that the ER protein CLCC1 regulates cellular lipid partition and, consequently, systemic lipid homeostasis by participating in trans-bilayer equilibration of phospholipids. CLCC1 partners with the phospholipid scramblase TMEM41B11,12 to recognize imbalanced bilayers and promote lipid scrambling, thereby supporting lipoprotein biogenesis and the subsequent bulk lipid transport. Loss of CLCC1 or TMEM41B leads to the emergence of giant lumenal lipid droplets enclosed by imbalanced ER bilayers and, consequently, accelerated pathogenesis of metabolic-dysfunction-associated liver steatohepatitis. The results reveal that phospholipid scrambling at the ER is essential for establishing a dynamic equilibrium. Considering the requirement of trans-bilayer phospholipid equilibration in numerous biological processes, ranging from catabolic autophagy to viral infection13,14,15,16, we anticipate that future work will elucidate a homeostatic control mechanism intrinsic to ER function in lipid biogenesis and distribution.</w:t>
      </w:r>
    </w:p>
    <w:p>
      <w:pPr>
        <w:spacing w:before="120" w:after="120"/>
      </w:pPr>
      <w:r>
        <w:rPr>
          <w:sz w:val="18"/>
        </w:rPr>
        <w:t>——————————————————————————————————————————————————————————————————————</w:t>
      </w:r>
    </w:p>
    <w:p>
      <w:pPr>
        <w:spacing w:before="160" w:after="40" w:line="240" w:lineRule="auto"/>
      </w:pPr>
      <w:r>
        <w:rPr>
          <w:b/>
        </w:rPr>
        <w:t xml:space="preserve">[96] </w:t>
      </w:r>
      <w:hyperlink r:id="rId364">
        <w:r>
          <w:rPr>
            <w:color w:val="1155CC"/>
            <w:u w:val="single"/>
          </w:rPr>
          <w:t>Protein engineering fixes a major crop trade-off</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[97] </w:t>
      </w:r>
      <w:hyperlink r:id="rId365">
        <w:r>
          <w:rPr>
            <w:color w:val="1155CC"/>
            <w:u w:val="single"/>
          </w:rPr>
          <w:t>Dual-enzyme logic powers azetidine biosynthesis</w:t>
        </w:r>
      </w:hyperlink>
    </w:p>
    <w:p>
      <w:pPr>
        <w:spacing w:before="0" w:after="120"/>
      </w:pPr>
      <w:r>
        <w:rPr>
          <w:b/>
        </w:rPr>
        <w:t xml:space="preserve">Source: </w:t>
      </w:r>
      <w:r>
        <w:t>Nature Chemistry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[98] </w:t>
      </w:r>
      <w:hyperlink r:id="rId366">
        <w:r>
          <w:rPr>
            <w:color w:val="1155CC"/>
            <w:u w:val="single"/>
          </w:rPr>
          <w:t>The secret of squeaky basketball shoes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[99] </w:t>
      </w:r>
      <w:hyperlink r:id="rId367">
        <w:r>
          <w:rPr>
            <w:color w:val="1155CC"/>
            <w:u w:val="single"/>
          </w:rPr>
          <w:t>Communication-aware in-memory wireless neural networks</w:t>
        </w:r>
      </w:hyperlink>
    </w:p>
    <w:p>
      <w:pPr>
        <w:spacing w:before="0" w:after="120"/>
      </w:pPr>
      <w:r>
        <w:rPr>
          <w:b/>
        </w:rPr>
        <w:t xml:space="preserve">Source: </w:t>
      </w:r>
      <w:r>
        <w:t>Nature Electronics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Collaborative computing between edge devices and cloud servers over wireless communication is critical for energy-constrained edge devices to perform complex tasks that exceed their processing capacities. However, current wireless collaborative systems face challenges in terms of energy efficiency and latency due to the separation of memory and computing, the separation of signal processing and transmission and/or reception, and the separation of neural networks and wireless communication. Here we report communication-aware in-memory wireless neural networks. The approach uses analogue in-memory computing technology to implement both edge computing and wireless communication, and integrates wireless communication as a learnable module of the wireless neural network. We build a prototype that comprises an edge inference accelerator and a wireless communication system. The prototype exhibits an experimental inference accuracy of 93.71% on the Street View House Numbers dataset, and can maintain inference accuracy when using low-resolution analogue-to-digital converters in wireless communication. We also show that the approach can adapt to various wireless conditions and can reduce communication costs.</w:t>
      </w:r>
    </w:p>
    <w:p>
      <w:pPr>
        <w:spacing w:before="120" w:after="120"/>
      </w:pPr>
      <w:r>
        <w:rPr>
          <w:sz w:val="18"/>
        </w:rPr>
        <w:t>——————————————————————————————————————————————————————————————————————</w:t>
      </w:r>
    </w:p>
    <w:p>
      <w:pPr>
        <w:spacing w:before="160" w:after="40" w:line="240" w:lineRule="auto"/>
      </w:pPr>
      <w:r>
        <w:rPr>
          <w:b/>
        </w:rPr>
        <w:t xml:space="preserve">[100] </w:t>
      </w:r>
      <w:hyperlink r:id="rId368">
        <w:r>
          <w:rPr>
            <w:color w:val="1155CC"/>
            <w:u w:val="single"/>
          </w:rPr>
          <w:t>Daily briefing: The new alternatives to animal testing</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[101] </w:t>
      </w:r>
      <w:hyperlink r:id="rId369">
        <w:r>
          <w:rPr>
            <w:color w:val="1155CC"/>
            <w:u w:val="single"/>
          </w:rPr>
          <w:t>Light-confining device can control superconductivity — even in the dark</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[102] </w:t>
      </w:r>
      <w:hyperlink r:id="rId370">
        <w:r>
          <w:rPr>
            <w:color w:val="1155CC"/>
            <w:u w:val="single"/>
          </w:rPr>
          <w:t>Sea-urchin spines generate electrical signals in flowing water</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[103] </w:t>
      </w:r>
      <w:hyperlink r:id="rId371">
        <w:r>
          <w:rPr>
            <w:color w:val="1155CC"/>
            <w:u w:val="single"/>
          </w:rPr>
          <w:t>Lipid nanoparticles engineered to target therapeutic RNA to the pancreas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[104] </w:t>
      </w:r>
      <w:hyperlink r:id="rId372">
        <w:r>
          <w:rPr>
            <w:color w:val="1155CC"/>
            <w:u w:val="single"/>
          </w:rPr>
          <w:t>Squeaking at soft–rigid frictional interfaces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Squeaking is a constant companion in various aspects of our daily lives, whether we slide rubber-soled shoes across hardwood floors1, scrape chalk on a blackboard2, engage the brakes on a bicycle3 or walk with a hip replacement4,5. When two rigid bodies slide over each other, squeaking is widely understood to result from self-excited stick–slip oscillations, triggered by a decrease in the friction coefficient with increasing slip velocity6,7,8,9,10. However, sliding of extended interfaces can involve crack or slip-pulse propagation11,12,13,14,15,16,17,18,19,20,21. This distinction is amplified when a soft body slides on a rigid one, in which large deformations and material mismatch can cause detachment by opening slip pulses22,23,24,25,26,27. Previous studies focused mainly on slow sliding17,26,28,29,30,31,32,33,34, in which pulses are slow and squeaking is absent. Although squeaking at soft–rigid interfaces has been linked to stick–slip oscillations35,36,37, the mechanisms remain unclear. Here we experimentally investigate soft–rigid interfaces sliding at velocities that produce squeaking. High-speed imaging and acoustic analysis show that opening pulses propagate at approximately the shear wave speed of the soft material, mediating local slip across diverse materials. In flat samples, these pulses are irregular and generate broadband acoustic emissions. Introducing thin surface ridges confines pulse propagation, yielding a consistent repetition frequency matching the first shear mode of the sliding block and squeaking at that frequency. These findings show a structure-driven mechanism that stabilizes rupture in bimaterial friction. Geometric confinement suppresses competing modes, transforming irregular two-dimensional dynamics into coherent one-dimensional pulse trains, offering new insights into frictional rupture from engineered surfaces to geological faults.</w:t>
      </w:r>
    </w:p>
    <w:p>
      <w:pPr>
        <w:spacing w:before="120" w:after="120"/>
      </w:pPr>
      <w:r>
        <w:rPr>
          <w:sz w:val="18"/>
        </w:rPr>
        <w:t>——————————————————————————————————————————————————————————————————————</w:t>
      </w:r>
    </w:p>
    <w:p>
      <w:pPr>
        <w:spacing w:before="160" w:after="40" w:line="240" w:lineRule="auto"/>
      </w:pPr>
      <w:r>
        <w:rPr>
          <w:b/>
        </w:rPr>
        <w:t xml:space="preserve">[105] </w:t>
      </w:r>
      <w:hyperlink r:id="rId373">
        <w:r>
          <w:rPr>
            <w:color w:val="1155CC"/>
            <w:u w:val="single"/>
          </w:rPr>
          <w:t>Hetero[3.1.1]propellanes</w:t>
        </w:r>
      </w:hyperlink>
    </w:p>
    <w:p>
      <w:pPr>
        <w:spacing w:before="0" w:after="120"/>
      </w:pPr>
      <w:r>
        <w:rPr>
          <w:b/>
        </w:rPr>
        <w:t xml:space="preserve">Source: </w:t>
      </w:r>
      <w:r>
        <w:t>Nature Chemistry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[n.1.1]Propellanes are key precursors to bicyclo[n.1.1]alkanes, rigid small-ring hydrocarbons that have emerged as important building blocks in contemporary drug design as bioisosteres for disubstituted benzene rings. [n.1.1]Propellanes featuring heterocyclic rings could enable the direct synthesis of a wide diversity of bridged bicyclic heterocycles, which should exhibit superior physicochemical profiles compared to their established carbocyclic analogues. Here we report the unified synthesis of a family of heterocyclic [3.1.1]propellanes featuring oxygen, nitrogen and sulfur heteroatoms in the three-carbon bridge. The approaches we have developed are necessarily distinct from the established routes to carbocyclic propellanes, and utilize a common precursor that is conveniently assembled on a multigram scale via rhodium-catalysed cyclopropanation. These hetero[3.1.1]propellanes undergo a range of radical ring-opening reactions, affording bridged heterocycles that are of high utility in drug-discovery programmes.</w:t>
      </w:r>
    </w:p>
    <w:p>
      <w:pPr>
        <w:spacing w:before="120" w:after="120"/>
      </w:pPr>
      <w:r>
        <w:rPr>
          <w:sz w:val="18"/>
        </w:rPr>
        <w:t>——————————————————————————————————————————————————————————————————————</w:t>
      </w:r>
    </w:p>
    <w:p>
      <w:pPr>
        <w:spacing w:before="160" w:after="40" w:line="240" w:lineRule="auto"/>
      </w:pPr>
      <w:r>
        <w:rPr>
          <w:b/>
        </w:rPr>
        <w:t xml:space="preserve">[106] </w:t>
      </w:r>
      <w:hyperlink r:id="rId374">
        <w:r>
          <w:rPr>
            <w:color w:val="1155CC"/>
            <w:u w:val="single"/>
          </w:rPr>
          <w:t>Pancreatic-targeted lipid nanoparticles based on organ capsule filtration</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Achieving pancreatic-targeted delivery marks a breakthrough in treating pancreatic diseases, yet precise delivery remains challenging1. Here we identify an explicit and universal principle for pancreatic-selective delivery and propose a pancreatic-targeted lipid nanoparticle (AH-LNP) for mRNA delivery. AH-LNP exhibits size enlargement after assembly with proteins, facilitating capsule-filter-mediated pancreas-selective accumulation and receptor-mediated endocytosis, thereby boosting the pancreatic-targeted ability. Benefiting from this, AH-LNP enables precise and efficient genome editing in the pancreas through the delivery of Cas9 mRNA and single guide RNA (sgRNA), exhibiting promising potential in the treatment of autoimmune pancreatic diseases. Furthermore, pancreatic-targeted delivery of mRNA encoding therapeutic cytokines through AH-LNP demonstrates superior antitumour efficacy when combined with a cancer vaccine or chimeric antigen receptor T cell therapy in multiple pancreatic cancer models. The safety and pancreatic mRNA delivery of AH-LNP were verified in multiple animal models, including non-human primates, demonstrating great promise for clinical translation. Our findings highlight the transformative potential of this pancreatic-targeted mechanism and the derived LNP platform, opening avenues for developing precision therapeutics against diverse pancreatic diseases.</w:t>
      </w:r>
    </w:p>
    <w:p>
      <w:pPr>
        <w:spacing w:before="120" w:after="120"/>
      </w:pPr>
      <w:r>
        <w:rPr>
          <w:sz w:val="18"/>
        </w:rPr>
        <w:t>——————————————————————————————————————————————————————————————————————</w:t>
      </w:r>
    </w:p>
    <w:p>
      <w:pPr>
        <w:spacing w:before="160" w:after="40" w:line="240" w:lineRule="auto"/>
      </w:pPr>
      <w:r>
        <w:rPr>
          <w:b/>
        </w:rPr>
        <w:t xml:space="preserve">[107] </w:t>
      </w:r>
      <w:hyperlink r:id="rId375">
        <w:r>
          <w:rPr>
            <w:color w:val="1155CC"/>
            <w:u w:val="single"/>
          </w:rPr>
          <w:t>Can nanozymes achieve more than enzymes?</w:t>
        </w:r>
      </w:hyperlink>
    </w:p>
    <w:p>
      <w:pPr>
        <w:spacing w:before="0" w:after="120"/>
      </w:pPr>
      <w:r>
        <w:rPr>
          <w:b/>
        </w:rPr>
        <w:t xml:space="preserve">Source: </w:t>
      </w:r>
      <w:r>
        <w:t>Nature Reviews Materials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Nanozymes have progressed from simple enzyme mimics to a versatile class of artificial catalysts that expand functionality beyond the reach of natural enzymes. In this Perspective, we examine how the materials design of nanozymes enables catalytic behaviours that are inaccessible to biological systems, including activity in non-biological environments, promotion of non-natural reactions and the integration of multiple catalytic functions within a single nanostructure. Through nanoscale control over physicochemical parameters and emulation of key enzyme architectures, nanozymes can achieve finely tunable activity and selectivity. Facile surface functionalization and inherent electrical connectivity further enhance their performance in complex systems. Collectively, these attributes extend catalysis beyond the constraints of natural enzymes, driving innovations in an array of different fields, including biomedicine, agriculture, environmental remediation and energy conversion.</w:t>
      </w:r>
    </w:p>
    <w:p>
      <w:pPr>
        <w:spacing w:before="120" w:after="120"/>
      </w:pPr>
      <w:r>
        <w:rPr>
          <w:sz w:val="18"/>
        </w:rPr>
        <w:t>——————————————————————————————————————————————————————————————————————</w:t>
      </w:r>
    </w:p>
    <w:p>
      <w:pPr>
        <w:spacing w:before="160" w:after="40" w:line="240" w:lineRule="auto"/>
      </w:pPr>
      <w:r>
        <w:rPr>
          <w:b/>
        </w:rPr>
        <w:t xml:space="preserve">[108] </w:t>
      </w:r>
      <w:hyperlink r:id="rId376">
        <w:r>
          <w:rPr>
            <w:color w:val="1155CC"/>
            <w:u w:val="single"/>
          </w:rPr>
          <w:t>Peripheral immune-inducer dendritic cells drive early-life allergic inflammation</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Atopic diseases associated with allergens, as well as allergic diseases, frequently arise early in life; however, the age-dependent mechanisms governing immune responses to allergens remain poorly understood1. Here we find that in early life, exposure to common allergens triggers a distinct bifurcated immune response, simultaneously triggering type 17 inflammation in the skin and initiating canonical T helper 2 sensitization in the lymph nodes. This early-life γδ type 17-mediated dermatitis primes the exaggerated allergic lung inflammation upon secondary allergen exposure. Mechanistically, we find dendritic cell (DC)-mediated type 17 activation directly in the skin without requiring migration to lymph nodes; we term this state ‘peripheral immune inducer’ (pii) DC. CD301b+ conventional type 2 DCs acquire allergen, adopt the pii-DC state, produce IL-23 and activate local γδ type 17 cells independently of lymph-node engagement. The pii-DC state is enabled by the immature hypothalamic–pituitary–adrenal axis and physiologically low systemic glucocorticoids characteristic of early life2,3; DC-specific deletion of the glucocorticoid receptor recapitulates the pii-DC phenotype. These findings define a developmental checkpoint, set by neuroendocrine maturation, that enables in situ DC activation and immune induction, thereby shaping age-dependent responses to allergens.</w:t>
      </w:r>
    </w:p>
    <w:p>
      <w:pPr>
        <w:spacing w:before="120" w:after="120"/>
      </w:pPr>
      <w:r>
        <w:rPr>
          <w:sz w:val="18"/>
        </w:rPr>
        <w:t>——————————————————————————————————————————————————————————————————————</w:t>
      </w:r>
    </w:p>
    <w:p>
      <w:pPr>
        <w:spacing w:before="160" w:after="40" w:line="240" w:lineRule="auto"/>
      </w:pPr>
      <w:r>
        <w:rPr>
          <w:b/>
        </w:rPr>
        <w:t xml:space="preserve">[109] </w:t>
      </w:r>
      <w:hyperlink r:id="rId377">
        <w:r>
          <w:rPr>
            <w:color w:val="1155CC"/>
            <w:u w:val="single"/>
          </w:rPr>
          <w:t>The Quintom theory of dark energy after DESI DR2</w:t>
        </w:r>
      </w:hyperlink>
    </w:p>
    <w:p>
      <w:pPr>
        <w:spacing w:before="0" w:after="120"/>
      </w:pPr>
      <w:r>
        <w:rPr>
          <w:b/>
        </w:rPr>
        <w:t xml:space="preserve">Source: </w:t>
      </w:r>
      <w:r>
        <w:t>National Science Review Advance Access</w:t>
      </w:r>
      <w:r>
        <w:t xml:space="preserve">    </w:t>
      </w:r>
      <w:r>
        <w:rPr>
          <w:b/>
        </w:rPr>
        <w:t xml:space="preserve">Pub date: </w:t>
      </w:r>
      <w:r>
        <w:t>2026-02-25 00:00:00+00:00</w:t>
      </w:r>
      <w:r>
        <w:t xml:space="preserve">    </w:t>
      </w:r>
      <w:r>
        <w:rPr>
          <w:b/>
        </w:rPr>
        <w:t xml:space="preserve">DOI: </w:t>
      </w:r>
      <w:hyperlink r:id="rId378">
        <w:r>
          <w:rPr>
            <w:color w:val="1155CC"/>
            <w:u w:val="single"/>
          </w:rPr>
          <w:t>10.1093/nsr/nwag115/8497412</w:t>
        </w:r>
      </w:hyperlink>
    </w:p>
    <w:p>
      <w:pPr>
        <w:spacing w:before="0" w:after="80" w:lineRule="auto" w:line="276"/>
      </w:pPr>
      <w:r>
        <w:rPr>
          <w:b/>
        </w:rPr>
        <w:t xml:space="preserve">摘要（ZH）: </w:t>
      </w:r>
      <w:r>
        <w:t>(empty)</w:t>
      </w:r>
    </w:p>
    <w:p>
      <w:pPr>
        <w:spacing w:before="0" w:after="200" w:lineRule="auto" w:line="276"/>
      </w:pPr>
      <w:r>
        <w:rPr>
          <w:b/>
        </w:rPr>
        <w:t xml:space="preserve">Abstract (EN): </w:t>
      </w:r>
      <w:r>
        <w:t>Observations from The Dark Energy Spectroscopic Instrument Data Release 2 (DESI DR2) are challenging the Λ Cold Dark Matter (ΛCDM) paradigm by suggesting that the equation-of-state parameter of dark energy evolves across w</w:t>
      </w:r>
    </w:p>
    <w:p>
      <w:pPr>
        <w:spacing w:before="120" w:after="120"/>
      </w:pPr>
      <w:r>
        <w:rPr>
          <w:sz w:val="18"/>
        </w:rPr>
        <w:t>——————————————————————————————————————————————————————————————————————</w:t>
      </w:r>
    </w:p>
    <w:p>
      <w:pPr>
        <w:spacing w:before="160" w:after="40" w:line="240" w:lineRule="auto"/>
      </w:pPr>
      <w:r>
        <w:rPr>
          <w:b/>
        </w:rPr>
        <w:t xml:space="preserve">[110] </w:t>
      </w:r>
      <w:hyperlink r:id="rId379">
        <w:r>
          <w:rPr>
            <w:color w:val="1155CC"/>
            <w:u w:val="single"/>
          </w:rPr>
          <w:t>Gender diversity for enhanced resilience</w:t>
        </w:r>
      </w:hyperlink>
    </w:p>
    <w:p>
      <w:pPr>
        <w:spacing w:before="0" w:after="120"/>
      </w:pPr>
      <w:r>
        <w:rPr>
          <w:b/>
        </w:rPr>
        <w:t xml:space="preserve">Source: </w:t>
      </w:r>
      <w:r>
        <w:t>Nature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[111] </w:t>
      </w:r>
      <w:hyperlink r:id="rId380">
        <w:r>
          <w:rPr>
            <w:color w:val="1155CC"/>
            <w:u w:val="single"/>
          </w:rPr>
          <w:t>Cross-domain transfer of trehalose biosynthesis genes contributes to adaptation in high-altitude environments</w:t>
        </w:r>
      </w:hyperlink>
    </w:p>
    <w:p>
      <w:pPr>
        <w:spacing w:before="0" w:after="120"/>
      </w:pPr>
      <w:r>
        <w:rPr>
          <w:b/>
        </w:rPr>
        <w:t xml:space="preserve">Source: </w:t>
      </w:r>
      <w:r>
        <w:t>National Science Review Advance Access</w:t>
      </w:r>
      <w:r>
        <w:t xml:space="preserve">    </w:t>
      </w:r>
      <w:r>
        <w:rPr>
          <w:b/>
        </w:rPr>
        <w:t xml:space="preserve">Pub date: </w:t>
      </w:r>
      <w:r>
        <w:t>2026-02-25 00:00:00+00:00</w:t>
      </w:r>
      <w:r>
        <w:t xml:space="preserve">    </w:t>
      </w:r>
      <w:r>
        <w:rPr>
          <w:b/>
        </w:rPr>
        <w:t xml:space="preserve">DOI: </w:t>
      </w:r>
      <w:hyperlink r:id="rId381">
        <w:r>
          <w:rPr>
            <w:color w:val="1155CC"/>
            <w:u w:val="single"/>
          </w:rPr>
          <w:t>10.1093/nsr/nwag117/8497410</w:t>
        </w:r>
      </w:hyperlink>
    </w:p>
    <w:p>
      <w:pPr>
        <w:spacing w:before="0" w:after="80" w:lineRule="auto" w:line="276"/>
      </w:pPr>
      <w:r>
        <w:rPr>
          <w:b/>
        </w:rPr>
        <w:t xml:space="preserve">摘要（ZH）: </w:t>
      </w:r>
      <w:r>
        <w:t>(empty)</w:t>
      </w:r>
    </w:p>
    <w:p>
      <w:pPr>
        <w:spacing w:before="0" w:after="200" w:lineRule="auto" w:line="276"/>
      </w:pPr>
      <w:r>
        <w:rPr>
          <w:b/>
        </w:rPr>
        <w:t xml:space="preserve">Abstract (EN): </w:t>
      </w:r>
      <w:r>
        <w:t>High altitudes pose extreme survival challenges for organisms, yet the origins and molecular strategies underlying their resilience remain poorly understood. Here, we report the molecular and evolutionary mechanisms underlying stress resilience in Apourosomoida</w:t>
      </w:r>
    </w:p>
    <w:p>
      <w:pPr>
        <w:spacing w:before="120" w:after="120"/>
      </w:pPr>
      <w:r>
        <w:rPr>
          <w:sz w:val="18"/>
        </w:rPr>
        <w:t>——————————————————————————————————————————————————————————————————————</w:t>
      </w:r>
    </w:p>
    <w:p>
      <w:pPr>
        <w:spacing w:before="160" w:after="40" w:line="240" w:lineRule="auto"/>
      </w:pPr>
      <w:r>
        <w:rPr>
          <w:b/>
        </w:rPr>
        <w:t xml:space="preserve">[112] </w:t>
      </w:r>
      <w:hyperlink r:id="rId382">
        <w:r>
          <w:rPr>
            <w:color w:val="1155CC"/>
            <w:u w:val="single"/>
          </w:rPr>
          <w:t>Introducing the heterocyclic[3.1.1]propellanes</w:t>
        </w:r>
      </w:hyperlink>
    </w:p>
    <w:p>
      <w:pPr>
        <w:spacing w:before="0" w:after="120"/>
      </w:pPr>
      <w:r>
        <w:rPr>
          <w:b/>
        </w:rPr>
        <w:t xml:space="preserve">Source: </w:t>
      </w:r>
      <w:r>
        <w:t>Nature Chemistry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[113] </w:t>
      </w:r>
      <w:hyperlink r:id="rId383">
        <w:r>
          <w:rPr>
            <w:color w:val="1155CC"/>
            <w:u w:val="single"/>
          </w:rPr>
          <w:t>Five ways to spot when a paper is a fraud</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[114] </w:t>
      </w:r>
      <w:hyperlink r:id="rId384">
        <w:r>
          <w:rPr>
            <w:color w:val="1155CC"/>
            <w:u w:val="single"/>
          </w:rPr>
          <w:t>A membrane-bound nuclease directly cleaves phage DNA during genome injection</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From mammals to bacteria, the direct recognition and cleavage of viral nucleic acids is a potent defence strategy against viral infection, but it requires mechanisms for distinguishing self from non-self1,2. In bacteria, CRISPR–Cas and restriction-modification systems achieve this discrimination by recognizing specific DNA sequences or DNA modifications, respectively. Alternative mechanisms probably remain to be discovered. Here, we characterize SNIPE, an anti-bacteriophage defence system that constitutively localizes to the bacterial cell membrane in Escherichia coli to block phage λ infection. Using radiolabelled phage DNA and time-lapse microscopy to track phage genomes, we demonstrate that SNIPE directly cleaves phage DNA during genome injection. Based on proximity labelling, we find that SNIPE associates with host proteins essential for λ genome entry and with the λ tape measure protein, which facilitates λ genome injection across the inner membrane. SNIPE also defends against diverse siphoviruses, probably through direct interactions with their tape measure proteins. Our findings establish SNIPE as a widespread bacterial defence system that exploits the spatial organization of phage genome injection to specifically target viral DNA, representing a previously unknown strategy for distinguishing self from non-self in prokaryotic immune systems.</w:t>
      </w:r>
    </w:p>
    <w:p>
      <w:pPr>
        <w:spacing w:before="120" w:after="120"/>
      </w:pPr>
      <w:r>
        <w:rPr>
          <w:sz w:val="18"/>
        </w:rPr>
        <w:t>——————————————————————————————————————————————————————————————————————</w:t>
      </w:r>
    </w:p>
    <w:p>
      <w:pPr>
        <w:spacing w:before="160" w:after="40" w:line="240" w:lineRule="auto"/>
      </w:pPr>
      <w:r>
        <w:rPr>
          <w:b/>
        </w:rPr>
        <w:t xml:space="preserve">[115] </w:t>
      </w:r>
      <w:hyperlink r:id="rId385">
        <w:r>
          <w:rPr>
            <w:color w:val="1155CC"/>
            <w:u w:val="single"/>
          </w:rPr>
          <w:t>Echinoderm stereom gradient structures enable mechanoelectrical perception</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Cellular solids ubiquitously exist in natural systems and are crucial for living organisms1,2. Their unique smooth branch and node morphologies are often seen as adaptations for enhanced mechanical performance3,4. Exploring alternative evolutionary functions can enrich the understanding of cellular solids, but it is frequently neglected. Here we show that the biomineralized cellular solids in echinoderm stereom (for example, sea urchin spine) have unexpected mechanoelectrical perception with response potential and response time, both of which are one to three orders of magnitude greater than those of echinoderm vision5. This exceptional perception originates from the gradient cellular solids (with varying void- or solid-phase diameters) along the [001] spine axis, generating a differential charge density across the stereom surface during liquid flow. Inspired by this natural wisdom, we create artificial spine-like structures using three-dimensional printing technology that exhibit three-fold higher voltage output and eight-fold greater amplitude differential than gradient-free samples, as well as a nature-inspired metamaterial mechanoreceptor capable of time-resolved self-monitoring information underwater. Our findings advance the understanding of load-sensitive biomimetic cellular solids (such as wood, sponge and trabecular bone), with the potential to develop functional gradient cellular materials towards underwater spatiotemporal sensing and water resource utilization.</w:t>
      </w:r>
    </w:p>
    <w:p>
      <w:pPr>
        <w:spacing w:before="120" w:after="120"/>
      </w:pPr>
      <w:r>
        <w:rPr>
          <w:sz w:val="18"/>
        </w:rPr>
        <w:t>——————————————————————————————————————————————————————————————————————</w:t>
      </w:r>
    </w:p>
    <w:p>
      <w:pPr>
        <w:spacing w:before="160" w:after="40" w:line="240" w:lineRule="auto"/>
      </w:pPr>
      <w:r>
        <w:rPr>
          <w:b/>
        </w:rPr>
        <w:t xml:space="preserve">[116] </w:t>
      </w:r>
      <w:hyperlink r:id="rId386">
        <w:r>
          <w:rPr>
            <w:color w:val="1155CC"/>
            <w:u w:val="single"/>
          </w:rPr>
          <w:t>A wafer-scale optoelectronic device unlocks monolithic 3D integration</w:t>
        </w:r>
      </w:hyperlink>
    </w:p>
    <w:p>
      <w:pPr>
        <w:spacing w:before="0" w:after="120"/>
      </w:pPr>
      <w:r>
        <w:rPr>
          <w:b/>
        </w:rPr>
        <w:t xml:space="preserve">Source: </w:t>
      </w:r>
      <w:r>
        <w:t>Nature Nanotechnology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[117] </w:t>
      </w:r>
      <w:hyperlink r:id="rId387">
        <w:r>
          <w:rPr>
            <w:color w:val="1155CC"/>
            <w:u w:val="single"/>
          </w:rPr>
          <w:t>Compact deep neural network models of the visual cortex</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 powerful approach to understand the computations carried out by the visual cortex is to build models that predict neural responses to any arbitrary image. Deep neural networks (DNNs) have emerged as the leading predictive models1,2, yet their underlying computations remain buried beneath millions of parameters. Here we challenge the need for models at this scale by seeking predictive and parsimonious DNN models of the primate visual cortex. We first built a highly predictive DNN model of neural responses in macaque visual area V4 by alternating data collection and model training in adaptive closed-loop experiments. We then compressed this large, black-box DNN model, which comprised 60 million parameters, to identify compact models with 5,000 times fewer parameters yet comparable accuracy. This dramatic compression enabled us to investigate the inner workings of the compact models. We discovered a salient computational motif: compact models share similar filters in early processing, but individual models then specialize their feature selectivity by ‘consolidating’ this shared high-dimensional representation in distinct ways. We examined this consolidation step in a dot-detecting model neuron, revealing a computational mechanism that leads to a testable circuit hypothesis for dot-selective V4 neurons. Beyond V4, we found strong model compression for macaque visual areas V1 and IT (inferior temporal cortex), revealing a general computational principle of the visual cortex. Overall, our work challenges the notion that large DNNs are necessary to predict individual neurons and establishes a modelling framework that balances prediction and parsimony.</w:t>
      </w:r>
    </w:p>
    <w:p>
      <w:pPr>
        <w:spacing w:before="120" w:after="120"/>
      </w:pPr>
      <w:r>
        <w:rPr>
          <w:sz w:val="18"/>
        </w:rPr>
        <w:t>——————————————————————————————————————————————————————————————————————</w:t>
      </w:r>
    </w:p>
    <w:p>
      <w:pPr>
        <w:spacing w:before="160" w:after="40" w:line="240" w:lineRule="auto"/>
      </w:pPr>
      <w:r>
        <w:rPr>
          <w:b/>
        </w:rPr>
        <w:t xml:space="preserve">[118] </w:t>
      </w:r>
      <w:hyperlink r:id="rId388">
        <w:r>
          <w:rPr>
            <w:color w:val="1155CC"/>
            <w:u w:val="single"/>
          </w:rPr>
          <w:t>Balancing adsorption</w:t>
        </w:r>
      </w:hyperlink>
    </w:p>
    <w:p>
      <w:pPr>
        <w:spacing w:before="0" w:after="120"/>
      </w:pPr>
      <w:r>
        <w:rPr>
          <w:b/>
        </w:rPr>
        <w:t xml:space="preserve">Source: </w:t>
      </w:r>
      <w:r>
        <w:t>Nature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[119] </w:t>
      </w:r>
      <w:hyperlink r:id="rId389">
        <w:r>
          <w:rPr>
            <w:color w:val="1155CC"/>
            <w:u w:val="single"/>
          </w:rPr>
          <w:t>The solid–gas interphase</w:t>
        </w:r>
      </w:hyperlink>
    </w:p>
    <w:p>
      <w:pPr>
        <w:spacing w:before="0" w:after="120"/>
      </w:pPr>
      <w:r>
        <w:rPr>
          <w:b/>
        </w:rPr>
        <w:t xml:space="preserve">Source: </w:t>
      </w:r>
      <w:r>
        <w:t>Nature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[120] </w:t>
      </w:r>
      <w:hyperlink r:id="rId390">
        <w:r>
          <w:rPr>
            <w:color w:val="1155CC"/>
            <w:u w:val="single"/>
          </w:rPr>
          <w:t>Vectorized instructive signals in cortical dendrites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Vectorization of teaching signals is a key element of almost all modern machine learning algorithms, including backpropagation, target propagation and reinforcement learning. Vectorization allows a scalable and computationally efficient solution to the credit assignment problem by tailoring instructive signals to individual neurons. Recent theoretical models have suggested that neural circuits could implement single-phase vectorized learning at the cellular level by processing feedforward and feedback information streams in separate dendritic compartments1,2,3,4,5. This presents a compelling, but untested, hypothesis for how cortical circuits could solve credit assignment in the brain. Here we used a neurofeedback brain–computer interface task with an experimenter-defined reward function to test for vectorized instructive signals in dendrites. We trained mice to modulate the activity of two spatially intermingled populations (four or five neurons each) of layer 5 pyramidal neurons in the retrosplenial cortex to rotate a visual grating towards a target orientation while we recorded GCaMP activity from somas and corresponding distal apical dendrites. We observed that the relative magnitudes of somatic and dendritic signals could be predicted using the activity of the surrounding network and contained information about task-related variables that could serve as instructive signals, including reward and error. The signs of these putative teaching signals depended on the causal role of individual neurons in the task and predicted changes in overall activity over the course of learning. Furthermore, targeted optogenetic perturbation of these signals disrupted learning. These results demonstrate a vectorized instructive signal in the brain, implemented via semi-independent computation in cortical dendrites, unveiling a potential mechanism for solving credit assignment in the brain.</w:t>
      </w:r>
    </w:p>
    <w:p>
      <w:pPr>
        <w:spacing w:before="120" w:after="120"/>
      </w:pPr>
      <w:r>
        <w:rPr>
          <w:sz w:val="18"/>
        </w:rPr>
        <w:t>——————————————————————————————————————————————————————————————————————</w:t>
      </w:r>
    </w:p>
    <w:p>
      <w:pPr>
        <w:spacing w:before="160" w:after="40" w:line="240" w:lineRule="auto"/>
      </w:pPr>
      <w:r>
        <w:rPr>
          <w:b/>
        </w:rPr>
        <w:t xml:space="preserve">[121] </w:t>
      </w:r>
      <w:hyperlink r:id="rId391">
        <w:r>
          <w:rPr>
            <w:color w:val="1155CC"/>
            <w:u w:val="single"/>
          </w:rPr>
          <w:t>The future perfect continuous passive and other transitive disorders of the mind</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[122] </w:t>
      </w:r>
      <w:hyperlink r:id="rId392">
        <w:r>
          <w:rPr>
            <w:color w:val="1155CC"/>
            <w:u w:val="single"/>
          </w:rPr>
          <w:t>Amplified X-ray laser pulses achieved using mirror set-up</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[123] </w:t>
      </w:r>
      <w:hyperlink r:id="rId393">
        <w:r>
          <w:rPr>
            <w:color w:val="1155CC"/>
            <w:u w:val="single"/>
          </w:rPr>
          <w:t>Artificial intelligence and machine learning for plasmonic and surface-enhanced sensing</w:t>
        </w:r>
      </w:hyperlink>
    </w:p>
    <w:p>
      <w:pPr>
        <w:spacing w:before="0" w:after="120"/>
      </w:pPr>
      <w:r>
        <w:rPr>
          <w:b/>
        </w:rPr>
        <w:t xml:space="preserve">Source: </w:t>
      </w:r>
      <w:r>
        <w:t>RSC - Chem. Soc. Rev. latest articles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Plasmonic sensing is a vibrant field where the optical properties of surface plasmons are exploited to create analytical sensors for biomedical, environmental and food safety applications, among others. Upon irradiation of light on a plasmon-active nanomaterial, the enhancement of the electric field leads to augmented scattering, absorption and luminescence of molecules in, respectively, surface-enhanced Raman scattering (SERS), surface-enhanced infrared absorption (SEIRA) and metal-enhanced fluorescence (MEF) and to highly sensitive refractometric sensors with surface plasmon resonance (SPR) and localised surface plasmon resonance (LSPR). The advent of a new generation of artificial intelligence (AI) and machine learning (ML) tools provides an opportunity to further advance the design, synthesis and characterisation of plasmonic materials, improve signal processing and image analysis in plasmonic sensing experiments and to design sensors with better sensitivity, selectivity and robustness. The review will first build basic knowledge in plasmonic sensing and AI/ML, before discussing opportunities for AI/ML-augmented sensor design and data analysis, and then discuss applications where AI/ML provided added benefits in plasmonic sensing. The review will conclude with a perspective on where the field is trending.</w:t>
      </w:r>
    </w:p>
    <w:p>
      <w:pPr>
        <w:spacing w:before="120" w:after="120"/>
      </w:pPr>
      <w:r>
        <w:rPr>
          <w:sz w:val="18"/>
        </w:rPr>
        <w:t>——————————————————————————————————————————————————————————————————————</w:t>
      </w:r>
    </w:p>
    <w:p>
      <w:pPr>
        <w:spacing w:before="160" w:after="40" w:line="240" w:lineRule="auto"/>
      </w:pPr>
      <w:r>
        <w:rPr>
          <w:b/>
        </w:rPr>
        <w:t xml:space="preserve">[124] </w:t>
      </w:r>
      <w:hyperlink r:id="rId394">
        <w:r>
          <w:rPr>
            <w:color w:val="1155CC"/>
            <w:u w:val="single"/>
          </w:rPr>
          <w:t>How an exercise-activated enzyme helps to keep the brain young</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[125] </w:t>
      </w:r>
      <w:hyperlink r:id="rId395">
        <w:r>
          <w:rPr>
            <w:color w:val="1155CC"/>
            <w:u w:val="single"/>
          </w:rPr>
          <w:t>The surprising science of squeaky sneakers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[126] </w:t>
      </w:r>
      <w:hyperlink r:id="rId396">
        <w:r>
          <w:rPr>
            <w:color w:val="1155CC"/>
            <w:u w:val="single"/>
          </w:rPr>
          <w:t>Reply to: Limitations of probing field-induced response with STM</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[127] </w:t>
      </w:r>
      <w:hyperlink r:id="rId397">
        <w:r>
          <w:rPr>
            <w:color w:val="1155CC"/>
            <w:u w:val="single"/>
          </w:rPr>
          <w:t>Selective recognition of quaternary ammonium cations</w:t>
        </w:r>
      </w:hyperlink>
    </w:p>
    <w:p>
      <w:pPr>
        <w:spacing w:before="0" w:after="120"/>
      </w:pPr>
      <w:r>
        <w:rPr>
          <w:b/>
        </w:rPr>
        <w:t xml:space="preserve">Source: </w:t>
      </w:r>
      <w:r>
        <w:t>Chem</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Conventional interaction models predict that less substituted ammonium cations should be more strongly recognized by synthetic receptors because of their enhanced hydrogen-bond donation and cation-π interactions. Here, we overturn this paradigm by integrating supramolecular recognition with solid-phase abstraction to achieve thermodynamically controlled and highly selective isolation of quaternary ammonium cations. Our adaptive BINOL·counterion networks operate across diverse scaffolds and in aqueous environments, redefining substitution-dependent selectivity in ammonium recognition.</w:t>
      </w:r>
    </w:p>
    <w:p>
      <w:pPr>
        <w:spacing w:before="120" w:after="120"/>
      </w:pPr>
      <w:r>
        <w:rPr>
          <w:sz w:val="18"/>
        </w:rPr>
        <w:t>——————————————————————————————————————————————————————————————————————</w:t>
      </w:r>
    </w:p>
    <w:p>
      <w:pPr>
        <w:spacing w:before="160" w:after="40" w:line="240" w:lineRule="auto"/>
      </w:pPr>
      <w:r>
        <w:rPr>
          <w:b/>
        </w:rPr>
        <w:t xml:space="preserve">[128] </w:t>
      </w:r>
      <w:hyperlink r:id="rId398">
        <w:r>
          <w:rPr>
            <w:color w:val="1155CC"/>
            <w:u w:val="single"/>
          </w:rPr>
          <w:t>Catalysis, replication, and non-equilibrium behavior: Key determinants for life-like complexity realized using short peptides</w:t>
        </w:r>
      </w:hyperlink>
    </w:p>
    <w:p>
      <w:pPr>
        <w:spacing w:before="0" w:after="120"/>
      </w:pPr>
      <w:r>
        <w:rPr>
          <w:b/>
        </w:rPr>
        <w:t xml:space="preserve">Source: </w:t>
      </w:r>
      <w:r>
        <w:t>Chem</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 short peptide-based system is shown that can integrate self-replication with catalytic competence to exhibit complex non-equilibrium behavior. Substrate-driven self-replicators demonstrate an antagonistic relationship where the catalytic self-degradation of one replicating set enables the system to adapt and select a new set of fitter successor replicators exclusively out of equilibrium.</w:t>
      </w:r>
    </w:p>
    <w:p>
      <w:pPr>
        <w:spacing w:before="120" w:after="120"/>
      </w:pPr>
      <w:r>
        <w:rPr>
          <w:sz w:val="18"/>
        </w:rPr>
        <w:t>——————————————————————————————————————————————————————————————————————</w:t>
      </w:r>
    </w:p>
    <w:p>
      <w:pPr>
        <w:spacing w:before="160" w:after="40" w:line="240" w:lineRule="auto"/>
      </w:pPr>
      <w:r>
        <w:rPr>
          <w:b/>
        </w:rPr>
        <w:t xml:space="preserve">[129] </w:t>
      </w:r>
      <w:hyperlink r:id="rId399">
        <w:r>
          <w:rPr>
            <w:color w:val="1155CC"/>
            <w:u w:val="single"/>
          </w:rPr>
          <w:t>Light-controlled colloidal crystallization</w:t>
        </w:r>
      </w:hyperlink>
    </w:p>
    <w:p>
      <w:pPr>
        <w:spacing w:before="0" w:after="120"/>
      </w:pPr>
      <w:r>
        <w:rPr>
          <w:b/>
        </w:rPr>
        <w:t xml:space="preserve">Source: </w:t>
      </w:r>
      <w:r>
        <w:t>Chem</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Light-sensitive molecules are used for controlling both the attraction and repulsion between microscopic particles. This light control enables the local self-assembly of well-ordered crystal-like microstructures, and controlling light intensity and local illumination can achieve “colloidal crystallization” with excellent precision.</w:t>
      </w:r>
    </w:p>
    <w:p>
      <w:pPr>
        <w:spacing w:before="120" w:after="120"/>
      </w:pPr>
      <w:r>
        <w:rPr>
          <w:sz w:val="18"/>
        </w:rPr>
        <w:t>——————————————————————————————————————————————————————————————————————</w:t>
      </w:r>
    </w:p>
    <w:p>
      <w:pPr>
        <w:spacing w:before="160" w:after="40" w:line="240" w:lineRule="auto"/>
      </w:pPr>
      <w:r>
        <w:rPr>
          <w:b/>
        </w:rPr>
        <w:t xml:space="preserve">[130] </w:t>
      </w:r>
      <w:hyperlink r:id="rId400">
        <w:r>
          <w:rPr>
            <w:color w:val="1155CC"/>
            <w:u w:val="single"/>
          </w:rPr>
          <w:t>Data-driven copper catalysis enables stereoselective fluorocyclopropanation</w:t>
        </w:r>
      </w:hyperlink>
    </w:p>
    <w:p>
      <w:pPr>
        <w:spacing w:before="0" w:after="120"/>
      </w:pPr>
      <w:r>
        <w:rPr>
          <w:b/>
        </w:rPr>
        <w:t xml:space="preserve">Source: </w:t>
      </w:r>
      <w:r>
        <w:t>Chem</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Stereoselective construction of fluorinated cyclopropanes is historically difficult. We present a data-driven copper-catalyzed platform that pairs automated high-throughput experiments with machine learning informed by carbene mechanistic descriptors. The workflow reliably produces highly enantio- and diastereoselective fluorocyclopropanes, scales to gram quantities, and accelerates access to fluorinated drug-like scaffolds—showing how AI and automation can make stereochemical optimization faster and more predictive.</w:t>
      </w:r>
    </w:p>
    <w:p>
      <w:pPr>
        <w:spacing w:before="120" w:after="120"/>
      </w:pPr>
      <w:r>
        <w:rPr>
          <w:sz w:val="18"/>
        </w:rPr>
        <w:t>——————————————————————————————————————————————————————————————————————</w:t>
      </w:r>
    </w:p>
    <w:p>
      <w:pPr>
        <w:spacing w:before="160" w:after="40" w:line="240" w:lineRule="auto"/>
      </w:pPr>
      <w:r>
        <w:rPr>
          <w:b/>
        </w:rPr>
        <w:t xml:space="preserve">[131] </w:t>
      </w:r>
      <w:hyperlink r:id="rId401">
        <w:r>
          <w:rPr>
            <w:color w:val="1155CC"/>
            <w:u w:val="single"/>
          </w:rPr>
          <w:t>A redesigned aldehyde dehydrogenase enables intermolecular biocatalytic amide formation from aldehydes and amines</w:t>
        </w:r>
      </w:hyperlink>
    </w:p>
    <w:p>
      <w:pPr>
        <w:spacing w:before="0" w:after="120"/>
      </w:pPr>
      <w:r>
        <w:rPr>
          <w:b/>
        </w:rPr>
        <w:t xml:space="preserve">Source: </w:t>
      </w:r>
      <w:r>
        <w:t>Chem</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Amide formation represents a key reaction in pharmaceutical synthesis, for which more environmentally friendly methods are sought. In Science, Gao et al. report a biocatalytic oxidative strategy exploiting a redesigned aldehyde dehydrogenase that allows the coupling of aldehydes with amines at the expense of an oxidant [NAD(P)+, molecular oxygen].</w:t>
      </w:r>
    </w:p>
    <w:p>
      <w:pPr>
        <w:spacing w:before="120" w:after="120"/>
      </w:pPr>
      <w:r>
        <w:rPr>
          <w:sz w:val="18"/>
        </w:rPr>
        <w:t>——————————————————————————————————————————————————————————————————————</w:t>
      </w:r>
    </w:p>
    <w:p>
      <w:pPr>
        <w:spacing w:before="160" w:after="40" w:line="240" w:lineRule="auto"/>
      </w:pPr>
      <w:r>
        <w:rPr>
          <w:b/>
        </w:rPr>
        <w:t xml:space="preserve">[132] </w:t>
      </w:r>
      <w:hyperlink r:id="rId402">
        <w:r>
          <w:rPr>
            <w:color w:val="1155CC"/>
            <w:u w:val="single"/>
          </w:rPr>
          <w:t>Cross‑field insights</w:t>
        </w:r>
      </w:hyperlink>
    </w:p>
    <w:p>
      <w:pPr>
        <w:spacing w:before="0" w:after="120"/>
      </w:pPr>
      <w:r>
        <w:rPr>
          <w:b/>
        </w:rPr>
        <w:t xml:space="preserve">Source: </w:t>
      </w:r>
      <w:r>
        <w:t>Nature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[133] </w:t>
      </w:r>
      <w:hyperlink r:id="rId403">
        <w:r>
          <w:rPr>
            <w:color w:val="1155CC"/>
            <w:u w:val="single"/>
          </w:rPr>
          <w:t>Clonal-aggregative multicellularity tuned by salinity in a choanoflagellate</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Multicellularity evolved independently multiple times in eukaryotes1,2,3,4. Two distinct mechanisms underpin multicellularity5: clonality (serial cell division without sister-cell separation) and aggregation (whereby independent cells assemble into a multicellular entity). Clonal and aggregative multicellularity are traditionally considered to be mutually exclusive1,6,7,8, with rare exceptions9, and evolutionary hypotheses have addressed why multicellularity might diverge towards one or the other extreme3,4. Both animals and their sister group, the choanoflagellates, are currently known to acquire multicellularity only clonally4,10,11. Here we show that the choanoflagellate Choanoeca flexa12 forms motile and contractile cell monolayers (sheets) through multiple mechanisms—C. flexa sheets can form purely clonally, purely aggregatively or through a combination of both processes. We characterize the life history of C. flexa in its natural environment—ephemeral splash pools on the island of Curaçao—and show that C. flexa undergoes reversible transitions between unicellularity and multicellularity during evaporation–refilling cycles. Different splash pools house genetically distinct strains of C. flexa and kin recognition constrains aggregation between them. We show that clonal-aggregative multicellularity is a versatile strategy for the robust establishment of multicellularity in this variable and fast-fluctuating environment. Our findings challenge former generalizations about choanoflagellates and expand the option space of choanozoan multicellularity.</w:t>
      </w:r>
    </w:p>
    <w:p>
      <w:pPr>
        <w:spacing w:before="120" w:after="120"/>
      </w:pPr>
      <w:r>
        <w:rPr>
          <w:sz w:val="18"/>
        </w:rPr>
        <w:t>——————————————————————————————————————————————————————————————————————</w:t>
      </w:r>
    </w:p>
    <w:p>
      <w:pPr>
        <w:spacing w:before="160" w:after="40" w:line="240" w:lineRule="auto"/>
      </w:pPr>
      <w:r>
        <w:rPr>
          <w:b/>
        </w:rPr>
        <w:t xml:space="preserve">[134] </w:t>
      </w:r>
      <w:hyperlink r:id="rId404">
        <w:r>
          <w:rPr>
            <w:color w:val="1155CC"/>
            <w:u w:val="single"/>
          </w:rPr>
          <w:t>An ångström-scale Janus aperture as a gas flow rectifier</w:t>
        </w:r>
      </w:hyperlink>
    </w:p>
    <w:p>
      <w:pPr>
        <w:spacing w:before="0" w:after="120"/>
      </w:pPr>
      <w:r>
        <w:rPr>
          <w:b/>
        </w:rPr>
        <w:t xml:space="preserve">Source: </w:t>
      </w:r>
      <w:r>
        <w:t>Nature Materials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Directional mass transport in confined space is crucial to life and the water–energy–environment nexus. Despite progress in understanding biological and designing artificial ionic diodes at the atomic scale, rectifying charge-neutral molecular flow remains a challenge. Here we explore gas transport through an ångström-sized Janus aperture in graphene, which is created by feedback-controlled ozone etching and features oxygen-containing functional groups asymmetrically distributed around the edge. Ten representative gases with molecules of varying compositions, shapes and sizes were measured. The permeation coefficients indicate energy barrier-controlled transport. Rectified flow was consistently observed for seven different species including krypton, xenon, hydrogen, oxygen, nitrogen, carbon dioxide and nitrous oxide, with rectification ratios of up to two orders of magnitude for oxygen. We also performed high-throughput density functional theory calculations, obtaining energy barriers that vary distinctly as the flow direction is flipped, in agreement with experimental measurements and ab initio molecular dynamics simulations. We reveal the impact of the molecular polarizability on the rectified gas flow, while the important role of dipole and higher-order moments remains to be elucidated.</w:t>
      </w:r>
    </w:p>
    <w:p>
      <w:pPr>
        <w:spacing w:before="120" w:after="120"/>
      </w:pPr>
      <w:r>
        <w:rPr>
          <w:sz w:val="18"/>
        </w:rPr>
        <w:t>——————————————————————————————————————————————————————————————————————</w:t>
      </w:r>
    </w:p>
    <w:p>
      <w:pPr>
        <w:spacing w:before="160" w:after="40" w:line="240" w:lineRule="auto"/>
      </w:pPr>
      <w:r>
        <w:rPr>
          <w:b/>
        </w:rPr>
        <w:t xml:space="preserve">[135] </w:t>
      </w:r>
      <w:hyperlink r:id="rId405">
        <w:r>
          <w:rPr>
            <w:color w:val="1155CC"/>
            <w:u w:val="single"/>
          </w:rPr>
          <w:t>Enabling enterprise coordination without fiscal burden: New policy pathways for coal waste management</w:t>
        </w:r>
      </w:hyperlink>
    </w:p>
    <w:p>
      <w:pPr>
        <w:spacing w:before="0" w:after="120"/>
      </w:pPr>
      <w:r>
        <w:rPr>
          <w:b/>
        </w:rPr>
        <w:t xml:space="preserve">Source: </w:t>
      </w:r>
      <w:r>
        <w:t>ScienceDirect Publication: Energy Policy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[136] </w:t>
      </w:r>
      <w:hyperlink r:id="rId406">
        <w:r>
          <w:rPr>
            <w:color w:val="1155CC"/>
            <w:u w:val="single"/>
          </w:rPr>
          <w:t>Impact assessment of battery-electric HDVs charging loads on the transmission and distribution system in Iceland</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[137] </w:t>
      </w:r>
      <w:hyperlink r:id="rId407">
        <w:r>
          <w:rPr>
            <w:color w:val="1155CC"/>
            <w:u w:val="single"/>
          </w:rPr>
          <w:t>Financial incentives and intrinsic motives for residents’ participation in demand response programs</w:t>
        </w:r>
      </w:hyperlink>
    </w:p>
    <w:p>
      <w:pPr>
        <w:spacing w:before="0" w:after="120"/>
      </w:pPr>
      <w:r>
        <w:rPr>
          <w:b/>
        </w:rPr>
        <w:t xml:space="preserve">Source: </w:t>
      </w:r>
      <w:r>
        <w:t>ScienceDirect Publication: Energy Policy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[138] </w:t>
      </w:r>
      <w:hyperlink r:id="rId408">
        <w:r>
          <w:rPr>
            <w:color w:val="1155CC"/>
            <w:u w:val="single"/>
          </w:rPr>
          <w:t>Corrigendum to: Regional inequality of the European ETS-2 [Energy policy 208 (2026) 114891]</w:t>
        </w:r>
      </w:hyperlink>
    </w:p>
    <w:p>
      <w:pPr>
        <w:spacing w:before="0" w:after="120"/>
      </w:pPr>
      <w:r>
        <w:rPr>
          <w:b/>
        </w:rPr>
        <w:t xml:space="preserve">Source: </w:t>
      </w:r>
      <w:r>
        <w:t>ScienceDirect Publication: Energy Policy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[139] </w:t>
      </w:r>
      <w:hyperlink r:id="rId409">
        <w:r>
          <w:rPr>
            <w:color w:val="1155CC"/>
            <w:u w:val="single"/>
          </w:rPr>
          <w:t>Pivoting colloidal assemblies exhibit mechanical metamaterial behaviour</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Biological machines use targeted deformations that can be actuated by Brownian fluctuations. However, although synthetic micromachines can similarly make use of targeted deformations, they are too stiff to be driven by thermal fluctuations and require strong forcing1,2,3. Furthermore, systems that are able to change their conformation by thermal fluctuations do so uncontrollably4,5 or require external control6. Here we use DNA-based sliding contacts7,8,9 to create colloidal pivots, rigid anisotropic objects that freely fluctuate around their pivot point and use a hierarchical strategy to assemble these into Brownian metamaterials with targeted deformation modes. We realize the archetypical rotating diamond and rotating triangle, or kagome, geometries and quantitatively show how thermal fluctuations drive their predicted auxetic deformations10,11,12,13,14,15. Finally, we implement magnetic particles into the colloidal pivots to achieve colloidal metamaterials that can be controlled externally as well as use Brownian fluctuations for precisely controlled shape changes. Together, our work introduces a strategy for creating Brownian mechanical metamaterials with easily actuatable deformation modes.</w:t>
      </w:r>
    </w:p>
    <w:p>
      <w:pPr>
        <w:spacing w:before="120" w:after="120"/>
      </w:pPr>
      <w:r>
        <w:rPr>
          <w:sz w:val="18"/>
        </w:rPr>
        <w:t>——————————————————————————————————————————————————————————————————————</w:t>
      </w:r>
    </w:p>
    <w:p>
      <w:pPr>
        <w:spacing w:before="160" w:after="40" w:line="240" w:lineRule="auto"/>
      </w:pPr>
      <w:r>
        <w:rPr>
          <w:b/>
        </w:rPr>
        <w:t xml:space="preserve">[140] </w:t>
      </w:r>
      <w:hyperlink r:id="rId410">
        <w:r>
          <w:rPr>
            <w:color w:val="1155CC"/>
            <w:u w:val="single"/>
          </w:rPr>
          <w:t>The first ice-core record of historical atmospheric hydrogen levels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[141] </w:t>
      </w:r>
      <w:hyperlink r:id="rId411">
        <w:r>
          <w:rPr>
            <w:color w:val="1155CC"/>
            <w:u w:val="single"/>
          </w:rPr>
          <w:t>Determinants of butane gas use by households in Burkina Faso: the role of road access</w:t>
        </w:r>
      </w:hyperlink>
    </w:p>
    <w:p>
      <w:pPr>
        <w:spacing w:before="0" w:after="120"/>
      </w:pPr>
      <w:r>
        <w:rPr>
          <w:b/>
        </w:rPr>
        <w:t xml:space="preserve">Source: </w:t>
      </w:r>
      <w:r>
        <w:t>ScienceDirect Publication: Energy Policy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[142] </w:t>
      </w:r>
      <w:hyperlink r:id="rId412">
        <w:r>
          <w:rPr>
            <w:color w:val="1155CC"/>
            <w:u w:val="single"/>
          </w:rPr>
          <w:t>Topological control of spontaneous failure in active nematic solids</w:t>
        </w:r>
      </w:hyperlink>
    </w:p>
    <w:p>
      <w:pPr>
        <w:spacing w:before="0" w:after="120"/>
      </w:pPr>
      <w:r>
        <w:rPr>
          <w:b/>
        </w:rPr>
        <w:t xml:space="preserve">Source: </w:t>
      </w:r>
      <w:r>
        <w:t>Nature Materials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Active solids using energy influx to generate non-equilibrium forces undergo spontaneous mechanical failure, but how topological defects concentrate internal stresses and control breakage in active materials is unknown. Here we assemble a reconstituted two-dimensional actomyosin network that lacks fluidity but exhibits nematic order and network elasticity. Surprisingly, we found that interacting multidefect configurations, especially defect quadrupoles with two +1/2 and two −1/2 defects, play a crucial role. Combining experimental data with an active solid fracture model, we demonstrate that a head quadrupole with mutually facing +1/2 defects can trigger crack opening and material tearing. Meanwhile, tail quadrupoles with mutually opposing +1/2 defects drive transient filament clustering and condenses into asters. We establish a deep learning model to predict the eventual aster formation from the initial topological structures. Our work uncovers a defect-mediated mechanism for spontaneous failure in active solids and provides topological design principles for controlling targeted damage in soft and living systems across scales.</w:t>
      </w:r>
    </w:p>
    <w:p>
      <w:pPr>
        <w:spacing w:before="120" w:after="120"/>
      </w:pPr>
      <w:r>
        <w:rPr>
          <w:sz w:val="18"/>
        </w:rPr>
        <w:t>——————————————————————————————————————————————————————————————————————</w:t>
      </w:r>
    </w:p>
    <w:p>
      <w:pPr>
        <w:spacing w:before="160" w:after="40" w:line="240" w:lineRule="auto"/>
      </w:pPr>
      <w:r>
        <w:rPr>
          <w:b/>
        </w:rPr>
        <w:t xml:space="preserve">[143] </w:t>
      </w:r>
      <w:hyperlink r:id="rId413">
        <w:r>
          <w:rPr>
            <w:color w:val="1155CC"/>
            <w:u w:val="single"/>
          </w:rPr>
          <w:t>Publisher Correction: Ethylene production via photocatalytic dehydrogenation of ethane using LaMn1−xCuxO3</w:t>
        </w:r>
      </w:hyperlink>
    </w:p>
    <w:p>
      <w:pPr>
        <w:spacing w:before="0" w:after="120"/>
      </w:pPr>
      <w:r>
        <w:rPr>
          <w:b/>
        </w:rPr>
        <w:t xml:space="preserve">Source: </w:t>
      </w:r>
      <w:r>
        <w:t>Nature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[144] </w:t>
      </w:r>
      <w:hyperlink r:id="rId414">
        <w:r>
          <w:rPr>
            <w:color w:val="1155CC"/>
            <w:u w:val="single"/>
          </w:rPr>
          <w:t>Idiotype-specific CD4+ T cells chronically stimulate autoreactive B cells to develop into B lymphomas in mice</w:t>
        </w:r>
      </w:hyperlink>
    </w:p>
    <w:p>
      <w:pPr>
        <w:spacing w:before="0" w:after="120"/>
      </w:pPr>
      <w:r>
        <w:rPr>
          <w:b/>
        </w:rPr>
        <w:t xml:space="preserve">Source: </w:t>
      </w:r>
      <w:r>
        <w:t>Nature Communications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Autoimmunity increases the risk of developing B lymphoma in humans; however, the molecular mechanism(s) underlying this link remain(s) unexplained. Here, we develop a mouse model to dissect the contribution of Id-driven T-B collaboration and show that chronic interaction between B cells and CD4+ T cells first leads to autoimmunity and later to the development of B (and T) cell lymphomas. We find that serum autoantibodies and lymphoma B cell receptor (BCR) are related and have the same specificity for ubiquitous self-antigens (histone and nucleosome) (Signal 1). Self-reactive B lymphoma cells are helped by CD4+ T cells that recognize a lymphoma neoantigen, an MHC class II-presented Idiotypic (Id) peptide (Signal 2). The mechanism, called Id-driven T-B collaboration, results in relentless mutual stimulation of B and T cells with germinal center markers, autoimmunity, and finally, malignant transformation of either B or T cells. Our results thus indicate Id-driven T-B collaboration as a potential mechanism linking autoimmunity and the development of lymphomas.</w:t>
      </w:r>
    </w:p>
    <w:p>
      <w:pPr>
        <w:spacing w:before="120" w:after="120"/>
      </w:pPr>
      <w:r>
        <w:rPr>
          <w:sz w:val="18"/>
        </w:rPr>
        <w:t>——————————————————————————————————————————————————————————————————————</w:t>
      </w:r>
    </w:p>
    <w:p>
      <w:pPr>
        <w:spacing w:before="160" w:after="40" w:line="240" w:lineRule="auto"/>
      </w:pPr>
      <w:r>
        <w:rPr>
          <w:b/>
        </w:rPr>
        <w:t xml:space="preserve">[145] </w:t>
      </w:r>
      <w:hyperlink r:id="rId415">
        <w:r>
          <w:rPr>
            <w:color w:val="1155CC"/>
            <w:u w:val="single"/>
          </w:rPr>
          <w:t>How earthquakes and lightning help explain squeaky sneakers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[146] </w:t>
      </w:r>
      <w:hyperlink r:id="rId416">
        <w:r>
          <w:rPr>
            <w:color w:val="1155CC"/>
            <w:u w:val="single"/>
          </w:rPr>
          <w:t>Limitations of probing field-induced response with STM</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[147] </w:t>
      </w:r>
      <w:hyperlink r:id="rId417">
        <w:r>
          <w:rPr>
            <w:color w:val="1155CC"/>
            <w:u w:val="single"/>
          </w:rPr>
          <w:t>Modeling and tackling unit commitment constraint screening under uncertainty</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[148] </w:t>
      </w:r>
      <w:hyperlink r:id="rId418">
        <w:r>
          <w:rPr>
            <w:color w:val="1155CC"/>
            <w:u w:val="single"/>
          </w:rPr>
          <w:t>Copper-catalysed dynamic kinetic (4+1) cyclization of 1,3-enynes for atroposelective arylpyrrole synthesis</w:t>
        </w:r>
      </w:hyperlink>
    </w:p>
    <w:p>
      <w:pPr>
        <w:spacing w:before="0" w:after="120"/>
      </w:pPr>
      <w:r>
        <w:rPr>
          <w:b/>
        </w:rPr>
        <w:t xml:space="preserve">Source: </w:t>
      </w:r>
      <w:r>
        <w:t>Nature Communications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Axially chiral arylpyrroles are a promising class of compounds with broad applications in catalysis, medicinal chemistry, and materials science. Herein, we report a copper-catalysed dynamic kinetic asymmetric (4 + 1) cyclization for the atroposelective synthesis of arylpyrroles bearing a single stereogenic axis or 1,2-diaxes from 1,3-enynes and amines. This dynamic kinetic asymmetric transformation employs a chiral Cu/Pybox complex, with air as the oxidant and DABCO serving as both a base and a proton shuttle. A key feature is the reversibility of the aza-Michael addition, which enables the dynamic formation/cleavage of distal C–N bonds. The 5-endo-dig cyclization serves as both the rate-determining and stereodetermining step, ensuring precise stereocontrol of the proximal stereocenters by the catalyst. This strategy overcomes long-standing challenges in the stereocontrol of distal C–N bond formation and enables the synthesis of atropisomeric DMAP catalysts with two stereogenic axes. DFT calculations provide insights into the mechanism of stereocontrol.</w:t>
      </w:r>
    </w:p>
    <w:p>
      <w:pPr>
        <w:spacing w:before="120" w:after="120"/>
      </w:pPr>
      <w:r>
        <w:rPr>
          <w:sz w:val="18"/>
        </w:rPr>
        <w:t>——————————————————————————————————————————————————————————————————————</w:t>
      </w:r>
    </w:p>
    <w:p>
      <w:pPr>
        <w:spacing w:before="160" w:after="40" w:line="240" w:lineRule="auto"/>
      </w:pPr>
      <w:r>
        <w:rPr>
          <w:b/>
        </w:rPr>
        <w:t xml:space="preserve">[149] </w:t>
      </w:r>
      <w:hyperlink r:id="rId419">
        <w:r>
          <w:rPr>
            <w:color w:val="1155CC"/>
            <w:u w:val="single"/>
          </w:rPr>
          <w:t>Hybrid power purchase agreements for flexible 24/7 Energy delivery – A comprehensive review of current practices and research pathways</w:t>
        </w:r>
      </w:hyperlink>
    </w:p>
    <w:p>
      <w:pPr>
        <w:spacing w:before="0" w:after="120"/>
      </w:pPr>
      <w:r>
        <w:rPr>
          <w:b/>
        </w:rPr>
        <w:t xml:space="preserve">Source: </w:t>
      </w:r>
      <w:r>
        <w:t>ScienceDirect Publication: Applied Energy</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[150] </w:t>
      </w:r>
      <w:hyperlink r:id="rId420">
        <w:r>
          <w:rPr>
            <w:color w:val="1155CC"/>
            <w:u w:val="single"/>
          </w:rPr>
          <w:t>Pop-up journals for policy research: can temporary titles deliver answers?</w:t>
        </w:r>
      </w:hyperlink>
    </w:p>
    <w:p>
      <w:pPr>
        <w:spacing w:before="0" w:after="120"/>
      </w:pPr>
      <w:r>
        <w:rPr>
          <w:b/>
        </w:rPr>
        <w:t xml:space="preserve">Source: </w:t>
      </w:r>
      <w:r>
        <w:t>Nature</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[151] </w:t>
      </w:r>
      <w:hyperlink r:id="rId421">
        <w:r>
          <w:rPr>
            <w:color w:val="1155CC"/>
            <w:u w:val="single"/>
          </w:rPr>
          <w:t>The Dynamic Polymer Annotated Library: An automated approach to curating materials science literature</w:t>
        </w:r>
      </w:hyperlink>
    </w:p>
    <w:p>
      <w:pPr>
        <w:spacing w:before="0" w:after="120"/>
      </w:pPr>
      <w:r>
        <w:rPr>
          <w:b/>
        </w:rPr>
        <w:t xml:space="preserve">Source: </w:t>
      </w:r>
      <w:r>
        <w:t>Matter</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Dynamic Polymer Annotated Library (DPAL) is an annotated library of peer-reviewed research that aims to fill a knowledge gap in the materials science field by re-designing a common medical field practice (the systematic literature search) to be more applicable and universal to materials design questions.</w:t>
      </w:r>
    </w:p>
    <w:p>
      <w:pPr>
        <w:spacing w:before="120" w:after="120"/>
      </w:pPr>
      <w:r>
        <w:rPr>
          <w:sz w:val="18"/>
        </w:rPr>
        <w:t>——————————————————————————————————————————————————————————————————————</w:t>
      </w:r>
    </w:p>
    <w:p>
      <w:pPr>
        <w:spacing w:before="160" w:after="40" w:line="240" w:lineRule="auto"/>
      </w:pPr>
      <w:r>
        <w:rPr>
          <w:b/>
        </w:rPr>
        <w:t xml:space="preserve">[152] </w:t>
      </w:r>
      <w:hyperlink r:id="rId422">
        <w:r>
          <w:rPr>
            <w:color w:val="1155CC"/>
            <w:u w:val="single"/>
          </w:rPr>
          <w:t>GrainBot: Quantifying multi-variable microstructure disorder in materials</w:t>
        </w:r>
      </w:hyperlink>
    </w:p>
    <w:p>
      <w:pPr>
        <w:spacing w:before="0" w:after="120"/>
      </w:pPr>
      <w:r>
        <w:rPr>
          <w:b/>
        </w:rPr>
        <w:t xml:space="preserve">Source: </w:t>
      </w:r>
      <w:r>
        <w:t>Matter</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This study presents an AI-powered analytical framework that transforms complex microscope images of polycrystalline materials into quantitative, machine-readable data. By combining deep learning with interpretable analysis, the toolkit enables precise grain-level characterization and reveals hidden relationships among structural features. Beyond advancing data-driven materials research, it also bridges human observation and automated experimentation, paving the way for closed-loop discovery and self-driving laboratories in materials science.</w:t>
      </w:r>
    </w:p>
    <w:p>
      <w:pPr>
        <w:spacing w:before="120" w:after="120"/>
      </w:pPr>
      <w:r>
        <w:rPr>
          <w:sz w:val="18"/>
        </w:rPr>
        <w:t>——————————————————————————————————————————————————————————————————————</w:t>
      </w:r>
    </w:p>
    <w:p>
      <w:pPr>
        <w:spacing w:before="160" w:after="40" w:line="240" w:lineRule="auto"/>
      </w:pPr>
      <w:r>
        <w:rPr>
          <w:b/>
        </w:rPr>
        <w:t xml:space="preserve">[153] </w:t>
      </w:r>
      <w:hyperlink r:id="rId423">
        <w:r>
          <w:rPr>
            <w:color w:val="1155CC"/>
            <w:u w:val="single"/>
          </w:rPr>
          <w:t>High-entropy engineering of garnet ceramics enables 3D dynamic high-temperature imaging and thermal protecting</w:t>
        </w:r>
      </w:hyperlink>
    </w:p>
    <w:p>
      <w:pPr>
        <w:spacing w:before="0" w:after="120"/>
      </w:pPr>
      <w:r>
        <w:rPr>
          <w:b/>
        </w:rPr>
        <w:t xml:space="preserve">Source: </w:t>
      </w:r>
      <w:r>
        <w:t>Matter</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Our findings present a high-entropy engineering approach to the development of ceramics with dual functions as thermal sensors and barriers. It exhibits superior thermal barrier properties after high-entropy engineering. The cross relaxation-mediated energy transfer process from Tb3+ to Eu3+ breaks the theoretical thermometry sensitivity limitation at ultrahigh temperatures, and its potential for 3D dynamic high-temperature imaging in the aerospace industry was demonstrated.</w:t>
      </w:r>
    </w:p>
    <w:p>
      <w:pPr>
        <w:spacing w:before="120" w:after="120"/>
      </w:pPr>
      <w:r>
        <w:rPr>
          <w:sz w:val="18"/>
        </w:rPr>
        <w:t>——————————————————————————————————————————————————————————————————————</w:t>
      </w:r>
    </w:p>
    <w:p>
      <w:pPr>
        <w:spacing w:before="160" w:after="40" w:line="240" w:lineRule="auto"/>
      </w:pPr>
      <w:r>
        <w:rPr>
          <w:b/>
        </w:rPr>
        <w:t xml:space="preserve">[154] </w:t>
      </w:r>
      <w:hyperlink r:id="rId424">
        <w:r>
          <w:rPr>
            <w:color w:val="1155CC"/>
            <w:u w:val="single"/>
          </w:rPr>
          <w:t>Author Correction: Targeting QKI-7 in vivo restores endothelial cell function in diabetes</w:t>
        </w:r>
      </w:hyperlink>
    </w:p>
    <w:p>
      <w:pPr>
        <w:spacing w:before="0" w:after="120"/>
      </w:pPr>
      <w:r>
        <w:rPr>
          <w:b/>
        </w:rPr>
        <w:t xml:space="preserve">Source: </w:t>
      </w:r>
      <w:r>
        <w:t>Nature Communications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[155] </w:t>
      </w:r>
      <w:hyperlink r:id="rId425">
        <w:r>
          <w:rPr>
            <w:color w:val="1155CC"/>
            <w:u w:val="single"/>
          </w:rPr>
          <w:t>Author Correction: Role of the real first interface in regulating ionic signal of nanochannels</w:t>
        </w:r>
      </w:hyperlink>
    </w:p>
    <w:p>
      <w:pPr>
        <w:spacing w:before="0" w:after="120"/>
      </w:pPr>
      <w:r>
        <w:rPr>
          <w:b/>
        </w:rPr>
        <w:t xml:space="preserve">Source: </w:t>
      </w:r>
      <w:r>
        <w:t>Nature Communications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[156] </w:t>
      </w:r>
      <w:hyperlink r:id="rId426">
        <w:r>
          <w:rPr>
            <w:color w:val="1155CC"/>
            <w:u w:val="single"/>
          </w:rPr>
          <w:t>How ions squeeze water out of n-type ladder organic mixed conductors</w:t>
        </w:r>
      </w:hyperlink>
    </w:p>
    <w:p>
      <w:pPr>
        <w:spacing w:before="0" w:after="120"/>
      </w:pPr>
      <w:r>
        <w:rPr>
          <w:b/>
        </w:rPr>
        <w:t xml:space="preserve">Source: </w:t>
      </w:r>
      <w:r>
        <w:t>Nature Materials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[157] </w:t>
      </w:r>
      <w:hyperlink r:id="rId427">
        <w:r>
          <w:rPr>
            <w:color w:val="1155CC"/>
            <w:u w:val="single"/>
          </w:rPr>
          <w:t>VRAC coordinates the trade-off between nutrient absorption and antimicrobial defense in enterocytes against inflammation</w:t>
        </w:r>
      </w:hyperlink>
    </w:p>
    <w:p>
      <w:pPr>
        <w:spacing w:before="0" w:after="120"/>
      </w:pPr>
      <w:r>
        <w:rPr>
          <w:b/>
        </w:rPr>
        <w:t xml:space="preserve">Source: </w:t>
      </w:r>
      <w:r>
        <w:t>Nature Communications</w:t>
      </w:r>
      <w:r>
        <w:t xml:space="preserve">    </w:t>
      </w:r>
      <w:r>
        <w:rPr>
          <w:b/>
        </w:rPr>
        <w:t xml:space="preserve">Pub date: </w:t>
      </w:r>
      <w:r>
        <w:t>2026-02-25 00:00:00+00:00</w:t>
      </w:r>
    </w:p>
    <w:p>
      <w:pPr>
        <w:spacing w:before="0" w:after="80" w:lineRule="auto" w:line="276"/>
      </w:pPr>
      <w:r>
        <w:rPr>
          <w:b/>
        </w:rPr>
        <w:t xml:space="preserve">摘要（ZH）: </w:t>
      </w:r>
      <w:r>
        <w:t>(empty)</w:t>
      </w:r>
    </w:p>
    <w:p>
      <w:pPr>
        <w:spacing w:before="0" w:after="200" w:lineRule="auto" w:line="276"/>
      </w:pPr>
      <w:r>
        <w:rPr>
          <w:b/>
        </w:rPr>
        <w:t xml:space="preserve">Abstract (EN): </w:t>
      </w:r>
      <w:r>
        <w:t>Enterocytes mediate both nutrient absorption and antimicrobial peptide (AMP) secretion while constantly exposed to osmotic fluctuations. However, the role of volume-regulated anion channel (VRAC), a key osmo-sensitive ion channel, in enterocytes and inflammatory bowel disease (IBD) remains unclear. Here, we show that intestinal epithelial cell (IEC)-specific knockout of LRRC8A, the essential VRAC subunit, exacerbates colitis and inflammation-associated colorectal cancer. VRAC deficiency specifically disrupts enterocyte maturation and zonation, expanding AMP-producing enterocytes while reducing enterocytes responsible for nutrient absorption. Retinoic acid metabolism emerges as the most affected nutrient pathway in VRAC-deficient IECs, with reduced Adh1, Aldh1a2 expression and aldehyde dehydrogenase activity. Supplementation with retinoic acid reversed inflammation caused by VRAC deficiency. Conversely, VRAC deficiency induced gut microbiota dysbiosis, while administration of Lactobacillus species effectively restored microbial balance and alleviated inflammation. This study delineates the role of VRAC in balancing nutrient absorption and antimicrobial defense in enterocytes to safeguard gut homeostasis.</w:t>
      </w:r>
    </w:p>
    <w:p>
      <w:pPr>
        <w:spacing w:before="120" w:after="120"/>
      </w:pPr>
      <w:r>
        <w:rPr>
          <w:sz w:val="18"/>
        </w:rPr>
        <w:t>——————————————————————————————————————————————————————————————————————</w:t>
      </w:r>
    </w:p>
    <w:p>
      <w:pPr>
        <w:spacing w:before="160" w:after="40" w:line="240" w:lineRule="auto"/>
      </w:pPr>
      <w:r>
        <w:rPr>
          <w:b/>
        </w:rPr>
        <w:t xml:space="preserve">[158] </w:t>
      </w:r>
      <w:hyperlink r:id="rId428">
        <w:r>
          <w:rPr>
            <w:color w:val="1155CC"/>
            <w:u w:val="single"/>
          </w:rPr>
          <w:t>Micro/Nanoscale 3D Bioprinting: A Transformative Way to Modulate Cell/Tissue Growth and Function</w:t>
        </w:r>
      </w:hyperlink>
    </w:p>
    <w:p>
      <w:pPr>
        <w:spacing w:before="0" w:after="120"/>
      </w:pPr>
      <w:r>
        <w:rPr>
          <w:b/>
        </w:rPr>
        <w:t xml:space="preserve">Source: </w:t>
      </w:r>
      <w:r>
        <w:t>Wiley: Advanced Materials: Table of Contents</w:t>
      </w:r>
      <w:r>
        <w:t xml:space="preserve">    </w:t>
      </w:r>
      <w:r>
        <w:rPr>
          <w:b/>
        </w:rPr>
        <w:t xml:space="preserve">Pub date: </w:t>
      </w:r>
      <w:r>
        <w:t>2026-02-25 04:08:48+00:00</w:t>
      </w:r>
      <w:r>
        <w:t xml:space="preserve">    </w:t>
      </w:r>
      <w:r>
        <w:rPr>
          <w:b/>
        </w:rPr>
        <w:t xml:space="preserve">DOI: </w:t>
      </w:r>
      <w:hyperlink r:id="rId429">
        <w:r>
          <w:rPr>
            <w:color w:val="1155CC"/>
            <w:u w:val="single"/>
          </w:rPr>
          <w:t>10.1002/adma.202515400</w:t>
        </w:r>
      </w:hyperlink>
    </w:p>
    <w:p>
      <w:pPr>
        <w:spacing w:before="0" w:after="80" w:lineRule="auto" w:line="276"/>
      </w:pPr>
      <w:r>
        <w:rPr>
          <w:b/>
        </w:rPr>
        <w:t xml:space="preserve">摘要（ZH）: </w:t>
      </w:r>
      <w:r>
        <w:t>(empty)</w:t>
      </w:r>
    </w:p>
    <w:p>
      <w:pPr>
        <w:spacing w:before="0" w:after="200" w:lineRule="auto" w:line="276"/>
      </w:pPr>
      <w:r>
        <w:rPr>
          <w:b/>
        </w:rPr>
        <w:t xml:space="preserve">Abstract (EN): </w:t>
      </w:r>
      <w:r>
        <w:t>The extracellular matrix (ECM) of native tissues features highly organized micro/nanoscale structures that intricately interact with cells to regulate tissue function, maintain homeostasis, and support regeneration. Micro/nanoscale three-dimensional (3D) bioprinting has recently emerged as a transformative technology, enabling the reproducible fabrication of ECM-like structures using cell-laden hydrogels. In this review, we provide a systematic overview of recent advances in micro/nanoscale 3D bioprinting for living tissue constructs, with particular emphasis on the effects of these ECM-like micro/nanoscale architectures on cellular and tissue behavior. We begin by introducing the primary micro/nanoscale bioprinting techniques, including light-based, extrusion-based, and jetting-based bioprinting methods. We examine the effects of the high-resolution 3D bioprinting process and/or bioprinting-induced micro/nanostructures on modulating cell growth. Next, we highlight recent innovations that integrate biomechanical stimuli into these micro/nanoscale 3D-bioprinted constructs to further enhance cell and tissue functionality. The key applications of micro/nanoscale bioprinting in tissue regeneration and in vitro models are explored. Finally, current challenges and potential solutions for advancing micro/nanoscale 3D bioprinting toward the realization of functional tissue/organ analogs are discussed.</w:t>
      </w:r>
    </w:p>
    <w:p>
      <w:pPr>
        <w:spacing w:before="120" w:after="120"/>
      </w:pPr>
      <w:r>
        <w:rPr>
          <w:sz w:val="18"/>
        </w:rPr>
        <w:t>——————————————————————————————————————————————————————————————————————</w:t>
      </w:r>
    </w:p>
    <w:p>
      <w:pPr>
        <w:spacing w:before="160" w:after="40" w:line="240" w:lineRule="auto"/>
      </w:pPr>
      <w:r>
        <w:rPr>
          <w:b/>
        </w:rPr>
        <w:t xml:space="preserve">[159] </w:t>
      </w:r>
      <w:hyperlink r:id="rId430">
        <w:r>
          <w:rPr>
            <w:color w:val="1155CC"/>
            <w:u w:val="single"/>
          </w:rPr>
          <w:t>Stereochemically Active Lone Pair Effect of Cations Triggers Giant Rashba–Dresselhaus Spin Splitting in Ferroelectric Semiconductors for Circularly Polarized Light Detection</w:t>
        </w:r>
      </w:hyperlink>
    </w:p>
    <w:p>
      <w:pPr>
        <w:spacing w:before="0" w:after="120"/>
      </w:pPr>
      <w:r>
        <w:rPr>
          <w:b/>
        </w:rPr>
        <w:t xml:space="preserve">Source: </w:t>
      </w:r>
      <w:r>
        <w:t>Wiley: Advanced Materials: Table of Contents</w:t>
      </w:r>
      <w:r>
        <w:t xml:space="preserve">    </w:t>
      </w:r>
      <w:r>
        <w:rPr>
          <w:b/>
        </w:rPr>
        <w:t xml:space="preserve">Pub date: </w:t>
      </w:r>
      <w:r>
        <w:t>2026-02-25 04:17:10+00:00</w:t>
      </w:r>
      <w:r>
        <w:t xml:space="preserve">    </w:t>
      </w:r>
      <w:r>
        <w:rPr>
          <w:b/>
        </w:rPr>
        <w:t xml:space="preserve">DOI: </w:t>
      </w:r>
      <w:hyperlink r:id="rId431">
        <w:r>
          <w:rPr>
            <w:color w:val="1155CC"/>
            <w:u w:val="single"/>
          </w:rPr>
          <w:t>10.1002/adma.202519568</w:t>
        </w:r>
      </w:hyperlink>
    </w:p>
    <w:p>
      <w:pPr>
        <w:spacing w:before="0" w:after="80" w:lineRule="auto" w:line="276"/>
      </w:pPr>
      <w:r>
        <w:rPr>
          <w:b/>
        </w:rPr>
        <w:t xml:space="preserve">摘要（ZH）: </w:t>
      </w:r>
      <w:r>
        <w:t>(empty)</w:t>
      </w:r>
    </w:p>
    <w:p>
      <w:pPr>
        <w:spacing w:before="0" w:after="200" w:lineRule="auto" w:line="276"/>
      </w:pPr>
      <w:r>
        <w:rPr>
          <w:b/>
        </w:rPr>
        <w:t xml:space="preserve">Abstract (EN): </w:t>
      </w:r>
      <w:r>
        <w:t>Rashba-Dresselhaus (RD) spin splitting arising from spin-orbit coupling in spatial inversion asymmetric semiconductors is critical for realizing numerous advanced spintronic applications. However, modulating the RD spin splitting coefficient (αRD) is challenging due to the unclear structural-property relationship. Herein, inspired by highly distorted inorganic selenites containing stereochemically active lone pair (SCALP) electrons, we selected 4-aminomorpholine cation (4AM) containing SCALP electrons to synthesize a new two-dimensional (2D) ferroelectric semiconductor (4AM)2PbBr4, exhibiting a giant αRD of 2.377 eV Å with ΔERD = 126 meV and Δk0 = 0.106 Å-1 that differentiates circularly polarized light-excited carriers in the momentum space via spin-dependent optical transition selection rules with an asymmetric factor of 0.65. A geometric structure-property relationship study reveals that incorporating SCALP into the organic cations enhances their net polarity and induces substantial distortions within the inorganic sublattices that enhance the αRD. This work reveals the regulatory mechanism of organic cations on distortion of inorganic octahedron and provides a new approach for efficient synthesis and rapid screening of 2D ferroelectric semiconductors with large αRD.</w:t>
      </w:r>
    </w:p>
    <w:p>
      <w:pPr>
        <w:spacing w:before="120" w:after="120"/>
      </w:pPr>
      <w:r>
        <w:rPr>
          <w:sz w:val="18"/>
        </w:rPr>
        <w:t>——————————————————————————————————————————————————————————————————————</w:t>
      </w:r>
    </w:p>
    <w:p>
      <w:pPr>
        <w:spacing w:before="160" w:after="40" w:line="240" w:lineRule="auto"/>
      </w:pPr>
      <w:r>
        <w:rPr>
          <w:b/>
        </w:rPr>
        <w:t xml:space="preserve">[160] </w:t>
      </w:r>
      <w:hyperlink r:id="rId432">
        <w:r>
          <w:rPr>
            <w:color w:val="1155CC"/>
            <w:u w:val="single"/>
          </w:rPr>
          <w:t>Self‐Oscillating Helix Showing Amplified Winding and Unwinding Motions</w:t>
        </w:r>
      </w:hyperlink>
    </w:p>
    <w:p>
      <w:pPr>
        <w:spacing w:before="0" w:after="120"/>
      </w:pPr>
      <w:r>
        <w:rPr>
          <w:b/>
        </w:rPr>
        <w:t xml:space="preserve">Source: </w:t>
      </w:r>
      <w:r>
        <w:t>Wiley: Advanced Materials: Table of Contents</w:t>
      </w:r>
      <w:r>
        <w:t xml:space="preserve">    </w:t>
      </w:r>
      <w:r>
        <w:rPr>
          <w:b/>
        </w:rPr>
        <w:t xml:space="preserve">Pub date: </w:t>
      </w:r>
      <w:r>
        <w:t>2026-02-25 04:18:11+00:00</w:t>
      </w:r>
      <w:r>
        <w:t xml:space="preserve">    </w:t>
      </w:r>
      <w:r>
        <w:rPr>
          <w:b/>
        </w:rPr>
        <w:t xml:space="preserve">DOI: </w:t>
      </w:r>
      <w:hyperlink r:id="rId433">
        <w:r>
          <w:rPr>
            <w:color w:val="1155CC"/>
            <w:u w:val="single"/>
          </w:rPr>
          <w:t>10.1002/adma.202521736</w:t>
        </w:r>
      </w:hyperlink>
    </w:p>
    <w:p>
      <w:pPr>
        <w:spacing w:before="0" w:after="80" w:lineRule="auto" w:line="276"/>
      </w:pPr>
      <w:r>
        <w:rPr>
          <w:b/>
        </w:rPr>
        <w:t xml:space="preserve">摘要（ZH）: </w:t>
      </w:r>
      <w:r>
        <w:t>(empty)</w:t>
      </w:r>
    </w:p>
    <w:p>
      <w:pPr>
        <w:spacing w:before="0" w:after="200" w:lineRule="auto" w:line="276"/>
      </w:pPr>
      <w:r>
        <w:rPr>
          <w:b/>
        </w:rPr>
        <w:t xml:space="preserve">Abstract (EN): </w:t>
      </w:r>
      <w:r>
        <w:t>Helical architectures in nature amplify motion via winding-unwinding. We report a simple, universal photopolymerization strategy to fabricate hydrogel helices with precisely controlled radial polymer gradients inside glass capillaries. A helically wrapped photomask and a chemical UV absorber (Ru(bpy)3) jointly encode longitudinal and radial asymmetry. Their geometry is readily programmed by adjusting the photomask width and spacing, and our approach is polymer-general, including thermoresponsive gels and organogels. As a representative example, lower critical solution temperature (LCST)-type poly(NIPAAm) helices convert small, isotropic volume change into amplified uniaxial deformation, showing 1.6-fold larger axial shrinkage than their total length shrinkage under heating. They respond to various stimuli, including temperature, acid, and near-infrared (NIR) light. As a proof-of-concept soft robotic actuator, we fabricated a helix with a gradual axial variation in diameter and demonstrated stepwise, unidirectional locomotion along a string under cyclic heating and cooling. Integrating vinyl‑functionalized Ru(bpy)3 as a covalent catalyst yields self‑oscillating helices driven by the Belousov-Zhabotinsky reaction, which autonomously repeat winding-unwinding accompanied by peristaltic waves. Compared with conventional rods, helices exhibit four-fold larger amplitude and 3.4-times faster deswelling kinetics. Our platform establishes a geometry‑driven design rule that harnesses helical coupling to amplify displacement in programmable and autonomous soft actuators.</w:t>
      </w:r>
    </w:p>
    <w:p>
      <w:pPr>
        <w:spacing w:before="120" w:after="120"/>
      </w:pPr>
      <w:r>
        <w:rPr>
          <w:sz w:val="18"/>
        </w:rPr>
        <w:t>——————————————————————————————————————————————————————————————————————</w:t>
      </w:r>
    </w:p>
    <w:p>
      <w:pPr>
        <w:spacing w:before="160" w:after="40" w:line="240" w:lineRule="auto"/>
      </w:pPr>
      <w:r>
        <w:rPr>
          <w:b/>
        </w:rPr>
        <w:t xml:space="preserve">[161] </w:t>
      </w:r>
      <w:hyperlink r:id="rId434">
        <w:r>
          <w:rPr>
            <w:color w:val="1155CC"/>
            <w:u w:val="single"/>
          </w:rPr>
          <w:t>More Than a Buffer in Biochemistry: Tris as an Architect and Gatekeeper of Metal–Oxo Assembly</w:t>
        </w:r>
      </w:hyperlink>
    </w:p>
    <w:p>
      <w:pPr>
        <w:spacing w:before="0" w:after="120"/>
      </w:pPr>
      <w:r>
        <w:rPr>
          <w:b/>
        </w:rPr>
        <w:t xml:space="preserve">Source: </w:t>
      </w:r>
      <w:r>
        <w:t>Wiley: Angewandte Chemie International Edition: Table of Contents</w:t>
      </w:r>
      <w:r>
        <w:t xml:space="preserve">    </w:t>
      </w:r>
      <w:r>
        <w:rPr>
          <w:b/>
        </w:rPr>
        <w:t xml:space="preserve">Pub date: </w:t>
      </w:r>
      <w:r>
        <w:t>2026-02-25 04:28:29+00:00</w:t>
      </w:r>
      <w:r>
        <w:t xml:space="preserve">    </w:t>
      </w:r>
      <w:r>
        <w:rPr>
          <w:b/>
        </w:rPr>
        <w:t xml:space="preserve">DOI: </w:t>
      </w:r>
      <w:hyperlink r:id="rId435">
        <w:r>
          <w:rPr>
            <w:color w:val="1155CC"/>
            <w:u w:val="single"/>
          </w:rPr>
          <w:t>10.1002/anie.202525355</w:t>
        </w:r>
      </w:hyperlink>
    </w:p>
    <w:p>
      <w:pPr>
        <w:spacing w:before="0" w:after="80" w:lineRule="auto" w:line="276"/>
      </w:pPr>
      <w:r>
        <w:rPr>
          <w:b/>
        </w:rPr>
        <w:t xml:space="preserve">摘要（ZH）: </w:t>
      </w:r>
      <w:r>
        <w:t>(empty)</w:t>
      </w:r>
    </w:p>
    <w:p>
      <w:pPr>
        <w:spacing w:before="0" w:after="200" w:lineRule="auto" w:line="276"/>
      </w:pPr>
      <w:r>
        <w:rPr>
          <w:b/>
        </w:rPr>
        <w:t xml:space="preserve">Abstract (EN): </w:t>
      </w:r>
      <w:r>
        <w:t>Polyoxometalates (POMs, molecular metal-oxo clusters) are typically studied and applied in aqueous media, where routine buffers determine which clusters form, persist, or react. Tris(hydroxymethyl)aminomethane (Tris) is a ubiquitous buffer near physiological pH and has produced outcomes that pH control alone could not explain, prompting a simple question with large consequences: What does Tris actually do to POMs? Quantification across several POM families shows that this loose buffering correlates with longer lifetimes of intact anions, the formation of Tris-specific adducts, and tunable stability through ionic-strength adjustment. We describe three molecular roles of Tris. First, Tris acts as an alkoxy donor that embeds μ-O─CH2 units within POM scaffolds. Second, Tris functions as a chelator that arrests early tungsten-oxo condensation and stabilizes a minimal isopolytungstate. Third, Tris serves as a structure-directing medium, since a chromium-incorporated Keggin forms only in Tris buffer at pH 7.5 and displays single-ion-magnet behavior. We advocate a speciation-first workflow that logs attained pH, reports buffer identity, concentration, and ionic strength, and verifies species by orthogonal spectroscopic, diffraction, and computational methods. The implication extends well beyond POM chemistry: in catalysis, electrochemistry, and biomaterials, buffers and amine additives can redirect speciation, alter redox access, and bias kinetics.</w:t>
      </w:r>
    </w:p>
    <w:p>
      <w:pPr>
        <w:spacing w:before="120" w:after="120"/>
      </w:pPr>
      <w:r>
        <w:rPr>
          <w:sz w:val="18"/>
        </w:rPr>
        <w:t>——————————————————————————————————————————————————————————————————————</w:t>
      </w:r>
    </w:p>
    <w:p>
      <w:pPr>
        <w:spacing w:before="160" w:after="40" w:line="240" w:lineRule="auto"/>
      </w:pPr>
      <w:r>
        <w:rPr>
          <w:b/>
        </w:rPr>
        <w:t xml:space="preserve">[162] </w:t>
      </w:r>
      <w:hyperlink r:id="rId436">
        <w:r>
          <w:rPr>
            <w:color w:val="1155CC"/>
            <w:u w:val="single"/>
          </w:rPr>
          <w:t>Meso‐Scale Modeling of Glide Phase Transformations in Layered Intercalation Compounds</w:t>
        </w:r>
      </w:hyperlink>
    </w:p>
    <w:p>
      <w:pPr>
        <w:spacing w:before="0" w:after="120"/>
      </w:pPr>
      <w:r>
        <w:rPr>
          <w:b/>
        </w:rPr>
        <w:t xml:space="preserve">Source: </w:t>
      </w:r>
      <w:r>
        <w:t>Wiley: Advanced Energy Materials: Table of Contents</w:t>
      </w:r>
      <w:r>
        <w:t xml:space="preserve">    </w:t>
      </w:r>
      <w:r>
        <w:rPr>
          <w:b/>
        </w:rPr>
        <w:t xml:space="preserve">Pub date: </w:t>
      </w:r>
      <w:r>
        <w:t>2026-02-25 04:32:39+00:00</w:t>
      </w:r>
      <w:r>
        <w:t xml:space="preserve">    </w:t>
      </w:r>
      <w:r>
        <w:rPr>
          <w:b/>
        </w:rPr>
        <w:t xml:space="preserve">DOI: </w:t>
      </w:r>
      <w:hyperlink r:id="rId437">
        <w:r>
          <w:rPr>
            <w:color w:val="1155CC"/>
            <w:u w:val="single"/>
          </w:rPr>
          <w:t>10.1002/aenm.202505903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[163] </w:t>
      </w:r>
      <w:hyperlink r:id="rId438">
        <w:r>
          <w:rPr>
            <w:color w:val="1155CC"/>
            <w:u w:val="single"/>
          </w:rPr>
          <w:t>Emergent Motility of Self‐Organized Particle‐Giant Unilamellar Vesicle Assembly (Adv. Mater. 12/2026)</w:t>
        </w:r>
      </w:hyperlink>
    </w:p>
    <w:p>
      <w:pPr>
        <w:spacing w:before="0" w:after="120"/>
      </w:pPr>
      <w:r>
        <w:rPr>
          <w:b/>
        </w:rPr>
        <w:t xml:space="preserve">Source: </w:t>
      </w:r>
      <w:r>
        <w:t>Wiley: Advanced Materials: Table of Contents</w:t>
      </w:r>
      <w:r>
        <w:t xml:space="preserve">    </w:t>
      </w:r>
      <w:r>
        <w:rPr>
          <w:b/>
        </w:rPr>
        <w:t xml:space="preserve">Pub date: </w:t>
      </w:r>
      <w:r>
        <w:t>2026-02-25 06:33:39+00:00</w:t>
      </w:r>
      <w:r>
        <w:t xml:space="preserve">    </w:t>
      </w:r>
      <w:r>
        <w:rPr>
          <w:b/>
        </w:rPr>
        <w:t xml:space="preserve">DOI: </w:t>
      </w:r>
      <w:hyperlink r:id="rId439">
        <w:r>
          <w:rPr>
            <w:color w:val="1155CC"/>
            <w:u w:val="single"/>
          </w:rPr>
          <w:t>10.1002/adma.72467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[164] </w:t>
      </w:r>
      <w:hyperlink r:id="rId440">
        <w:r>
          <w:rPr>
            <w:color w:val="1155CC"/>
            <w:u w:val="single"/>
          </w:rPr>
          <w:t>Physical Intelligence in Small‐Scale Robots and Machines (Adv. Mater. 12/2026)</w:t>
        </w:r>
      </w:hyperlink>
    </w:p>
    <w:p>
      <w:pPr>
        <w:spacing w:before="0" w:after="120"/>
      </w:pPr>
      <w:r>
        <w:rPr>
          <w:b/>
        </w:rPr>
        <w:t xml:space="preserve">Source: </w:t>
      </w:r>
      <w:r>
        <w:t>Wiley: Advanced Materials: Table of Contents</w:t>
      </w:r>
      <w:r>
        <w:t xml:space="preserve">    </w:t>
      </w:r>
      <w:r>
        <w:rPr>
          <w:b/>
        </w:rPr>
        <w:t xml:space="preserve">Pub date: </w:t>
      </w:r>
      <w:r>
        <w:t>2026-02-25 06:33:39+00:00</w:t>
      </w:r>
      <w:r>
        <w:t xml:space="preserve">    </w:t>
      </w:r>
      <w:r>
        <w:rPr>
          <w:b/>
        </w:rPr>
        <w:t xml:space="preserve">DOI: </w:t>
      </w:r>
      <w:hyperlink r:id="rId441">
        <w:r>
          <w:rPr>
            <w:color w:val="1155CC"/>
            <w:u w:val="single"/>
          </w:rPr>
          <w:t>10.1002/adma.72464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[165] </w:t>
      </w:r>
      <w:hyperlink r:id="rId442">
        <w:r>
          <w:rPr>
            <w:color w:val="1155CC"/>
            <w:u w:val="single"/>
          </w:rPr>
          <w:t>Coupled geomorphic and climate-driven biogeochemical processes regulate soil organic carbon stocks in agricultural terraces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43">
        <w:r>
          <w:rPr>
            <w:color w:val="1155CC"/>
            <w:u w:val="single"/>
          </w:rPr>
          <w:t>10.1126/sciadv.aea8560</w:t>
        </w:r>
      </w:hyperlink>
    </w:p>
    <w:p>
      <w:pPr>
        <w:spacing w:before="0" w:after="80" w:lineRule="auto" w:line="276"/>
      </w:pPr>
      <w:r>
        <w:rPr>
          <w:b/>
        </w:rPr>
        <w:t xml:space="preserve">摘要（ZH）: </w:t>
      </w:r>
      <w:r>
        <w:t>(empty)</w:t>
      </w:r>
    </w:p>
    <w:p>
      <w:pPr>
        <w:spacing w:before="0" w:after="200" w:lineRule="auto" w:line="276"/>
      </w:pPr>
      <w:r>
        <w:rPr>
          <w:b/>
        </w:rPr>
        <w:t xml:space="preserve">Abstract (EN): </w:t>
      </w:r>
      <w:r>
        <w:t>Agricultural terraces are among the most widespread human-made landforms. They profoundly reshape soil landscapes and influence the carbon cycle, yet the extent and drivers of their impact remain highly uncertain. By integrating field observations from 14 well-drained terrace landforms across a climatic-geochemical gradient with a data synthesis, we show that changes in soil organic carbon (SOC) stocks after terracing are governed by two coupled C turnover-geomorphic processes: replacement of lost topsoil C at eroding positions and stabilization of buried SOC at depositional positions. Climate strongly modulates these processes by shaping soil geochemistry and plant productivity, which in turn control SOC replacement and stabilization within terraces. Thus, terracing effects on SOC stocks shift from consistently positive in humid regions to mixed (positive and negative) outcomes in dry regions. This study establishes a framework for elucidating SOC dynamics in well-drained terrace systems and provides a scientific basis for targeted management strategies to enhance C sequestration in agricultural terraces globally.</w:t>
      </w:r>
    </w:p>
    <w:p>
      <w:pPr>
        <w:spacing w:before="120" w:after="120"/>
      </w:pPr>
      <w:r>
        <w:rPr>
          <w:sz w:val="18"/>
        </w:rPr>
        <w:t>——————————————————————————————————————————————————————————————————————</w:t>
      </w:r>
    </w:p>
    <w:p>
      <w:pPr>
        <w:spacing w:before="160" w:after="40" w:line="240" w:lineRule="auto"/>
      </w:pPr>
      <w:r>
        <w:rPr>
          <w:b/>
        </w:rPr>
        <w:t xml:space="preserve">[166] </w:t>
      </w:r>
      <w:hyperlink r:id="rId444">
        <w:r>
          <w:rPr>
            <w:color w:val="1155CC"/>
            <w:u w:val="single"/>
          </w:rPr>
          <w:t>DNA framework–based molecular transformer for logic-driven precision diagnostics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45">
        <w:r>
          <w:rPr>
            <w:color w:val="1155CC"/>
            <w:u w:val="single"/>
          </w:rPr>
          <w:t>10.1126/sciadv.aeb5612</w:t>
        </w:r>
      </w:hyperlink>
    </w:p>
    <w:p>
      <w:pPr>
        <w:spacing w:before="0" w:after="80" w:lineRule="auto" w:line="276"/>
      </w:pPr>
      <w:r>
        <w:rPr>
          <w:b/>
        </w:rPr>
        <w:t xml:space="preserve">摘要（ZH）: </w:t>
      </w:r>
      <w:r>
        <w:t>(empty)</w:t>
      </w:r>
    </w:p>
    <w:p>
      <w:pPr>
        <w:spacing w:before="0" w:after="200" w:lineRule="auto" w:line="276"/>
      </w:pPr>
      <w:r>
        <w:rPr>
          <w:b/>
        </w:rPr>
        <w:t xml:space="preserve">Abstract (EN): </w:t>
      </w:r>
      <w:r>
        <w:t>Precision diagnostics requires logical integration of diverse biomarker information, but molecular heterogeneity and inconsistent identification kinetics hinder robust logic analysis. To overcome this, we develop a universal molecular transformer using DNA tetrahedral frameworks (DTFs) as programmable scaffolds. This system converts diverse biomarkers including proteins and variable-length nucleic acids into uniform 22-nucleotide DNA sequences, normalizing information dimensionality and identification kinetics. These uniform sequences serve as inputs for three fundamentals Boolean logic gates (AND, OR, and INHIBIT), enabling programmable molecular decision-making. Integrated on a gold-chip platform, the DTF transformer and logic system achieved statistically significant discrimination (</w:t>
        <w:br/>
        <w:t xml:space="preserve">                    P</w:t>
        <w:br/>
        <w:t xml:space="preserve">                     &amp;lt; 0.0001) among patients with prostate cancer, patients with benign prostatic hyperplasia, and healthy individuals using only two biomarkers (prostate-specific antigen and ALU115). By unifying signal transformation for Boolean logic computation, we resolve the critical challenges in molecular heterogeneity and establish a versatile platform for next-generation precision diagnostics.</w:t>
      </w:r>
    </w:p>
    <w:p>
      <w:pPr>
        <w:spacing w:before="120" w:after="120"/>
      </w:pPr>
      <w:r>
        <w:rPr>
          <w:sz w:val="18"/>
        </w:rPr>
        <w:t>——————————————————————————————————————————————————————————————————————</w:t>
      </w:r>
    </w:p>
    <w:p>
      <w:pPr>
        <w:spacing w:before="160" w:after="40" w:line="240" w:lineRule="auto"/>
      </w:pPr>
      <w:r>
        <w:rPr>
          <w:b/>
        </w:rPr>
        <w:t xml:space="preserve">[167] </w:t>
      </w:r>
      <w:hyperlink r:id="rId446">
        <w:r>
          <w:rPr>
            <w:color w:val="1155CC"/>
            <w:u w:val="single"/>
          </w:rPr>
          <w:t>Ampk alpha2 T172 activation dictates exercise performance and energy transduction in skeletal muscle</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47">
        <w:r>
          <w:rPr>
            <w:color w:val="1155CC"/>
            <w:u w:val="single"/>
          </w:rPr>
          <w:t>10.1126/sciadv.aeb3338</w:t>
        </w:r>
      </w:hyperlink>
    </w:p>
    <w:p>
      <w:pPr>
        <w:spacing w:before="0" w:after="80" w:lineRule="auto" w:line="276"/>
      </w:pPr>
      <w:r>
        <w:rPr>
          <w:b/>
        </w:rPr>
        <w:t xml:space="preserve">摘要（ZH）: </w:t>
      </w:r>
      <w:r>
        <w:t>(empty)</w:t>
      </w:r>
    </w:p>
    <w:p>
      <w:pPr>
        <w:spacing w:before="0" w:after="200" w:lineRule="auto" w:line="276"/>
      </w:pPr>
      <w:r>
        <w:rPr>
          <w:b/>
        </w:rPr>
        <w:t xml:space="preserve">Abstract (EN): </w:t>
      </w:r>
      <w:r>
        <w:t>Adenosine 5′-monophosphate–activated protein kinase (AMPK) is an energetic sensor for metabolic regulation and integration. Here, we used CRISPR-Cas9 to generate nonactivatable Ampkα knock-in (KI) mice with mutation of threonine-172 phosphorylation site to alanine (T172A), circumventing the limitations of previous genetic interventions that disrupt the protein stoichiometry. KI mice of Ampkα2, but not Ampkα1, demonstrated phenotypic changes with increased fat-to-lean mass, impaired endurance exercise capacity, and diminished mitochondrial maximal respiration and conductance in skeletal muscle. Integrated temporal multiomics analysis (proteomics/phosphoproteomics/metabolomics) in skeletal muscle at rest and during exercise establishes a pleiotropic yet imperative role of Ampkα2 T172 activation for glycolytic and oxidative metabolism, mitochondrial respiration, and contractile function. There is a substantial overlap of skeletal muscle proteomic changes in Ampkα2 T172A KI mice with that of patients with type 2 diabetes. Our findings suggest that Ampkα2 T172 activation is critical for exercise performance and energy transduction in skeletal muscle and may serve as a therapeutic target for type 2 diabetes.</w:t>
      </w:r>
    </w:p>
    <w:p>
      <w:pPr>
        <w:spacing w:before="120" w:after="120"/>
      </w:pPr>
      <w:r>
        <w:rPr>
          <w:sz w:val="18"/>
        </w:rPr>
        <w:t>——————————————————————————————————————————————————————————————————————</w:t>
      </w:r>
    </w:p>
    <w:p>
      <w:pPr>
        <w:spacing w:before="160" w:after="40" w:line="240" w:lineRule="auto"/>
      </w:pPr>
      <w:r>
        <w:rPr>
          <w:b/>
        </w:rPr>
        <w:t xml:space="preserve">[168] </w:t>
      </w:r>
      <w:hyperlink r:id="rId448">
        <w:r>
          <w:rPr>
            <w:color w:val="1155CC"/>
            <w:u w:val="single"/>
          </w:rPr>
          <w:t>Specific SLC25 carriers regulate mitochondrial protein synthesis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49">
        <w:r>
          <w:rPr>
            <w:color w:val="1155CC"/>
            <w:u w:val="single"/>
          </w:rPr>
          <w:t>10.1126/sciadv.aeb0049</w:t>
        </w:r>
      </w:hyperlink>
    </w:p>
    <w:p>
      <w:pPr>
        <w:spacing w:before="0" w:after="80" w:lineRule="auto" w:line="276"/>
      </w:pPr>
      <w:r>
        <w:rPr>
          <w:b/>
        </w:rPr>
        <w:t xml:space="preserve">摘要（ZH）: </w:t>
      </w:r>
      <w:r>
        <w:t>(empty)</w:t>
      </w:r>
    </w:p>
    <w:p>
      <w:pPr>
        <w:spacing w:before="0" w:after="200" w:lineRule="auto" w:line="276"/>
      </w:pPr>
      <w:r>
        <w:rPr>
          <w:b/>
        </w:rPr>
        <w:t xml:space="preserve">Abstract (EN): </w:t>
      </w:r>
      <w:r>
        <w:t>A genome-wide knockout screen identified members of the SLC25 family of mitochondrial carrier proteins as important regulators of the rate of de novo mitochondrial protein synthesis. To elucidate this relationship, we generated human cell knockouts for SLC25A25, SLC25A44, SLC25A45, and SLC25A48, which have been shown to exchange adenosine triphosphate-magnesium (ATP-Mg) and phosphate, branched-chain amino acids, methylated basic amino acids, and choline, respectively. Multiomic and functional analyses identified that these four carriers are crucial for mitochondrial translation, biogenesis and function of the oxidative phosphorylation system, as well as mitochondrial morphology. Thermostability screens showed that SLC25A48 is specifically stabilized by choline, and changes in the mitochondrial metabolome and lipidome indicated defects in choline biosynthetic pathways and remodeling of mitochondrial membranes, both consistent with SLC25A48 being a choline transporter. These results highlight the essential roles of specific SLC25 transporters in maintaining mitochondrial structure and function and show that impaired transport of branched-chain amino acids, methylated basic amino acids, ATP-Mg, and choline affects mitochondrial translation.</w:t>
      </w:r>
    </w:p>
    <w:p>
      <w:pPr>
        <w:spacing w:before="120" w:after="120"/>
      </w:pPr>
      <w:r>
        <w:rPr>
          <w:sz w:val="18"/>
        </w:rPr>
        <w:t>——————————————————————————————————————————————————————————————————————</w:t>
      </w:r>
    </w:p>
    <w:p>
      <w:pPr>
        <w:spacing w:before="160" w:after="40" w:line="240" w:lineRule="auto"/>
      </w:pPr>
      <w:r>
        <w:rPr>
          <w:b/>
        </w:rPr>
        <w:t xml:space="preserve">[169] </w:t>
      </w:r>
      <w:hyperlink r:id="rId450">
        <w:r>
          <w:rPr>
            <w:color w:val="1155CC"/>
            <w:u w:val="single"/>
          </w:rPr>
          <w:t>Spatiotemporal Raman probing of molecular transport in sub–2-nm plasmonic quasi-2D nanochannels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51">
        <w:r>
          <w:rPr>
            <w:color w:val="1155CC"/>
            <w:u w:val="single"/>
          </w:rPr>
          <w:t>10.1126/sciadv.aec3641</w:t>
        </w:r>
      </w:hyperlink>
    </w:p>
    <w:p>
      <w:pPr>
        <w:spacing w:before="0" w:after="80" w:lineRule="auto" w:line="276"/>
      </w:pPr>
      <w:r>
        <w:rPr>
          <w:b/>
        </w:rPr>
        <w:t xml:space="preserve">摘要（ZH）: </w:t>
      </w:r>
      <w:r>
        <w:t>(empty)</w:t>
      </w:r>
    </w:p>
    <w:p>
      <w:pPr>
        <w:spacing w:before="0" w:after="200" w:lineRule="auto" w:line="276"/>
      </w:pPr>
      <w:r>
        <w:rPr>
          <w:b/>
        </w:rPr>
        <w:t xml:space="preserve">Abstract (EN): </w:t>
      </w:r>
      <w:r>
        <w:t>Capturing molecular dynamics in nanoconfined channels with high spatiotemporal resolution is a key challenge in nanoscience, crucial for advancing catalysis, energy conversion, and molecular sensing. Bottom-up ultrathin plasmonic nanogaps, such as nanoparticle-on-mirror (NPoM) structures, are ideal for ultrasensitive probing due to their extreme light confinement, but their perceived sealed geometry has cast doubt on the existence of accessible transport pathways. Here, counterintuitively, we demonstrate that ubiquitous ligand-capped NPoM-type nanogaps can form a natural quasi–two-dimensional nanochannel, supporting molecular exchange and infiltration over unprecedented length scales (≳5 micrometers) with an extreme aspect ratio (&amp;gt;10</w:t>
        <w:br/>
        <w:t xml:space="preserve">                    3</w:t>
        <w:br/>
        <w:t xml:space="preserve">                    ). Using wavelength-multiplexed Raman spectroscopy, we resolve the underlying centripetal infiltration pathway with a spatial resolving power of ~20 nanometers. This redefines the NPoM architecture as a sensitive and hotspot-accessible platform, enabling in situ, real-time, reusable monitoring of analyte with ~10</w:t>
        <w:br/>
        <w:t xml:space="preserve">                    −11</w:t>
        <w:br/>
        <w:t xml:space="preserve">                     molar. This work establishes a versatile platform for advancing super-resolved in situ molecular sensing, nanoscale physicochemical studies, and on-chip nanophotofluidics.</w:t>
      </w:r>
    </w:p>
    <w:p>
      <w:pPr>
        <w:spacing w:before="120" w:after="120"/>
      </w:pPr>
      <w:r>
        <w:rPr>
          <w:sz w:val="18"/>
        </w:rPr>
        <w:t>——————————————————————————————————————————————————————————————————————</w:t>
      </w:r>
    </w:p>
    <w:p>
      <w:pPr>
        <w:spacing w:before="160" w:after="40" w:line="240" w:lineRule="auto"/>
      </w:pPr>
      <w:r>
        <w:rPr>
          <w:b/>
        </w:rPr>
        <w:t xml:space="preserve">[170] </w:t>
      </w:r>
      <w:hyperlink r:id="rId452">
        <w:r>
          <w:rPr>
            <w:color w:val="1155CC"/>
            <w:u w:val="single"/>
          </w:rPr>
          <w:t>The Antarctic coastal ocean heat budget is dominated by heat loss to land ice melt</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53">
        <w:r>
          <w:rPr>
            <w:color w:val="1155CC"/>
            <w:u w:val="single"/>
          </w:rPr>
          <w:t>10.1126/sciadv.aec7443</w:t>
        </w:r>
      </w:hyperlink>
    </w:p>
    <w:p>
      <w:pPr>
        <w:spacing w:before="0" w:after="80" w:lineRule="auto" w:line="276"/>
      </w:pPr>
      <w:r>
        <w:rPr>
          <w:b/>
        </w:rPr>
        <w:t xml:space="preserve">摘要（ZH）: </w:t>
      </w:r>
      <w:r>
        <w:t>(empty)</w:t>
      </w:r>
    </w:p>
    <w:p>
      <w:pPr>
        <w:spacing w:before="0" w:after="200" w:lineRule="auto" w:line="276"/>
      </w:pPr>
      <w:r>
        <w:rPr>
          <w:b/>
        </w:rPr>
        <w:t xml:space="preserve">Abstract (EN): </w:t>
      </w:r>
      <w:r>
        <w:t>Transport of warm Circumpolar Deep Water (CDW) across the Antarctic continental shelf break is the primary source of heat to Antarctica’s marginal seas. Net heat supplied by CDW is ultimately lost to: (i) the ocean surface, either to the atmosphere or sea ice, or (ii) the ice sheet, by melting the base of ice shelves and calved icebergs. Ocean models often neglect the heat exchange needed to melt ice shelves and icebergs. Simulations presented here indicate that this omits the largest ocean heat sink on the Antarctic continental shelf, representing 60% of heat supplied across the shelf break. Suppressing this heat sink in simulations drives enhanced heat loss to the atmosphere through thinned sea ice cover as well as nonlocal reductions in heat supply to the continental shelf via sea ice–mediated stratification changes. These results highlight a source of climate model bias and clarify the dynamics of heat transport to Antarctic ice shelves.</w:t>
      </w:r>
    </w:p>
    <w:p>
      <w:pPr>
        <w:spacing w:before="120" w:after="120"/>
      </w:pPr>
      <w:r>
        <w:rPr>
          <w:sz w:val="18"/>
        </w:rPr>
        <w:t>——————————————————————————————————————————————————————————————————————</w:t>
      </w:r>
    </w:p>
    <w:p>
      <w:pPr>
        <w:spacing w:before="160" w:after="40" w:line="240" w:lineRule="auto"/>
      </w:pPr>
      <w:r>
        <w:rPr>
          <w:b/>
        </w:rPr>
        <w:t xml:space="preserve">[171] </w:t>
      </w:r>
      <w:hyperlink r:id="rId454">
        <w:r>
          <w:rPr>
            <w:color w:val="1155CC"/>
            <w:u w:val="single"/>
          </w:rPr>
          <w:t>Neuronal TDP-43 regulates myelin formation via neurexin 1 mRNA stabilization</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55">
        <w:r>
          <w:rPr>
            <w:color w:val="1155CC"/>
            <w:u w:val="single"/>
          </w:rPr>
          <w:t>10.1073/pnas.2513642123</w:t>
        </w:r>
      </w:hyperlink>
    </w:p>
    <w:p>
      <w:pPr>
        <w:spacing w:before="0" w:after="80" w:lineRule="auto" w:line="276"/>
      </w:pPr>
      <w:r>
        <w:rPr>
          <w:b/>
        </w:rPr>
        <w:t xml:space="preserve">摘要（ZH）: </w:t>
      </w:r>
      <w:r>
        <w:t>(empty)</w:t>
      </w:r>
    </w:p>
    <w:p>
      <w:pPr>
        <w:spacing w:before="0" w:after="200" w:lineRule="auto" w:line="276"/>
      </w:pPr>
      <w:r>
        <w:rPr>
          <w:b/>
        </w:rPr>
        <w:t xml:space="preserve">Abstract (EN): </w:t>
      </w:r>
      <w:r>
        <w:t>Amyotrophic lateral sclerosis (ALS) and frontotemporal lobar degeneration (FTLD) develop as spatial pathologies in which neurons and glial cells are interconnected. TAR DNA-binding protein 43 (TDP-43) is a major pathological protein that is inextricably associated with ALS and FTLD. In this study, we investigated the roles of neuronal TDP-43 in neuron–oligodendrocyte interactions using neuron-specific TDP-43 knockout (TDP-43cKO) mice. TDP-43 depletion in neurons induced hypomyelination, which was confirmed by immunohistochemistry and ultrastructural analysis. In addition, conduction disturbance was revealed by electrophysiological analysis. The hypomyelination of TDP-43cKO mouse was restored by cytoplasmic TDP-43 supplementation in neurons. Neuron-specific transcriptome analysis revealed that neurexin 1 (NRXN1) is the regulatory target of TDP-43, which promotes myelin formation. The hypomyelination of TDP-43cKO mice was also restored by NRXN1b supplementation in neurons. We further confirmed that TDP-43 stabilizes</w:t>
        <w:br/>
        <w:t xml:space="preserve">                    Nrxn1</w:t>
        <w:br/>
        <w:t xml:space="preserve">                    mRNA by binding to the</w:t>
        <w:br/>
        <w:t xml:space="preserve">                    Nrxn1</w:t>
        <w:br/>
        <w:t xml:space="preserve">                    3’untranslated region (3’UTR). Although TDP-43cKO exhibited impaired recognition memory, the supplementation of NRXN1 in the hippocampus recovered the memory disturbances. In conclusion, this study demonstrates the neuron–oligodendrocyte interaction mediated by neuronal TDP-43 via NRXN1 mRNA stabilization. These findings shed light on neuron–oligodendrocyte interaction in the disease mechanisms of ALS/FTLD.</w:t>
      </w:r>
    </w:p>
    <w:p>
      <w:pPr>
        <w:spacing w:before="120" w:after="120"/>
      </w:pPr>
      <w:r>
        <w:rPr>
          <w:sz w:val="18"/>
        </w:rPr>
        <w:t>——————————————————————————————————————————————————————————————————————</w:t>
      </w:r>
    </w:p>
    <w:p>
      <w:pPr>
        <w:spacing w:before="160" w:after="40" w:line="240" w:lineRule="auto"/>
      </w:pPr>
      <w:r>
        <w:rPr>
          <w:b/>
        </w:rPr>
        <w:t xml:space="preserve">[172] </w:t>
      </w:r>
      <w:hyperlink r:id="rId456">
        <w:r>
          <w:rPr>
            <w:color w:val="1155CC"/>
            <w:u w:val="single"/>
          </w:rPr>
          <w:t>Programmed meiotic errors facilitate dichotomous sperm production in the silkworm, Bombyx mori</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57">
        <w:r>
          <w:rPr>
            <w:color w:val="1155CC"/>
            <w:u w:val="single"/>
          </w:rPr>
          <w:t>10.1073/pnas.2520991123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goal of meiosis is typically to produce haploid gametes (eggs or sperm). Failure to do so is catastrophic for fertility. However, Lepidopteran (moths and butterflies) males produce two sperm morphs: nucleated (eupyrene) sperm and anucleated (apyrene) sperm, both of which are essential for fertilization. The meiotic differences in the two types of spermatogenesis are unclear, and our knowledge of the molecular differences between eupyrene and apyrene spermatogenesis is extremely limited in all systems. The only factor identified as being required for apyrene spermatogenesis is</w:t>
        <w:br/>
        <w:t xml:space="preserve">                    Sex-lethal</w:t>
        <w:br/>
        <w:t xml:space="preserve">                    (</w:t>
        <w:br/>
        <w:t xml:space="preserve">                    Sxl</w:t>
        <w:br/>
        <w:t xml:space="preserve">                    ). Here, we show through cytological analysis of meiotic events that there are several key differences in the genesis of apyrene and eupyrene sperm. Specifically, during meiosis I, apyrene spermatocytes fail to decondense and pair their chromosomes during meiotic prophase I. Telomeres fail to localize to the nuclear periphery, and full-length synaptonemal complex does not form. We also find evidence of an abnormal second cell division during apyrene meiosis. RNA sequencing of both eupyrene- and apyrene-producing testes reveals distinct changes in transcriptional programs, including down-regulation of a myriad of cell division genes during apyrene meiosis. By comparing wildtype and</w:t>
        <w:br/>
        <w:t xml:space="preserve">                    Sxl</w:t>
        <w:br/>
        <w:t xml:space="preserve">                    -knockout apyrene testes, we found that</w:t>
        <w:br/>
        <w:t xml:space="preserve">                    Sxl</w:t>
        <w:br/>
        <w:t xml:space="preserve">                    is not required for regulating the expression of the cell division genes but instead may play a role in blocking hormone signaling from altering testis cell identity. Together, our findings reveal significant insights into two converging molecular pathways that promote the formation of dimorphic sperm in Lepidoptera.</w:t>
      </w:r>
    </w:p>
    <w:p>
      <w:pPr>
        <w:spacing w:before="120" w:after="120"/>
      </w:pPr>
      <w:r>
        <w:rPr>
          <w:sz w:val="18"/>
        </w:rPr>
        <w:t>——————————————————————————————————————————————————————————————————————</w:t>
      </w:r>
    </w:p>
    <w:p>
      <w:pPr>
        <w:spacing w:before="160" w:after="40" w:line="240" w:lineRule="auto"/>
      </w:pPr>
      <w:r>
        <w:rPr>
          <w:b/>
        </w:rPr>
        <w:t xml:space="preserve">[173] </w:t>
      </w:r>
      <w:hyperlink r:id="rId458">
        <w:r>
          <w:rPr>
            <w:color w:val="1155CC"/>
            <w:u w:val="single"/>
          </w:rPr>
          <w:t>Terrestrial ecosystem nitrogen cycling in response to field warming: Global patterns and future trends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59">
        <w:r>
          <w:rPr>
            <w:color w:val="1155CC"/>
            <w:u w:val="single"/>
          </w:rPr>
          <w:t>10.1073/pnas.2532868123</w:t>
        </w:r>
      </w:hyperlink>
    </w:p>
    <w:p>
      <w:pPr>
        <w:spacing w:before="0" w:after="80" w:lineRule="auto" w:line="276"/>
      </w:pPr>
      <w:r>
        <w:rPr>
          <w:b/>
        </w:rPr>
        <w:t xml:space="preserve">摘要（ZH）: </w:t>
      </w:r>
      <w:r>
        <w:t>(empty)</w:t>
      </w:r>
    </w:p>
    <w:p>
      <w:pPr>
        <w:spacing w:before="0" w:after="200" w:lineRule="auto" w:line="276"/>
      </w:pPr>
      <w:r>
        <w:rPr>
          <w:b/>
        </w:rPr>
        <w:t xml:space="preserve">Abstract (EN): </w:t>
      </w:r>
      <w:r>
        <w:t>Nitrogen cycling regulates terrestrial ecosystem productivity and carbon sequestration, yet its response to climate warming remains uncertain. Here, we compiled the most comprehensive dataset to date, integrating 7,941 observations from 413 field warming experiments worldwide with random forest regression and Community Land Model (CLM) simulations. Field warming significantly accelerated nitrogen cycling, increasing N</w:t>
        <w:br/>
        <w:t xml:space="preserve">                    2</w:t>
        <w:br/>
        <w:t xml:space="preserve">                    O emissions (+24.7%), mineralization (+25.8%), nitrification (+51.7%), and denitrification (+41.1%). Soil inorganic nitrogen also increased, while plant nitrogen remained largely unchanged. Elevated natural abundance of</w:t>
        <w:br/>
        <w:t xml:space="preserve">                    15</w:t>
        <w:br/>
        <w:t xml:space="preserve">                    N indicated that warming alleviates nitrogen limitation and promotes more open nitrogen cycles. Soil moisture, ecosystem type, and warming magnitude were key drivers. N</w:t>
        <w:br/>
        <w:t xml:space="preserve">                    2</w:t>
        <w:br/>
        <w:t xml:space="preserve">                    O emission and nitrification further intensified with increased warming magnitude in random forest analyses. In contrast, CLM5-BGC simulated weak responses in N</w:t>
        <w:br/>
        <w:t xml:space="preserve">                    2</w:t>
        <w:br/>
        <w:t xml:space="preserve">                    O emissions and nitrification and negative changes in nitrogen mineralization, substantially diverging from field observations. These discrepancies highlight the omission of microbial processes and the oversimplification of large-scale ecosystem feedbacks, respectively. Uniquely, this study provides a direct comparison among empirical data, random forest regression, and CLM simulations, revealing discrepancies and their potential causes. Collectively, our findings demonstrate that terrestrial nitrogen cycling is more responsive to climate warming than previously recognized and underscore the importance of integrating multiple analytical approaches to synthesize cross-scale ecological data.</w:t>
      </w:r>
    </w:p>
    <w:p>
      <w:pPr>
        <w:spacing w:before="120" w:after="120"/>
      </w:pPr>
      <w:r>
        <w:rPr>
          <w:sz w:val="18"/>
        </w:rPr>
        <w:t>——————————————————————————————————————————————————————————————————————</w:t>
      </w:r>
    </w:p>
    <w:p>
      <w:pPr>
        <w:spacing w:before="160" w:after="40" w:line="240" w:lineRule="auto"/>
      </w:pPr>
      <w:r>
        <w:rPr>
          <w:b/>
        </w:rPr>
        <w:t xml:space="preserve">[174] </w:t>
      </w:r>
      <w:hyperlink r:id="rId460">
        <w:r>
          <w:rPr>
            <w:color w:val="1155CC"/>
            <w:u w:val="single"/>
          </w:rPr>
          <w:t>Absolute hand determination of glycofibrils from natural sources in cryo-EM</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61">
        <w:r>
          <w:rPr>
            <w:color w:val="1155CC"/>
            <w:u w:val="single"/>
          </w:rPr>
          <w:t>10.1073/pnas.2531477123</w:t>
        </w:r>
      </w:hyperlink>
    </w:p>
    <w:p>
      <w:pPr>
        <w:spacing w:before="0" w:after="80" w:lineRule="auto" w:line="276"/>
      </w:pPr>
      <w:r>
        <w:rPr>
          <w:b/>
        </w:rPr>
        <w:t xml:space="preserve">摘要（ZH）: </w:t>
      </w:r>
      <w:r>
        <w:t>(empty)</w:t>
      </w:r>
    </w:p>
    <w:p>
      <w:pPr>
        <w:spacing w:before="0" w:after="200" w:lineRule="auto" w:line="276"/>
      </w:pPr>
      <w:r>
        <w:rPr>
          <w:b/>
        </w:rPr>
        <w:t xml:space="preserve">Abstract (EN): </w:t>
      </w:r>
      <w:r>
        <w:t>Glycans are not only one of the four fundamental macromolecular classes that constitute life, but also the most abundant among these four across the Earth. However, compared with proteins and nucleic acids, our understanding of the structures and functional mechanisms of glycans remains limited. Moreover, it is generally challenging to obtain high-resolution three-dimensional structures of glycans. Recent studies have demonstrated the potential of the CryoSeek strategy in enabling high-throughput structural determination of glycans, thereby presenting novel avenues for their structural investigation. Meanwhile, unlike proteins, near atomic resolution density maps of glycofibrils do not inherently facilitate the determination of absolute hand, which is a prerequisite for building atomic models of glycofibrils. Existing absolute hand determination methods have severe limitations in the case of glycofibrils from natural sources. In this study, we introduce Ahaha, a straightforward and efficient method for determining such absolute hand in cryogenic electron microscopy. With their absolute hand measured by Ahaha, we built atomic models of four glycofibrils derived from a natural water sample, facilitating the study of glycans. The online service of Ahaha is available at</w:t>
        <w:br/>
        <w:t xml:space="preserve">                    https://cryoseek.org/ahaha</w:t>
        <w:br/>
        <w:t xml:space="preserve">                    .</w:t>
      </w:r>
    </w:p>
    <w:p>
      <w:pPr>
        <w:spacing w:before="120" w:after="120"/>
      </w:pPr>
      <w:r>
        <w:rPr>
          <w:sz w:val="18"/>
        </w:rPr>
        <w:t>——————————————————————————————————————————————————————————————————————</w:t>
      </w:r>
    </w:p>
    <w:p>
      <w:pPr>
        <w:spacing w:before="160" w:after="40" w:line="240" w:lineRule="auto"/>
      </w:pPr>
      <w:r>
        <w:rPr>
          <w:b/>
        </w:rPr>
        <w:t xml:space="preserve">[175] </w:t>
      </w:r>
      <w:hyperlink r:id="rId462">
        <w:r>
          <w:rPr>
            <w:color w:val="1155CC"/>
            <w:u w:val="single"/>
          </w:rPr>
          <w:t>Phenotypic CRISPR screens identify NLRX1 as an essential activator of the human mitochondrial permeability transition</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63">
        <w:r>
          <w:rPr>
            <w:color w:val="1155CC"/>
            <w:u w:val="single"/>
          </w:rPr>
          <w:t>10.1073/pnas.2535298123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mitochondrial permeability transition (mPT) is an evolutionarily conserved destructive process that permeabilizes the inner mitochondrial membrane in response to calcium overload. The molecular mechanism underlying the mPT is not established. To unambiguously identify essential proteins, we designed two phenotypic assays for mitochondrial calcium overload and applied them to FACS-based CRISPR screening in human cells, ultimately evaluating 19,113 genes. The first screen studied mitochondrial membrane potential (MMP) collapse in response to calcium overload. Top-ranked genes were the essential proteins of the mitochondrial calcium uniporter complex, MCU and EMRE, reflecting that the calcium-induced MMP collapse results from mitochondrial calcium entry and not the mPT. The second screen measured the permeability of the inner mitochondrial membrane. Here, the fluorescent interaction of a membrane impermeant ~600 Da dye and a mitochondrial-targeted HaloTag protein was studied under mPT activating conditions; calcium overload and the thiol-reactive molecule phenylarsine oxide. With secondary validation, we identified four protein-encoding genes that delayed or prevented the mPT under knockout: NF2, REST, BPTF, and NRLX1. Knockout of the nonmitochondrial proteins BPTF, NF2, or REST increased mitochondrial calcium retention capacity (CRC). However, calcium release or sensitivity to cyclosporin A (CsA) persisted, indicative of mPT sensitizers. Only knockout of the mitochondrial matrix protein, NLRX1, increased CRC, abolished calcium release, and was CsA-insensitive. This top-ranked hit of the mitochondrial permeability screen meets the definition of an essential mPT activator. Integral membrane proteins, including all previously proposed mPT candidates, were not essential activators.</w:t>
      </w:r>
    </w:p>
    <w:p>
      <w:pPr>
        <w:spacing w:before="120" w:after="120"/>
      </w:pPr>
      <w:r>
        <w:rPr>
          <w:sz w:val="18"/>
        </w:rPr>
        <w:t>——————————————————————————————————————————————————————————————————————</w:t>
      </w:r>
    </w:p>
    <w:p>
      <w:pPr>
        <w:spacing w:before="160" w:after="40" w:line="240" w:lineRule="auto"/>
      </w:pPr>
      <w:r>
        <w:rPr>
          <w:b/>
        </w:rPr>
        <w:t xml:space="preserve">[176] </w:t>
      </w:r>
      <w:hyperlink r:id="rId464">
        <w:r>
          <w:rPr>
            <w:color w:val="1155CC"/>
            <w:u w:val="single"/>
          </w:rPr>
          <w:t>In the wake of USAID cuts, we can create a Demographic and Health Survey Program founded on more equitable data infrastructure and stronger research integrity</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65">
        <w:r>
          <w:rPr>
            <w:color w:val="1155CC"/>
            <w:u w:val="single"/>
          </w:rPr>
          <w:t>10.1073/pnas.2513242123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[177] </w:t>
      </w:r>
      <w:hyperlink r:id="rId466">
        <w:r>
          <w:rPr>
            <w:color w:val="1155CC"/>
            <w:u w:val="single"/>
          </w:rPr>
          <w:t>Unraveling the maturation pathway of a eukaryotic virus through cryo-EM</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67">
        <w:r>
          <w:rPr>
            <w:color w:val="1155CC"/>
            <w:u w:val="single"/>
          </w:rPr>
          <w:t>10.1073/pnas.2420493123</w:t>
        </w:r>
      </w:hyperlink>
    </w:p>
    <w:p>
      <w:pPr>
        <w:spacing w:before="0" w:after="80" w:lineRule="auto" w:line="276"/>
      </w:pPr>
      <w:r>
        <w:rPr>
          <w:b/>
        </w:rPr>
        <w:t xml:space="preserve">摘要（ZH）: </w:t>
      </w:r>
      <w:r>
        <w:t>(empty)</w:t>
      </w:r>
    </w:p>
    <w:p>
      <w:pPr>
        <w:spacing w:before="0" w:after="200" w:lineRule="auto" w:line="276"/>
      </w:pPr>
      <w:r>
        <w:rPr>
          <w:b/>
        </w:rPr>
        <w:t xml:space="preserve">Abstract (EN): </w:t>
      </w:r>
      <w:r>
        <w:t>Virus maturation is a fundamental biological process involving large-scale structural reorganizations that drive functional activation and lead to infectivity. Understanding the steps from the initial procapsid assembly to mature virions is essential, both for comprehending viral life cycles and for developing antiviral therapies. However, capturing these steps has been challenging due to the transient and elusive nature of intermediate states. The nonenveloped, T = 4, ssRNA-containing,</w:t>
        <w:br/>
        <w:t xml:space="preserve">                    Nudaurelia capensis</w:t>
        <w:br/>
        <w:t xml:space="preserve">                    omega virus (NωV) is a highly accessible model system that exemplifies the maturation process of a eukaryotic virus. During maturation, the particle shrinks in outer diameter from 482 Å (pH 7.6) to 428 Å (pH 5.0). It is possible to mimic the maturation process in vitro by lowering the pH of a population of procapsids produced in heterologous systems. Indeed, by controlling the pH in vitro, it is possible to produce homogenous populations of intermediate NωV virus-like particles (VLPs) that occur too fleetingly to be observed in vivo. Here, we report structural models, based on cryoelectron microscopy (cryo-EM), of five intermediates in the NωV maturation process. The structures of the intermediate particles reveal unique, quaternary position-dependent trajectories and refolding of subunit N and C-terminal regions, including the formation of the autocatalytic cleavage site at N570. The detailed structures reported here, coupled with previously determined structures of the procapsids and mature particles, allow the maturation pathway to be described in detail for a eukaryotic virus.</w:t>
      </w:r>
    </w:p>
    <w:p>
      <w:pPr>
        <w:spacing w:before="120" w:after="120"/>
      </w:pPr>
      <w:r>
        <w:rPr>
          <w:sz w:val="18"/>
        </w:rPr>
        <w:t>——————————————————————————————————————————————————————————————————————</w:t>
      </w:r>
    </w:p>
    <w:p>
      <w:pPr>
        <w:spacing w:before="160" w:after="40" w:line="240" w:lineRule="auto"/>
      </w:pPr>
      <w:r>
        <w:rPr>
          <w:b/>
        </w:rPr>
        <w:t xml:space="preserve">[178] </w:t>
      </w:r>
      <w:hyperlink r:id="rId468">
        <w:r>
          <w:rPr>
            <w:color w:val="1155CC"/>
            <w:u w:val="single"/>
          </w:rPr>
          <w:t>When alternative becomes essential: The role of mitochondrial glycerol-3-phosphate dehydrogenase</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69">
        <w:r>
          <w:rPr>
            <w:color w:val="1155CC"/>
            <w:u w:val="single"/>
          </w:rPr>
          <w:t>10.1073/pnas.2535701123</w:t>
        </w:r>
      </w:hyperlink>
    </w:p>
    <w:p>
      <w:pPr>
        <w:spacing w:before="0" w:after="80" w:lineRule="auto" w:line="276"/>
      </w:pPr>
      <w:r>
        <w:rPr>
          <w:b/>
        </w:rPr>
        <w:t xml:space="preserve">摘要（ZH）: </w:t>
      </w:r>
      <w:r>
        <w:t>(empty)</w:t>
      </w:r>
    </w:p>
    <w:p>
      <w:pPr>
        <w:spacing w:before="0" w:after="200" w:lineRule="auto" w:line="276"/>
      </w:pPr>
      <w:r>
        <w:rPr>
          <w:b/>
        </w:rPr>
        <w:t xml:space="preserve">Abstract (EN): </w:t>
      </w:r>
      <w:r>
        <w:t>Complex I is known as the primary entry point for electrons within the mitochondrial electron transport system (ETS). However, the glycerol-3-phosphate (G3P) shuttle, composed of cytosolic and mitochondrial G3P dehydrogenase (cG3PDH and mtG3PDH, respectively), transfer reducing equivalents from the cytosol to the mitochondrial matrix. The mtG3PDH feeds electrons into the ETS via FADH</w:t>
        <w:br/>
        <w:t xml:space="preserve">                    2</w:t>
        <w:br/>
        <w:t xml:space="preserve">                    oxidation, but with theoretically lower energy conversion efficiency than complex I. It is thus believed to be an “alternative” pathway, only supporting mitochondrial respiration when complex I fails. mtG3PDH also plays an important role in reactive oxygen species (ROS) production. To investigate the role of this understudied protein in mitochondrial bioenergetics and redox homeostasis, we generated</w:t>
        <w:br/>
        <w:t xml:space="preserve">                    </w:t>
        <w:br/>
        <w:t xml:space="preserve">                      Drosophila melanogaster</w:t>
        <w:br/>
        <w:t xml:space="preserve">                    </w:t>
        <w:br/>
        <w:t xml:space="preserve">                    mutant lines for mtG3PDH (GPO1) using a CRISPR/Cas9-based approach and determined several physiological and metabolic parameters. A drastically higher mortality rate was observed among the GPO1 flies, as well as a lethargic behavior characterized by an inability to climb. These results are in accordance with an impaired mitochondrial efficiency (ATP/O) mainly due to decreased ATP production (~60% decrease) and O</w:t>
        <w:br/>
        <w:t xml:space="preserve">                    2</w:t>
        <w:br/>
        <w:t xml:space="preserve">                    consumption (~33% decrease), rather than elevated ROS. In fact, GPO1 flies produced ~70% less ROS than controls, likely due to the reduced direct and reverse electron transfer-related ROS production from mtG3PDH. These results support an essential role of mtG3PDH in mitochondrial bioenergetic, challenging its alternative aspect, and confirming its importance in mitochondrial redox homeostasis.</w:t>
      </w:r>
    </w:p>
    <w:p>
      <w:pPr>
        <w:spacing w:before="120" w:after="120"/>
      </w:pPr>
      <w:r>
        <w:rPr>
          <w:sz w:val="18"/>
        </w:rPr>
        <w:t>——————————————————————————————————————————————————————————————————————</w:t>
      </w:r>
    </w:p>
    <w:p>
      <w:pPr>
        <w:spacing w:before="160" w:after="40" w:line="240" w:lineRule="auto"/>
      </w:pPr>
      <w:r>
        <w:rPr>
          <w:b/>
        </w:rPr>
        <w:t xml:space="preserve">[179] </w:t>
      </w:r>
      <w:hyperlink r:id="rId470">
        <w:r>
          <w:rPr>
            <w:color w:val="1155CC"/>
            <w:u w:val="single"/>
          </w:rPr>
          <w:t>Geometrical preference of anchoring sites in the unicellular organism Stentor coeruleus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71">
        <w:r>
          <w:rPr>
            <w:color w:val="1155CC"/>
            <w:u w:val="single"/>
          </w:rPr>
          <w:t>10.1073/pnas.2518816123</w:t>
        </w:r>
      </w:hyperlink>
    </w:p>
    <w:p>
      <w:pPr>
        <w:spacing w:before="0" w:after="80" w:lineRule="auto" w:line="276"/>
      </w:pPr>
      <w:r>
        <w:rPr>
          <w:b/>
        </w:rPr>
        <w:t xml:space="preserve">摘要（ZH）: </w:t>
      </w:r>
      <w:r>
        <w:t>(empty)</w:t>
      </w:r>
    </w:p>
    <w:p>
      <w:pPr>
        <w:spacing w:before="0" w:after="200" w:lineRule="auto" w:line="276"/>
      </w:pPr>
      <w:r>
        <w:rPr>
          <w:b/>
        </w:rPr>
        <w:t xml:space="preserve">Abstract (EN): </w:t>
      </w:r>
      <w:r>
        <w:t>Organisms often inhabit environments comprising complex structures across various scales. Animals rely on visual information from surrounding geometrical structures for navigation. Even at the microscale, various microsediments form complex structures in microbial habitats. The movement of microorganisms is passively affected by collisions and hydrodynamic interactions with surrounding structures. However, the influence of microenvironmental geometry on behavioral changes of unicellular organisms that lack visual perception remains unclear. Here, we developed geometrically structured chambers to investigate anchoring site preferences in the swimming ciliate</w:t>
        <w:br/>
        <w:t xml:space="preserve">                    Stentor coeruleus</w:t>
        <w:br/>
        <w:t xml:space="preserve">                    . Our experiments revealed that</w:t>
        <w:br/>
        <w:t xml:space="preserve">                    S. coeruleus</w:t>
        <w:br/>
        <w:t xml:space="preserve">                    preferentially anchored in narrow regions characterized by specific geometrical features, including corner angle, depth, and curvature at the corner end. Before anchoring, free-swimming</w:t>
        <w:br/>
        <w:t xml:space="preserve">                    S. coeruleus</w:t>
        <w:br/>
        <w:t xml:space="preserve">                    changed its behavior to move along the boundary wall of the chambers, accompanied by Ca</w:t>
        <w:br/>
        <w:t xml:space="preserve">                    2+</w:t>
        <w:br/>
        <w:t xml:space="preserve">                    -induced asymmetrical body deformation. To further investigate how</w:t>
        <w:br/>
        <w:t xml:space="preserve">                    S. coeruleus</w:t>
        <w:br/>
        <w:t xml:space="preserve">                    moves along the wall continuously, we conducted a hydrodynamic simulation and revealed that the asymmetric morphology causes asymmetric propulsive forces, explaining wall-following behavior through physical interactions with a wall. Thus, morphological change near a wall causes wall-following behavior, facilitating the identification of these narrow anchoring sites. Our findings indicate that environmental geometry drives behavioral transitions in</w:t>
        <w:br/>
        <w:t xml:space="preserve">                    S. coeruleus</w:t>
        <w:br/>
        <w:t xml:space="preserve">                    through simple biophysical processes, enabling spatial selection without visual cues. Overall, these results suggest that microgeometry plays a key role in shaping ecological niches for unicellular microorganisms.</w:t>
      </w:r>
    </w:p>
    <w:p>
      <w:pPr>
        <w:spacing w:before="120" w:after="120"/>
      </w:pPr>
      <w:r>
        <w:rPr>
          <w:sz w:val="18"/>
        </w:rPr>
        <w:t>——————————————————————————————————————————————————————————————————————</w:t>
      </w:r>
    </w:p>
    <w:p>
      <w:pPr>
        <w:spacing w:before="160" w:after="40" w:line="240" w:lineRule="auto"/>
      </w:pPr>
      <w:r>
        <w:rPr>
          <w:b/>
        </w:rPr>
        <w:t xml:space="preserve">[180] </w:t>
      </w:r>
      <w:hyperlink r:id="rId472">
        <w:r>
          <w:rPr>
            <w:color w:val="1155CC"/>
            <w:u w:val="single"/>
          </w:rPr>
          <w:t>Efficient evaluation of optical quantum modules via two-photon high-dimensional interference</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73">
        <w:r>
          <w:rPr>
            <w:color w:val="1155CC"/>
            <w:u w:val="single"/>
          </w:rPr>
          <w:t>10.1073/pnas.2515503123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rapid advancement of quantum information technology has increased the demand for precise testing and calibration of quantum modules, especially in optical quantum circuits where module reliability directly impacts system performance. To address this need, we propose a two-photon quantum module evaluation method based on high-dimensional Hong–Ou–Mandel interference. Our method uses multi-degree-of-freedom photon encoding to enable rapid and accurate evaluation of optical quantum modules. Compared to traditional methods such as quantum process tomography and direct fidelity estimation, our method not only simplifies implementation but also significantly minimizes the measurement resources required. Notably, the resource demands remain invariant as the system dimensionality scales, ensuring efficient evaluation even in high-dimensional quantum systems. We validated this method on a programmable silicon photonic chip, demonstrating its ability to accurately evaluate optical quantum module performance while significantly reducing resource consumption. This quantum module evaluation method holds promise for broader applications in the field of optical quantum information technologies.</w:t>
      </w:r>
    </w:p>
    <w:p>
      <w:pPr>
        <w:spacing w:before="120" w:after="120"/>
      </w:pPr>
      <w:r>
        <w:rPr>
          <w:sz w:val="18"/>
        </w:rPr>
        <w:t>——————————————————————————————————————————————————————————————————————</w:t>
      </w:r>
    </w:p>
    <w:p>
      <w:pPr>
        <w:spacing w:before="160" w:after="40" w:line="240" w:lineRule="auto"/>
      </w:pPr>
      <w:r>
        <w:rPr>
          <w:b/>
        </w:rPr>
        <w:t xml:space="preserve">[181] </w:t>
      </w:r>
      <w:hyperlink r:id="rId474">
        <w:r>
          <w:rPr>
            <w:color w:val="1155CC"/>
            <w:u w:val="single"/>
          </w:rPr>
          <w:t>Capturing ribosomal structures in cellular extracts with cryoPRISM: A purification-free cryoEM approach reveals novel structural states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75">
        <w:r>
          <w:rPr>
            <w:color w:val="1155CC"/>
            <w:u w:val="single"/>
          </w:rPr>
          <w:t>10.1073/pnas.2521210123</w:t>
        </w:r>
      </w:hyperlink>
    </w:p>
    <w:p>
      <w:pPr>
        <w:spacing w:before="0" w:after="80" w:lineRule="auto" w:line="276"/>
      </w:pPr>
      <w:r>
        <w:rPr>
          <w:b/>
        </w:rPr>
        <w:t xml:space="preserve">摘要（ZH）: </w:t>
      </w:r>
      <w:r>
        <w:t>(empty)</w:t>
      </w:r>
    </w:p>
    <w:p>
      <w:pPr>
        <w:spacing w:before="0" w:after="200" w:lineRule="auto" w:line="276"/>
      </w:pPr>
      <w:r>
        <w:rPr>
          <w:b/>
        </w:rPr>
        <w:t xml:space="preserve">Abstract (EN): </w:t>
      </w:r>
      <w:r>
        <w:t>Structural analyses of ribosomes by single particle cryogenic electron microscopy (cryoEM) have traditionally relied on purified or reconstituted samples, with particles often trapped in desired states using genetic, pharmacological, or biochemical perturbations. While informative, such in vitro methods often fail to capture the full diversity of structural states and associated protein factors present in cells. In contrast, in situ cryoelectron tomography preserves cellular context but is limited by low throughput and modest resolution. Here, we present cryoPRISM (purification-free ribosome imaging from subcellular mixtures), a rapid ex vivo workflow encompassing cell lysis, vitrification, and image analysis methods for high-resolution analyses of ribosomal structures directly from cell lysates. Applying cryoPRISM in</w:t>
        <w:br/>
        <w:t xml:space="preserve">                    </w:t>
        <w:br/>
        <w:t xml:space="preserve">                      Escherichia coli</w:t>
        <w:br/>
        <w:t xml:space="preserve">                    </w:t>
        <w:br/>
        <w:t xml:space="preserve">                    , we resolved more than 20 distinct ribosomal states spanning assembly, translation initiation, elongation, trans-translation, and quiescence, including a novel configuration of EF-G bound to idle ribosomes with the ribosome hibernation factor ribosome-associated inhibitor A. Given its speed, accessibility, and ability to preserve native interactions and structural heterogeneity, we anticipate that cryoPRISM will be broadly applicable for uncovering ribosomal biology across diverse organisms and conditions.</w:t>
      </w:r>
    </w:p>
    <w:p>
      <w:pPr>
        <w:spacing w:before="120" w:after="120"/>
      </w:pPr>
      <w:r>
        <w:rPr>
          <w:sz w:val="18"/>
        </w:rPr>
        <w:t>——————————————————————————————————————————————————————————————————————</w:t>
      </w:r>
    </w:p>
    <w:p>
      <w:pPr>
        <w:spacing w:before="160" w:after="40" w:line="240" w:lineRule="auto"/>
      </w:pPr>
      <w:r>
        <w:rPr>
          <w:b/>
        </w:rPr>
        <w:t xml:space="preserve">[182] </w:t>
      </w:r>
      <w:hyperlink r:id="rId476">
        <w:r>
          <w:rPr>
            <w:color w:val="1155CC"/>
            <w:u w:val="single"/>
          </w:rPr>
          <w:t>Sibling number and early interactions shape social competence for life</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2026-02-25 08:00:00+00:00</w:t>
      </w:r>
      <w:r>
        <w:t xml:space="preserve">    </w:t>
      </w:r>
      <w:r>
        <w:rPr>
          <w:b/>
        </w:rPr>
        <w:t xml:space="preserve">DOI: </w:t>
      </w:r>
      <w:hyperlink r:id="rId477">
        <w:r>
          <w:rPr>
            <w:color w:val="1155CC"/>
            <w:u w:val="single"/>
          </w:rPr>
          <w:t>10.1073/pnas.2527981123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social environment experienced during development plays a crucial role in shaping social competence—the ability to respond appropriately to social challenges. Sibling number and the social interactions between them are key components of the early lives in many animals. While these components are well known to influence social development in humans, their role in nonhuman animals remains unclear. Here, we show that both the number of siblings and opportunities for social interaction are essential for developing social competence in the highly social cichlid</w:t>
        <w:br/>
        <w:t xml:space="preserve">                    Neolamprologus pulcher</w:t>
        <w:br/>
        <w:t xml:space="preserve">                    . Fish reared in large broods (LB) displayed more affiliative and fewer aggressive or submissive behaviors during early life compared to those reared in small broods (SB) or in large broods with restricted opportunities for interactions (4 × 8). Later in life, LB fish were more socially competent. Thus, social competence arises not from the number of individuals or interactions alone, but from the combination of both.</w:t>
      </w:r>
    </w:p>
    <w:p>
      <w:pPr>
        <w:spacing w:before="120" w:after="120"/>
      </w:pPr>
      <w:r>
        <w:rPr>
          <w:sz w:val="18"/>
        </w:rPr>
        <w:t>——————————————————————————————————————————————————————————————————————</w:t>
      </w:r>
    </w:p>
    <w:p>
      <w:pPr>
        <w:spacing w:before="160" w:after="40" w:line="240" w:lineRule="auto"/>
      </w:pPr>
      <w:r>
        <w:rPr>
          <w:b/>
        </w:rPr>
        <w:t xml:space="preserve">[183] </w:t>
      </w:r>
      <w:hyperlink r:id="rId478">
        <w:r>
          <w:rPr>
            <w:color w:val="1155CC"/>
            <w:u w:val="single"/>
          </w:rPr>
          <w:t>Inflamed vessel–anchored release of H2 across the blood-brain barrier for ischemic stroke neuroprotection</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79">
        <w:r>
          <w:rPr>
            <w:color w:val="1155CC"/>
            <w:u w:val="single"/>
          </w:rPr>
          <w:t>10.1126/sciadv.aea3355</w:t>
        </w:r>
      </w:hyperlink>
    </w:p>
    <w:p>
      <w:pPr>
        <w:spacing w:before="0" w:after="80" w:lineRule="auto" w:line="276"/>
      </w:pPr>
      <w:r>
        <w:rPr>
          <w:b/>
        </w:rPr>
        <w:t xml:space="preserve">摘要（ZH）: </w:t>
      </w:r>
      <w:r>
        <w:t>(empty)</w:t>
      </w:r>
    </w:p>
    <w:p>
      <w:pPr>
        <w:spacing w:before="0" w:after="200" w:lineRule="auto" w:line="276"/>
      </w:pPr>
      <w:r>
        <w:rPr>
          <w:b/>
        </w:rPr>
        <w:t xml:space="preserve">Abstract (EN): </w:t>
      </w:r>
      <w:r>
        <w:t>Ischemic stroke followed by reperfusion urgently requires safe and efficient cytoprotective strategies, a need still unmet by current pharmacotherapies. Nanotechnology holds promise for improved drug delivery to the brain, yet the efficacy of nanomaterials crossing the blood-brain barrier (BBB) is quite limited, and long-term intracranial retention of nanomaterials may provoke neurotoxicity. Leveraging the anti-inflammatory, BBB-crossing, and biosafe properties of hydrogen (H</w:t>
        <w:br/>
        <w:t xml:space="preserve">                    2</w:t>
        <w:br/>
        <w:t xml:space="preserve">                    ), we develop an inflamed vessel–targeted/anchored H</w:t>
        <w:br/>
        <w:t xml:space="preserve">                    2</w:t>
        <w:br/>
        <w:t xml:space="preserve">                    –producing system by modifying ZrSi</w:t>
        <w:br/>
        <w:t xml:space="preserve">                    2</w:t>
        <w:br/>
        <w:t xml:space="preserve">                    nanoparticles with a P-selectin–binding peptide (ZSNP), mimicking P-selectin/P-selectin glycoprotein ligand–mediated innate immune recruitment. Rather than relying on nanoparticle penetration into the brain parenchyma, this design enables ZSNP to anchor at the BBB vasculature, where it locally and continuously generates H</w:t>
        <w:br/>
        <w:t xml:space="preserve">                    2</w:t>
        <w:br/>
        <w:t xml:space="preserve">                    via hydrolysis. The released H</w:t>
        <w:br/>
        <w:t xml:space="preserve">                    2</w:t>
        <w:br/>
        <w:t xml:space="preserve">                    traverses the BBB, exerting cytoprotection through antioxidant and immunomodulatory mechanisms that coordinate multicellular recovery processes. Furthermore, ZSNP promotes microglia-mediated angiogenesis and neurogenesis, guides axonal projections along neovascular trajectories, and facilitates microglia-neuron interaction via the noncanonical Wnt/Ca</w:t>
        <w:br/>
        <w:t xml:space="preserve">                    2+</w:t>
        <w:br/>
        <w:t xml:space="preserve">                    pathway. This reconstruction of the neurovascular network supports the reintegration of functional neural circuits, leading to structural and functional recovery that surpasses the effects of edaravone. By enabling sustained H</w:t>
        <w:br/>
        <w:t xml:space="preserve">                    2</w:t>
        <w:br/>
        <w:t xml:space="preserve">                    release at the BBB interface without requiring nanoparticle intracranial accumulation, this strategy represents a promising and low-burden neuroprotective approach for ischemic stroke.</w:t>
      </w:r>
    </w:p>
    <w:p>
      <w:pPr>
        <w:spacing w:before="120" w:after="120"/>
      </w:pPr>
      <w:r>
        <w:rPr>
          <w:sz w:val="18"/>
        </w:rPr>
        <w:t>——————————————————————————————————————————————————————————————————————</w:t>
      </w:r>
    </w:p>
    <w:p>
      <w:pPr>
        <w:spacing w:before="160" w:after="40" w:line="240" w:lineRule="auto"/>
      </w:pPr>
      <w:r>
        <w:rPr>
          <w:b/>
        </w:rPr>
        <w:t xml:space="preserve">[184] </w:t>
      </w:r>
      <w:hyperlink r:id="rId480">
        <w:r>
          <w:rPr>
            <w:color w:val="1155CC"/>
            <w:u w:val="single"/>
          </w:rPr>
          <w:t>The thermodynamic opportunities hypothesis: Metabolic temperature insensitivity across flatfish species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81">
        <w:r>
          <w:rPr>
            <w:color w:val="1155CC"/>
            <w:u w:val="single"/>
          </w:rPr>
          <w:t>10.1126/sciadv.adz0425</w:t>
        </w:r>
      </w:hyperlink>
    </w:p>
    <w:p>
      <w:pPr>
        <w:spacing w:before="0" w:after="80" w:lineRule="auto" w:line="276"/>
      </w:pPr>
      <w:r>
        <w:rPr>
          <w:b/>
        </w:rPr>
        <w:t xml:space="preserve">摘要（ZH）: </w:t>
      </w:r>
      <w:r>
        <w:t>(empty)</w:t>
      </w:r>
    </w:p>
    <w:p>
      <w:pPr>
        <w:spacing w:before="0" w:after="200" w:lineRule="auto" w:line="276"/>
      </w:pPr>
      <w:r>
        <w:rPr>
          <w:b/>
        </w:rPr>
        <w:t xml:space="preserve">Abstract (EN): </w:t>
      </w:r>
      <w:r>
        <w:t>This study challenges widely held metabolic theory, which suggests that whole-animal metabolic rates increase with temperature because of its universal effects on the kinetics of the underlying biochemical reactions. Here, we show that metabolic rates across flatfish species are largely invariant from poles to the equator, which points to an explanation for interspecific thermal sensitivity based on ecology and evolution rather than thermodynamic constraints. The explanation proposed here is that warm water provides a thermodynamic opportunity, not a mandate, for metabolic rate escalation when required for predator-prey interactions. Flatfish do not require metabolic escalation because of their reliance on camouflage that mitigates the greater predation intensity in tropical waters. These findings have strong implications for models attempting to diagnose the response of organisms to climate change and for macroecological patterns more generally.</w:t>
      </w:r>
    </w:p>
    <w:p>
      <w:pPr>
        <w:spacing w:before="120" w:after="120"/>
      </w:pPr>
      <w:r>
        <w:rPr>
          <w:sz w:val="18"/>
        </w:rPr>
        <w:t>——————————————————————————————————————————————————————————————————————</w:t>
      </w:r>
    </w:p>
    <w:p>
      <w:pPr>
        <w:spacing w:before="160" w:after="40" w:line="240" w:lineRule="auto"/>
      </w:pPr>
      <w:r>
        <w:rPr>
          <w:b/>
        </w:rPr>
        <w:t xml:space="preserve">[185] </w:t>
      </w:r>
      <w:hyperlink r:id="rId482">
        <w:r>
          <w:rPr>
            <w:color w:val="1155CC"/>
            <w:u w:val="single"/>
          </w:rPr>
          <w:t>Diverse database and machine learning model to narrow the generalization gap in RNA structure prediction</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83">
        <w:r>
          <w:rPr>
            <w:color w:val="1155CC"/>
            <w:u w:val="single"/>
          </w:rPr>
          <w:t>10.1126/sciadv.adz4967</w:t>
        </w:r>
      </w:hyperlink>
    </w:p>
    <w:p>
      <w:pPr>
        <w:spacing w:before="0" w:after="80" w:lineRule="auto" w:line="276"/>
      </w:pPr>
      <w:r>
        <w:rPr>
          <w:b/>
        </w:rPr>
        <w:t xml:space="preserve">摘要（ZH）: </w:t>
      </w:r>
      <w:r>
        <w:t>(empty)</w:t>
      </w:r>
    </w:p>
    <w:p>
      <w:pPr>
        <w:spacing w:before="0" w:after="200" w:lineRule="auto" w:line="276"/>
      </w:pPr>
      <w:r>
        <w:rPr>
          <w:b/>
        </w:rPr>
        <w:t xml:space="preserve">Abstract (EN): </w:t>
      </w:r>
      <w:r>
        <w:t>Understanding macromolecular structures of proteins and nucleic acids is critical for discerning their functions and biological roles. Advanced techniques—crystallography, nuclear magnetic resonance, and cryo–electron microscopy—have facilitated the determination of more than 180,000 protein structures, all cataloged in the Protein Data Bank. This comprehensive repository has been pivotal in developing deep learning algorithms for predicting protein structures directly from sequences. In contrast, RNA structure prediction has lagged and suffers from a scarcity of structural data. Here, we present the secondary structure models of 1098 primary microRNAs and 1456 human messenger RNA regions determined through chemical probing. We develop a deep learning architecture inspired from the Evoformer model of Alphafold and traditional architectures for secondary structure prediction. This model, eFold, was trained on our newly generated database and more than 300,000 secondary structures across multiple sources. We benchmark eFold on two challenging test sets of long and diverse RNA structures and show that our dataset and architecture contribute to increasing the prediction performance, compared to similar state-of-the-art methods. Together, our results reveal that merely expanding the database size is insufficient for generalization across families, whereas incorporating a greater diversity and complexity of RNA structures allows for enhanced model performance.</w:t>
      </w:r>
    </w:p>
    <w:p>
      <w:pPr>
        <w:spacing w:before="120" w:after="120"/>
      </w:pPr>
      <w:r>
        <w:rPr>
          <w:sz w:val="18"/>
        </w:rPr>
        <w:t>——————————————————————————————————————————————————————————————————————</w:t>
      </w:r>
    </w:p>
    <w:p>
      <w:pPr>
        <w:spacing w:before="160" w:after="40" w:line="240" w:lineRule="auto"/>
      </w:pPr>
      <w:r>
        <w:rPr>
          <w:b/>
        </w:rPr>
        <w:t xml:space="preserve">[186] </w:t>
      </w:r>
      <w:hyperlink r:id="rId484">
        <w:r>
          <w:rPr>
            <w:color w:val="1155CC"/>
            <w:u w:val="single"/>
          </w:rPr>
          <w:t>KIT supports small intestinal tuft cell hyperplasia</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85">
        <w:r>
          <w:rPr>
            <w:color w:val="1155CC"/>
            <w:u w:val="single"/>
          </w:rPr>
          <w:t>10.1126/sciadv.ady0883</w:t>
        </w:r>
      </w:hyperlink>
    </w:p>
    <w:p>
      <w:pPr>
        <w:spacing w:before="0" w:after="80" w:lineRule="auto" w:line="276"/>
      </w:pPr>
      <w:r>
        <w:rPr>
          <w:b/>
        </w:rPr>
        <w:t xml:space="preserve">摘要（ZH）: </w:t>
      </w:r>
      <w:r>
        <w:t>(empty)</w:t>
      </w:r>
    </w:p>
    <w:p>
      <w:pPr>
        <w:spacing w:before="0" w:after="200" w:lineRule="auto" w:line="276"/>
      </w:pPr>
      <w:r>
        <w:rPr>
          <w:b/>
        </w:rPr>
        <w:t xml:space="preserve">Abstract (EN): </w:t>
      </w:r>
      <w:r>
        <w:t>The small intestine balances the competing tasks of nutrient absorption, immune tolerance, and defense through dynamic differentiation of short-lived epithelial cells. During helminth infection, interleukin-13 (IL-13) or IL-4 drive a 10-fold expansion of tuft cells to promote helminth clearance. While IL-4/13 signaling in epithelial cells is required for tuft cell hyperplasia, few signals that support this process have been identified. Here, we show that tuft cells across all tissues express the receptor tyrosine kinase KIT and that IL-4/13 is necessary and sufficient to up-regulate KIT on small intestinal (SI) tuft cells. Although epithelial KIT is dispensable for homeostatic turnover, KIT deletion from tuft cells during helminth infection reduces tuft cell hyperplasia and delays helminth clearance. Mechanistically, KIT signaling supports the generation of new tuft cells in SI crypts. These findings thus identify a unique tuft cell-specific function for KIT in type 2 immunity.</w:t>
      </w:r>
    </w:p>
    <w:p>
      <w:pPr>
        <w:spacing w:before="120" w:after="120"/>
      </w:pPr>
      <w:r>
        <w:rPr>
          <w:sz w:val="18"/>
        </w:rPr>
        <w:t>——————————————————————————————————————————————————————————————————————</w:t>
      </w:r>
    </w:p>
    <w:p>
      <w:pPr>
        <w:spacing w:before="160" w:after="40" w:line="240" w:lineRule="auto"/>
      </w:pPr>
      <w:r>
        <w:rPr>
          <w:b/>
        </w:rPr>
        <w:t xml:space="preserve">[187] </w:t>
      </w:r>
      <w:hyperlink r:id="rId486">
        <w:r>
          <w:rPr>
            <w:color w:val="1155CC"/>
            <w:u w:val="single"/>
          </w:rPr>
          <w:t>3D Anderson localization of classical scalar waves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87">
        <w:r>
          <w:rPr>
            <w:color w:val="1155CC"/>
            <w:u w:val="single"/>
          </w:rPr>
          <w:t>10.1126/sciadv.aed1319</w:t>
        </w:r>
      </w:hyperlink>
    </w:p>
    <w:p>
      <w:pPr>
        <w:spacing w:before="0" w:after="80" w:lineRule="auto" w:line="276"/>
      </w:pPr>
      <w:r>
        <w:rPr>
          <w:b/>
        </w:rPr>
        <w:t xml:space="preserve">摘要（ZH）: </w:t>
      </w:r>
      <w:r>
        <w:t>(empty)</w:t>
      </w:r>
    </w:p>
    <w:p>
      <w:pPr>
        <w:spacing w:before="0" w:after="200" w:lineRule="auto" w:line="276"/>
      </w:pPr>
      <w:r>
        <w:rPr>
          <w:b/>
        </w:rPr>
        <w:t xml:space="preserve">Abstract (EN): </w:t>
      </w:r>
      <w:r>
        <w:t>Anderson localization, first predicted in 1958, is one of the most fascinating and remarkable wave phenomena. The experimental search for this halt of diffusive transport in three-dimensional (3D) disordered systems, which is still very actively pursued for classical waves (light or sound), has never been demonstrated for the fundamental case of scalar waves. Inspired by recent advances in 3D metamaterials, we show that a locally resonant ultrasonic metafluid consisting of a suspension of soft metallic beads is the innovation needed for 3D Anderson localization of scalar acoustic waves to be definitively observed. By reporting two independent sets of time- and position-resolved ultrasonic experiments, we present clear evidence of Anderson transitions between diffusion and localization, accurately determining the mobility edges and the localization phase diagram.</w:t>
      </w:r>
    </w:p>
    <w:p>
      <w:pPr>
        <w:spacing w:before="120" w:after="120"/>
      </w:pPr>
      <w:r>
        <w:rPr>
          <w:sz w:val="18"/>
        </w:rPr>
        <w:t>——————————————————————————————————————————————————————————————————————</w:t>
      </w:r>
    </w:p>
    <w:p>
      <w:pPr>
        <w:spacing w:before="160" w:after="40" w:line="240" w:lineRule="auto"/>
      </w:pPr>
      <w:r>
        <w:rPr>
          <w:b/>
        </w:rPr>
        <w:t xml:space="preserve">[188] </w:t>
      </w:r>
      <w:hyperlink r:id="rId488">
        <w:r>
          <w:rPr>
            <w:color w:val="1155CC"/>
            <w:u w:val="single"/>
          </w:rPr>
          <w:t>Skin CO2 sniffing for wearable metabolic monitoring</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89">
        <w:r>
          <w:rPr>
            <w:color w:val="1155CC"/>
            <w:u w:val="single"/>
          </w:rPr>
          <w:t>10.1126/sciadv.aec2376</w:t>
        </w:r>
      </w:hyperlink>
    </w:p>
    <w:p>
      <w:pPr>
        <w:spacing w:before="0" w:after="80" w:lineRule="auto" w:line="276"/>
      </w:pPr>
      <w:r>
        <w:rPr>
          <w:b/>
        </w:rPr>
        <w:t xml:space="preserve">摘要（ZH）: </w:t>
      </w:r>
      <w:r>
        <w:t>(empty)</w:t>
      </w:r>
    </w:p>
    <w:p>
      <w:pPr>
        <w:spacing w:before="0" w:after="200" w:lineRule="auto" w:line="276"/>
      </w:pPr>
      <w:r>
        <w:rPr>
          <w:b/>
        </w:rPr>
        <w:t xml:space="preserve">Abstract (EN): </w:t>
      </w:r>
      <w:r>
        <w:t>CO</w:t>
        <w:br/>
        <w:t xml:space="preserve">                    2</w:t>
        <w:br/>
        <w:t xml:space="preserve">                    is a key physiological parameter used to assess hypoventilation and to estimate metabolic rates. However, current CO</w:t>
        <w:br/>
        <w:t xml:space="preserve">                    2</w:t>
        <w:br/>
        <w:t xml:space="preserve">                    monitoring relies on bulky breath-analysis systems that are impractical for continuous use in daily life. Here, we present a wearable on-skin gas-sniffing system that quantifies skin-emitted CO</w:t>
        <w:br/>
        <w:t xml:space="preserve">                    2</w:t>
        <w:br/>
        <w:t xml:space="preserve">                    and establishes its physiological relevance through direct correlation with exhaled CO</w:t>
        <w:br/>
        <w:t xml:space="preserve">                    2</w:t>
        <w:br/>
        <w:t xml:space="preserve">                    and metabolic rate. Participant studies demonstrate strong correlations between CO</w:t>
        <w:br/>
        <w:t xml:space="preserve">                    2</w:t>
        <w:br/>
        <w:t xml:space="preserve">                    flow rates from the skin and breath during both rest and exercise, with skin-emitted CO</w:t>
        <w:br/>
        <w:t xml:space="preserve">                    2</w:t>
        <w:br/>
        <w:t xml:space="preserve">                    approximately four orders of magnitude lower than exhaled CO</w:t>
        <w:br/>
        <w:t xml:space="preserve">                    2</w:t>
        <w:br/>
        <w:t xml:space="preserve">                    . Skin-emitted CO</w:t>
        <w:br/>
        <w:t xml:space="preserve">                    2</w:t>
        <w:br/>
        <w:t xml:space="preserve">                    also correlates with metabolic rate, suggesting its potential as a surrogate for breath-based indirect calorimetry. With its wearable form factor and physiological relevance, this skin gas sniffing system enables continuous, noninvasive metabolic monitoring and opens opportunities for studying skin gas exchange.</w:t>
      </w:r>
    </w:p>
    <w:p>
      <w:pPr>
        <w:spacing w:before="120" w:after="120"/>
      </w:pPr>
      <w:r>
        <w:rPr>
          <w:sz w:val="18"/>
        </w:rPr>
        <w:t>——————————————————————————————————————————————————————————————————————</w:t>
      </w:r>
    </w:p>
    <w:p>
      <w:pPr>
        <w:spacing w:before="160" w:after="40" w:line="240" w:lineRule="auto"/>
      </w:pPr>
      <w:r>
        <w:rPr>
          <w:b/>
        </w:rPr>
        <w:t xml:space="preserve">[189] </w:t>
      </w:r>
      <w:hyperlink r:id="rId490">
        <w:r>
          <w:rPr>
            <w:color w:val="1155CC"/>
            <w:u w:val="single"/>
          </w:rPr>
          <w:t>The conserved noncoding sequence CNS11 is a master control region for Rorc transcription in type 17 immune cells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91">
        <w:r>
          <w:rPr>
            <w:color w:val="1155CC"/>
            <w:u w:val="single"/>
          </w:rPr>
          <w:t>10.1126/sciadv.adz6964</w:t>
        </w:r>
      </w:hyperlink>
    </w:p>
    <w:p>
      <w:pPr>
        <w:spacing w:before="0" w:after="80" w:lineRule="auto" w:line="276"/>
      </w:pPr>
      <w:r>
        <w:rPr>
          <w:b/>
        </w:rPr>
        <w:t xml:space="preserve">摘要（ZH）: </w:t>
      </w:r>
      <w:r>
        <w:t>(empty)</w:t>
      </w:r>
    </w:p>
    <w:p>
      <w:pPr>
        <w:spacing w:before="0" w:after="200" w:lineRule="auto" w:line="276"/>
      </w:pPr>
      <w:r>
        <w:rPr>
          <w:b/>
        </w:rPr>
        <w:t xml:space="preserve">Abstract (EN): </w:t>
      </w:r>
      <w:r>
        <w:t>Retinoic acid receptor–related orphan receptor γt (RORγt) is the master transcription factor for type 17 immune cells, including T helper 17 (T</w:t>
        <w:br/>
        <w:t xml:space="preserve">                    H</w:t>
        <w:br/>
        <w:t xml:space="preserve">                    17) cells, group 3 innate lymphoid cells (ILC3s), RORγt</w:t>
        <w:br/>
        <w:t xml:space="preserve">                    +</w:t>
        <w:br/>
        <w:t xml:space="preserve">                    regulatory T (T</w:t>
        <w:br/>
        <w:t xml:space="preserve">                    reg</w:t>
        <w:br/>
        <w:t xml:space="preserve">                    ) cells, and RORγt</w:t>
        <w:br/>
        <w:t xml:space="preserve">                    +</w:t>
        <w:br/>
        <w:t xml:space="preserve">                    γδT cells. While trans-regulatory mechanisms governing</w:t>
        <w:br/>
        <w:t xml:space="preserve">                    Rorc</w:t>
        <w:br/>
        <w:t xml:space="preserve">                    expression are well characterized, cis-regulatory mechanisms, particularly in innate lymphocytes, remain partially understood. Here, we identify CNS11 as an essential cis-regulatory element of</w:t>
        <w:br/>
        <w:t xml:space="preserve">                    Rorc</w:t>
        <w:br/>
        <w:t xml:space="preserve">                    . In T</w:t>
        <w:br/>
        <w:t xml:space="preserve">                    H</w:t>
        <w:br/>
        <w:t xml:space="preserve">                    17 cells, CNS11 was dispensable for induction but critical for maintaining RORγt expression. In contrast, CNS11 deletion blocked ILC3 progenitor induction, abolishing secondary lymphoid organ formation. CNS11 deletion also abolished the development of RORγt</w:t>
        <w:br/>
        <w:t xml:space="preserve">                    +</w:t>
        <w:br/>
        <w:t xml:space="preserve">                    T</w:t>
        <w:br/>
        <w:t xml:space="preserve">                    reg</w:t>
        <w:br/>
        <w:t xml:space="preserve">                    , RORγt</w:t>
        <w:br/>
        <w:t xml:space="preserve">                    +</w:t>
        <w:br/>
        <w:t xml:space="preserve">                    γδT, and RORγt</w:t>
        <w:br/>
        <w:t xml:space="preserve">                    +</w:t>
        <w:br/>
        <w:t xml:space="preserve">                    antigen-presenting cells. Mechanistically, CNS11 functioned through a RORγt-dependent feed-forward loop with cell type–specific cofactors: cooperating with RORγt and runt-related transcription factor 3 to direct ILC3 development and with RORγt and/or c-MAF to sustain RORγt expression in T</w:t>
        <w:br/>
        <w:t xml:space="preserve">                    H</w:t>
        <w:br/>
        <w:t xml:space="preserve">                    17, RORγt</w:t>
        <w:br/>
        <w:t xml:space="preserve">                    +</w:t>
        <w:br/>
        <w:t xml:space="preserve">                    T</w:t>
        <w:br/>
        <w:t xml:space="preserve">                    reg</w:t>
        <w:br/>
        <w:t xml:space="preserve">                    , and RORγt</w:t>
        <w:br/>
        <w:t xml:space="preserve">                    +</w:t>
        <w:br/>
        <w:t xml:space="preserve">                    γδT cells. Our study reveals CNS11 as a key transcription factor binding hub and master control region for</w:t>
        <w:br/>
        <w:t xml:space="preserve">                    Rorc</w:t>
        <w:br/>
        <w:t xml:space="preserve">                    transcription in distinct lymphocytes.</w:t>
      </w:r>
    </w:p>
    <w:p>
      <w:pPr>
        <w:spacing w:before="120" w:after="120"/>
      </w:pPr>
      <w:r>
        <w:rPr>
          <w:sz w:val="18"/>
        </w:rPr>
        <w:t>——————————————————————————————————————————————————————————————————————</w:t>
      </w:r>
    </w:p>
    <w:p>
      <w:pPr>
        <w:spacing w:before="160" w:after="40" w:line="240" w:lineRule="auto"/>
      </w:pPr>
      <w:r>
        <w:rPr>
          <w:b/>
        </w:rPr>
        <w:t xml:space="preserve">[190] </w:t>
      </w:r>
      <w:hyperlink r:id="rId492">
        <w:r>
          <w:rPr>
            <w:color w:val="1155CC"/>
            <w:u w:val="single"/>
          </w:rPr>
          <w:t>Upper mantle low-velocity layer tied to volatile-charged carbonate melts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93">
        <w:r>
          <w:rPr>
            <w:color w:val="1155CC"/>
            <w:u w:val="single"/>
          </w:rPr>
          <w:t>10.1126/sciadv.aec1018</w:t>
        </w:r>
      </w:hyperlink>
    </w:p>
    <w:p>
      <w:pPr>
        <w:spacing w:before="0" w:after="80" w:lineRule="auto" w:line="276"/>
      </w:pPr>
      <w:r>
        <w:rPr>
          <w:b/>
        </w:rPr>
        <w:t xml:space="preserve">摘要（ZH）: </w:t>
      </w:r>
      <w:r>
        <w:t>(empty)</w:t>
      </w:r>
    </w:p>
    <w:p>
      <w:pPr>
        <w:spacing w:before="0" w:after="200" w:lineRule="auto" w:line="276"/>
      </w:pPr>
      <w:r>
        <w:rPr>
          <w:b/>
        </w:rPr>
        <w:t xml:space="preserve">Abstract (EN): </w:t>
      </w:r>
      <w:r>
        <w:t>Recent geophysical observations indicate the presence of small-volume, carbonate-rich melts in Earth’s deep interior. However, the mechanisms by which such minute melt fractions migrate through largely solid rocks and generate large-scale geophysical anomalies have remained unclear. Here, our high-pressure experiments demonstrate that, in the presence of H</w:t>
        <w:br/>
        <w:t xml:space="preserve">                    2</w:t>
        <w:br/>
        <w:t xml:space="preserve">                    O and NaCl, carbonate-rich melts act as super-spreaders, completely wetting and coating the surfaces of surrounding mantle minerals. This perfect wetting enables even trace amounts of melt (0.02 to 0.08 vol%) to form fully interconnected networks. Such connectivity facilitates efficient melt migration and chemical exchange, driving global material recycling between the surface and planetary interior.</w:t>
      </w:r>
    </w:p>
    <w:p>
      <w:pPr>
        <w:spacing w:before="120" w:after="120"/>
      </w:pPr>
      <w:r>
        <w:rPr>
          <w:sz w:val="18"/>
        </w:rPr>
        <w:t>——————————————————————————————————————————————————————————————————————</w:t>
      </w:r>
    </w:p>
    <w:p>
      <w:pPr>
        <w:spacing w:before="160" w:after="40" w:line="240" w:lineRule="auto"/>
      </w:pPr>
      <w:r>
        <w:rPr>
          <w:b/>
        </w:rPr>
        <w:t xml:space="preserve">[191] </w:t>
      </w:r>
      <w:hyperlink r:id="rId494">
        <w:r>
          <w:rPr>
            <w:color w:val="1155CC"/>
            <w:u w:val="single"/>
          </w:rPr>
          <w:t>Preclinical development of a well-defined semisynthetic glycoconjugate vaccine against Haemophilus influenzae type b</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95">
        <w:r>
          <w:rPr>
            <w:color w:val="1155CC"/>
            <w:u w:val="single"/>
          </w:rPr>
          <w:t>10.1126/sciadv.aea8116</w:t>
        </w:r>
      </w:hyperlink>
    </w:p>
    <w:p>
      <w:pPr>
        <w:spacing w:before="0" w:after="80" w:lineRule="auto" w:line="276"/>
      </w:pPr>
      <w:r>
        <w:rPr>
          <w:b/>
        </w:rPr>
        <w:t xml:space="preserve">摘要（ZH）: </w:t>
      </w:r>
      <w:r>
        <w:t>(empty)</w:t>
      </w:r>
    </w:p>
    <w:p>
      <w:pPr>
        <w:spacing w:before="0" w:after="200" w:lineRule="auto" w:line="276"/>
      </w:pPr>
      <w:r>
        <w:rPr>
          <w:b/>
        </w:rPr>
        <w:t xml:space="preserve">Abstract (EN): </w:t>
      </w:r>
      <w:r>
        <w:t>Vaccines are the most effective method for preventing bacterial infections. Identification of the best hapten is an essential step in the development of third-generation</w:t>
        <w:br/>
        <w:t xml:space="preserve">                    Haemophilus influenzae</w:t>
        <w:br/>
        <w:t xml:space="preserve">                    type b (Hib) conjugate vaccines. A comprehensive understanding of the relationship between Hib oligosaccharide chain length and immunological activities remains elusive. A series of Hib capsular polysaccharide (CPS) oligosaccharide derivatives of different lengths were synthesized to establish carbohydrate structure-function relationships. Glycan microarray screening and immunological evaluation of oligosaccharides revealed that tetramer</w:t>
        <w:br/>
        <w:t xml:space="preserve">                    4</w:t>
        <w:br/>
        <w:t xml:space="preserve">                    , comprising four repeated disaccharide units, is the key immunogenic epitope of CPS. The investigation into the influence of carrier proteins, adjuvants, and vaccination dose on immunogenicity demonstrated that an equivalent dose of glycoconjugate</w:t>
        <w:br/>
        <w:t xml:space="preserve">                    4</w:t>
        <w:br/>
        <w:t xml:space="preserve">                    -TT without adjuvant can induce a similar immune response as a licensed Hib vaccine (MINHAI Hib). Adjuvant-free</w:t>
        <w:br/>
        <w:t xml:space="preserve">                    4</w:t>
        <w:br/>
        <w:t xml:space="preserve">                    -TT glycoconjugates can induce both a humoral and a cellular immune response as efficiently as licensed Hib vaccine. This formulation exhibited protective efficacy in a mouse septic infection model through effective pathogen clearance from the circulation to the liver-resident macrophage Kupffer cells and sinusoidal endothelial cells in a mouse septic infection model. In conclusion, a well-defined semisynthetic glycoconjugate vaccine candidate</w:t>
        <w:br/>
        <w:t xml:space="preserve">                    4</w:t>
        <w:br/>
        <w:t xml:space="preserve">                    -TT was developed with a more straightforward and adaptable manufacturing process and demonstrated excellent efficacy comparable to licensed Hib vaccine, providing a rationale for further evaluation in clinical trials.</w:t>
      </w:r>
    </w:p>
    <w:p>
      <w:pPr>
        <w:spacing w:before="120" w:after="120"/>
      </w:pPr>
      <w:r>
        <w:rPr>
          <w:sz w:val="18"/>
        </w:rPr>
        <w:t>——————————————————————————————————————————————————————————————————————</w:t>
      </w:r>
    </w:p>
    <w:p>
      <w:pPr>
        <w:spacing w:before="160" w:after="40" w:line="240" w:lineRule="auto"/>
      </w:pPr>
      <w:r>
        <w:rPr>
          <w:b/>
        </w:rPr>
        <w:t xml:space="preserve">[192] </w:t>
      </w:r>
      <w:hyperlink r:id="rId496">
        <w:r>
          <w:rPr>
            <w:color w:val="1155CC"/>
            <w:u w:val="single"/>
          </w:rPr>
          <w:t>Chronic intermittent hypoxia reshapes circadian metabolic architecture in a model of sleep apnea</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97">
        <w:r>
          <w:rPr>
            <w:color w:val="1155CC"/>
            <w:u w:val="single"/>
          </w:rPr>
          <w:t>10.1126/sciadv.aeb3756</w:t>
        </w:r>
      </w:hyperlink>
    </w:p>
    <w:p>
      <w:pPr>
        <w:spacing w:before="0" w:after="80" w:lineRule="auto" w:line="276"/>
      </w:pPr>
      <w:r>
        <w:rPr>
          <w:b/>
        </w:rPr>
        <w:t xml:space="preserve">摘要（ZH）: </w:t>
      </w:r>
      <w:r>
        <w:t>(empty)</w:t>
      </w:r>
    </w:p>
    <w:p>
      <w:pPr>
        <w:spacing w:before="0" w:after="200" w:lineRule="auto" w:line="276"/>
      </w:pPr>
      <w:r>
        <w:rPr>
          <w:b/>
        </w:rPr>
        <w:t xml:space="preserve">Abstract (EN): </w:t>
      </w:r>
      <w:r>
        <w:t>Obstructive sleep apnea (OSA), characterized by chronic intermittent hypoxia (IH) during sleep, is increasingly recognized as a driver of metabolic dysfunction. However, its impact on circadian metabolic regulation remains poorly understood. Here, we investigated how chronic IH reshapes 24-hour hepatic and systemic metabolic programs in a mouse model mimicking OSA-associated chronic hypoxia. Through integrated circadian transcriptomic, metabolomic, and physiological 24-hour profiling, we show that 4 weeks of rest phase–restricted IH reprograms hepatic and systemic metabolism in a time-specific manner. This reorganization involves the coordinated circadian regulation of glucose, lipid, and redox pathways, with a shift away from oxidative metabolism toward oxygen-sparing processes such as gluconeogenesis, glycogen turnover, and lipid mobilization. These changes align with the hypoxic phase exposure and coincide with reshaped hepatic metabolite oscillations and systemic autonomic rhythms, supporting a functional adaptation to intermittent oxygen availability. Mechanistically, we identify the cAMP-CREB1 pathway as a driver of circadian transcriptional remodeling in the liver and a central integrator of IH-dependent adrenergic stress. Our findings establish chronic IH as a potent metabolic zeitgeber that rewires hepatic transcriptional and metabolic programs, revealing a circadian dimension to the metabolic consequences of sleep-disordered breathing.</w:t>
      </w:r>
    </w:p>
    <w:p>
      <w:pPr>
        <w:spacing w:before="120" w:after="120"/>
      </w:pPr>
      <w:r>
        <w:rPr>
          <w:sz w:val="18"/>
        </w:rPr>
        <w:t>——————————————————————————————————————————————————————————————————————</w:t>
      </w:r>
    </w:p>
    <w:p>
      <w:pPr>
        <w:spacing w:before="160" w:after="40" w:line="240" w:lineRule="auto"/>
      </w:pPr>
      <w:r>
        <w:rPr>
          <w:b/>
        </w:rPr>
        <w:t xml:space="preserve">[193] </w:t>
      </w:r>
      <w:hyperlink r:id="rId498">
        <w:r>
          <w:rPr>
            <w:color w:val="1155CC"/>
            <w:u w:val="single"/>
          </w:rPr>
          <w:t>Bees flexibly adjust decision strategies to information content in a foraging task</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499">
        <w:r>
          <w:rPr>
            <w:color w:val="1155CC"/>
            <w:u w:val="single"/>
          </w:rPr>
          <w:t>10.1126/sciadv.adw9320</w:t>
        </w:r>
      </w:hyperlink>
    </w:p>
    <w:p>
      <w:pPr>
        <w:spacing w:before="0" w:after="80" w:lineRule="auto" w:line="276"/>
      </w:pPr>
      <w:r>
        <w:rPr>
          <w:b/>
        </w:rPr>
        <w:t xml:space="preserve">摘要（ZH）: </w:t>
      </w:r>
      <w:r>
        <w:t>(empty)</w:t>
      </w:r>
    </w:p>
    <w:p>
      <w:pPr>
        <w:spacing w:before="0" w:after="200" w:lineRule="auto" w:line="276"/>
      </w:pPr>
      <w:r>
        <w:rPr>
          <w:b/>
        </w:rPr>
        <w:t xml:space="preserve">Abstract (EN): </w:t>
      </w:r>
      <w:r>
        <w:t>When making decisions, animals often rely on multiple cues simultaneously. These provide complementary sources of information, which can increase the accuracy of decisions. In this study, we tested the decision and learning strategies of insects faced with multiple cues in a foraging task, using the bumblebee</w:t>
        <w:br/>
        <w:t xml:space="preserve">                    Bombus terrestris</w:t>
        <w:br/>
        <w:t xml:space="preserve">                    . We presented combinations of visual-only features, as found in natural flowers: colors of varying discriminability, paired with shapes or patterns. We found that the bees relied exclusively on colors when these were easy to discriminate, and did not learn pattern or shape features simultaneously. With harder to discriminate colors, the bees learned both color and shape or pattern features. Our results demonstrate that bumblebees flexibly adjust their learning strategies when presented with visual features of varying discriminability, to balance the investment in learning time and accuracy during multicue learning and decision making. A difference in learning dynamics suggests that blocking could serve as a mechanism to implement this strategy switch.</w:t>
      </w:r>
    </w:p>
    <w:p>
      <w:pPr>
        <w:spacing w:before="120" w:after="120"/>
      </w:pPr>
      <w:r>
        <w:rPr>
          <w:sz w:val="18"/>
        </w:rPr>
        <w:t>——————————————————————————————————————————————————————————————————————</w:t>
      </w:r>
    </w:p>
    <w:p>
      <w:pPr>
        <w:spacing w:before="160" w:after="40" w:line="240" w:lineRule="auto"/>
      </w:pPr>
      <w:r>
        <w:rPr>
          <w:b/>
        </w:rPr>
        <w:t xml:space="preserve">[194] </w:t>
      </w:r>
      <w:hyperlink r:id="rId500">
        <w:r>
          <w:rPr>
            <w:color w:val="1155CC"/>
            <w:u w:val="single"/>
          </w:rPr>
          <w:t>Deciding for others alters metacognition leading to responsibility aversion</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501">
        <w:r>
          <w:rPr>
            <w:color w:val="1155CC"/>
            <w:u w:val="single"/>
          </w:rPr>
          <w:t>10.1126/sciadv.ady0441</w:t>
        </w:r>
      </w:hyperlink>
    </w:p>
    <w:p>
      <w:pPr>
        <w:spacing w:before="0" w:after="80" w:lineRule="auto" w:line="276"/>
      </w:pPr>
      <w:r>
        <w:rPr>
          <w:b/>
        </w:rPr>
        <w:t xml:space="preserve">摘要（ZH）: </w:t>
      </w:r>
      <w:r>
        <w:t>(empty)</w:t>
      </w:r>
    </w:p>
    <w:p>
      <w:pPr>
        <w:spacing w:before="0" w:after="200" w:lineRule="auto" w:line="276"/>
      </w:pPr>
      <w:r>
        <w:rPr>
          <w:b/>
        </w:rPr>
        <w:t xml:space="preserve">Abstract (EN): </w:t>
      </w:r>
      <w:r>
        <w:t>People are often faced with choices whose outcomes will affect other individuals in addition to themselves. Being responsible for deciding on behalf of others alters choice behavior and increases delegation rates in decisions involving risk and ambiguity. However, it is unknown whether the influence of social responsibility on decision-making acts primarily or directly on risk, loss, and ambiguity attitudes versus more general aspects of cognition. We report a series of experiments on objective magnitude judgments that demonstrate that the influences of responsibility on cognition and behavior extend beyond risk or ambiguity and act at the metacognitive level. Specifically, responsibility for others changes metacognitive biases, leading to a decrease in decision confidence without affecting choice accuracy. Last, we propose and empirically test a normative computational framework based on decision confidence that can explain decisions to assume or delegate responsibility for others without needing to assume changes in risk preferences.</w:t>
      </w:r>
    </w:p>
    <w:p>
      <w:pPr>
        <w:spacing w:before="120" w:after="120"/>
      </w:pPr>
      <w:r>
        <w:rPr>
          <w:sz w:val="18"/>
        </w:rPr>
        <w:t>——————————————————————————————————————————————————————————————————————</w:t>
      </w:r>
    </w:p>
    <w:p>
      <w:pPr>
        <w:spacing w:before="160" w:after="40" w:line="240" w:lineRule="auto"/>
      </w:pPr>
      <w:r>
        <w:rPr>
          <w:b/>
        </w:rPr>
        <w:t xml:space="preserve">[195] </w:t>
      </w:r>
      <w:hyperlink r:id="rId502">
        <w:r>
          <w:rPr>
            <w:color w:val="1155CC"/>
            <w:u w:val="single"/>
          </w:rPr>
          <w:t>Accretion of volatile elements on Earth without the need of a late veneer</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503">
        <w:r>
          <w:rPr>
            <w:color w:val="1155CC"/>
            <w:u w:val="single"/>
          </w:rPr>
          <w:t>10.1126/sciadv.ady8018</w:t>
        </w:r>
      </w:hyperlink>
    </w:p>
    <w:p>
      <w:pPr>
        <w:spacing w:before="0" w:after="80" w:lineRule="auto" w:line="276"/>
      </w:pPr>
      <w:r>
        <w:rPr>
          <w:b/>
        </w:rPr>
        <w:t xml:space="preserve">摘要（ZH）: </w:t>
      </w:r>
      <w:r>
        <w:t>(empty)</w:t>
      </w:r>
    </w:p>
    <w:p>
      <w:pPr>
        <w:spacing w:before="0" w:after="200" w:lineRule="auto" w:line="276"/>
      </w:pPr>
      <w:r>
        <w:rPr>
          <w:b/>
        </w:rPr>
        <w:t xml:space="preserve">Abstract (EN): </w:t>
      </w:r>
      <w:r>
        <w:t>Volatile elements are essential for life development and planetary evolution. However, the timing of their delivery to terrestrial planets remains unclear. Sulfur, selenium, and tellurium are volatiles, but also siderophile elements. Their abundances in Earth’s mantle can be used to determine whether volatile elements were delivered to Earth during or after the segregation of the core. Here, we experimentally measured their partition coefficients between core-forming metal and mantle silicate under pressure, temperature, and oxygen fugacity conditions relevant to a deep magma ocean. Our results show that these elements exhibit similar partitioning behaviors, indicating that core-mantle equilibrium preserves their chondritic relative abundances. If a volatile-rich late veneer has been delivered to Earth after core segregation, it must have been limited in mass, making up a maximum of 0.1% Earth’s mass. This suggests that volatile elements, including water, were accreted continuously during Earth’s growth rather than being delivered predominantly by a late veneer of volatile-rich material such as carbonaceous chondrites.</w:t>
      </w:r>
    </w:p>
    <w:p>
      <w:pPr>
        <w:spacing w:before="120" w:after="120"/>
      </w:pPr>
      <w:r>
        <w:rPr>
          <w:sz w:val="18"/>
        </w:rPr>
        <w:t>——————————————————————————————————————————————————————————————————————</w:t>
      </w:r>
    </w:p>
    <w:p>
      <w:pPr>
        <w:spacing w:before="160" w:after="40" w:line="240" w:lineRule="auto"/>
      </w:pPr>
      <w:r>
        <w:rPr>
          <w:b/>
        </w:rPr>
        <w:t xml:space="preserve">[196] </w:t>
      </w:r>
      <w:hyperlink r:id="rId504">
        <w:r>
          <w:rPr>
            <w:color w:val="1155CC"/>
            <w:u w:val="single"/>
          </w:rPr>
          <w:t>Causal parametric language mapping with electrical stimulation during awake neurosurgery</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505">
        <w:r>
          <w:rPr>
            <w:color w:val="1155CC"/>
            <w:u w:val="single"/>
          </w:rPr>
          <w:t>10.1126/sciadv.adw1599</w:t>
        </w:r>
      </w:hyperlink>
    </w:p>
    <w:p>
      <w:pPr>
        <w:spacing w:before="0" w:after="80" w:lineRule="auto" w:line="276"/>
      </w:pPr>
      <w:r>
        <w:rPr>
          <w:b/>
        </w:rPr>
        <w:t xml:space="preserve">摘要（ZH）: </w:t>
      </w:r>
      <w:r>
        <w:t>(empty)</w:t>
      </w:r>
    </w:p>
    <w:p>
      <w:pPr>
        <w:spacing w:before="0" w:after="200" w:lineRule="auto" w:line="276"/>
      </w:pPr>
      <w:r>
        <w:rPr>
          <w:b/>
        </w:rPr>
        <w:t xml:space="preserve">Abstract (EN): </w:t>
      </w:r>
      <w:r>
        <w:t>Functional mapping with direct electrical stimulation (DES) is widely used during awake neurosurgery to generate causal evidence about person-specific neuroanatomical organization. According to a long-standing clinical and scientific paradigm, if the application of DES to a given brain region does not result in performance errors, that site is considered to be uninvolved in the task. Here, we show that both error rates and performance speed on correct trials are parametrically modulated by when DES starts and stops relative to the timeline of task-driven processing in stimulated brain areas and networks. We propose a framework, causal parametric mapping, which moves beyond the classic approach of binarizing the effects of DES on behavior into “positive” and “negative” mapping trials. Causal parametric mapping offers a method to functionally dissect separable processing stages in the human brain, in real time, with reversible causal evidence during invasive neurosurgical procedures.</w:t>
      </w:r>
    </w:p>
    <w:p>
      <w:pPr>
        <w:spacing w:before="120" w:after="120"/>
      </w:pPr>
      <w:r>
        <w:rPr>
          <w:sz w:val="18"/>
        </w:rPr>
        <w:t>——————————————————————————————————————————————————————————————————————</w:t>
      </w:r>
    </w:p>
    <w:p>
      <w:pPr>
        <w:spacing w:before="160" w:after="40" w:line="240" w:lineRule="auto"/>
      </w:pPr>
      <w:r>
        <w:rPr>
          <w:b/>
        </w:rPr>
        <w:t xml:space="preserve">[197] </w:t>
      </w:r>
      <w:hyperlink r:id="rId506">
        <w:r>
          <w:rPr>
            <w:color w:val="1155CC"/>
            <w:u w:val="single"/>
          </w:rPr>
          <w:t>Enteric botulinum neurotoxins facilitate infection by Salmonella and Shigella</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507">
        <w:r>
          <w:rPr>
            <w:color w:val="1155CC"/>
            <w:u w:val="single"/>
          </w:rPr>
          <w:t>10.1126/sciadv.ady9407</w:t>
        </w:r>
      </w:hyperlink>
    </w:p>
    <w:p>
      <w:pPr>
        <w:spacing w:before="0" w:after="80" w:lineRule="auto" w:line="276"/>
      </w:pPr>
      <w:r>
        <w:rPr>
          <w:b/>
        </w:rPr>
        <w:t xml:space="preserve">摘要（ZH）: </w:t>
      </w:r>
      <w:r>
        <w:t>(empty)</w:t>
      </w:r>
    </w:p>
    <w:p>
      <w:pPr>
        <w:spacing w:before="0" w:after="200" w:lineRule="auto" w:line="276"/>
      </w:pPr>
      <w:r>
        <w:rPr>
          <w:b/>
        </w:rPr>
        <w:t xml:space="preserve">Abstract (EN): </w:t>
      </w:r>
      <w:r>
        <w:t>Botulism is a life-threatening disease caused by botulinum neurotoxins (BoNTs) released by</w:t>
        <w:br/>
        <w:t xml:space="preserve">                    Clostridium</w:t>
        <w:br/>
        <w:t xml:space="preserve">                    bacteria. BoNTs induce a flaccid paralysis by blocking neurotransmitter release from peripheral cholinergic neurons via soluble</w:t>
        <w:br/>
        <w:t xml:space="preserve">                    N</w:t>
        <w:br/>
        <w:t xml:space="preserve">                    -ethylmaleimide–sensitive factor attachment protein receptor (SNARE) cleavage. The enteric nervous system (ENS) controls antimicrobial defense reactions within the intestine through neuron-released mediators. Here, we show that subclinical doses of BoNT/A and BoNT/B, which are not sufficient to cause botulism when released in the intestinal lumen, paralyze ENS neurons favoring infection by prototypic bacterial pathogens such as</w:t>
        <w:br/>
        <w:t xml:space="preserve">                    Salmonella enterica</w:t>
        <w:br/>
        <w:t xml:space="preserve">                    and</w:t>
        <w:br/>
        <w:t xml:space="preserve">                    Shigella flexneri</w:t>
        <w:br/>
        <w:t xml:space="preserve">                    . The BoNTs reduce the release of mucin, decreasing the protective barrier against bacterial infection. These findings disclose previously unrecognized functions of BoNTs and roles in intestinal infections. Moreover, they indicate that BoNTs are valuable tools for investigating the ENS neuron involvement in the intestinal defense reactions.</w:t>
      </w:r>
    </w:p>
    <w:p>
      <w:pPr>
        <w:spacing w:before="120" w:after="120"/>
      </w:pPr>
      <w:r>
        <w:rPr>
          <w:sz w:val="18"/>
        </w:rPr>
        <w:t>——————————————————————————————————————————————————————————————————————</w:t>
      </w:r>
    </w:p>
    <w:p>
      <w:pPr>
        <w:spacing w:before="160" w:after="40" w:line="240" w:lineRule="auto"/>
      </w:pPr>
      <w:r>
        <w:rPr>
          <w:b/>
        </w:rPr>
        <w:t xml:space="preserve">[198] </w:t>
      </w:r>
      <w:hyperlink r:id="rId508">
        <w:r>
          <w:rPr>
            <w:color w:val="1155CC"/>
            <w:u w:val="single"/>
          </w:rPr>
          <w:t>Out of Africa comes no support for global biodiversity catastrophes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509">
        <w:r>
          <w:rPr>
            <w:color w:val="1155CC"/>
            <w:u w:val="single"/>
          </w:rPr>
          <w:t>10.1126/sciadv.aee6950</w:t>
        </w:r>
      </w:hyperlink>
    </w:p>
    <w:p>
      <w:pPr>
        <w:spacing w:before="0" w:after="80" w:lineRule="auto" w:line="276"/>
      </w:pPr>
      <w:r>
        <w:rPr>
          <w:b/>
        </w:rPr>
        <w:t xml:space="preserve">摘要（ZH）: </w:t>
      </w:r>
      <w:r>
        <w:t>(empty)</w:t>
      </w:r>
    </w:p>
    <w:p>
      <w:pPr>
        <w:spacing w:before="0" w:after="200" w:lineRule="auto" w:line="276"/>
      </w:pPr>
      <w:r>
        <w:rPr>
          <w:b/>
        </w:rPr>
        <w:t xml:space="preserve">Abstract (EN): </w:t>
      </w:r>
      <w:r>
        <w:t>The Living Planet Index and the ever-changing iterations of planetary boundaries for biodiversity integrity or health are inappropriate, misleading, and will harm on-the-ground conservation efforts.</w:t>
      </w:r>
    </w:p>
    <w:p>
      <w:pPr>
        <w:spacing w:before="120" w:after="120"/>
      </w:pPr>
      <w:r>
        <w:rPr>
          <w:sz w:val="18"/>
        </w:rPr>
        <w:t>——————————————————————————————————————————————————————————————————————</w:t>
      </w:r>
    </w:p>
    <w:p>
      <w:pPr>
        <w:spacing w:before="160" w:after="40" w:line="240" w:lineRule="auto"/>
      </w:pPr>
      <w:r>
        <w:rPr>
          <w:b/>
        </w:rPr>
        <w:t xml:space="preserve">[199] </w:t>
      </w:r>
      <w:hyperlink r:id="rId510">
        <w:r>
          <w:rPr>
            <w:color w:val="1155CC"/>
            <w:u w:val="single"/>
          </w:rPr>
          <w:t>Fluidic torque–enabled object manipulation by microrobot collectives</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511">
        <w:r>
          <w:rPr>
            <w:color w:val="1155CC"/>
            <w:u w:val="single"/>
          </w:rPr>
          <w:t>10.1126/sciadv.aea9947</w:t>
        </w:r>
      </w:hyperlink>
    </w:p>
    <w:p>
      <w:pPr>
        <w:spacing w:before="0" w:after="80" w:lineRule="auto" w:line="276"/>
      </w:pPr>
      <w:r>
        <w:rPr>
          <w:b/>
        </w:rPr>
        <w:t xml:space="preserve">摘要（ZH）: </w:t>
      </w:r>
      <w:r>
        <w:t>(empty)</w:t>
      </w:r>
    </w:p>
    <w:p>
      <w:pPr>
        <w:spacing w:before="0" w:after="200" w:lineRule="auto" w:line="276"/>
      </w:pPr>
      <w:r>
        <w:rPr>
          <w:b/>
        </w:rPr>
        <w:t xml:space="preserve">Abstract (EN): </w:t>
      </w:r>
      <w:r>
        <w:t>Microscale systems experience strong viscous interactions because of the low–Reynolds-number regime in which they exist. This means that fluidic manipulation and actuation of passive objects can be enabled and influenced by the individual spin rate of microscale robots, the number of microrobots, and their positions relative to the objects. We explore these parameter spaces and find that the fluidic torque generated by a magnetic microrobot collective can be exploited to apply bidirectional torque to concentric ring structures and demonstrate this through physical experiments and numerical simulations. Additionally, we demonstrate how the fluidic torque of the microrobots can be exploited to actuate gear trains, rotate comparatively large three-dimensional objects, dynamically self-assemble internally driven ring structures, and absorb and expel large numbers of circular objects. Last, we show emergent behaviors where the microrobot collective’s morphology and method of locomotion changes as a function of the spin rate of the microrobots and the size and shape of the surrounding objects.</w:t>
      </w:r>
    </w:p>
    <w:p>
      <w:pPr>
        <w:spacing w:before="120" w:after="120"/>
      </w:pPr>
      <w:r>
        <w:rPr>
          <w:sz w:val="18"/>
        </w:rPr>
        <w:t>——————————————————————————————————————————————————————————————————————</w:t>
      </w:r>
    </w:p>
    <w:p>
      <w:pPr>
        <w:spacing w:before="160" w:after="40" w:line="240" w:lineRule="auto"/>
      </w:pPr>
      <w:r>
        <w:rPr>
          <w:b/>
        </w:rPr>
        <w:t xml:space="preserve">[200] </w:t>
      </w:r>
      <w:hyperlink r:id="rId512">
        <w:r>
          <w:rPr>
            <w:color w:val="1155CC"/>
            <w:u w:val="single"/>
          </w:rPr>
          <w:t>Planar cell polarity emerges through polarized accumulation of Wnt11</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513">
        <w:r>
          <w:rPr>
            <w:color w:val="1155CC"/>
            <w:u w:val="single"/>
          </w:rPr>
          <w:t>10.1126/sciadv.aea0326</w:t>
        </w:r>
      </w:hyperlink>
    </w:p>
    <w:p>
      <w:pPr>
        <w:spacing w:before="0" w:after="80" w:lineRule="auto" w:line="276"/>
      </w:pPr>
      <w:r>
        <w:rPr>
          <w:b/>
        </w:rPr>
        <w:t xml:space="preserve">摘要（ZH）: </w:t>
      </w:r>
      <w:r>
        <w:t>(empty)</w:t>
      </w:r>
    </w:p>
    <w:p>
      <w:pPr>
        <w:spacing w:before="0" w:after="200" w:lineRule="auto" w:line="276"/>
      </w:pPr>
      <w:r>
        <w:rPr>
          <w:b/>
        </w:rPr>
        <w:t xml:space="preserve">Abstract (EN): </w:t>
      </w:r>
      <w:r>
        <w:t>Planar cell polarity (PCP) is established by asymmetric localization of core PCP components in each cell. Because some Wnt proteins can induce PCP in vertebrates, it has been proposed that Wnt concentration gradients provide spatial cues for polarization. However, here, we present evidence that Wnt11 can regulate PCP in a gradient-independent manner. In the neural plate of</w:t>
        <w:br/>
        <w:t xml:space="preserve">                    Xenopus</w:t>
        <w:br/>
        <w:t xml:space="preserve">                    embryos, endogenous Wnt11 does not form an obvious gradient in the direction of PCP, but is polarized at cell boundaries together with core PCP components. Wnt11 polarization is dependent on core PCP components, while polarization of core PCP components can also be induced by Wnt11, indicating a mutual amplification loop between Wnt11 and core PCP components in PCP formation. Furthermore, Wnt11 and core PCP components compose an intercellular loop to coordinate the direction of polarity. Thus, we propose that local and reciprocal interactions between Wnt11 and core PCP components can generate PCP.</w:t>
      </w:r>
    </w:p>
    <w:p>
      <w:pPr>
        <w:spacing w:before="120" w:after="120"/>
      </w:pPr>
      <w:r>
        <w:rPr>
          <w:sz w:val="18"/>
        </w:rPr>
        <w:t>——————————————————————————————————————————————————————————————————————</w:t>
      </w:r>
    </w:p>
    <w:p>
      <w:pPr>
        <w:spacing w:before="160" w:after="40" w:line="240" w:lineRule="auto"/>
      </w:pPr>
      <w:r>
        <w:rPr>
          <w:b/>
        </w:rPr>
        <w:t xml:space="preserve">[201] </w:t>
      </w:r>
      <w:hyperlink r:id="rId514">
        <w:r>
          <w:rPr>
            <w:color w:val="1155CC"/>
            <w:u w:val="single"/>
          </w:rPr>
          <w:t>Immunometabolic resistors of aging in long-lived golden spiny mice</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515">
        <w:r>
          <w:rPr>
            <w:color w:val="1155CC"/>
            <w:u w:val="single"/>
          </w:rPr>
          <w:t>10.1126/sciadv.aec9991</w:t>
        </w:r>
      </w:hyperlink>
    </w:p>
    <w:p>
      <w:pPr>
        <w:spacing w:before="0" w:after="80" w:lineRule="auto" w:line="276"/>
      </w:pPr>
      <w:r>
        <w:rPr>
          <w:b/>
        </w:rPr>
        <w:t xml:space="preserve">摘要（ZH）: </w:t>
      </w:r>
      <w:r>
        <w:t>(empty)</w:t>
      </w:r>
    </w:p>
    <w:p>
      <w:pPr>
        <w:spacing w:before="0" w:after="200" w:lineRule="auto" w:line="276"/>
      </w:pPr>
      <w:r>
        <w:rPr>
          <w:b/>
        </w:rPr>
        <w:t xml:space="preserve">Abstract (EN): </w:t>
      </w:r>
      <w:r>
        <w:t>Long-lived wild rodents closely related to laboratory mice on the evolutionary scale may allow identification of dormant pathways that resist aging. Spiny mice (</w:t>
        <w:br/>
        <w:t xml:space="preserve">                    Acomys</w:t>
        <w:br/>
        <w:t xml:space="preserve">                    ) are known for their exceptional regenerative capacity, but their resilience to aging is unknown. Here, we report that aged golden spiny mice (</w:t>
        <w:br/>
        <w:t xml:space="preserve">                    Acomys russatus</w:t>
        <w:br/>
        <w:t xml:space="preserve">                    ), reared in a non–pathogen-free environment, resist functional decline, have a greater repair capacity with reduced senescence in immune-metabolic organs compared to their sister species, eastern spiny mice (</w:t>
        <w:br/>
        <w:t xml:space="preserve">                    Acomys dimidiatus</w:t>
        <w:br/>
        <w:t xml:space="preserve">                    ). Aged</w:t>
        <w:br/>
        <w:t xml:space="preserve">                    A. russatus</w:t>
        <w:br/>
        <w:t xml:space="preserve">                    maintains transcriptional integrity akin to young mice, highlighting experimental checkpoints for inflammation and mortality. We identified that elevated levels of clusterin in</w:t>
        <w:br/>
        <w:t xml:space="preserve">                    A. russatus</w:t>
        <w:br/>
        <w:t xml:space="preserve">                    macrophages restrain inflammaging and enhance health span in aged mice. Thus,</w:t>
        <w:br/>
        <w:t xml:space="preserve">                    A. russatus</w:t>
        <w:br/>
        <w:t xml:space="preserve">                    biology reveals therapeutically actionable targets that may enhance or maintain function during aging.</w:t>
      </w:r>
    </w:p>
    <w:p>
      <w:pPr>
        <w:spacing w:before="120" w:after="120"/>
      </w:pPr>
      <w:r>
        <w:rPr>
          <w:sz w:val="18"/>
        </w:rPr>
        <w:t>——————————————————————————————————————————————————————————————————————</w:t>
      </w:r>
    </w:p>
    <w:p>
      <w:pPr>
        <w:spacing w:before="160" w:after="40" w:line="240" w:lineRule="auto"/>
      </w:pPr>
      <w:r>
        <w:rPr>
          <w:b/>
        </w:rPr>
        <w:t xml:space="preserve">[202] </w:t>
      </w:r>
      <w:hyperlink r:id="rId516">
        <w:r>
          <w:rPr>
            <w:color w:val="1155CC"/>
            <w:u w:val="single"/>
          </w:rPr>
          <w:t>Intermediate excited state relaxation dynamics of boron vacancy spin defects in hexagonal boron nitride</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517">
        <w:r>
          <w:rPr>
            <w:color w:val="1155CC"/>
            <w:u w:val="single"/>
          </w:rPr>
          <w:t>10.1126/sciadv.aea0109</w:t>
        </w:r>
      </w:hyperlink>
    </w:p>
    <w:p>
      <w:pPr>
        <w:spacing w:before="0" w:after="80" w:lineRule="auto" w:line="276"/>
      </w:pPr>
      <w:r>
        <w:rPr>
          <w:b/>
        </w:rPr>
        <w:t xml:space="preserve">摘要（ZH）: </w:t>
      </w:r>
      <w:r>
        <w:t>(empty)</w:t>
      </w:r>
    </w:p>
    <w:p>
      <w:pPr>
        <w:spacing w:before="0" w:after="200" w:lineRule="auto" w:line="276"/>
      </w:pPr>
      <w:r>
        <w:rPr>
          <w:b/>
        </w:rPr>
        <w:t xml:space="preserve">Abstract (EN): </w:t>
      </w:r>
      <w:r>
        <w:t>Optically addressable spin defects in hexagonal boron nitride offer promising potential for 2D quantum sensing, although excited-state dynamics remain poorly understood. In particular, the nonradiative relaxation paths from the excited triplet states to the ground state, especially those involving a shelving intermediate state (IS), remain largely hypothetical, and the rate constants have yet to be directly measured. In this work, we investigate the relaxation dynamics of the IS in the optical pumping cycle in a broad temperature range. We measure a 24.0(3)-nanosecond relaxation time from IS to the ground state at room temperature, which approximately doubles at low temperatures. Simulations reveal how spin populations and ground-state polarization evolve with varying excitation rates. Accordingly, we optimize optically detected magnetic resonance pulse sequences to account for the effects of IS relaxation. This considerably enhances spin manipulation efficiency, allowing substantial optimization of the quantum sensor’s sensitivity based on boron vacancies.</w:t>
      </w:r>
    </w:p>
    <w:p>
      <w:pPr>
        <w:spacing w:before="120" w:after="120"/>
      </w:pPr>
      <w:r>
        <w:rPr>
          <w:sz w:val="18"/>
        </w:rPr>
        <w:t>——————————————————————————————————————————————————————————————————————</w:t>
      </w:r>
    </w:p>
    <w:p>
      <w:pPr>
        <w:spacing w:before="160" w:after="40" w:line="240" w:lineRule="auto"/>
      </w:pPr>
      <w:r>
        <w:rPr>
          <w:b/>
        </w:rPr>
        <w:t xml:space="preserve">[203] </w:t>
      </w:r>
      <w:hyperlink r:id="rId518">
        <w:r>
          <w:rPr>
            <w:color w:val="1155CC"/>
            <w:u w:val="single"/>
          </w:rPr>
          <w:t>Century-long coral records of the South China Sea throughflow slowdown</w:t>
        </w:r>
      </w:hyperlink>
    </w:p>
    <w:p>
      <w:pPr>
        <w:spacing w:before="0" w:after="120"/>
      </w:pPr>
      <w:r>
        <w:rPr>
          <w:b/>
        </w:rPr>
        <w:t xml:space="preserve">Source: </w:t>
      </w:r>
      <w:r>
        <w:t>AAAS: Science Advances: Table of Contents</w:t>
      </w:r>
      <w:r>
        <w:t xml:space="preserve">    </w:t>
      </w:r>
      <w:r>
        <w:rPr>
          <w:b/>
        </w:rPr>
        <w:t xml:space="preserve">Pub date: </w:t>
      </w:r>
      <w:r>
        <w:t>2026-02-25 08:00:00+00:00</w:t>
      </w:r>
      <w:r>
        <w:t xml:space="preserve">    </w:t>
      </w:r>
      <w:r>
        <w:rPr>
          <w:b/>
        </w:rPr>
        <w:t xml:space="preserve">DOI: </w:t>
      </w:r>
      <w:hyperlink r:id="rId519">
        <w:r>
          <w:rPr>
            <w:color w:val="1155CC"/>
            <w:u w:val="single"/>
          </w:rPr>
          <w:t>10.1126/sciadv.aea9091</w:t>
        </w:r>
      </w:hyperlink>
    </w:p>
    <w:p>
      <w:pPr>
        <w:spacing w:before="0" w:after="80" w:lineRule="auto" w:line="276"/>
      </w:pPr>
      <w:r>
        <w:rPr>
          <w:b/>
        </w:rPr>
        <w:t xml:space="preserve">摘要（ZH）: </w:t>
      </w:r>
      <w:r>
        <w:t>(empty)</w:t>
      </w:r>
    </w:p>
    <w:p>
      <w:pPr>
        <w:spacing w:before="0" w:after="200" w:lineRule="auto" w:line="276"/>
      </w:pPr>
      <w:r>
        <w:rPr>
          <w:b/>
        </w:rPr>
        <w:t xml:space="preserve">Abstract (EN): </w:t>
      </w:r>
      <w:r>
        <w:t>The South China Sea throughflow (SCSTF) serves as a heat and freshwater conveyor, playing a pivotal role in regulating physical processes and biogeochemical cycles in the SCS. Because of limited observations, the long-term changes of the SCSTF under a warming climate and underlying dynamics remain unclear. In this study, we reconstructed centennial-scale variability of the SCSTF (1894–2022) using coral oxygen isotope (δ</w:t>
        <w:br/>
        <w:t xml:space="preserve">                    18</w:t>
        <w:br/>
        <w:t xml:space="preserve">                    O) and satellite observations. Besides prominent interannual and decadal variabilities, there exists a marked long-term decreasing trend at −0.14 ± 0.02 Sv (1 Sv = 10</w:t>
        <w:br/>
        <w:t xml:space="preserve">                    6</w:t>
        <w:br/>
        <w:t xml:space="preserve">                    m</w:t>
        <w:br/>
        <w:t xml:space="preserve">                    3</w:t>
        <w:br/>
        <w:t xml:space="preserve">                    s</w:t>
        <w:br/>
        <w:t xml:space="preserve">                    −1</w:t>
        <w:br/>
        <w:t xml:space="preserve">                    ) per decade for the total SCSTF volume transport. Consequently, the SCSTF transport decreased by 35 ± 5% over the past 129 years in comparison with the mean value of 5.15 Sv. Using the Time-dependent Island Rule theory, we further reveal that the intensified trade wind in the tropical western Pacific drives the SCSTF slowdown. The findings substantially contribute to investigating the physical, ecological, and biogeochemical changes in the SCS and the Indo-Pacific Oceans.</w:t>
      </w:r>
    </w:p>
    <w:p>
      <w:pPr>
        <w:spacing w:before="120" w:after="120"/>
      </w:pPr>
      <w:r>
        <w:rPr>
          <w:sz w:val="18"/>
        </w:rPr>
        <w:t>——————————————————————————————————————————————————————————————————————</w:t>
      </w:r>
    </w:p>
    <w:p>
      <w:pPr>
        <w:spacing w:before="160" w:after="40" w:line="240" w:lineRule="auto"/>
      </w:pPr>
      <w:r>
        <w:rPr>
          <w:b/>
        </w:rPr>
        <w:t xml:space="preserve">[204] </w:t>
      </w:r>
      <w:hyperlink r:id="rId520">
        <w:r>
          <w:rPr>
            <w:color w:val="1155CC"/>
            <w:u w:val="single"/>
          </w:rPr>
          <w:t>Pictet‐Spengler Synthesis of Fused‐Azepine‐ and 1H‐Azocine‐Bridged NiII Porphyrin Dimers</w:t>
        </w:r>
      </w:hyperlink>
    </w:p>
    <w:p>
      <w:pPr>
        <w:spacing w:before="0" w:after="120"/>
      </w:pPr>
      <w:r>
        <w:rPr>
          <w:b/>
        </w:rPr>
        <w:t xml:space="preserve">Source: </w:t>
      </w:r>
      <w:r>
        <w:t>Wiley: Angewandte Chemie International Edition: Table of Contents</w:t>
      </w:r>
      <w:r>
        <w:t xml:space="preserve">    </w:t>
      </w:r>
      <w:r>
        <w:rPr>
          <w:b/>
        </w:rPr>
        <w:t xml:space="preserve">Pub date: </w:t>
      </w:r>
      <w:r>
        <w:t>2026-02-25 08:55:55+00:00</w:t>
      </w:r>
      <w:r>
        <w:t xml:space="preserve">    </w:t>
      </w:r>
      <w:r>
        <w:rPr>
          <w:b/>
        </w:rPr>
        <w:t xml:space="preserve">DOI: </w:t>
      </w:r>
      <w:hyperlink r:id="rId521">
        <w:r>
          <w:rPr>
            <w:color w:val="1155CC"/>
            <w:u w:val="single"/>
          </w:rPr>
          <w:t>10.1002/anie.7602426</w:t>
        </w:r>
      </w:hyperlink>
    </w:p>
    <w:p>
      <w:pPr>
        <w:spacing w:before="0" w:after="80" w:lineRule="auto" w:line="276"/>
      </w:pPr>
      <w:r>
        <w:rPr>
          <w:b/>
        </w:rPr>
        <w:t xml:space="preserve">摘要（ZH）: </w:t>
      </w:r>
      <w:r>
        <w:t>(empty)</w:t>
      </w:r>
    </w:p>
    <w:p>
      <w:pPr>
        <w:spacing w:before="0" w:after="200" w:lineRule="auto" w:line="276"/>
      </w:pPr>
      <w:r>
        <w:rPr>
          <w:b/>
        </w:rPr>
        <w:t xml:space="preserve">Abstract (EN): </w:t>
      </w:r>
      <w:r>
        <w:t>Pictet-Spengler cyclization of meso-amino and meso, meso'-diamino β-β'-linked NiII porphyrin dimers 1Ni and 2Ni with paraformaldehyde gave fused azepine-bridged NiII porphyrin dimers 3Ni and 4Ni, respectively. Oxidation of 3Ni with FeCl3 and 2,3-dichloro-5,6-dicyano-1,4-benzoquinone (DDQ) provided additionally meso-tertbuylphenyl-fused dimer 5Ni in 43% yield but the similar oxidation of 4Ni led to the formation of singly meso-tertbuylphenyl-fused dimer 6Ni in 94% yield. Fused 1H-azocine-bridged NiII porphyrin dimer 8Ni was synthesized by the similar Pictet-Spengler cyclization of meso-amino β-meso' linked NiII porphyrin dimer 7Ni. 3Ni and 4Ni were converted to the corresponding free bases and ZnII complexes, which display fairly red-shifted absorption bands and fluorescence in the near infrared (NIR) region.</w:t>
      </w:r>
    </w:p>
    <w:p>
      <w:pPr>
        <w:spacing w:before="120" w:after="120"/>
      </w:pPr>
      <w:r>
        <w:rPr>
          <w:sz w:val="18"/>
        </w:rPr>
        <w:t>——————————————————————————————————————————————————————————————————————</w:t>
      </w:r>
    </w:p>
    <w:p>
      <w:pPr>
        <w:spacing w:before="160" w:after="40" w:line="240" w:lineRule="auto"/>
      </w:pPr>
      <w:r>
        <w:rPr>
          <w:b/>
        </w:rPr>
        <w:t xml:space="preserve">[205] </w:t>
      </w:r>
      <w:hyperlink r:id="rId522">
        <w:r>
          <w:rPr>
            <w:color w:val="1155CC"/>
            <w:u w:val="single"/>
          </w:rPr>
          <w:t>Phase Engineering on Metastable Lanthanoid Sulfides for Polymorphic Nanocrystal Library</w:t>
        </w:r>
      </w:hyperlink>
    </w:p>
    <w:p>
      <w:pPr>
        <w:spacing w:before="0" w:after="120"/>
      </w:pPr>
      <w:r>
        <w:rPr>
          <w:b/>
        </w:rPr>
        <w:t xml:space="preserve">Source: </w:t>
      </w:r>
      <w:r>
        <w:t>Wiley: Angewandte Chemie International Edition: Table of Contents</w:t>
      </w:r>
      <w:r>
        <w:t xml:space="preserve">    </w:t>
      </w:r>
      <w:r>
        <w:rPr>
          <w:b/>
        </w:rPr>
        <w:t xml:space="preserve">Pub date: </w:t>
      </w:r>
      <w:r>
        <w:t>2026-02-25 08:56:06+00:00</w:t>
      </w:r>
      <w:r>
        <w:t xml:space="preserve">    </w:t>
      </w:r>
      <w:r>
        <w:rPr>
          <w:b/>
        </w:rPr>
        <w:t xml:space="preserve">DOI: </w:t>
      </w:r>
      <w:hyperlink r:id="rId523">
        <w:r>
          <w:rPr>
            <w:color w:val="1155CC"/>
            <w:u w:val="single"/>
          </w:rPr>
          <w:t>10.1002/anie.9692519</w:t>
        </w:r>
      </w:hyperlink>
    </w:p>
    <w:p>
      <w:pPr>
        <w:spacing w:before="0" w:after="80" w:lineRule="auto" w:line="276"/>
      </w:pPr>
      <w:r>
        <w:rPr>
          <w:b/>
        </w:rPr>
        <w:t xml:space="preserve">摘要（ZH）: </w:t>
      </w:r>
      <w:r>
        <w:t>(empty)</w:t>
      </w:r>
    </w:p>
    <w:p>
      <w:pPr>
        <w:spacing w:before="0" w:after="200" w:lineRule="auto" w:line="276"/>
      </w:pPr>
      <w:r>
        <w:rPr>
          <w:b/>
        </w:rPr>
        <w:t xml:space="preserve">Abstract (EN): </w:t>
      </w:r>
      <w:r>
        <w:t>Rare earth (RE)-based nanocrystals (NCs) with rich elemental composition and unique electron configuration are promising for a wide range of important applications. However, their precise creation remains to be a synthetic bottleneck, limited to the ultralow reduction potential, strong oxophilicity, rigid compatibility and in particular regarding phase diversity beyond the thermodynamically stable counterparts. Here we define a transition metal cation-stabilized strategy for the phase-selective synthesis of lanthanoid (Ln) sulfide NCs including monoclinic (m), orthorhombic (o), and trigonal (t) crystal systems. We further quantitatively reveal the phase-controlled morphological and structural motif evolution processes of the metastable frameworks, via a combination of lattice energy-dependent thermodynamic control and facet adsorption-induced kinetic control. An extension of the proposed mechanism constructs phase-designed t/m-homojunction and t/o-heterostructure Ln sulfide NCs with multidimensionality and tunable composition, structures, and interfaces. This generalizable phase-engineering protocol provides guiding principle and synthetic methodology for a RE-based polymorphic nanocrystal library that is otherwise inaccessible by conventional approaches.</w:t>
      </w:r>
    </w:p>
    <w:p>
      <w:pPr>
        <w:spacing w:before="120" w:after="120"/>
      </w:pPr>
      <w:r>
        <w:rPr>
          <w:sz w:val="18"/>
        </w:rPr>
        <w:t>——————————————————————————————————————————————————————————————————————</w:t>
      </w:r>
    </w:p>
    <w:p>
      <w:pPr>
        <w:spacing w:before="160" w:after="40" w:line="240" w:lineRule="auto"/>
      </w:pPr>
      <w:r>
        <w:rPr>
          <w:b/>
        </w:rPr>
        <w:t xml:space="preserve">[206] </w:t>
      </w:r>
      <w:hyperlink r:id="rId524">
        <w:r>
          <w:rPr>
            <w:color w:val="1155CC"/>
            <w:u w:val="single"/>
          </w:rPr>
          <w:t>Chiral Mesostructured Mo Doped Bi2WO6 Drives Photocatalytic Urea Synthesis From N2 and CO2</w:t>
        </w:r>
      </w:hyperlink>
    </w:p>
    <w:p>
      <w:pPr>
        <w:spacing w:before="0" w:after="120"/>
      </w:pPr>
      <w:r>
        <w:rPr>
          <w:b/>
        </w:rPr>
        <w:t xml:space="preserve">Source: </w:t>
      </w:r>
      <w:r>
        <w:t>Wiley: Angewandte Chemie International Edition: Table of Contents</w:t>
      </w:r>
      <w:r>
        <w:t xml:space="preserve">    </w:t>
      </w:r>
      <w:r>
        <w:rPr>
          <w:b/>
        </w:rPr>
        <w:t xml:space="preserve">Pub date: </w:t>
      </w:r>
      <w:r>
        <w:t>2026-02-25 08:57:46+00:00</w:t>
      </w:r>
      <w:r>
        <w:t xml:space="preserve">    </w:t>
      </w:r>
      <w:r>
        <w:rPr>
          <w:b/>
        </w:rPr>
        <w:t xml:space="preserve">DOI: </w:t>
      </w:r>
      <w:hyperlink r:id="rId525">
        <w:r>
          <w:rPr>
            <w:color w:val="1155CC"/>
            <w:u w:val="single"/>
          </w:rPr>
          <w:t>10.1002/anie.202525892</w:t>
        </w:r>
      </w:hyperlink>
    </w:p>
    <w:p>
      <w:pPr>
        <w:spacing w:before="0" w:after="80" w:lineRule="auto" w:line="276"/>
      </w:pPr>
      <w:r>
        <w:rPr>
          <w:b/>
        </w:rPr>
        <w:t xml:space="preserve">摘要（ZH）: </w:t>
      </w:r>
      <w:r>
        <w:t>(empty)</w:t>
      </w:r>
    </w:p>
    <w:p>
      <w:pPr>
        <w:spacing w:before="0" w:after="200" w:lineRule="auto" w:line="276"/>
      </w:pPr>
      <w:r>
        <w:rPr>
          <w:b/>
        </w:rPr>
        <w:t xml:space="preserve">Abstract (EN): </w:t>
      </w:r>
      <w:r>
        <w:t>Direct synthesis of urea through photocatalytic N2 and CO2 reduction (PNCR) offers a sustainable approach to mitigate CO2 emissions and reduce energy consumption from urea production for industry and agriculture. However, achieving high yield of urea is limited by the high energy barrier for co-reduction of N2 and CO2 with subsequent C-N coupling. Herein, we propose that the spin polarization of chiral mesostructured Mo doped Bi2WO6 (CMMB) can facilitate the formation of triplet 3NOH by regulating the parallel electron spin alignment and promote the separation and transfer of photogenerated carriers, leading to enhanced C-N formation. The incorporation of Mo sites into Bi2WO6 promotes the adsorption and activation of N2. A state-of-the-art urea yield was achieved without additives via PNCR on CMMB, surpassing the best-reported inorganic catalyst by a significant margin. This study provides an effective strategy for designing catalyst structures for the green synthesis of organonitrogen compounds.</w:t>
      </w:r>
    </w:p>
    <w:p>
      <w:pPr>
        <w:spacing w:before="120" w:after="120"/>
      </w:pPr>
      <w:r>
        <w:rPr>
          <w:sz w:val="18"/>
        </w:rPr>
        <w:t>——————————————————————————————————————————————————————————————————————</w:t>
      </w:r>
    </w:p>
    <w:p>
      <w:pPr>
        <w:spacing w:before="160" w:after="40" w:line="240" w:lineRule="auto"/>
      </w:pPr>
      <w:r>
        <w:rPr>
          <w:b/>
        </w:rPr>
        <w:t xml:space="preserve">[207] </w:t>
      </w:r>
      <w:hyperlink r:id="rId526">
        <w:r>
          <w:rPr>
            <w:color w:val="1155CC"/>
            <w:u w:val="single"/>
          </w:rPr>
          <w:t>A Cooperative Structural Dimension and Clusters Chirality in Antimony Halide Hybrids for Efficient Circularly Polarized Electroluminescence</w:t>
        </w:r>
      </w:hyperlink>
    </w:p>
    <w:p>
      <w:pPr>
        <w:spacing w:before="0" w:after="120"/>
      </w:pPr>
      <w:r>
        <w:rPr>
          <w:b/>
        </w:rPr>
        <w:t xml:space="preserve">Source: </w:t>
      </w:r>
      <w:r>
        <w:t>Wiley: Angewandte Chemie International Edition: Table of Contents</w:t>
      </w:r>
      <w:r>
        <w:t xml:space="preserve">    </w:t>
      </w:r>
      <w:r>
        <w:rPr>
          <w:b/>
        </w:rPr>
        <w:t xml:space="preserve">Pub date: </w:t>
      </w:r>
      <w:r>
        <w:t>2026-02-25 08:59:29+00:00</w:t>
      </w:r>
      <w:r>
        <w:t xml:space="preserve">    </w:t>
      </w:r>
      <w:r>
        <w:rPr>
          <w:b/>
        </w:rPr>
        <w:t xml:space="preserve">DOI: </w:t>
      </w:r>
      <w:hyperlink r:id="rId527">
        <w:r>
          <w:rPr>
            <w:color w:val="1155CC"/>
            <w:u w:val="single"/>
          </w:rPr>
          <w:t>10.1002/anie.8742316</w:t>
        </w:r>
      </w:hyperlink>
    </w:p>
    <w:p>
      <w:pPr>
        <w:spacing w:before="0" w:after="80" w:lineRule="auto" w:line="276"/>
      </w:pPr>
      <w:r>
        <w:rPr>
          <w:b/>
        </w:rPr>
        <w:t xml:space="preserve">摘要（ZH）: </w:t>
      </w:r>
      <w:r>
        <w:t>(empty)</w:t>
      </w:r>
    </w:p>
    <w:p>
      <w:pPr>
        <w:spacing w:before="0" w:after="200" w:lineRule="auto" w:line="276"/>
      </w:pPr>
      <w:r>
        <w:rPr>
          <w:b/>
        </w:rPr>
        <w:t xml:space="preserve">Abstract (EN): </w:t>
      </w:r>
      <w:r>
        <w:t>Chiral metal-halide materials often suffer from inherent trade-off between photoluminescence efficiency and chiroptical asymmetry (g value); low-dimensional structures typically deliver high emission efficiency but small g values, whereas higher-dimensional counterparts afford larger g values at the cost of reduced luminescence efficiency. To overcome this limitation, we introduce a cluster-level chirality strategy in a 0D framework by incorporating chiral metal halide clusters. Herein, we rationally design and synthesize a pair of enantiomeric antimony(III) halide hybrids, [(R,R)/(S,S)(PPh2)2C4]2[Sb4Cl16] (R/S-DPPB-Sb) in which bulky chiral phosphonium cations template previously unreported isolated [Sb4Cl16]4- clusters assembled into a helical lattice. These enantiomers exhibit bright self-trapped excitons emission at 625 nm with photoluminescence quantum yields above 40%, along with strong circularly polarized luminescence (glum ≈ ±7 × 10-3), among the highest reported to date for chiral Antimony-based hybrids. Remarkably, we further demonstrate circularly polarized LEDs using R/S-DPPB-Sb as the emitter, achieving an external quantum efficiency of 1.48% and a notable CP-EL dissymmetry factor (|gEL| &gt; 9 × 10-3). The strong chiroptical response originates from the pronounced distortion of the [Sb4Cl16]4- clusters and their helical supramolecular packing. This work establishes antimony halide clusters as a promising chiral emitter and provides a viable route toward high-performance, lead-free CPLEDs.</w:t>
      </w:r>
    </w:p>
    <w:p>
      <w:pPr>
        <w:spacing w:before="120" w:after="120"/>
      </w:pPr>
      <w:r>
        <w:rPr>
          <w:sz w:val="18"/>
        </w:rPr>
        <w:t>——————————————————————————————————————————————————————————————————————</w:t>
      </w:r>
    </w:p>
    <w:p>
      <w:pPr>
        <w:spacing w:before="160" w:after="40" w:line="240" w:lineRule="auto"/>
      </w:pPr>
      <w:r>
        <w:rPr>
          <w:b/>
        </w:rPr>
        <w:t xml:space="preserve">[208] </w:t>
      </w:r>
      <w:hyperlink r:id="rId528">
        <w:r>
          <w:rPr>
            <w:color w:val="1155CC"/>
            <w:u w:val="single"/>
          </w:rPr>
          <w:t>Boosting Linear and Nonlinear Optical Properties of Pt1Ag18 Nanoclusters by Manipulating Ligand‐Shell Rigidity</w:t>
        </w:r>
      </w:hyperlink>
    </w:p>
    <w:p>
      <w:pPr>
        <w:spacing w:before="0" w:after="120"/>
      </w:pPr>
      <w:r>
        <w:rPr>
          <w:b/>
        </w:rPr>
        <w:t xml:space="preserve">Source: </w:t>
      </w:r>
      <w:r>
        <w:t>Wiley: Angewandte Chemie International Edition: Table of Contents</w:t>
      </w:r>
      <w:r>
        <w:t xml:space="preserve">    </w:t>
      </w:r>
      <w:r>
        <w:rPr>
          <w:b/>
        </w:rPr>
        <w:t xml:space="preserve">Pub date: </w:t>
      </w:r>
      <w:r>
        <w:t>2026-02-25 09:01:19+00:00</w:t>
      </w:r>
      <w:r>
        <w:t xml:space="preserve">    </w:t>
      </w:r>
      <w:r>
        <w:rPr>
          <w:b/>
        </w:rPr>
        <w:t xml:space="preserve">DOI: </w:t>
      </w:r>
      <w:hyperlink r:id="rId529">
        <w:r>
          <w:rPr>
            <w:color w:val="1155CC"/>
            <w:u w:val="single"/>
          </w:rPr>
          <w:t>10.1002/anie.5033273</w:t>
        </w:r>
      </w:hyperlink>
    </w:p>
    <w:p>
      <w:pPr>
        <w:spacing w:before="0" w:after="80" w:lineRule="auto" w:line="276"/>
      </w:pPr>
      <w:r>
        <w:rPr>
          <w:b/>
        </w:rPr>
        <w:t xml:space="preserve">摘要（ZH）: </w:t>
      </w:r>
      <w:r>
        <w:t>(empty)</w:t>
      </w:r>
    </w:p>
    <w:p>
      <w:pPr>
        <w:spacing w:before="0" w:after="200" w:lineRule="auto" w:line="276"/>
      </w:pPr>
      <w:r>
        <w:rPr>
          <w:b/>
        </w:rPr>
        <w:t xml:space="preserve">Abstract (EN): </w:t>
      </w:r>
      <w:r>
        <w:t>Ligand-protected metal nanoclusters exhibit novel molecular-like optical properties, yet how surface ligands regulate nonlinear optical behavior remains insufficiently understood. Here, we demonstrate a ligand-engineering strategy to modulate both linear and nonlinear optical responses of Pt1Ag18 nanoclusters through controlled tuning of ligand-shell rigidity and electron-core interactions. we prepared a family of [Pt1Ag18(DPPP)6(SR)xCl8-x]2+ nanoclusters (SR = 1-adamantanethiol or 2-fluorothiophenol; x = 0-8), enabling progressive substitution of flexible 3D cage 1-adamantanethiol ligands with planar electron-donating 2-fluorothiophenol ligands. Increasing fluorinated thiolate content strengthens ligand-metal coupling and rigidifies the ligand environment, leading to suppressed nonradiative decay and markedly enhanced one-photon absorption, photoluminescence quantum yield, and two-photon absorption/two-photon excited photoluminescence cross-sections. Nonlinear optical measurements (700-1000 nm femtosecond excitation) reveal that resonance effects and ligand rigidity jointly govern multiphoton excitation efficiency. Furthermore, introducing bulky counterions induces additional rigidification, achieving substantial amplification of both one- and two-photon luminescence. Supported by TD-DFT calculations, this work establishes a structure-property relationship linking ligand geometry and charge-transfer character to nonlinear optical performance. These findings outline a generalizable ligand-shell design strategy for tuning optical responses in atomically precise metal nanoclusters and offer promising candidates for multiphoton bioimaging and photonic applications.</w:t>
      </w:r>
    </w:p>
    <w:p>
      <w:pPr>
        <w:spacing w:before="120" w:after="120"/>
      </w:pPr>
      <w:r>
        <w:rPr>
          <w:sz w:val="18"/>
        </w:rPr>
        <w:t>——————————————————————————————————————————————————————————————————————</w:t>
      </w:r>
    </w:p>
    <w:p>
      <w:pPr>
        <w:spacing w:before="160" w:after="40" w:line="240" w:lineRule="auto"/>
      </w:pPr>
      <w:r>
        <w:rPr>
          <w:b/>
        </w:rPr>
        <w:t xml:space="preserve">[209] </w:t>
      </w:r>
      <w:hyperlink r:id="rId530">
        <w:r>
          <w:rPr>
            <w:color w:val="1155CC"/>
            <w:u w:val="single"/>
          </w:rPr>
          <w:t>Phosphate Anion‐Engineered MXene for Efficient Water Dissociation on Single‐Atom Alloy</w:t>
        </w:r>
      </w:hyperlink>
    </w:p>
    <w:p>
      <w:pPr>
        <w:spacing w:before="0" w:after="120"/>
      </w:pPr>
      <w:r>
        <w:rPr>
          <w:b/>
        </w:rPr>
        <w:t xml:space="preserve">Source: </w:t>
      </w:r>
      <w:r>
        <w:t>Wiley: Angewandte Chemie International Edition: Table of Contents</w:t>
      </w:r>
      <w:r>
        <w:t xml:space="preserve">    </w:t>
      </w:r>
      <w:r>
        <w:rPr>
          <w:b/>
        </w:rPr>
        <w:t xml:space="preserve">Pub date: </w:t>
      </w:r>
      <w:r>
        <w:t>2026-02-25 09:01:22+00:00</w:t>
      </w:r>
      <w:r>
        <w:t xml:space="preserve">    </w:t>
      </w:r>
      <w:r>
        <w:rPr>
          <w:b/>
        </w:rPr>
        <w:t xml:space="preserve">DOI: </w:t>
      </w:r>
      <w:hyperlink r:id="rId531">
        <w:r>
          <w:rPr>
            <w:color w:val="1155CC"/>
            <w:u w:val="single"/>
          </w:rPr>
          <w:t>10.1002/anie.202524246</w:t>
        </w:r>
      </w:hyperlink>
    </w:p>
    <w:p>
      <w:pPr>
        <w:spacing w:before="0" w:after="80" w:lineRule="auto" w:line="276"/>
      </w:pPr>
      <w:r>
        <w:rPr>
          <w:b/>
        </w:rPr>
        <w:t xml:space="preserve">摘要（ZH）: </w:t>
      </w:r>
      <w:r>
        <w:t>(empty)</w:t>
      </w:r>
    </w:p>
    <w:p>
      <w:pPr>
        <w:spacing w:before="0" w:after="200" w:lineRule="auto" w:line="276"/>
      </w:pPr>
      <w:r>
        <w:rPr>
          <w:b/>
        </w:rPr>
        <w:t xml:space="preserve">Abstract (EN): </w:t>
      </w:r>
      <w:r>
        <w:t>Catalyst supports are indispensable for efficient water dissociation since they play key roles in either indirectly enhancing catalysis activity by modifying electronic structures of catalysts or directly participating in catalytic reaction. MXene has recently emerged as a promising catalyst support for water dissociation by virtue of its rich surface electronic states that enable various electronic modifications of catalysts, but its potential of directly interacting with reactants or products to accelerate catalytic dynamics in water dissociation remains unexplored. Here we report our finding that phosphate anion-engineered MXene is capable of significantly accelerating water dissociation on single-atom ruthenium-copper (Ru-Cu) alloy, achieving a record-high mass-specific activity of 746 L gRu -1 min-1 under light conditions at room temperature. This is mainly enabled by the accelerated hydrogen spillover effect, which results from the phosphate anion-induced electronic modification of titanium sites on MXene following the light-enhanced activation of ammonia borane and water molecules on Ru-Cu active sites. This underlying mechanism is elucidated by a combination of in situ spectroscopic characterizations and density function theory calculations. This work unveils a previously unrecognized catalytic role of MXene-based supports and offers a new design strategy for enhancing water dissociation through tailored support-catalyst-reactant interactions.</w:t>
      </w:r>
    </w:p>
    <w:p>
      <w:pPr>
        <w:spacing w:before="120" w:after="120"/>
      </w:pPr>
      <w:r>
        <w:rPr>
          <w:sz w:val="18"/>
        </w:rPr>
        <w:t>——————————————————————————————————————————————————————————————————————</w:t>
      </w:r>
    </w:p>
    <w:p>
      <w:pPr>
        <w:spacing w:before="160" w:after="40" w:line="240" w:lineRule="auto"/>
      </w:pPr>
      <w:r>
        <w:rPr>
          <w:b/>
        </w:rPr>
        <w:t xml:space="preserve">[210] </w:t>
      </w:r>
      <w:hyperlink r:id="rId532">
        <w:r>
          <w:rPr>
            <w:color w:val="1155CC"/>
            <w:u w:val="single"/>
          </w:rPr>
          <w:t>Synthesis, Crystal Structure, and Enantiomeric Resolution of a Chiral (18,15) Carbon Nanobelt</w:t>
        </w:r>
      </w:hyperlink>
    </w:p>
    <w:p>
      <w:pPr>
        <w:spacing w:before="0" w:after="120"/>
      </w:pPr>
      <w:r>
        <w:rPr>
          <w:b/>
        </w:rPr>
        <w:t xml:space="preserve">Source: </w:t>
      </w:r>
      <w:r>
        <w:t>Wiley: Angewandte Chemie International Edition: Table of Contents</w:t>
      </w:r>
      <w:r>
        <w:t xml:space="preserve">    </w:t>
      </w:r>
      <w:r>
        <w:rPr>
          <w:b/>
        </w:rPr>
        <w:t xml:space="preserve">Pub date: </w:t>
      </w:r>
      <w:r>
        <w:t>2026-02-25 09:03:21+00:00</w:t>
      </w:r>
      <w:r>
        <w:t xml:space="preserve">    </w:t>
      </w:r>
      <w:r>
        <w:rPr>
          <w:b/>
        </w:rPr>
        <w:t xml:space="preserve">DOI: </w:t>
      </w:r>
      <w:hyperlink r:id="rId533">
        <w:r>
          <w:rPr>
            <w:color w:val="1155CC"/>
            <w:u w:val="single"/>
          </w:rPr>
          <w:t>10.1002/anie.5390746</w:t>
        </w:r>
      </w:hyperlink>
    </w:p>
    <w:p>
      <w:pPr>
        <w:spacing w:before="0" w:after="80" w:lineRule="auto" w:line="276"/>
      </w:pPr>
      <w:r>
        <w:rPr>
          <w:b/>
        </w:rPr>
        <w:t xml:space="preserve">摘要（ZH）: </w:t>
      </w:r>
      <w:r>
        <w:t>(empty)</w:t>
      </w:r>
    </w:p>
    <w:p>
      <w:pPr>
        <w:spacing w:before="0" w:after="200" w:lineRule="auto" w:line="276"/>
      </w:pPr>
      <w:r>
        <w:rPr>
          <w:b/>
        </w:rPr>
        <w:t xml:space="preserve">Abstract (EN): </w:t>
      </w:r>
      <w:r>
        <w:t>Chiral carbon nanotubes (CNTs) show significant potential for applications in electronics and optics, yet the selective synthesis of single-chirality CNTs remains a major challenge. Furthermore, enantiopure chiral carbon nanobelts, which constitute conjugated segments of chiral CNTs, have not been reported to date. Here, we present the first synthesis and successful enantiomeric resolution of a chiral (18,15) carbon nanobelt, representing a sidewall segment of the corresponding (18,15) CNT. Single-crystal x-ray diffraction analysis unambiguously confirms its belt-shaped structure and the presence of a pair of enantiomers. Both enantiomers have been successfully isolated, and further studies reveal notable chiroptical properties.</w:t>
      </w:r>
    </w:p>
    <w:p>
      <w:pPr>
        <w:spacing w:before="120" w:after="120"/>
      </w:pPr>
      <w:r>
        <w:rPr>
          <w:sz w:val="18"/>
        </w:rPr>
        <w:t>——————————————————————————————————————————————————————————————————————</w:t>
      </w:r>
    </w:p>
    <w:p>
      <w:pPr>
        <w:spacing w:before="160" w:after="40" w:line="240" w:lineRule="auto"/>
      </w:pPr>
      <w:r>
        <w:rPr>
          <w:b/>
        </w:rPr>
        <w:t xml:space="preserve">[211] </w:t>
      </w:r>
      <w:hyperlink r:id="rId534">
        <w:r>
          <w:rPr>
            <w:color w:val="1155CC"/>
            <w:u w:val="single"/>
          </w:rPr>
          <w:t>[ASAP] Dinitrogen Cleavage and Hydrogenation by a Uranium Hydride Complex Enabled through Metal–Ligand Cooperativity</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09:09:20+00:00</w:t>
      </w:r>
      <w:r>
        <w:t xml:space="preserve">    </w:t>
      </w:r>
      <w:r>
        <w:rPr>
          <w:b/>
        </w:rPr>
        <w:t xml:space="preserve">DOI: </w:t>
      </w:r>
      <w:hyperlink r:id="rId535">
        <w:r>
          <w:rPr>
            <w:color w:val="1155CC"/>
            <w:u w:val="single"/>
          </w:rPr>
          <w:t>10.1021/jacs.6c00478</w:t>
        </w:r>
      </w:hyperlink>
    </w:p>
    <w:p>
      <w:pPr>
        <w:spacing w:before="0" w:after="80" w:lineRule="auto" w:line="276"/>
      </w:pPr>
      <w:r>
        <w:rPr>
          <w:b/>
        </w:rPr>
        <w:t xml:space="preserve">摘要（ZH）: </w:t>
      </w:r>
      <w:r>
        <w:t>(empty)</w:t>
      </w:r>
    </w:p>
    <w:p>
      <w:pPr>
        <w:spacing w:before="0" w:after="200" w:lineRule="auto" w:line="276"/>
      </w:pPr>
      <w:r>
        <w:rPr>
          <w:b/>
        </w:rPr>
        <w:t xml:space="preserve">Abstract (EN): </w:t>
      </w:r>
      <w:r>
        <w:t>Dinitrogen cleavage and hydrogenation by metal hydride complexes are relevant to both enzymatic and industrial dinitrogen (N2) fixation but remain limited to a few examples. Here, we report the cleavage and functionalization of N2 mediated by a pincer ligand-supported diuranium(IV) hydride complex [{(Dipp-NON)UIV(η4-HDipp)}(μ-H){(η6-Dipp)UIV(NON-Dipp)}], 1. In this complex, a total of six electrons and two protons are stored in two flanking arms of the bis(anilido)xanthene scaffolds and in the bridging hydride, which are stabilized by two uranium(IV) centers. The reaction of complex 1 with dinitrogen results in concomitant N2 cleavage and functionalization, affording the bis-imido complex [{(Dipp2-NON)UIV}2(μ-NH)2], 3, via an unprecedented cooperative metal-ligand pathway and without involving a change of the uranium oxidation state during the overall transformation.</w:t>
      </w:r>
    </w:p>
    <w:p>
      <w:pPr>
        <w:spacing w:before="120" w:after="120"/>
      </w:pPr>
      <w:r>
        <w:rPr>
          <w:sz w:val="18"/>
        </w:rPr>
        <w:t>——————————————————————————————————————————————————————————————————————</w:t>
      </w:r>
    </w:p>
    <w:p>
      <w:pPr>
        <w:spacing w:before="160" w:after="40" w:line="240" w:lineRule="auto"/>
      </w:pPr>
      <w:r>
        <w:rPr>
          <w:b/>
        </w:rPr>
        <w:t xml:space="preserve">[212] </w:t>
      </w:r>
      <w:hyperlink r:id="rId536">
        <w:r>
          <w:rPr>
            <w:color w:val="1155CC"/>
            <w:u w:val="single"/>
          </w:rPr>
          <w:t>[ASAP] The Impact of Chirality on Singlet Fission and Triplet Fusion: A Molecular Twist for Photon Management</w:t>
        </w:r>
      </w:hyperlink>
    </w:p>
    <w:p>
      <w:pPr>
        <w:spacing w:before="0" w:after="120"/>
      </w:pPr>
      <w:r>
        <w:rPr>
          <w:b/>
        </w:rPr>
        <w:t xml:space="preserve">Source: </w:t>
      </w:r>
      <w:r>
        <w:t>ACS Energy Letters: Latest Articles (ACS Publications)</w:t>
      </w:r>
      <w:r>
        <w:t xml:space="preserve">    </w:t>
      </w:r>
      <w:r>
        <w:rPr>
          <w:b/>
        </w:rPr>
        <w:t xml:space="preserve">Pub date: </w:t>
      </w:r>
      <w:r>
        <w:t>2026-02-25 09:22:36+00:00</w:t>
      </w:r>
      <w:r>
        <w:t xml:space="preserve">    </w:t>
      </w:r>
      <w:r>
        <w:rPr>
          <w:b/>
        </w:rPr>
        <w:t xml:space="preserve">DOI: </w:t>
      </w:r>
      <w:hyperlink r:id="rId537">
        <w:r>
          <w:rPr>
            <w:color w:val="1155CC"/>
            <w:u w:val="single"/>
          </w:rPr>
          <w:t>10.1021/acsenergylett.6c00073</w:t>
        </w:r>
      </w:hyperlink>
    </w:p>
    <w:p>
      <w:pPr>
        <w:spacing w:before="0" w:after="80" w:lineRule="auto" w:line="276"/>
      </w:pPr>
      <w:r>
        <w:rPr>
          <w:b/>
        </w:rPr>
        <w:t xml:space="preserve">摘要（ZH）: </w:t>
      </w:r>
      <w:r>
        <w:t>(empty)</w:t>
      </w:r>
    </w:p>
    <w:p>
      <w:pPr>
        <w:spacing w:before="0" w:after="200" w:lineRule="auto" w:line="276"/>
      </w:pPr>
      <w:r>
        <w:rPr>
          <w:b/>
        </w:rPr>
        <w:t xml:space="preserve">Abstract (EN): </w:t>
      </w:r>
      <w:r>
        <w:t>Chirality has recently emerged as a new means to profoundly impact the properties of organic semiconductors for spin-optoelectronic applications. Yet, a clear mechanistic understanding of chiral structure–property relationships remains absent to date, particularly for photon interconversion processes such as singlet exciton fission and triplet fusion. In this perspective, we highlight recent work that investigates chiral structures for these processes. We discuss the various ways in which chirality can impact such conversion processes and suggest ways to leverage it to improve photon management for both energy applications and quantum information science.</w:t>
      </w:r>
    </w:p>
    <w:p>
      <w:pPr>
        <w:spacing w:before="120" w:after="120"/>
      </w:pPr>
      <w:r>
        <w:rPr>
          <w:sz w:val="18"/>
        </w:rPr>
        <w:t>——————————————————————————————————————————————————————————————————————</w:t>
      </w:r>
    </w:p>
    <w:p>
      <w:pPr>
        <w:spacing w:before="160" w:after="40" w:line="240" w:lineRule="auto"/>
      </w:pPr>
      <w:r>
        <w:rPr>
          <w:b/>
        </w:rPr>
        <w:t xml:space="preserve">[213] </w:t>
      </w:r>
      <w:hyperlink r:id="rId538">
        <w:r>
          <w:rPr>
            <w:color w:val="1155CC"/>
            <w:u w:val="single"/>
          </w:rPr>
          <w:t>[ASAP] Modulating Intermediate Reactivity for Nitrogen Oxide Selective Catalytic Reduction through Dual Scaling Laws: A Synergetic In Situ Diffuse Reflectance Infrared Fourier Transform Spectroscopy and Density Functional Theory Study</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09:41:59+00:00</w:t>
      </w:r>
      <w:r>
        <w:t xml:space="preserve">    </w:t>
      </w:r>
      <w:r>
        <w:rPr>
          <w:b/>
        </w:rPr>
        <w:t xml:space="preserve">DOI: </w:t>
      </w:r>
      <w:hyperlink r:id="rId539">
        <w:r>
          <w:rPr>
            <w:color w:val="1155CC"/>
            <w:u w:val="single"/>
          </w:rPr>
          <w:t>10.1021/jacs.6c00844</w:t>
        </w:r>
      </w:hyperlink>
    </w:p>
    <w:p>
      <w:pPr>
        <w:spacing w:before="0" w:after="80" w:lineRule="auto" w:line="276"/>
      </w:pPr>
      <w:r>
        <w:rPr>
          <w:b/>
        </w:rPr>
        <w:t xml:space="preserve">摘要（ZH）: </w:t>
      </w:r>
      <w:r>
        <w:t>(empty)</w:t>
      </w:r>
    </w:p>
    <w:p>
      <w:pPr>
        <w:spacing w:before="0" w:after="200" w:lineRule="auto" w:line="276"/>
      </w:pPr>
      <w:r>
        <w:rPr>
          <w:b/>
        </w:rPr>
        <w:t xml:space="preserve">Abstract (EN): </w:t>
      </w:r>
      <w:r>
        <w:t>Nitrogen oxide (NOx) abatement offers a viable way to mitigate air pollution, yet it continues to pose significant challenges in heterogeneous catalysis, calling for atomistic insights into how transition metal catalysts modulate reactivity. In this study, we integrate in situ diffuse reflectance infrared Fourier transform spectroscopy (DRIFTS) with density functional theory (DFT) calculations to uncover the mechanistic principles underlying NOx selective catalytic reduction (SCR) on manganese-based catalysts. Our experimental-theoretical framework captures a sequence of NOx intermediates with strong agreement between computed and measured IR signatures, enabling detailed mapping of charge redistribution and orbital interactions at Mn active sites. We discovered distinct reactivity scaling laws for intermediates with Mn3+ and Mn4+: a Sabatier-type volcano trend for Mn3+-bound intermediates and a linear relationship for Mn4+-containing systems. Moreover, we identified a unifying electronic descriptor, defined as the Fermi-level corrected energy of Mn 3d orbitals with a maximal overlap to NOx O 2p orbitals, that quantitatively connects these dual regimes. This descriptor is consistent with ligand field theory and further captures the dynamic interplay of NOx adsorbates, demonstrating that the symmetry and alignment of transition-metal 3d orbitals govern both charge distribution and chemical reactivity. Since multivalence is a ubiquitous feature of transition metal catalysts, the dual scaling laws discovered in this work could provide a generally valid framework. These findings not only establish a mechanistic foundation for understanding valence-dependent SCR reaction pathways but also suggest a broader framework with predictive power for catalyst design based on electronic structure engineering.</w:t>
      </w:r>
    </w:p>
    <w:p>
      <w:pPr>
        <w:spacing w:before="120" w:after="120"/>
      </w:pPr>
      <w:r>
        <w:rPr>
          <w:sz w:val="18"/>
        </w:rPr>
        <w:t>——————————————————————————————————————————————————————————————————————</w:t>
      </w:r>
    </w:p>
    <w:p>
      <w:pPr>
        <w:spacing w:before="160" w:after="40" w:line="240" w:lineRule="auto"/>
      </w:pPr>
      <w:r>
        <w:rPr>
          <w:b/>
        </w:rPr>
        <w:t xml:space="preserve">[214] </w:t>
      </w:r>
      <w:hyperlink r:id="rId540">
        <w:r>
          <w:rPr>
            <w:color w:val="1155CC"/>
            <w:u w:val="single"/>
          </w:rPr>
          <w:t>[ASAP] Interfacial Brønsted Acid Site Architectures on Amorphous Silica–Alumina Resolved by Heteronuclear-Filtered Two-Dimensional Solid-State NMR Correlation Spectroscopy</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10:00:35+00:00</w:t>
      </w:r>
      <w:r>
        <w:t xml:space="preserve">    </w:t>
      </w:r>
      <w:r>
        <w:rPr>
          <w:b/>
        </w:rPr>
        <w:t xml:space="preserve">DOI: </w:t>
      </w:r>
      <w:hyperlink r:id="rId541">
        <w:r>
          <w:rPr>
            <w:color w:val="1155CC"/>
            <w:u w:val="single"/>
          </w:rPr>
          <w:t>10.1021/jacs.5c20339</w:t>
        </w:r>
      </w:hyperlink>
    </w:p>
    <w:p>
      <w:pPr>
        <w:spacing w:before="0" w:after="80" w:lineRule="auto" w:line="276"/>
      </w:pPr>
      <w:r>
        <w:rPr>
          <w:b/>
        </w:rPr>
        <w:t xml:space="preserve">摘要（ZH）: </w:t>
      </w:r>
      <w:r>
        <w:t>(empty)</w:t>
      </w:r>
    </w:p>
    <w:p>
      <w:pPr>
        <w:spacing w:before="0" w:after="200" w:lineRule="auto" w:line="276"/>
      </w:pPr>
      <w:r>
        <w:rPr>
          <w:b/>
        </w:rPr>
        <w:t xml:space="preserve">Abstract (EN): </w:t>
      </w:r>
      <w:r>
        <w:t>Amorphous silica-aluminas (ASAs) are widely used catalysts, with a distribution of Brønsted acid sites (BAS), that yield unique catalytic properties exploited in numerous industrial settings. While having atomic-level insight into their structures, in particular their interfacial sites, would be key to enable rational design, these sites are notoriously difficult to characterize due to spectral complexity arising from a diversity of hydroxyls and the overwhelming interference from noninterfacial signals. Herein, we introduce a 27Al-filtered 1H-1H double-quantum/single-quantum NMR (f-DQ/SQ) spectroscopy method integrated with DFT calculations to probe hydroxyls at solid-state interfaces selectively. Combined with probe molecule (acetone and TMP) adsorption experiments, this approach unequivocally demonstrates that hydrothermal post-treatment increases BAS density in ASA. Dynamic-nuclear-polarization-enhanced 29Si-{27Al} D/J-based correlation experiments corroborate the rearrangement process at the silica-alumina interface, while the heteronuclear-filtered 1H-1H DQ/SQ NMR reveals that the increase in BAS density originates from the formation of specific pseudobridged silanol (PBS) pairs─a distinction imperceptible in conventional 1H or 1H-{27Al} correlation NMR. PBS pairs constitute ca. 73% of the total PBS population, estimated by a semiquantitative analysis combining 27Al-filtered experiments and spin-dynamics simulations. Through a time-dependent 1H-1H f-DQ/SQ variant, we quantified key interatomic distances (∼2 Å for H-H and ∼4.1 Å for H-Al) within these PBS motifs. Constrained DFT calculations ultimately identify a vicinal-silanol-derived configuration as the most stable PBS structure, being 294 kJ/mol lower in relative energy, thereby resolving the atomic-scale origin of augmented acidity in hydrothermally treated ASAs.</w:t>
      </w:r>
    </w:p>
    <w:p>
      <w:pPr>
        <w:spacing w:before="120" w:after="120"/>
      </w:pPr>
      <w:r>
        <w:rPr>
          <w:sz w:val="18"/>
        </w:rPr>
        <w:t>——————————————————————————————————————————————————————————————————————</w:t>
      </w:r>
    </w:p>
    <w:p>
      <w:pPr>
        <w:spacing w:before="160" w:after="40" w:line="240" w:lineRule="auto"/>
      </w:pPr>
      <w:r>
        <w:rPr>
          <w:b/>
        </w:rPr>
        <w:t xml:space="preserve">[215] </w:t>
      </w:r>
      <w:hyperlink r:id="rId542">
        <w:r>
          <w:rPr>
            <w:color w:val="1155CC"/>
            <w:u w:val="single"/>
          </w:rPr>
          <w:t>Two‐Nanosensor Electrochemical Profiling of Catecholamine Vesicle Interactions With Acute and Chronic Stress Granules in Living Cells</w:t>
        </w:r>
      </w:hyperlink>
    </w:p>
    <w:p>
      <w:pPr>
        <w:spacing w:before="0" w:after="120"/>
      </w:pPr>
      <w:r>
        <w:rPr>
          <w:b/>
        </w:rPr>
        <w:t xml:space="preserve">Source: </w:t>
      </w:r>
      <w:r>
        <w:t>Wiley: Angewandte Chemie International Edition: Table of Contents</w:t>
      </w:r>
      <w:r>
        <w:t xml:space="preserve">    </w:t>
      </w:r>
      <w:r>
        <w:rPr>
          <w:b/>
        </w:rPr>
        <w:t xml:space="preserve">Pub date: </w:t>
      </w:r>
      <w:r>
        <w:t>2026-02-25 10:02:36+00:00</w:t>
      </w:r>
      <w:r>
        <w:t xml:space="preserve">    </w:t>
      </w:r>
      <w:r>
        <w:rPr>
          <w:b/>
        </w:rPr>
        <w:t xml:space="preserve">DOI: </w:t>
      </w:r>
      <w:hyperlink r:id="rId543">
        <w:r>
          <w:rPr>
            <w:color w:val="1155CC"/>
            <w:u w:val="single"/>
          </w:rPr>
          <w:t>10.1002/anie.202525900</w:t>
        </w:r>
      </w:hyperlink>
    </w:p>
    <w:p>
      <w:pPr>
        <w:spacing w:before="0" w:after="80" w:lineRule="auto" w:line="276"/>
      </w:pPr>
      <w:r>
        <w:rPr>
          <w:b/>
        </w:rPr>
        <w:t xml:space="preserve">摘要（ZH）: </w:t>
      </w:r>
      <w:r>
        <w:t>(empty)</w:t>
      </w:r>
    </w:p>
    <w:p>
      <w:pPr>
        <w:spacing w:before="0" w:after="200" w:lineRule="auto" w:line="276"/>
      </w:pPr>
      <w:r>
        <w:rPr>
          <w:b/>
        </w:rPr>
        <w:t xml:space="preserve">Abstract (EN): </w:t>
      </w:r>
      <w:r>
        <w:t>Stress granules (SGs) are dynamic, membrane-less condensates that assemble in response to stress and have been increasingly linked to neurodegenerative disease (NDD) pathology. However, the molecular and functional mechanisms by which stress granules interact with other cellular organelles remain poorly understood. Here, we present a two-nanosensor electrochemical strategy that enables quantitative discrimination of reactive oxygen species (ROS) in SGs and catecholamines in vesicles at single-cell resolution. Using this approach, we distinguished the intracellular effects of acute and chronic SGs in catecholaminergic cells. Chronic SGs induced by prolonged cisplatin stress, contained elevated ROS levels and markedly increased catecholamine storage per vesicle, likely through ROS-mediated homotypic vesicle fusion. In contrast, acute SGs induced by arsenite exhibited negligible effects. We further demonstrate that chronic SGs exhibit features of aged SGs, such as slow ROS release and enhanced redox activity. These results uncover a redox-coupled SG-vesicle interplay modulated by SG aging and identify chronic SGs as endogenous redox-active condensates that may contribute to neurotransmitter dysregulation and neurodegeneration.</w:t>
      </w:r>
    </w:p>
    <w:p>
      <w:pPr>
        <w:spacing w:before="120" w:after="120"/>
      </w:pPr>
      <w:r>
        <w:rPr>
          <w:sz w:val="18"/>
        </w:rPr>
        <w:t>——————————————————————————————————————————————————————————————————————</w:t>
      </w:r>
    </w:p>
    <w:p>
      <w:pPr>
        <w:spacing w:before="160" w:after="40" w:line="240" w:lineRule="auto"/>
      </w:pPr>
      <w:r>
        <w:rPr>
          <w:b/>
        </w:rPr>
        <w:t xml:space="preserve">[216] </w:t>
      </w:r>
      <w:hyperlink r:id="rId544">
        <w:r>
          <w:rPr>
            <w:color w:val="1155CC"/>
            <w:u w:val="single"/>
          </w:rPr>
          <w:t>A Closed‐Loop Chemical Reaction Network for Autonomous, Dual‐Window Temporal Programming From a Single Fuel Pulse</w:t>
        </w:r>
      </w:hyperlink>
    </w:p>
    <w:p>
      <w:pPr>
        <w:spacing w:before="0" w:after="120"/>
      </w:pPr>
      <w:r>
        <w:rPr>
          <w:b/>
        </w:rPr>
        <w:t xml:space="preserve">Source: </w:t>
      </w:r>
      <w:r>
        <w:t>Wiley: Angewandte Chemie International Edition: Table of Contents</w:t>
      </w:r>
      <w:r>
        <w:t xml:space="preserve">    </w:t>
      </w:r>
      <w:r>
        <w:rPr>
          <w:b/>
        </w:rPr>
        <w:t xml:space="preserve">Pub date: </w:t>
      </w:r>
      <w:r>
        <w:t>2026-02-25 11:53:21+00:00</w:t>
      </w:r>
      <w:r>
        <w:t xml:space="preserve">    </w:t>
      </w:r>
      <w:r>
        <w:rPr>
          <w:b/>
        </w:rPr>
        <w:t xml:space="preserve">DOI: </w:t>
      </w:r>
      <w:hyperlink r:id="rId545">
        <w:r>
          <w:rPr>
            <w:color w:val="1155CC"/>
            <w:u w:val="single"/>
          </w:rPr>
          <w:t>10.1002/anie.202524255</w:t>
        </w:r>
      </w:hyperlink>
    </w:p>
    <w:p>
      <w:pPr>
        <w:spacing w:before="0" w:after="80" w:lineRule="auto" w:line="276"/>
      </w:pPr>
      <w:r>
        <w:rPr>
          <w:b/>
        </w:rPr>
        <w:t xml:space="preserve">摘要（ZH）: </w:t>
      </w:r>
      <w:r>
        <w:t>(empty)</w:t>
      </w:r>
    </w:p>
    <w:p>
      <w:pPr>
        <w:spacing w:before="0" w:after="200" w:lineRule="auto" w:line="276"/>
      </w:pPr>
      <w:r>
        <w:rPr>
          <w:b/>
        </w:rPr>
        <w:t xml:space="preserve">Abstract (EN): </w:t>
      </w:r>
      <w:r>
        <w:t>Living systems routinely translate single transient inputs into multi-phase programs of action. To emulate this, we report a closed-loop chemically fueled reaction network (CRN) based on N-benzoyl-l-cysteine methyl ester-N-methylpiperazine dithiocarbamate (DTC) that converts one fuel pulse (dithiothreitol (DTT)) into two temporally separated gel windows and then resets to the same molecular precursor, enabling continuous autonomous cycling upon simple refueling. The programmed progression Sol1 → Gel1 → Sol2 → Gel2 → Sol1 is enforced by a hierarchical kinetic landscape, which both gates time and closes the loop. The time windows are programmable: pH tunes the onset and lifetime of each gel phase, while fuel reducing strength selectively modulates the first window. Experiments and modeling together confirm dual transients per pulse, molecular-level reset, and cycle fidelity over &gt;7 iterations. By coupling closed-loop chemistry with temporal gating, this work lifts fuel-driven materials beyond the single-event paradigm, delivering a durable, resettable, and programmable platform for life-like dissipative functions.</w:t>
      </w:r>
    </w:p>
    <w:p>
      <w:pPr>
        <w:spacing w:before="120" w:after="120"/>
      </w:pPr>
      <w:r>
        <w:rPr>
          <w:sz w:val="18"/>
        </w:rPr>
        <w:t>——————————————————————————————————————————————————————————————————————</w:t>
      </w:r>
    </w:p>
    <w:p>
      <w:pPr>
        <w:spacing w:before="160" w:after="40" w:line="240" w:lineRule="auto"/>
      </w:pPr>
      <w:r>
        <w:rPr>
          <w:b/>
        </w:rPr>
        <w:t xml:space="preserve">[217] </w:t>
      </w:r>
      <w:hyperlink r:id="rId546">
        <w:r>
          <w:rPr>
            <w:color w:val="1155CC"/>
            <w:u w:val="single"/>
          </w:rPr>
          <w:t>Building like a Coral—Parallelized, Multiscale Biofabrication</w:t>
        </w:r>
      </w:hyperlink>
    </w:p>
    <w:p>
      <w:pPr>
        <w:spacing w:before="0" w:after="120"/>
      </w:pPr>
      <w:r>
        <w:rPr>
          <w:b/>
        </w:rPr>
        <w:t xml:space="preserve">Source: </w:t>
      </w:r>
      <w:r>
        <w:t>Wiley: Advanced Materials: Table of Contents</w:t>
      </w:r>
      <w:r>
        <w:t xml:space="preserve">    </w:t>
      </w:r>
      <w:r>
        <w:rPr>
          <w:b/>
        </w:rPr>
        <w:t xml:space="preserve">Pub date: </w:t>
      </w:r>
      <w:r>
        <w:t>2026-02-25 11:59:14+00:00</w:t>
      </w:r>
      <w:r>
        <w:t xml:space="preserve">    </w:t>
      </w:r>
      <w:r>
        <w:rPr>
          <w:b/>
        </w:rPr>
        <w:t xml:space="preserve">DOI: </w:t>
      </w:r>
      <w:hyperlink r:id="rId547">
        <w:r>
          <w:rPr>
            <w:color w:val="1155CC"/>
            <w:u w:val="single"/>
          </w:rPr>
          <w:t>10.1002/adma.202520519</w:t>
        </w:r>
      </w:hyperlink>
    </w:p>
    <w:p>
      <w:pPr>
        <w:spacing w:before="0" w:after="80" w:lineRule="auto" w:line="276"/>
      </w:pPr>
      <w:r>
        <w:rPr>
          <w:b/>
        </w:rPr>
        <w:t xml:space="preserve">摘要（ZH）: </w:t>
      </w:r>
      <w:r>
        <w:t>(empty)</w:t>
      </w:r>
    </w:p>
    <w:p>
      <w:pPr>
        <w:spacing w:before="0" w:after="200" w:lineRule="auto" w:line="276"/>
      </w:pPr>
      <w:r>
        <w:rPr>
          <w:b/>
        </w:rPr>
        <w:t xml:space="preserve">Abstract (EN): </w:t>
      </w:r>
      <w:r>
        <w:t>Visible from space or residing in the depths of the ocean, scleractinian corals engineer vast ecosystems supporting high biodiversity and providing essential ecosystem services. By creating these ecosystems, corals address significant challenges in material science, generating skeletal materials that are stiff, strong, and inherently circular-even in conditions where energy and building resources can be scarce or energetically expensive to synthesize. Understanding coral skeletal materials has progressed due to their exceptional mechanical properties, potential biocompatibility, and, in case of cold-water corals, their ability to be synthesized in darkness, at low temperature, and with limited energy resources. These natural, sustainable processes offer inspiring blueprints for the development of transformative new materials, which may drive radical innovations across biomedical and engineering applications. In this perspective, we synthesize the current state of knowledge on the biomineralization process of corals, including the two prevailing viewpoints-biologically controlled vs. physicochemical controlled biomineralization. We then recast coral growth as a multiscale, parallelized biofabrication process, that can catalyse the development of next-generation materials technologies. These insights outline pathways to sustainable, self-organising, and energy-efficient manufacturing with broad relevance to structural materials, biomaterials, and regenerative engineering. Ultimately, we strive to answer: "How to build like a coral?"</w:t>
      </w:r>
    </w:p>
    <w:p>
      <w:pPr>
        <w:spacing w:before="120" w:after="120"/>
      </w:pPr>
      <w:r>
        <w:rPr>
          <w:sz w:val="18"/>
        </w:rPr>
        <w:t>——————————————————————————————————————————————————————————————————————</w:t>
      </w:r>
    </w:p>
    <w:p>
      <w:pPr>
        <w:spacing w:before="160" w:after="40" w:line="240" w:lineRule="auto"/>
      </w:pPr>
      <w:r>
        <w:rPr>
          <w:b/>
        </w:rPr>
        <w:t xml:space="preserve">[218] </w:t>
      </w:r>
      <w:hyperlink r:id="rId548">
        <w:r>
          <w:rPr>
            <w:color w:val="1155CC"/>
            <w:u w:val="single"/>
          </w:rPr>
          <w:t>Guest‐Induced Activation of Multicolor Photoluminescence in Naphthalene Bisimide Liquid Crystals</w:t>
        </w:r>
      </w:hyperlink>
    </w:p>
    <w:p>
      <w:pPr>
        <w:spacing w:before="0" w:after="120"/>
      </w:pPr>
      <w:r>
        <w:rPr>
          <w:b/>
        </w:rPr>
        <w:t xml:space="preserve">Source: </w:t>
      </w:r>
      <w:r>
        <w:t>Wiley: Advanced Materials: Table of Contents</w:t>
      </w:r>
      <w:r>
        <w:t xml:space="preserve">    </w:t>
      </w:r>
      <w:r>
        <w:rPr>
          <w:b/>
        </w:rPr>
        <w:t xml:space="preserve">Pub date: </w:t>
      </w:r>
      <w:r>
        <w:t>2026-02-25 12:03:46+00:00</w:t>
      </w:r>
      <w:r>
        <w:t xml:space="preserve">    </w:t>
      </w:r>
      <w:r>
        <w:rPr>
          <w:b/>
        </w:rPr>
        <w:t xml:space="preserve">DOI: </w:t>
      </w:r>
      <w:hyperlink r:id="rId549">
        <w:r>
          <w:rPr>
            <w:color w:val="1155CC"/>
            <w:u w:val="single"/>
          </w:rPr>
          <w:t>10.1002/adma.202520184</w:t>
        </w:r>
      </w:hyperlink>
    </w:p>
    <w:p>
      <w:pPr>
        <w:spacing w:before="0" w:after="80" w:lineRule="auto" w:line="276"/>
      </w:pPr>
      <w:r>
        <w:rPr>
          <w:b/>
        </w:rPr>
        <w:t xml:space="preserve">摘要（ZH）: </w:t>
      </w:r>
      <w:r>
        <w:t>(empty)</w:t>
      </w:r>
    </w:p>
    <w:p>
      <w:pPr>
        <w:spacing w:before="0" w:after="200" w:lineRule="auto" w:line="276"/>
      </w:pPr>
      <w:r>
        <w:rPr>
          <w:b/>
        </w:rPr>
        <w:t xml:space="preserve">Abstract (EN): </w:t>
      </w:r>
      <w:r>
        <w:t>Achieving color- and lifetime-tunable emission in processable materials remains challenging, as most of the available advanced materials systems exist only in impractical solutions or hard-to-process crystals. Liquid crystals (LCs) represent a promising platform due to their processability, though previous work has mainly controlled emission color by external fluorophore doping. In this work, we present a supramolecular strategy to activate and tune both photoluminescence (PL) color and lifetime in naphthalene bisimide (NBI) LCs by embedding electron-rich guests. The electron-deficient NBIs form columnar hexagonal mesophases stabilized by nanosegregation of aromatic cores and aliphatic side chains, providing a suitable environment for charge-transfer (CT) interactions. Incorporating electron-rich polycyclic aromatics, carbazole derivatives, or square-planar Pt(II) complexes yields emissive CT states with tunable emission from visible to near-infrared (511-685 nm), covering short-lived fluorescence to long-lived delayed luminescence of coexisting thermally activated delayed fluorescence (TADF) and room-temperature phosphorescence (RTP). Co-assembling two complementary NBI hosts with one guest enables an energy-transfer cascade that simultaneously supports green and red dual emission of fluorescence and TADF. This additive-induced activation and host-mixing approach greatly broadens the luminescence range accessible in LCs, combining tunable photophysical properties with intrinsic processability for next-generation optical encoding and security labeling technologies.</w:t>
      </w:r>
    </w:p>
    <w:p>
      <w:pPr>
        <w:spacing w:before="120" w:after="120"/>
      </w:pPr>
      <w:r>
        <w:rPr>
          <w:sz w:val="18"/>
        </w:rPr>
        <w:t>——————————————————————————————————————————————————————————————————————</w:t>
      </w:r>
    </w:p>
    <w:p>
      <w:pPr>
        <w:spacing w:before="160" w:after="40" w:line="240" w:lineRule="auto"/>
      </w:pPr>
      <w:r>
        <w:rPr>
          <w:b/>
        </w:rPr>
        <w:t xml:space="preserve">[219] </w:t>
      </w:r>
      <w:hyperlink r:id="rId550">
        <w:r>
          <w:rPr>
            <w:color w:val="1155CC"/>
            <w:u w:val="single"/>
          </w:rPr>
          <w:t>[ASAP] FragNet: A Graph Neural Network for Molecular Property Prediction with Four Levels of Interpretability</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12:15:13+00:00</w:t>
      </w:r>
      <w:r>
        <w:t xml:space="preserve">    </w:t>
      </w:r>
      <w:r>
        <w:rPr>
          <w:b/>
        </w:rPr>
        <w:t xml:space="preserve">DOI: </w:t>
      </w:r>
      <w:hyperlink r:id="rId551">
        <w:r>
          <w:rPr>
            <w:color w:val="1155CC"/>
            <w:u w:val="single"/>
          </w:rPr>
          <w:t>10.1021/jacs.5c22620</w:t>
        </w:r>
      </w:hyperlink>
    </w:p>
    <w:p>
      <w:pPr>
        <w:spacing w:before="0" w:after="80" w:lineRule="auto" w:line="276"/>
      </w:pPr>
      <w:r>
        <w:rPr>
          <w:b/>
        </w:rPr>
        <w:t xml:space="preserve">摘要（ZH）: </w:t>
      </w:r>
      <w:r>
        <w:t>(empty)</w:t>
      </w:r>
    </w:p>
    <w:p>
      <w:pPr>
        <w:spacing w:before="0" w:after="200" w:lineRule="auto" w:line="276"/>
      </w:pPr>
      <w:r>
        <w:rPr>
          <w:b/>
        </w:rPr>
        <w:t xml:space="preserve">Abstract (EN): </w:t>
      </w:r>
      <w:r>
        <w: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w:t>
      </w:r>
    </w:p>
    <w:p>
      <w:pPr>
        <w:spacing w:before="120" w:after="120"/>
      </w:pPr>
      <w:r>
        <w:rPr>
          <w:sz w:val="18"/>
        </w:rPr>
        <w:t>——————————————————————————————————————————————————————————————————————</w:t>
      </w:r>
    </w:p>
    <w:p>
      <w:pPr>
        <w:spacing w:before="160" w:after="40" w:line="240" w:lineRule="auto"/>
      </w:pPr>
      <w:r>
        <w:rPr>
          <w:b/>
        </w:rPr>
        <w:t xml:space="preserve">[220] </w:t>
      </w:r>
      <w:hyperlink r:id="rId552">
        <w:r>
          <w:rPr>
            <w:color w:val="1155CC"/>
            <w:u w:val="single"/>
          </w:rPr>
          <w:t>[ASAP] Neutral Diboron-Containing Heterocumulenes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12:21:00+00:00</w:t>
      </w:r>
      <w:r>
        <w:t xml:space="preserve">    </w:t>
      </w:r>
      <w:r>
        <w:rPr>
          <w:b/>
        </w:rPr>
        <w:t xml:space="preserve">DOI: </w:t>
      </w:r>
      <w:hyperlink r:id="rId553">
        <w:r>
          <w:rPr>
            <w:color w:val="1155CC"/>
            <w:u w:val="single"/>
          </w:rPr>
          <w:t>10.1021/jacs.6c01168</w:t>
        </w:r>
      </w:hyperlink>
    </w:p>
    <w:p>
      <w:pPr>
        <w:spacing w:before="0" w:after="80" w:lineRule="auto" w:line="276"/>
      </w:pPr>
      <w:r>
        <w:rPr>
          <w:b/>
        </w:rPr>
        <w:t xml:space="preserve">摘要（ZH）: </w:t>
      </w:r>
      <w:r>
        <w:t>(empty)</w:t>
      </w:r>
    </w:p>
    <w:p>
      <w:pPr>
        <w:spacing w:before="0" w:after="200" w:lineRule="auto" w:line="276"/>
      </w:pPr>
      <w:r>
        <w:rPr>
          <w:b/>
        </w:rPr>
        <w:t xml:space="preserve">Abstract (EN): </w:t>
      </w:r>
      <w:r>
        <w:t>The development of boron-containing heterocumulenes has attracted considerable recent interest owing to their intriguing properties and potential for applications unavailable in all-carbon systems. While the chemistry of multiply bonded boron species has been well established, cumulene systems involving B-B multiple bonds remain extremely rare. Herein we report the syntheses, characterizations and reactivities of two neutral heterocumulenes, notable for their CNBB architectures built around unsymmetrical B(sp)═B(sp2) units. Remarkably, the geometries of these cumulenes can be tailored by changing the π-acceptor ability of the supported ligands. X-ray diffraction analysis revealed that the cumulene supported by an N-heterocyclic carbene (NHC) exhibits a bent structure, whereas the cumulene stabilized by the more π-acidic (cyclic)(alkyl)(amino)carbene (cAAC) displays a nearly linear configuration. Notably, these cumulenes exhibit divergent reactivity toward the cleavage of homoatomic element-element bonds in bis(catecholato)diboron (B2cat2) and diphenyl diselenide (PhSeSePh), affording benzodioxadiborane derivatives and selenoboranes, respectively. Furthermore, the reaction with bromopentafluorobenzene (C6F5Br) involves the formal addition of the C(sp2)-Br bond across the unsaturated B-B bond of the CNBB units. Their potential as supporting ligands was also demonstrated through the formation of stable complexes with CuBr and CuI, where the metal centers are ligated by the B2 units.</w:t>
      </w:r>
    </w:p>
    <w:p>
      <w:pPr>
        <w:spacing w:before="120" w:after="120"/>
      </w:pPr>
      <w:r>
        <w:rPr>
          <w:sz w:val="18"/>
        </w:rPr>
        <w:t>——————————————————————————————————————————————————————————————————————</w:t>
      </w:r>
    </w:p>
    <w:p>
      <w:pPr>
        <w:spacing w:before="160" w:after="40" w:line="240" w:lineRule="auto"/>
      </w:pPr>
      <w:r>
        <w:rPr>
          <w:b/>
        </w:rPr>
        <w:t xml:space="preserve">[221] </w:t>
      </w:r>
      <w:hyperlink r:id="rId554">
        <w:r>
          <w:rPr>
            <w:color w:val="1155CC"/>
            <w:u w:val="single"/>
          </w:rPr>
          <w:t>Highly Polarizable Embedded Interfaces Toward Superior Organic Heterojunction Photocatalysts</w:t>
        </w:r>
      </w:hyperlink>
    </w:p>
    <w:p>
      <w:pPr>
        <w:spacing w:before="0" w:after="120"/>
      </w:pPr>
      <w:r>
        <w:rPr>
          <w:b/>
        </w:rPr>
        <w:t xml:space="preserve">Source: </w:t>
      </w:r>
      <w:r>
        <w:t>Wiley: Angewandte Chemie International Edition: Table of Contents</w:t>
      </w:r>
      <w:r>
        <w:t xml:space="preserve">    </w:t>
      </w:r>
      <w:r>
        <w:rPr>
          <w:b/>
        </w:rPr>
        <w:t xml:space="preserve">Pub date: </w:t>
      </w:r>
      <w:r>
        <w:t>2026-02-25 12:23:35+00:00</w:t>
      </w:r>
      <w:r>
        <w:t xml:space="preserve">    </w:t>
      </w:r>
      <w:r>
        <w:rPr>
          <w:b/>
        </w:rPr>
        <w:t xml:space="preserve">DOI: </w:t>
      </w:r>
      <w:hyperlink r:id="rId555">
        <w:r>
          <w:rPr>
            <w:color w:val="1155CC"/>
            <w:u w:val="single"/>
          </w:rPr>
          <w:t>10.1002/anie.3278432</w:t>
        </w:r>
      </w:hyperlink>
    </w:p>
    <w:p>
      <w:pPr>
        <w:spacing w:before="0" w:after="80" w:lineRule="auto" w:line="276"/>
      </w:pPr>
      <w:r>
        <w:rPr>
          <w:b/>
        </w:rPr>
        <w:t xml:space="preserve">摘要（ZH）: </w:t>
      </w:r>
      <w:r>
        <w:t>(empty)</w:t>
      </w:r>
    </w:p>
    <w:p>
      <w:pPr>
        <w:spacing w:before="0" w:after="200" w:lineRule="auto" w:line="276"/>
      </w:pPr>
      <w:r>
        <w:rPr>
          <w:b/>
        </w:rPr>
        <w:t xml:space="preserve">Abstract (EN): </w:t>
      </w:r>
      <w:r>
        <w:t>Organic photovoltaic catalysts (OPCs) hold great potential for energy conversion and environmental purification yet often suffer from inefficient exciton dissociation and rapid charge recombination, particularly at disordered donor/acceptor (D/A) interfaces, limiting their photocatalytic performance. Herein, we propose an embedded interface strategy that involves a highly polarizable molecule named Y6CO-S at the D/A interface within OPC bulk heterojunction (BHJ) to amplify the local electric field and enhance molecular ordering, improving hole transfer efficiency and prolonging hole polaron lifetime, and thereby boosting photocatalytic activity. Specifically, the optimized PM6:PYF-T-o:Y6CO-S nanoparticles (NPs) achieve remarkable photocatalytic sacrificial average mass-united/area-united hydrogen evolution rates of 263.8-1974.7 mmol h- 1 g- 1 and 42.7-182.4 mmol h-1 m-2 at varied NP concentrations under simulated sunlight (AM 1.5G, 100 mW cm-2) for 10 h along with high external quantum efficiencies of &gt;10% across the visible to near-infrared region, 36%-47% exceeding those of the binary PM6:PYF-T-o system without Y6CO-S embedded interface and representing one of the highest performances reported to date for photocatalysts. This work demonstrates the significant potential of embedded interface strategy in developing high‑performance heterojunction OPCs as well as other optoelectronic applications.</w:t>
      </w:r>
    </w:p>
    <w:p>
      <w:pPr>
        <w:spacing w:before="120" w:after="120"/>
      </w:pPr>
      <w:r>
        <w:rPr>
          <w:sz w:val="18"/>
        </w:rPr>
        <w:t>——————————————————————————————————————————————————————————————————————</w:t>
      </w:r>
    </w:p>
    <w:p>
      <w:pPr>
        <w:spacing w:before="160" w:after="40" w:line="240" w:lineRule="auto"/>
      </w:pPr>
      <w:r>
        <w:rPr>
          <w:b/>
        </w:rPr>
        <w:t xml:space="preserve">[222] </w:t>
      </w:r>
      <w:hyperlink r:id="rId556">
        <w:r>
          <w:rPr>
            <w:color w:val="1155CC"/>
            <w:u w:val="single"/>
          </w:rPr>
          <w:t>Broadband Nanocavity Imaging with Machine Vision for Multiplex miRNA Assays</w:t>
        </w:r>
      </w:hyperlink>
    </w:p>
    <w:p>
      <w:pPr>
        <w:spacing w:before="0" w:after="120"/>
      </w:pPr>
      <w:r>
        <w:rPr>
          <w:b/>
        </w:rPr>
        <w:t xml:space="preserve">Source: </w:t>
      </w:r>
      <w:r>
        <w:t>Wiley: Advanced Materials: Table of Contents</w:t>
      </w:r>
      <w:r>
        <w:t xml:space="preserve">    </w:t>
      </w:r>
      <w:r>
        <w:rPr>
          <w:b/>
        </w:rPr>
        <w:t xml:space="preserve">Pub date: </w:t>
      </w:r>
      <w:r>
        <w:t>2026-02-25 12:28:13+00:00</w:t>
      </w:r>
      <w:r>
        <w:t xml:space="preserve">    </w:t>
      </w:r>
      <w:r>
        <w:rPr>
          <w:b/>
        </w:rPr>
        <w:t xml:space="preserve">DOI: </w:t>
      </w:r>
      <w:hyperlink r:id="rId557">
        <w:r>
          <w:rPr>
            <w:color w:val="1155CC"/>
            <w:u w:val="single"/>
          </w:rPr>
          <w:t>10.1002/adma.202522938</w:t>
        </w:r>
      </w:hyperlink>
    </w:p>
    <w:p>
      <w:pPr>
        <w:spacing w:before="0" w:after="80" w:lineRule="auto" w:line="276"/>
      </w:pPr>
      <w:r>
        <w:rPr>
          <w:b/>
        </w:rPr>
        <w:t xml:space="preserve">摘要（ZH）: </w:t>
      </w:r>
      <w:r>
        <w:t>(empty)</w:t>
      </w:r>
    </w:p>
    <w:p>
      <w:pPr>
        <w:spacing w:before="0" w:after="200" w:lineRule="auto" w:line="276"/>
      </w:pPr>
      <w:r>
        <w:rPr>
          <w:b/>
        </w:rPr>
        <w:t xml:space="preserve">Abstract (EN): </w:t>
      </w:r>
      <w:r>
        <w:t>Sensitive and multiplexed quantification of microRNAs (miRNAs) remains challenging due to their short length, low abundance, and sequence homology, particularly in complex biological matrices. This paper presents an approach that combines a distributed Bragg reflector (DBR)-coupled silver nanoparticle (AgNP) gap nanocavity with deep learning instance segmentation for automated image readout. Applied to A549 lung cancer cell extracts, the assay directly quantifies endogenous miR-191, miR-25, and miR-130a without enrichment or amplification. The nanocavity concentrates fields and favors radiative decay, enhancing collection and suppressing quantum dot (QD) blinking, while Mask R-CNN enables robust, high-throughput counting and classification. The system achieves an attomolar LOD (∼10-17 mol/L), a linear dynamic range spanning five orders of magnitude, and &gt;99% correct identification across spectrally encoded channels. These results establish an AI-enabled nanophotonic biosensing platform that is sensitive, specific, robust, and scalable for multiplexed miRNA analysis in research and clinically relevant matrices.</w:t>
      </w:r>
    </w:p>
    <w:p>
      <w:pPr>
        <w:spacing w:before="120" w:after="120"/>
      </w:pPr>
      <w:r>
        <w:rPr>
          <w:sz w:val="18"/>
        </w:rPr>
        <w:t>——————————————————————————————————————————————————————————————————————</w:t>
      </w:r>
    </w:p>
    <w:p>
      <w:pPr>
        <w:spacing w:before="160" w:after="40" w:line="240" w:lineRule="auto"/>
      </w:pPr>
      <w:r>
        <w:rPr>
          <w:b/>
        </w:rPr>
        <w:t xml:space="preserve">[223] </w:t>
      </w:r>
      <w:hyperlink r:id="rId558">
        <w:r>
          <w:rPr>
            <w:color w:val="1155CC"/>
            <w:u w:val="single"/>
          </w:rPr>
          <w:t>Engineering Unequal Antipolar Displacement in Ferromagnetic Layered Oxide Heterostructures</w:t>
        </w:r>
      </w:hyperlink>
    </w:p>
    <w:p>
      <w:pPr>
        <w:spacing w:before="0" w:after="120"/>
      </w:pPr>
      <w:r>
        <w:rPr>
          <w:b/>
        </w:rPr>
        <w:t xml:space="preserve">Source: </w:t>
      </w:r>
      <w:r>
        <w:t>Wiley: Advanced Materials: Table of Contents</w:t>
      </w:r>
      <w:r>
        <w:t xml:space="preserve">    </w:t>
      </w:r>
      <w:r>
        <w:rPr>
          <w:b/>
        </w:rPr>
        <w:t xml:space="preserve">Pub date: </w:t>
      </w:r>
      <w:r>
        <w:t>2026-02-25 12:32:40+00:00</w:t>
      </w:r>
      <w:r>
        <w:t xml:space="preserve">    </w:t>
      </w:r>
      <w:r>
        <w:rPr>
          <w:b/>
        </w:rPr>
        <w:t xml:space="preserve">DOI: </w:t>
      </w:r>
      <w:hyperlink r:id="rId559">
        <w:r>
          <w:rPr>
            <w:color w:val="1155CC"/>
            <w:u w:val="single"/>
          </w:rPr>
          <w:t>10.1002/adma.202513458</w:t>
        </w:r>
      </w:hyperlink>
    </w:p>
    <w:p>
      <w:pPr>
        <w:spacing w:before="0" w:after="80" w:lineRule="auto" w:line="276"/>
      </w:pPr>
      <w:r>
        <w:rPr>
          <w:b/>
        </w:rPr>
        <w:t xml:space="preserve">摘要（ZH）: </w:t>
      </w:r>
      <w:r>
        <w:t>(empty)</w:t>
      </w:r>
    </w:p>
    <w:p>
      <w:pPr>
        <w:spacing w:before="0" w:after="200" w:lineRule="auto" w:line="276"/>
      </w:pPr>
      <w:r>
        <w:rPr>
          <w:b/>
        </w:rPr>
        <w:t xml:space="preserve">Abstract (EN): </w:t>
      </w:r>
      <w:r>
        <w:t>Heterostructure engineering provides a versatile route for tailoring emergent functionalities that are often difficult to realize in single-phase materials. In this work, the focus is on superlattices composed of the insulating and ferromagnetic double perovskites La2NiMnO6 and Sm2NiMnO6, which constitute an intriguing model system. These layered structures are predicted to feature unequal antipolar displacements of the La and Sm ions; when combined with odd periodicity stacking, this structural motif is expected to give rise to polar behavior. The respective superlattices are grown with atomic precision and display robust ferromagnetism, as confirmed by in-house magnetometry and synchrotron measurements. Scanning transmission electron microscopy combined with first-principles calculations confirms the presence of the predicted unequal antipolar displacements, paving the way for the realization of hybrid improper ferroelectricity in such oxide heterostructures.</w:t>
      </w:r>
    </w:p>
    <w:p>
      <w:pPr>
        <w:spacing w:before="120" w:after="120"/>
      </w:pPr>
      <w:r>
        <w:rPr>
          <w:sz w:val="18"/>
        </w:rPr>
        <w:t>——————————————————————————————————————————————————————————————————————</w:t>
      </w:r>
    </w:p>
    <w:p>
      <w:pPr>
        <w:spacing w:before="160" w:after="40" w:line="240" w:lineRule="auto"/>
      </w:pPr>
      <w:r>
        <w:rPr>
          <w:b/>
        </w:rPr>
        <w:t xml:space="preserve">[224] </w:t>
      </w:r>
      <w:hyperlink r:id="rId560">
        <w:r>
          <w:rPr>
            <w:color w:val="1155CC"/>
            <w:u w:val="single"/>
          </w:rPr>
          <w:t>Realization of Iodinene with Tunable Topological Edge States and Flat Bands</w:t>
        </w:r>
      </w:hyperlink>
    </w:p>
    <w:p>
      <w:pPr>
        <w:spacing w:before="0" w:after="120"/>
      </w:pPr>
      <w:r>
        <w:rPr>
          <w:b/>
        </w:rPr>
        <w:t xml:space="preserve">Source: </w:t>
      </w:r>
      <w:r>
        <w:t>Wiley: Advanced Materials: Table of Contents</w:t>
      </w:r>
      <w:r>
        <w:t xml:space="preserve">    </w:t>
      </w:r>
      <w:r>
        <w:rPr>
          <w:b/>
        </w:rPr>
        <w:t xml:space="preserve">Pub date: </w:t>
      </w:r>
      <w:r>
        <w:t>2026-02-25 13:16:58+00:00</w:t>
      </w:r>
      <w:r>
        <w:t xml:space="preserve">    </w:t>
      </w:r>
      <w:r>
        <w:rPr>
          <w:b/>
        </w:rPr>
        <w:t xml:space="preserve">DOI: </w:t>
      </w:r>
      <w:hyperlink r:id="rId561">
        <w:r>
          <w:rPr>
            <w:color w:val="1155CC"/>
            <w:u w:val="single"/>
          </w:rPr>
          <w:t>10.1002/adma.202521003</w:t>
        </w:r>
      </w:hyperlink>
    </w:p>
    <w:p>
      <w:pPr>
        <w:spacing w:before="0" w:after="80" w:lineRule="auto" w:line="276"/>
      </w:pPr>
      <w:r>
        <w:rPr>
          <w:b/>
        </w:rPr>
        <w:t xml:space="preserve">摘要（ZH）: </w:t>
      </w:r>
      <w:r>
        <w:t>(empty)</w:t>
      </w:r>
    </w:p>
    <w:p>
      <w:pPr>
        <w:spacing w:before="0" w:after="200" w:lineRule="auto" w:line="276"/>
      </w:pPr>
      <w:r>
        <w:rPr>
          <w:b/>
        </w:rPr>
        <w:t xml:space="preserve">Abstract (EN): </w:t>
      </w:r>
      <w:r>
        <w:t>Halogens, known for their diatomic molecular structures, typically do not form extended covalent materials. The development of 2D elemental materials from halogens is therefore significant for both fundamental research and practical applications. Here, we report the realization of a monolayer iodine sheet, namely iodinene, with multiple exotic properties. Using angle-resolved photoemission spectroscopy, scanning tunneling microscopy, and first-principles calculations, we show that iodinene hosts 2D topological crystalline insulator states, a long-sought topological state previously observed only in 3D materials. Moreover, iodinene is exceptionally stable under ambient conditions. By applying a tensile strain of 48%, we realize two nearly flat bands with robust topological edge states in between, paving the way for the design and fabrication of tunable topological and spintronic devices.</w:t>
      </w:r>
    </w:p>
    <w:p>
      <w:pPr>
        <w:spacing w:before="120" w:after="120"/>
      </w:pPr>
      <w:r>
        <w:rPr>
          <w:sz w:val="18"/>
        </w:rPr>
        <w:t>——————————————————————————————————————————————————————————————————————</w:t>
      </w:r>
    </w:p>
    <w:p>
      <w:pPr>
        <w:spacing w:before="160" w:after="40" w:line="240" w:lineRule="auto"/>
      </w:pPr>
      <w:r>
        <w:rPr>
          <w:b/>
        </w:rPr>
        <w:t xml:space="preserve">[225] </w:t>
      </w:r>
      <w:hyperlink r:id="rId562">
        <w:r>
          <w:rPr>
            <w:color w:val="1155CC"/>
            <w:u w:val="single"/>
          </w:rPr>
          <w:t>Photo‐Driven Cu‐I Coordination Stabilizes I3− for Ultralow‐Overpotential Mg‐CO2 Batteries</w:t>
        </w:r>
      </w:hyperlink>
    </w:p>
    <w:p>
      <w:pPr>
        <w:spacing w:before="0" w:after="120"/>
      </w:pPr>
      <w:r>
        <w:rPr>
          <w:b/>
        </w:rPr>
        <w:t xml:space="preserve">Source: </w:t>
      </w:r>
      <w:r>
        <w:t>Wiley: Angewandte Chemie International Edition: Table of Contents</w:t>
      </w:r>
      <w:r>
        <w:t xml:space="preserve">    </w:t>
      </w:r>
      <w:r>
        <w:rPr>
          <w:b/>
        </w:rPr>
        <w:t xml:space="preserve">Pub date: </w:t>
      </w:r>
      <w:r>
        <w:t>2026-02-25 13:24:26+00:00</w:t>
      </w:r>
      <w:r>
        <w:t xml:space="preserve">    </w:t>
      </w:r>
      <w:r>
        <w:rPr>
          <w:b/>
        </w:rPr>
        <w:t xml:space="preserve">DOI: </w:t>
      </w:r>
      <w:hyperlink r:id="rId563">
        <w:r>
          <w:rPr>
            <w:color w:val="1155CC"/>
            <w:u w:val="single"/>
          </w:rPr>
          <w:t>10.1002/anie.2935372</w:t>
        </w:r>
      </w:hyperlink>
    </w:p>
    <w:p>
      <w:pPr>
        <w:spacing w:before="0" w:after="80" w:lineRule="auto" w:line="276"/>
      </w:pPr>
      <w:r>
        <w:rPr>
          <w:b/>
        </w:rPr>
        <w:t xml:space="preserve">摘要（ZH）: </w:t>
      </w:r>
      <w:r>
        <w:t>(empty)</w:t>
      </w:r>
    </w:p>
    <w:p>
      <w:pPr>
        <w:spacing w:before="0" w:after="200" w:lineRule="auto" w:line="276"/>
      </w:pPr>
      <w:r>
        <w:rPr>
          <w:b/>
        </w:rPr>
        <w:t xml:space="preserve">Abstract (EN): </w:t>
      </w:r>
      <w:r>
        <w:t>Mg-CO2 batteries present a compelling opportunity for next-generation energy storage by combining high energy density with CO2 valorization. Among various strategies, the use of redox mediators has emerged as a powerful approach to dynamically direct electrochemical pathways and boost CO2 conversion efficiency. However, conventional redox mediators suffer from poor stability under operating conditions, which severely undermines long-term performance. Here, we report a light-activated 2,3,6,7,10,11-hexahydroxytriphenylene-Cu-I3 (HHTP-Cu-I3) charge-transfer complex that addresses the intrinsic instability of conventional redox mediators by forming robust Cu-I coordination to stabilize I3 -. Upon light illumination, Cu(II) undergoes photoreduction to Cu(I) releasing electrons that accelerate CO2 activation, whereas I- is simultaneously oxidized to I3 -, facilitating efficient electron shuttling and regulating product formation. This dynamic modulation switches the reaction pathway from thermodynamically favored MgCO3 to electrochemically preferred MgC2O4 by lowering the energy barrier for C2O4 2- incorporation into MgC2O4. As a result, the system achieves an ultralow overpotential of 0.027 V and a record-high energy conversion efficiency of 97.2%. Furthermore, the versatility of this strategy is demonstrated by its successful application in photoassisted Li-O2 batteries, delivering enhanced performance.</w:t>
      </w:r>
    </w:p>
    <w:p>
      <w:pPr>
        <w:spacing w:before="120" w:after="120"/>
      </w:pPr>
      <w:r>
        <w:rPr>
          <w:sz w:val="18"/>
        </w:rPr>
        <w:t>——————————————————————————————————————————————————————————————————————</w:t>
      </w:r>
    </w:p>
    <w:p>
      <w:pPr>
        <w:spacing w:before="160" w:after="40" w:line="240" w:lineRule="auto"/>
      </w:pPr>
      <w:r>
        <w:rPr>
          <w:b/>
        </w:rPr>
        <w:t xml:space="preserve">[226] </w:t>
      </w:r>
      <w:hyperlink r:id="rId564">
        <w:r>
          <w:rPr>
            <w:color w:val="1155CC"/>
            <w:u w:val="single"/>
          </w:rPr>
          <w:t>Atomic Layer Deposition‐Modified Bifunctional Electrocatalysts for Rechargeable Zinc‐Air Batteries: Boosting Activity and Cycle Life (Adv. Energy Mater. 8/2026)</w:t>
        </w:r>
      </w:hyperlink>
    </w:p>
    <w:p>
      <w:pPr>
        <w:spacing w:before="0" w:after="120"/>
      </w:pPr>
      <w:r>
        <w:rPr>
          <w:b/>
        </w:rPr>
        <w:t xml:space="preserve">Source: </w:t>
      </w:r>
      <w:r>
        <w:t>Wiley: Advanced Energy Materials: Table of Contents</w:t>
      </w:r>
      <w:r>
        <w:t xml:space="preserve">    </w:t>
      </w:r>
      <w:r>
        <w:rPr>
          <w:b/>
        </w:rPr>
        <w:t xml:space="preserve">Pub date: </w:t>
      </w:r>
      <w:r>
        <w:t>2026-02-25 14:37:39+00:00</w:t>
      </w:r>
      <w:r>
        <w:t xml:space="preserve">    </w:t>
      </w:r>
      <w:r>
        <w:rPr>
          <w:b/>
        </w:rPr>
        <w:t xml:space="preserve">DOI: </w:t>
      </w:r>
      <w:hyperlink r:id="rId565">
        <w:r>
          <w:rPr>
            <w:color w:val="1155CC"/>
            <w:u w:val="single"/>
          </w:rPr>
          <w:t>10.1002/aenm.70741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[227] </w:t>
      </w:r>
      <w:hyperlink r:id="rId566">
        <w:r>
          <w:rPr>
            <w:color w:val="1155CC"/>
            <w:u w:val="single"/>
          </w:rPr>
          <w:t>Advanced Energy Materials Research: Key to Sustainable Energy Future (Adv. Energy Mater. 8/2026)</w:t>
        </w:r>
      </w:hyperlink>
    </w:p>
    <w:p>
      <w:pPr>
        <w:spacing w:before="0" w:after="120"/>
      </w:pPr>
      <w:r>
        <w:rPr>
          <w:b/>
        </w:rPr>
        <w:t xml:space="preserve">Source: </w:t>
      </w:r>
      <w:r>
        <w:t>Wiley: Advanced Energy Materials: Table of Contents</w:t>
      </w:r>
      <w:r>
        <w:t xml:space="preserve">    </w:t>
      </w:r>
      <w:r>
        <w:rPr>
          <w:b/>
        </w:rPr>
        <w:t xml:space="preserve">Pub date: </w:t>
      </w:r>
      <w:r>
        <w:t>2026-02-25 14:37:39+00:00</w:t>
      </w:r>
      <w:r>
        <w:t xml:space="preserve">    </w:t>
      </w:r>
      <w:r>
        <w:rPr>
          <w:b/>
        </w:rPr>
        <w:t xml:space="preserve">DOI: </w:t>
      </w:r>
      <w:hyperlink r:id="rId567">
        <w:r>
          <w:rPr>
            <w:color w:val="1155CC"/>
            <w:u w:val="single"/>
          </w:rPr>
          <w:t>10.1002/aenm.70742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[228] </w:t>
      </w:r>
      <w:hyperlink r:id="rId568">
        <w:r>
          <w:rPr>
            <w:color w:val="1155CC"/>
            <w:u w:val="single"/>
          </w:rPr>
          <w:t>Current Status and Future Prospects of Solid‐State Lithium–Sulfur Batteries: A Focus on Reaction and Interface Engineering (Adv. Energy Mater. 8/2026)</w:t>
        </w:r>
      </w:hyperlink>
    </w:p>
    <w:p>
      <w:pPr>
        <w:spacing w:before="0" w:after="120"/>
      </w:pPr>
      <w:r>
        <w:rPr>
          <w:b/>
        </w:rPr>
        <w:t xml:space="preserve">Source: </w:t>
      </w:r>
      <w:r>
        <w:t>Wiley: Advanced Energy Materials: Table of Contents</w:t>
      </w:r>
      <w:r>
        <w:t xml:space="preserve">    </w:t>
      </w:r>
      <w:r>
        <w:rPr>
          <w:b/>
        </w:rPr>
        <w:t xml:space="preserve">Pub date: </w:t>
      </w:r>
      <w:r>
        <w:t>2026-02-25 14:37:39+00:00</w:t>
      </w:r>
      <w:r>
        <w:t xml:space="preserve">    </w:t>
      </w:r>
      <w:r>
        <w:rPr>
          <w:b/>
        </w:rPr>
        <w:t xml:space="preserve">DOI: </w:t>
      </w:r>
      <w:hyperlink r:id="rId569">
        <w:r>
          <w:rPr>
            <w:color w:val="1155CC"/>
            <w:u w:val="single"/>
          </w:rPr>
          <w:t>10.1002/aenm.70743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[229] </w:t>
      </w:r>
      <w:hyperlink r:id="rId570">
        <w:r>
          <w:rPr>
            <w:color w:val="1155CC"/>
            <w:u w:val="single"/>
          </w:rPr>
          <w:t>Trifunctional P‐Doping of FeS1‐x for Greatly Enhanced Electrochemical Kinetics and Highly Resilient Li‐S Batteries (Adv. Energy Mater. 8/2026)</w:t>
        </w:r>
      </w:hyperlink>
    </w:p>
    <w:p>
      <w:pPr>
        <w:spacing w:before="0" w:after="120"/>
      </w:pPr>
      <w:r>
        <w:rPr>
          <w:b/>
        </w:rPr>
        <w:t xml:space="preserve">Source: </w:t>
      </w:r>
      <w:r>
        <w:t>Wiley: Advanced Energy Materials: Table of Contents</w:t>
      </w:r>
      <w:r>
        <w:t xml:space="preserve">    </w:t>
      </w:r>
      <w:r>
        <w:rPr>
          <w:b/>
        </w:rPr>
        <w:t xml:space="preserve">Pub date: </w:t>
      </w:r>
      <w:r>
        <w:t>2026-02-25 14:37:39+00:00</w:t>
      </w:r>
      <w:r>
        <w:t xml:space="preserve">    </w:t>
      </w:r>
      <w:r>
        <w:rPr>
          <w:b/>
        </w:rPr>
        <w:t xml:space="preserve">DOI: </w:t>
      </w:r>
      <w:hyperlink r:id="rId571">
        <w:r>
          <w:rPr>
            <w:color w:val="1155CC"/>
            <w:u w:val="single"/>
          </w:rPr>
          <w:t>10.1002/aenm.70744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[230] </w:t>
      </w:r>
      <w:hyperlink r:id="rId572">
        <w:r>
          <w:rPr>
            <w:color w:val="1155CC"/>
            <w:u w:val="single"/>
          </w:rPr>
          <w:t>[ASAP] Engineering Intermolecular Packing of Quinoid-Cyanine Scaffolds for Enhanced Afterglow Brightness and Activatable Imaging</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15:24:06+00:00</w:t>
      </w:r>
      <w:r>
        <w:t xml:space="preserve">    </w:t>
      </w:r>
      <w:r>
        <w:rPr>
          <w:b/>
        </w:rPr>
        <w:t xml:space="preserve">DOI: </w:t>
      </w:r>
      <w:hyperlink r:id="rId573">
        <w:r>
          <w:rPr>
            <w:color w:val="1155CC"/>
            <w:u w:val="single"/>
          </w:rPr>
          <w:t>10.1021/jacs.6c01078</w:t>
        </w:r>
      </w:hyperlink>
    </w:p>
    <w:p>
      <w:pPr>
        <w:spacing w:before="0" w:after="80" w:lineRule="auto" w:line="276"/>
      </w:pPr>
      <w:r>
        <w:rPr>
          <w:b/>
        </w:rPr>
        <w:t xml:space="preserve">摘要（ZH）: </w:t>
      </w:r>
      <w:r>
        <w:t>(empty)</w:t>
      </w:r>
    </w:p>
    <w:p>
      <w:pPr>
        <w:spacing w:before="0" w:after="200" w:lineRule="auto" w:line="276"/>
      </w:pPr>
      <w:r>
        <w:rPr>
          <w:b/>
        </w:rPr>
        <w:t xml:space="preserve">Abstract (EN): </w:t>
      </w:r>
      <w:r>
        <w:t>Afterglow luminescence imaging produces long-lasting light emission after excitation ceases, enabling autofluorescence-free imaging with ultrahigh sensitivity. Compared to conventional multicomponent systems, self-sustaining afterglow molecules (SAMs) integrate photosensitization, high-energy intermediate formation, and afterglow generation based on an individual molecule, reducing system complexity and avoiding intermolecular energy transfer, thereby improving simplicity and efficiency. However, self-sustaining afterglow systems often suffer from severe intermolecular interactions, leading to an aggregation-caused quenching (ACQ) effect and suppressed photosensitization capability, ultimately resulting in a compromised afterglow signal. To address these issues, we design self-sustaining quinoid-cyanine-based afterglow scaffolds (QCAs) by incorporating steric hindrance groups to suppress intermolecular interactions and alleviate ACQ. This chemical engineering approach enhances both 1O2 generation and fluorescence, yielding a remarkable 1566-fold increase in afterglow intensity. Theoretical studies confirm that the steric hindrance groups increase the intermolecular distance, yielding looser molecular packing and interactions. Additionally, we introduce a phenylboronic acid moiety into the optimized scaffold to cage the quinone moiety, enabling ONOO--activatable afterglow imaging. The probe enables specific in vivo afterglow imaging of subcutaneous tumors with an ultrahigh signal-to-background ratio (SBR) of 426. Finally, by functionalizing the probe with a blood-brain barrier (BBB)-permeating angiopep-2 peptide, the probe achieves a discriminative detection of mice with Parkinson's disease (PD) from healthy controls with an imaging contrast of 6.5, which is inaccessible with fluorescence imaging. This study presents a systematic chemical engineering strategy for designing SAMs that mitigate intermolecular quenching and enable activatable afterglow luminescence.</w:t>
      </w:r>
    </w:p>
    <w:p>
      <w:pPr>
        <w:spacing w:before="120" w:after="120"/>
      </w:pPr>
      <w:r>
        <w:rPr>
          <w:sz w:val="18"/>
        </w:rPr>
        <w:t>——————————————————————————————————————————————————————————————————————</w:t>
      </w:r>
    </w:p>
    <w:p>
      <w:pPr>
        <w:spacing w:before="160" w:after="40" w:line="240" w:lineRule="auto"/>
      </w:pPr>
      <w:r>
        <w:rPr>
          <w:b/>
        </w:rPr>
        <w:t xml:space="preserve">[231] </w:t>
      </w:r>
      <w:hyperlink r:id="rId574">
        <w:r>
          <w:rPr>
            <w:color w:val="1155CC"/>
            <w:u w:val="single"/>
          </w:rPr>
          <w:t>[ASAP] A Bifunctional Phenylalanine–Lysine Oligopeptide Enabling Both Chiral Differentiation and Relative Configuration Analysis by Nuclear Magnetic Resonance Spectroscopy</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15:24:43+00:00</w:t>
      </w:r>
      <w:r>
        <w:t xml:space="preserve">    </w:t>
      </w:r>
      <w:r>
        <w:rPr>
          <w:b/>
        </w:rPr>
        <w:t xml:space="preserve">DOI: </w:t>
      </w:r>
      <w:hyperlink r:id="rId575">
        <w:r>
          <w:rPr>
            <w:color w:val="1155CC"/>
            <w:u w:val="single"/>
          </w:rPr>
          <w:t>10.1021/jacs.5c22161</w:t>
        </w:r>
      </w:hyperlink>
    </w:p>
    <w:p>
      <w:pPr>
        <w:spacing w:before="0" w:after="80" w:lineRule="auto" w:line="276"/>
      </w:pPr>
      <w:r>
        <w:rPr>
          <w:b/>
        </w:rPr>
        <w:t xml:space="preserve">摘要（ZH）: </w:t>
      </w:r>
      <w:r>
        <w:t>(empty)</w:t>
      </w:r>
    </w:p>
    <w:p>
      <w:pPr>
        <w:spacing w:before="0" w:after="200" w:lineRule="auto" w:line="276"/>
      </w:pPr>
      <w:r>
        <w:rPr>
          <w:b/>
        </w:rPr>
        <w:t xml:space="preserve">Abstract (EN): </w:t>
      </w:r>
      <w:r>
        <w:t>Bifunctional agents that integrate solvent alignment and chiral differentiation could streamline NMR-based structural and stereochemical analysis. Yet alignment media that simultaneously induce enantiodifferentiation remain rare, particularly in protic solvents and across chemically diverse molecules. In this study, we demonstrate that the amphiphilic oligopeptide (FK)&lt;sub&gt;4&lt;/sub&gt; self-assembles into β-sheet fibrils that serve as such a bifunctional medium. Upon assembly, (FK)&lt;sub&gt;4&lt;/sub&gt; weakly aligns the solvent environment while providing sufficient intermolecular interactions for robust enantiomeric differentiation. (FK)&lt;sub&gt;4&lt;/sub&gt; supports the enantiodifferentiation of diverse chiral compounds (amino acids, carbohydrates, organic acids, and pharmaceuticals) across multiple nuclei (&lt;sup&gt;1&lt;/sup&gt;H, &lt;sup&gt;13&lt;/sup&gt;C, and &lt;sup&gt;19&lt;/sup&gt;F), yielding well-resolved resonance bifurcations for accurate enantiopurity quantification through integration. The bifunction of (FK)&lt;sub&gt;4&lt;/sub&gt; extends to water and protic organic solvents, allowing both residual chemical shift anisotropies (RCSAs) measurements and enantiodifferentiation in the same sample. This dual functionality enables a streamlined postsynthesis analysis workflow for simultaneous determination of enantiomeric composition and relative configuration in racemic reaction products. Integrating structural elucidation and chiral analysis, (FK)&lt;sub&gt;4&lt;/sub&gt; offers a perspective on extending anisotropic NMR techniques to stereochemical differentiation with the potential to facilitate absolute configuration elucidation.</w:t>
      </w:r>
    </w:p>
    <w:p>
      <w:pPr>
        <w:spacing w:before="120" w:after="120"/>
      </w:pPr>
      <w:r>
        <w:rPr>
          <w:sz w:val="18"/>
        </w:rPr>
        <w:t>——————————————————————————————————————————————————————————————————————</w:t>
      </w:r>
    </w:p>
    <w:p>
      <w:pPr>
        <w:spacing w:before="160" w:after="40" w:line="240" w:lineRule="auto"/>
      </w:pPr>
      <w:r>
        <w:rPr>
          <w:b/>
        </w:rPr>
        <w:t xml:space="preserve">[232] </w:t>
      </w:r>
      <w:hyperlink r:id="rId576">
        <w:r>
          <w:rPr>
            <w:color w:val="1155CC"/>
            <w:u w:val="single"/>
          </w:rPr>
          <w:t>[ASAP] Insights into Adsorbate-Induced Dynamic Structures and Catalytic Microenvironments of Zeolite Acid Sites via Solid-State NMR</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15:28:55+00:00</w:t>
      </w:r>
      <w:r>
        <w:t xml:space="preserve">    </w:t>
      </w:r>
      <w:r>
        <w:rPr>
          <w:b/>
        </w:rPr>
        <w:t xml:space="preserve">DOI: </w:t>
      </w:r>
      <w:hyperlink r:id="rId577">
        <w:r>
          <w:rPr>
            <w:color w:val="1155CC"/>
            <w:u w:val="single"/>
          </w:rPr>
          <w:t>10.1021/jacs.6c01162</w:t>
        </w:r>
      </w:hyperlink>
    </w:p>
    <w:p>
      <w:pPr>
        <w:spacing w:before="0" w:after="80" w:lineRule="auto" w:line="276"/>
      </w:pPr>
      <w:r>
        <w:rPr>
          <w:b/>
        </w:rPr>
        <w:t xml:space="preserve">摘要（ZH）: </w:t>
      </w:r>
      <w:r>
        <w:t>(empty)</w:t>
      </w:r>
    </w:p>
    <w:p>
      <w:pPr>
        <w:spacing w:before="0" w:after="200" w:lineRule="auto" w:line="276"/>
      </w:pPr>
      <w:r>
        <w:rPr>
          <w:b/>
        </w:rPr>
        <w:t xml:space="preserve">Abstract (EN): </w:t>
      </w:r>
      <w:r>
        <w:t>Zeolites are essential solid acid catalysts whose catalytic performance is determined by the nature of their acid sites. Conventionally, these sites are viewed as static, predetermined structural motifs, characterized by metrics such as acid type (Brønsted/Lewis), strength, and spatial distribution within a rigid framework. Emerging insights, however, reveal that acid sites are dynamic and adaptive entities. Their local structure and chemical properties can be continuously reshaped by guest molecules, particularly in working catalysts where pores are occupied by reactants, intermediates, and products. This adsorbate-induced structural reconfiguration governs key steps in catalysis, including reactant adsorption and activation, intermediate stabilization, and thus ultimate activity and selectivity. Solid-state nuclear magnetic resonance (SSNMR) spectroscopy stands out as a unique and powerful technique for resolving these dynamic processes by translating subtle host-guest interactions into atomic-scale observables. This Perspective highlights recent SSNMR advances that uncover dynamic coordination states, map adaptive catalytic microenvironments, and establish direct correlations between these dynamic features and catalytic performance. These insights are reshaping fundamental understanding in zeolite chemistry and opening new avenues for the rational design of zeolite catalysts. We conclude by outlining key challenges and future opportunities for SSNMR in advancing the molecular-level understanding and optimization of catalysts under realistic reaction conditions.</w:t>
      </w:r>
    </w:p>
    <w:p>
      <w:pPr>
        <w:spacing w:before="120" w:after="120"/>
      </w:pPr>
      <w:r>
        <w:rPr>
          <w:sz w:val="18"/>
        </w:rPr>
        <w:t>——————————————————————————————————————————————————————————————————————</w:t>
      </w:r>
    </w:p>
    <w:p>
      <w:pPr>
        <w:spacing w:before="160" w:after="40" w:line="240" w:lineRule="auto"/>
      </w:pPr>
      <w:r>
        <w:rPr>
          <w:b/>
        </w:rPr>
        <w:t xml:space="preserve">[233] </w:t>
      </w:r>
      <w:hyperlink r:id="rId578">
        <w:r>
          <w:rPr>
            <w:color w:val="1155CC"/>
            <w:u w:val="single"/>
          </w:rPr>
          <w:t>[ASAP] Hydrophobic Refinement of Polarity-Switchable Lipo-Xenopeptides Modulates Endosomal Escape and Enhances mRNA Delivery In Vitro and In Vivo</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16:07:54+00:00</w:t>
      </w:r>
      <w:r>
        <w:t xml:space="preserve">    </w:t>
      </w:r>
      <w:r>
        <w:rPr>
          <w:b/>
        </w:rPr>
        <w:t xml:space="preserve">DOI: </w:t>
      </w:r>
      <w:hyperlink r:id="rId579">
        <w:r>
          <w:rPr>
            <w:color w:val="1155CC"/>
            <w:u w:val="single"/>
          </w:rPr>
          <w:t>10.1021/jacs.5c19141</w:t>
        </w:r>
      </w:hyperlink>
    </w:p>
    <w:p>
      <w:pPr>
        <w:spacing w:before="0" w:after="80" w:lineRule="auto" w:line="276"/>
      </w:pPr>
      <w:r>
        <w:rPr>
          <w:b/>
        </w:rPr>
        <w:t xml:space="preserve">摘要（ZH）: </w:t>
      </w:r>
      <w:r>
        <w:t>(empty)</w:t>
      </w:r>
    </w:p>
    <w:p>
      <w:pPr>
        <w:spacing w:before="0" w:after="200" w:lineRule="auto" w:line="276"/>
      </w:pPr>
      <w:r>
        <w:rPr>
          <w:b/>
        </w:rPr>
        <w:t xml:space="preserve">Abstract (EN): </w:t>
      </w:r>
      <w:r>
        <w:t>Double pH-responsive lipo-xenopeptides combine polar oligoamino acids (OAAs) such as succinoyl tetraethylene pentamine (Stp) with apolar lipoamino fatty acid (LAF) domains. The resulting potent mRNA carriers undergo a profound shift in their polarity upon endosomal protonation. In the current chemical evolution approach, three top-performing xenopeptides based on a U-shaped (LAF&lt;sub&gt;2&lt;/sub&gt;Stp&lt;sub&gt;1&lt;/sub&gt;, LAF&lt;sub&gt;4&lt;/sub&gt;Stp&lt;sub&gt;2&lt;/sub&gt;) or bundle (LAF&lt;sub&gt;4&lt;/sub&gt;Stp&lt;sub&gt;1&lt;/sub&gt;) topology were modified by replacing Stp with a variety of hydrophobized OAAs. Octanol/water distribution (log &lt;i&gt;D&lt;/i&gt;) was determined by a novel label-free mass spectrometry-based method. At neutral pH, the new xenopeptide analogues displayed an up to 85-fold higher hydrophobicity (log &lt;i&gt;D&lt;/i&gt;&lt;sub&gt;7.4&lt;/sub&gt; &gt; 2) than Stp-based carriers, with a sharp pH-responsive decrease at endosomal pH (log &lt;i&gt;D&lt;/i&gt;&lt;sub&gt;5.5&lt;/sub&gt; -1). Transfection efficacies were influenced by the amine count of the OAAs, with tetraethylene pentamine outperforming the OAAs with fewer amines. For both topologies, a strong correlation between mRNA expression and endosomal escape, as quantified by calcein release, was found. For U-shaped carriers (LAF/OAA = 2:1), lipophilic OAAs improved endosomal escape and mRNA transfection efficiency. In contrast, for bundle carriers (LAF/OAA = 4:1), lipophilic OAA incorporation did not further enhance endosomal escape or transfection. Mechanistic studies revealed that LAF-xenopeptide polyplexes can adopt both endosomal pH-dependent and pH-independent cytosolic entry mechanisms, with hydrophobization accelerating expression kinetics and enhancing pH-independent entry. Optimized U-shaped xenopeptides were identified with improved mRNA transfection in tumor cells, a dendritic cell line, and low-passage human colon carcinoma cells. In vivo, enhanced mRNA expression was found upon either intramuscular or intravenous administration in several organs and tumor tissue.</w:t>
      </w:r>
    </w:p>
    <w:p>
      <w:pPr>
        <w:spacing w:before="120" w:after="120"/>
      </w:pPr>
      <w:r>
        <w:rPr>
          <w:sz w:val="18"/>
        </w:rPr>
        <w:t>——————————————————————————————————————————————————————————————————————</w:t>
      </w:r>
    </w:p>
    <w:p>
      <w:pPr>
        <w:spacing w:before="160" w:after="40" w:line="240" w:lineRule="auto"/>
      </w:pPr>
      <w:r>
        <w:rPr>
          <w:b/>
        </w:rPr>
        <w:t xml:space="preserve">[234] </w:t>
      </w:r>
      <w:hyperlink r:id="rId580">
        <w:r>
          <w:rPr>
            <w:color w:val="1155CC"/>
            <w:u w:val="single"/>
          </w:rPr>
          <w:t>[ASAP] Cancer Cells Degrade the Nanoparticle Protein Corona for Biosynthesis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16:59:09+00:00</w:t>
      </w:r>
      <w:r>
        <w:t xml:space="preserve">    </w:t>
      </w:r>
      <w:r>
        <w:rPr>
          <w:b/>
        </w:rPr>
        <w:t xml:space="preserve">DOI: </w:t>
      </w:r>
      <w:hyperlink r:id="rId581">
        <w:r>
          <w:rPr>
            <w:color w:val="1155CC"/>
            <w:u w:val="single"/>
          </w:rPr>
          <w:t>10.1021/jacs.5c19355</w:t>
        </w:r>
      </w:hyperlink>
    </w:p>
    <w:p>
      <w:pPr>
        <w:spacing w:before="0" w:after="80" w:lineRule="auto" w:line="276"/>
      </w:pPr>
      <w:r>
        <w:rPr>
          <w:b/>
        </w:rPr>
        <w:t xml:space="preserve">摘要（ZH）: </w:t>
      </w:r>
      <w:r>
        <w:t>(empty)</w:t>
      </w:r>
    </w:p>
    <w:p>
      <w:pPr>
        <w:spacing w:before="0" w:after="200" w:lineRule="auto" w:line="276"/>
      </w:pPr>
      <w:r>
        <w:rPr>
          <w:b/>
        </w:rPr>
        <w:t xml:space="preserve">Abstract (EN): </w:t>
      </w:r>
      <w:r>
        <w:t>Nanoparticles designed to carry medical agents are administered to patients for the detection and treatment of cancer. Serum proteins form a protein corona on the nanoparticle surface after nanoparticles enter the bloodstream. The protein corona can impact how nanoparticles circulate, interact with, and get taken up by cancer cells. What happens to the protein corona once inside the cells remains unclear. Here, we discovered that cancer cells metabolize the protein corona to synthesize new macromolecules. After internalization, nanoparticles and their associated protein corona are trafficked to cell lysosomes. Proteolytic enzymes degrade the protein corona into amino acids in the lysosomes. The degraded byproducts are utilized for the synthesis of macromolecules for new cells. The total amount of serum proteins entering cells with the nanoparticles is greater than that in solution. Each internalized 55 nm gold nanoparticle transports an amount of protein equivalent to the uptake of over 250 individual proteins from solution. The uptake of nanoparticles creates an abundance of proteins for cells to carry out biosynthesis. These findings reveal that the nanoparticle protein corona serves as a nutrient reservoir for cancer cell metabolism.</w:t>
      </w:r>
    </w:p>
    <w:p>
      <w:pPr>
        <w:spacing w:before="120" w:after="120"/>
      </w:pPr>
      <w:r>
        <w:rPr>
          <w:sz w:val="18"/>
        </w:rPr>
        <w:t>——————————————————————————————————————————————————————————————————————</w:t>
      </w:r>
    </w:p>
    <w:p>
      <w:pPr>
        <w:spacing w:before="160" w:after="40" w:line="240" w:lineRule="auto"/>
      </w:pPr>
      <w:r>
        <w:rPr>
          <w:b/>
        </w:rPr>
        <w:t xml:space="preserve">[235] </w:t>
      </w:r>
      <w:hyperlink r:id="rId582">
        <w:r>
          <w:rPr>
            <w:color w:val="1155CC"/>
            <w:u w:val="single"/>
          </w:rPr>
          <w:t>[ASAP] Copper-Catalyzed Asymmetric Vinylation of α-Cyano Substituted Carbonyl Compounds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17:22:57+00:00</w:t>
      </w:r>
      <w:r>
        <w:t xml:space="preserve">    </w:t>
      </w:r>
      <w:r>
        <w:rPr>
          <w:b/>
        </w:rPr>
        <w:t xml:space="preserve">DOI: </w:t>
      </w:r>
      <w:hyperlink r:id="rId583">
        <w:r>
          <w:rPr>
            <w:color w:val="1155CC"/>
            <w:u w:val="single"/>
          </w:rPr>
          <w:t>10.1021/jacs.5c22210</w:t>
        </w:r>
      </w:hyperlink>
    </w:p>
    <w:p>
      <w:pPr>
        <w:spacing w:before="0" w:after="80" w:lineRule="auto" w:line="276"/>
      </w:pPr>
      <w:r>
        <w:rPr>
          <w:b/>
        </w:rPr>
        <w:t xml:space="preserve">摘要（ZH）: </w:t>
      </w:r>
      <w:r>
        <w:t>(empty)</w:t>
      </w:r>
    </w:p>
    <w:p>
      <w:pPr>
        <w:spacing w:before="0" w:after="200" w:lineRule="auto" w:line="276"/>
      </w:pPr>
      <w:r>
        <w:rPr>
          <w:b/>
        </w:rPr>
        <w:t xml:space="preserve">Abstract (EN): </w:t>
      </w:r>
      <w:r>
        <w:t>Based on (S)-azetidine-2-carboxylic acid-derived amides, a class of effective ligands has been developed for the Cu-catalyzed enantioselective coupling of vinyl iodides with α-cyano carbonyl compounds, including α-alkyl-substituted cyanoacetates, α-cyano lactams, and α-cyano lactones. This asymmetric transformation affords α-vinyl-α-alkyl cyanoacetates, α-vinyl-α-cyano lactams, and α-vinyl-α-cyano lactones in good to excellent enantioselectivities (up to 99% ee). A wide range of functionalized vinyl groups can be introduced at the quaternary center across these three types of substrates. Furthermore, the reaction accommodates both simple and functionalized alkyl substituents in the α-alkyl-substituted cyanoacetates. These advantages make the current coupling strategy highly valuable for constructing enantioenriched molecules featuring an all-carbon quaternary center bearing versatile and easily modifiable functional groups.</w:t>
      </w:r>
    </w:p>
    <w:p>
      <w:pPr>
        <w:spacing w:before="120" w:after="120"/>
      </w:pPr>
      <w:r>
        <w:rPr>
          <w:sz w:val="18"/>
        </w:rPr>
        <w:t>——————————————————————————————————————————————————————————————————————</w:t>
      </w:r>
    </w:p>
    <w:p>
      <w:pPr>
        <w:spacing w:before="160" w:after="40" w:line="240" w:lineRule="auto"/>
      </w:pPr>
      <w:r>
        <w:rPr>
          <w:b/>
        </w:rPr>
        <w:t xml:space="preserve">[236] </w:t>
      </w:r>
      <w:hyperlink r:id="rId584">
        <w:r>
          <w:rPr>
            <w:color w:val="1155CC"/>
            <w:u w:val="single"/>
          </w:rPr>
          <w:t>[ASAP] Covalent-Coordination-Dual-Driven In Situ Modular Assembly of 12-Connected Nickel-Based Metal–Organic Frameworks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18:12:53+00:00</w:t>
      </w:r>
      <w:r>
        <w:t xml:space="preserve">    </w:t>
      </w:r>
      <w:r>
        <w:rPr>
          <w:b/>
        </w:rPr>
        <w:t xml:space="preserve">DOI: </w:t>
      </w:r>
      <w:hyperlink r:id="rId585">
        <w:r>
          <w:rPr>
            <w:color w:val="1155CC"/>
            <w:u w:val="single"/>
          </w:rPr>
          <w:t>10.1021/jacs.5c22441</w:t>
        </w:r>
      </w:hyperlink>
    </w:p>
    <w:p>
      <w:pPr>
        <w:spacing w:before="0" w:after="80" w:lineRule="auto" w:line="276"/>
      </w:pPr>
      <w:r>
        <w:rPr>
          <w:b/>
        </w:rPr>
        <w:t xml:space="preserve">摘要（ZH）: </w:t>
      </w:r>
      <w:r>
        <w:t>(empty)</w:t>
      </w:r>
    </w:p>
    <w:p>
      <w:pPr>
        <w:spacing w:before="0" w:after="200" w:lineRule="auto" w:line="276"/>
      </w:pPr>
      <w:r>
        <w:rPr>
          <w:b/>
        </w:rPr>
        <w:t xml:space="preserve">Abstract (EN): </w:t>
      </w:r>
      <w:r>
        <w:t>The practical application of metal-organic frameworks (MOFs) is often hindered by the trade-off among structural stability, synthetic complexity, and functional tunability. Herein, we present a facile in situ modular assembly of highly stable 12-connected Ni8-MOFs by integrating the formation of covalent imine bonds and metal-ligand coordination bonds in a one-pot reaction. This approach utilizes simple precursors of nickel acetate, 4-aminopyrazoles, and diverse aromatic aldehydes to construct a library of 31 highly crystalline Ni8-MOFs (JNU-230-JNU-260) under traditional refluxing conditions. We further demonstrate the scalability and sustainability of this synthetic strategy, affording gram-scale production per batch using recycled reaction solvents, with no compromise in crystallinity or porosity for at least 3 additional batches. Moreover, in situ modular assembly and donor-acceptor regulation enable the formation of JNU-244 as a highly efficient and stable heterogeneous photocatalyst, achieving a yield of up to 99% in a visible-light-driven cross-dehydrogenative coupling reaction with excellent recyclability. This work offers a new platform for the precise and sustainable construction of highly stable, functionally advanced MOFs, highlighting the power of synergistic covalent-coordination-dual driven assembly in materials design.</w:t>
      </w:r>
    </w:p>
    <w:p>
      <w:pPr>
        <w:spacing w:before="120" w:after="120"/>
      </w:pPr>
      <w:r>
        <w:rPr>
          <w:sz w:val="18"/>
        </w:rPr>
        <w:t>——————————————————————————————————————————————————————————————————————</w:t>
      </w:r>
    </w:p>
    <w:p>
      <w:pPr>
        <w:spacing w:before="160" w:after="40" w:line="240" w:lineRule="auto"/>
      </w:pPr>
      <w:r>
        <w:rPr>
          <w:b/>
        </w:rPr>
        <w:t xml:space="preserve">[237] </w:t>
      </w:r>
      <w:hyperlink r:id="rId586">
        <w:r>
          <w:rPr>
            <w:color w:val="1155CC"/>
            <w:u w:val="single"/>
          </w:rPr>
          <w:t>[ASAP] Iron-Catalyzed anti-Markovnikov Allylzincation of Terminal Alkynes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19:04:24+00:00</w:t>
      </w:r>
      <w:r>
        <w:t xml:space="preserve">    </w:t>
      </w:r>
      <w:r>
        <w:rPr>
          <w:b/>
        </w:rPr>
        <w:t xml:space="preserve">DOI: </w:t>
      </w:r>
      <w:hyperlink r:id="rId587">
        <w:r>
          <w:rPr>
            <w:color w:val="1155CC"/>
            <w:u w:val="single"/>
          </w:rPr>
          <w:t>10.1021/jacs.5c21100</w:t>
        </w:r>
      </w:hyperlink>
    </w:p>
    <w:p>
      <w:pPr>
        <w:spacing w:before="0" w:after="80" w:lineRule="auto" w:line="276"/>
      </w:pPr>
      <w:r>
        <w:rPr>
          <w:b/>
        </w:rPr>
        <w:t xml:space="preserve">摘要（ZH）: </w:t>
      </w:r>
      <w:r>
        <w:t>(empty)</w:t>
      </w:r>
    </w:p>
    <w:p>
      <w:pPr>
        <w:spacing w:before="0" w:after="200" w:lineRule="auto" w:line="276"/>
      </w:pPr>
      <w:r>
        <w:rPr>
          <w:b/>
        </w:rPr>
        <w:t xml:space="preserve">Abstract (EN): </w:t>
      </w:r>
      <w:r>
        <w:t>Allylmetalation of terminal alkynes is predominantly governed by substrate electronic properties, leaving no effective strategy for anti-Markovnikov addition (allyl addition to the terminal carbon) of general terminal alkynes. Herein, we report a 2-(imino)quinoline iron-catalyzed anti-Markovnikov allylzincation of aryl- and alkyl-substituted terminal alkynes. This protocol affords anti-Markovnikov addition products, 1,4-dienylzinc reagents, in high yields (up to 99%) with excellent regio- and stereoselectivities (mostly &gt;95:5), featuring broad substrate scope and good functional group tolerance. It provides a direct, efficient route to 1,4-dienylzinc reagents which are inaccessible via reported methods, and has been applied to the concise synthesis of polysubstituted 1,4-dienes, as well as key intermediates for several natural products. Mechanistic studies reveal that alkyne activation by Fe(0) catalyst and the semiopen steric effect of 2-(imino)quinoline ligands are critical to overcoming electronic biases and achieving the desired selectivity. This work highlights the unique advantages of low-valent iron catalysts in regulating classical organic reaction selectivity and offers an effective method for accessing novel 1,4-dienes.</w:t>
      </w:r>
    </w:p>
    <w:p>
      <w:pPr>
        <w:spacing w:before="120" w:after="120"/>
      </w:pPr>
      <w:r>
        <w:rPr>
          <w:sz w:val="18"/>
        </w:rPr>
        <w:t>——————————————————————————————————————————————————————————————————————</w:t>
      </w:r>
    </w:p>
    <w:p>
      <w:pPr>
        <w:spacing w:before="160" w:after="40" w:line="240" w:lineRule="auto"/>
      </w:pPr>
      <w:r>
        <w:rPr>
          <w:b/>
        </w:rPr>
        <w:t xml:space="preserve">[238] </w:t>
      </w:r>
      <w:hyperlink r:id="rId588">
        <w:r>
          <w:rPr>
            <w:color w:val="1155CC"/>
            <w:u w:val="single"/>
          </w:rPr>
          <w:t>[ASAP] Conformational Flexibility of Transmembrane Helices: How it Works and Where it Matters</w:t>
        </w:r>
      </w:hyperlink>
    </w:p>
    <w:p>
      <w:pPr>
        <w:spacing w:before="0" w:after="120"/>
      </w:pPr>
      <w:r>
        <w:rPr>
          <w:b/>
        </w:rPr>
        <w:t xml:space="preserve">Source: </w:t>
      </w:r>
      <w:r>
        <w:t>Chemical Reviews: Latest Articles (ACS Publications)</w:t>
      </w:r>
      <w:r>
        <w:t xml:space="preserve">    </w:t>
      </w:r>
      <w:r>
        <w:rPr>
          <w:b/>
        </w:rPr>
        <w:t xml:space="preserve">Pub date: </w:t>
      </w:r>
      <w:r>
        <w:t>2026-02-25 19:24:17+00:00</w:t>
      </w:r>
      <w:r>
        <w:t xml:space="preserve">    </w:t>
      </w:r>
      <w:r>
        <w:rPr>
          <w:b/>
        </w:rPr>
        <w:t xml:space="preserve">DOI: </w:t>
      </w:r>
      <w:hyperlink r:id="rId589">
        <w:r>
          <w:rPr>
            <w:color w:val="1155CC"/>
            <w:u w:val="single"/>
          </w:rPr>
          <w:t>10.1021/acs.chemrev.5c00581</w:t>
        </w:r>
      </w:hyperlink>
    </w:p>
    <w:p>
      <w:pPr>
        <w:spacing w:before="0" w:after="80" w:lineRule="auto" w:line="276"/>
      </w:pPr>
      <w:r>
        <w:rPr>
          <w:b/>
        </w:rPr>
        <w:t xml:space="preserve">摘要（ZH）: </w:t>
      </w:r>
      <w:r>
        <w:t>(empty)</w:t>
      </w:r>
    </w:p>
    <w:p>
      <w:pPr>
        <w:spacing w:before="0" w:after="200" w:lineRule="auto" w:line="276"/>
      </w:pPr>
      <w:r>
        <w:rPr>
          <w:b/>
        </w:rPr>
        <w:t xml:space="preserve">Abstract (EN): </w:t>
      </w:r>
      <w:r>
        <w:t>An increasing number of multipass and oligomeric membrane proteins is found to exist in different structural substates that represent different stages of their functional cycles. Many of their constituent transmembrane helices locally deviate from canonical α-helical structure, suggesting that their conformational flexibility is required for function and/or connected to structural conversions between functional states. Biological functions of many single-pass proteins also often depend on the substantial conformational flexibility of their transmembrane helices. Current research focuses on the types and sequence dependence of helix flexibility, its diverse functional roles, as well as its interplay with the lipid environment within a membrane. This Perspective will illustrate these issues using a number of exemplary cases, including bacteriorhodopsin, ion channels, fusogenic proteins, and intramembrane protease substrates. In addition, we will discuss some methodological aspects, including advanced hydrogen-deuterium exchange analysis that can be useful in investigating the conformational flexibility of TM-helices.</w:t>
      </w:r>
    </w:p>
    <w:p>
      <w:pPr>
        <w:spacing w:before="120" w:after="120"/>
      </w:pPr>
      <w:r>
        <w:rPr>
          <w:sz w:val="18"/>
        </w:rPr>
        <w:t>——————————————————————————————————————————————————————————————————————</w:t>
      </w:r>
    </w:p>
    <w:p>
      <w:pPr>
        <w:spacing w:before="160" w:after="40" w:line="240" w:lineRule="auto"/>
      </w:pPr>
      <w:r>
        <w:rPr>
          <w:b/>
        </w:rPr>
        <w:t xml:space="preserve">[239] </w:t>
      </w:r>
      <w:hyperlink r:id="rId590">
        <w:r>
          <w:rPr>
            <w:color w:val="1155CC"/>
            <w:u w:val="single"/>
          </w:rPr>
          <w:t>[ASAP] Direct Experimental Evidence of Transient Auδ+ Oxide in Au Electrooxidation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2026-02-25 20:34:05+00:00</w:t>
      </w:r>
      <w:r>
        <w:t xml:space="preserve">    </w:t>
      </w:r>
      <w:r>
        <w:rPr>
          <w:b/>
        </w:rPr>
        <w:t xml:space="preserve">DOI: </w:t>
      </w:r>
      <w:hyperlink r:id="rId591">
        <w:r>
          <w:rPr>
            <w:color w:val="1155CC"/>
            <w:u w:val="single"/>
          </w:rPr>
          <w:t>10.1021/jacs.5c13087</w:t>
        </w:r>
      </w:hyperlink>
    </w:p>
    <w:p>
      <w:pPr>
        <w:spacing w:before="0" w:after="80" w:lineRule="auto" w:line="276"/>
      </w:pPr>
      <w:r>
        <w:rPr>
          <w:b/>
        </w:rPr>
        <w:t xml:space="preserve">摘要（ZH）: </w:t>
      </w:r>
      <w:r>
        <w:t>(empty)</w:t>
      </w:r>
    </w:p>
    <w:p>
      <w:pPr>
        <w:spacing w:before="0" w:after="200" w:lineRule="auto" w:line="276"/>
      </w:pPr>
      <w:r>
        <w:rPr>
          <w:b/>
        </w:rPr>
        <w:t xml:space="preserve">Abstract (EN): </w:t>
      </w:r>
      <w:r>
        <w:t>Anodic electrooxidation of noble metals in acidic media represents a central topic in electrocatalysis and energy conversion due to its relevance for the oxygen evolution reaction (OER). In particular, gold electrodes are traditionally assumed to oxidize directly from the metallic state (Au0) to a trivalent state (Au3+) at high potentials relevant to OER. However, this long-standing paradigm has been increasingly challenged by recent in situ characterization studies. Here we report the direct observation of a metastable gold oxidation state (Auδ+, where 0 &lt; δ &lt; 3) preceding the formation of Au3+. This species is electrochemically induced on Au(111) in 0.1 M H2SO4 and observed at the electrode surface under ultrahigh vacuum (UHV) using quasi-in situ X-ray photoelectron spectroscopy (XPS). Auδ+ manifests a distinct chemical shift in XPS without conforming to a fully evolved Au3+ oxidation state. Atomic-resolution imaging via low-temperature scanning probe microscopy (LT-STM/nc-AFM) revealed that the Auδ+ phase forms an amorphous oxide layer. This study provides evidence of a two-step mechanism for Au electrooxidation accompanying the OER onset. Formation of the Auδ+ surface oxide precedes the formation of the bulk Au3+ oxide responsible for the OER. This mechanism strongly challenges the thermodynamically predicted one-step Au0 → Au3+ oxidation model. The two-step Au-oxidation mechanism parallels the proposed Pt electrooxidation pathway, suggesting a general oxidation mechanism for noble metals.</w:t>
      </w:r>
    </w:p>
    <w:p>
      <w:pPr>
        <w:spacing w:before="120" w:after="120"/>
      </w:pPr>
      <w:r>
        <w:rPr>
          <w:sz w:val="18"/>
        </w:rPr>
        <w:t>——————————————————————————————————————————————————————————————————————</w:t>
      </w:r>
    </w:p>
    <w:p>
      <w:pPr>
        <w:spacing w:before="160" w:after="40" w:line="240" w:lineRule="auto"/>
      </w:pPr>
      <w:r>
        <w:rPr>
          <w:b/>
        </w:rPr>
        <w:t xml:space="preserve">[240] </w:t>
      </w:r>
      <w:hyperlink r:id="rId592">
        <w:r>
          <w:rPr>
            <w:color w:val="1155CC"/>
            <w:u w:val="single"/>
          </w:rPr>
          <w:t>World-first stem-cell therapy shows promise for treating spina bifida in the womb</w:t>
        </w:r>
      </w:hyperlink>
    </w:p>
    <w:p>
      <w:pPr>
        <w:spacing w:before="0" w:after="120"/>
      </w:pPr>
      <w:r>
        <w:rPr>
          <w:b/>
        </w:rPr>
        <w:t xml:space="preserve">Source: </w:t>
      </w:r>
      <w:r>
        <w:t>Nature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[241] </w:t>
      </w:r>
      <w:hyperlink r:id="rId593">
        <w:r>
          <w:rPr>
            <w:color w:val="1155CC"/>
            <w:u w:val="single"/>
          </w:rPr>
          <w:t>Unstructured protein mimics have enzymatic activity</w:t>
        </w:r>
      </w:hyperlink>
    </w:p>
    <w:p>
      <w:pPr>
        <w:spacing w:before="0" w:after="120"/>
      </w:pPr>
      <w:r>
        <w:rPr>
          <w:b/>
        </w:rPr>
        <w:t xml:space="preserve">Source: </w:t>
      </w:r>
      <w:r>
        <w:t>Chem</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Random copolymers containing charged, polar, and hydrophobic monomers protect enzymes so they can function in non-biological environments. These heteropolymers imitate unstructured proteins in coacervates that mimic membraneless organelles. Reporting in a recent issue of Nature, a team led by Xu and Alexander-Katz has designed heteropolymers with enzymatic activity by selecting monomers that modulate their chemical microenvironment to replicate enzymatic functionalities.</w:t>
      </w:r>
    </w:p>
    <w:p>
      <w:pPr>
        <w:spacing w:before="120" w:after="120"/>
      </w:pPr>
      <w:r>
        <w:rPr>
          <w:sz w:val="18"/>
        </w:rPr>
        <w:t>——————————————————————————————————————————————————————————————————————</w:t>
      </w:r>
    </w:p>
    <w:p>
      <w:pPr>
        <w:spacing w:before="160" w:after="40" w:line="240" w:lineRule="auto"/>
      </w:pPr>
      <w:r>
        <w:rPr>
          <w:b/>
        </w:rPr>
        <w:t xml:space="preserve">[242] </w:t>
      </w:r>
      <w:hyperlink r:id="rId594">
        <w:r>
          <w:rPr>
            <w:color w:val="1155CC"/>
            <w:u w:val="single"/>
          </w:rPr>
          <w:t>Making tough hydrogels isotropic</w:t>
        </w:r>
      </w:hyperlink>
    </w:p>
    <w:p>
      <w:pPr>
        <w:spacing w:before="0" w:after="120"/>
      </w:pPr>
      <w:r>
        <w:rPr>
          <w:b/>
        </w:rPr>
        <w:t xml:space="preserve">Source: </w:t>
      </w:r>
      <w:r>
        <w:t>Nature Reviews Materials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[243] </w:t>
      </w:r>
      <w:hyperlink r:id="rId595">
        <w:r>
          <w:rPr>
            <w:color w:val="1155CC"/>
            <w:u w:val="single"/>
          </w:rPr>
          <w:t>This compound enhances long-term memory of mice — but only in females</w:t>
        </w:r>
      </w:hyperlink>
    </w:p>
    <w:p>
      <w:pPr>
        <w:spacing w:before="0" w:after="120"/>
      </w:pPr>
      <w:r>
        <w:rPr>
          <w:b/>
        </w:rPr>
        <w:t xml:space="preserve">Source: </w:t>
      </w:r>
      <w:r>
        <w:t>Nature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[244] </w:t>
      </w:r>
      <w:hyperlink r:id="rId596">
        <w:r>
          <w:rPr>
            <w:color w:val="1155CC"/>
            <w:u w:val="single"/>
          </w:rPr>
          <w:t>Health effects linger 20 generations after rats are exposed to fungicide</w:t>
        </w:r>
      </w:hyperlink>
    </w:p>
    <w:p>
      <w:pPr>
        <w:spacing w:before="0" w:after="120"/>
      </w:pPr>
      <w:r>
        <w:rPr>
          <w:b/>
        </w:rPr>
        <w:t xml:space="preserve">Source: </w:t>
      </w:r>
      <w:r>
        <w:t>Nature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[245] </w:t>
      </w:r>
      <w:hyperlink r:id="rId597">
        <w:r>
          <w:rPr>
            <w:color w:val="1155CC"/>
            <w:u w:val="single"/>
          </w:rPr>
          <w:t>Ultra-sensitive CAR T cells eliminate hard-to-treat tumours in mice</w:t>
        </w:r>
      </w:hyperlink>
    </w:p>
    <w:p>
      <w:pPr>
        <w:spacing w:before="0" w:after="120"/>
      </w:pPr>
      <w:r>
        <w:rPr>
          <w:b/>
        </w:rPr>
        <w:t xml:space="preserve">Source: </w:t>
      </w:r>
      <w:r>
        <w:t>Nature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[246] </w:t>
      </w:r>
      <w:hyperlink r:id="rId598">
        <w:r>
          <w:rPr>
            <w:color w:val="1155CC"/>
            <w:u w:val="single"/>
          </w:rPr>
          <w:t>UN creates new scientific AI advisory panel: what will it do?</w:t>
        </w:r>
      </w:hyperlink>
    </w:p>
    <w:p>
      <w:pPr>
        <w:spacing w:before="0" w:after="120"/>
      </w:pPr>
      <w:r>
        <w:rPr>
          <w:b/>
        </w:rPr>
        <w:t xml:space="preserve">Source: </w:t>
      </w:r>
      <w:r>
        <w:t>Nature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[247] </w:t>
      </w:r>
      <w:hyperlink r:id="rId599">
        <w:r>
          <w:rPr>
            <w:color w:val="1155CC"/>
            <w:u w:val="single"/>
          </w:rPr>
          <w:t>Reinforcing lipid nanoparticles for controlled mRNA delivery</w:t>
        </w:r>
      </w:hyperlink>
    </w:p>
    <w:p>
      <w:pPr>
        <w:spacing w:before="0" w:after="120"/>
      </w:pPr>
      <w:r>
        <w:rPr>
          <w:b/>
        </w:rPr>
        <w:t xml:space="preserve">Source: </w:t>
      </w:r>
      <w:r>
        <w:t>Nature Reviews Materials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[248] </w:t>
      </w:r>
      <w:hyperlink r:id="rId600">
        <w:r>
          <w:rPr>
            <w:color w:val="1155CC"/>
            <w:u w:val="single"/>
          </w:rPr>
          <w:t>Neanderthal dad, human mum: study reveals ancient procreation pattern</w:t>
        </w:r>
      </w:hyperlink>
    </w:p>
    <w:p>
      <w:pPr>
        <w:spacing w:before="0" w:after="120"/>
      </w:pPr>
      <w:r>
        <w:rPr>
          <w:b/>
        </w:rPr>
        <w:t xml:space="preserve">Source: </w:t>
      </w:r>
      <w:r>
        <w:t>Nature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[249] </w:t>
      </w:r>
      <w:hyperlink r:id="rId601">
        <w:r>
          <w:rPr>
            <w:color w:val="1155CC"/>
            <w:u w:val="single"/>
          </w:rPr>
          <w:t>Author Correction: Myocardial reprogramming by HMGN1 underlies heart defects in trisomy 21</w:t>
        </w:r>
      </w:hyperlink>
    </w:p>
    <w:p>
      <w:pPr>
        <w:spacing w:before="0" w:after="120"/>
      </w:pPr>
      <w:r>
        <w:rPr>
          <w:b/>
        </w:rPr>
        <w:t xml:space="preserve">Source: </w:t>
      </w:r>
      <w:r>
        <w:t>Nature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[250] </w:t>
      </w:r>
      <w:hyperlink r:id="rId602">
        <w:r>
          <w:rPr>
            <w:color w:val="1155CC"/>
            <w:u w:val="single"/>
          </w:rPr>
          <w:t>Short-term forecasting of energy production and consumption using extreme learning machine: A comprehensive MIMO based ELM approach</w:t>
        </w:r>
      </w:hyperlink>
    </w:p>
    <w:p>
      <w:pPr>
        <w:spacing w:before="0" w:after="120"/>
      </w:pPr>
      <w:r>
        <w:rPr>
          <w:b/>
        </w:rPr>
        <w:t xml:space="preserve">Source: </w:t>
      </w:r>
      <w:r>
        <w:t>ScienceDirect Publication: Applied Energy</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[251] </w:t>
      </w:r>
      <w:hyperlink r:id="rId603">
        <w:r>
          <w:rPr>
            <w:color w:val="1155CC"/>
            <w:u w:val="single"/>
          </w:rPr>
          <w:t>Daily briefing: Stem-cell treatment strengthens people with age-related frailty</w:t>
        </w:r>
      </w:hyperlink>
    </w:p>
    <w:p>
      <w:pPr>
        <w:spacing w:before="0" w:after="120"/>
      </w:pPr>
      <w:r>
        <w:rPr>
          <w:b/>
        </w:rPr>
        <w:t xml:space="preserve">Source: </w:t>
      </w:r>
      <w:r>
        <w:t>Nature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[252] </w:t>
      </w:r>
      <w:hyperlink r:id="rId604">
        <w:r>
          <w:rPr>
            <w:color w:val="1155CC"/>
            <w:u w:val="single"/>
          </w:rPr>
          <w:t>Heterogeneous catalytic deuteration using D2O and advances in the application of deuterium labelling</w:t>
        </w:r>
      </w:hyperlink>
    </w:p>
    <w:p>
      <w:pPr>
        <w:spacing w:before="0" w:after="120"/>
      </w:pPr>
      <w:r>
        <w:rPr>
          <w:b/>
        </w:rPr>
        <w:t xml:space="preserve">Source: </w:t>
      </w:r>
      <w:r>
        <w:t>RSC - Chem. Soc. Rev. latest articles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Deuterium labelling has been a vital tool in chemical, pharmaceutical, and biological research for many years. Recently, there has been a surge of interest in its applications in emerging fields such as deuterium metabolic imaging (DMI) and luminescent material development. The demand for deuteration of organic compounds has increased significantly, resulting in the development of various heterogeneous catalytic deuteration methodologies, including nanocatalysis and electrocatalysis, over the past five years. Notably, many of these deuteration reactions utilize relatively inexpensive, environmentally friendly, and safe D2O, which enhances operational convenience. This review aims to summarize recent advancements in heterogeneous catalytic deuteration using D2O and to highlight innovative applications of deuterium labelling, including deuterium metabolic imaging, deuterated luminescent materials, and quantitative mass spectrometry.</w:t>
      </w:r>
    </w:p>
    <w:p>
      <w:pPr>
        <w:spacing w:before="120" w:after="120"/>
      </w:pPr>
      <w:r>
        <w:rPr>
          <w:sz w:val="18"/>
        </w:rPr>
        <w:t>——————————————————————————————————————————————————————————————————————</w:t>
      </w:r>
    </w:p>
    <w:p>
      <w:pPr>
        <w:spacing w:before="160" w:after="40" w:line="240" w:lineRule="auto"/>
      </w:pPr>
      <w:r>
        <w:rPr>
          <w:b/>
        </w:rPr>
        <w:t xml:space="preserve">[253] </w:t>
      </w:r>
      <w:hyperlink r:id="rId605">
        <w:r>
          <w:rPr>
            <w:color w:val="1155CC"/>
            <w:u w:val="single"/>
          </w:rPr>
          <w:t>Why an industry career move is a taboo topic in academia</w:t>
        </w:r>
      </w:hyperlink>
    </w:p>
    <w:p>
      <w:pPr>
        <w:spacing w:before="0" w:after="120"/>
      </w:pPr>
      <w:r>
        <w:rPr>
          <w:b/>
        </w:rPr>
        <w:t xml:space="preserve">Source: </w:t>
      </w:r>
      <w:r>
        <w:t>Nature</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[254] </w:t>
      </w:r>
      <w:hyperlink r:id="rId606">
        <w:r>
          <w:rPr>
            <w:color w:val="1155CC"/>
            <w:u w:val="single"/>
          </w:rPr>
          <w:t>Key role of oxidizing species driving water oxidation revealed by time-resolved optical and X-ray spectroscopies</w:t>
        </w:r>
      </w:hyperlink>
    </w:p>
    <w:p>
      <w:pPr>
        <w:spacing w:before="0" w:after="120"/>
      </w:pPr>
      <w:r>
        <w:rPr>
          <w:b/>
        </w:rPr>
        <w:t xml:space="preserve">Source: </w:t>
      </w:r>
      <w:r>
        <w:t>Nature Materials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Oxidation states underpin the understanding of active states, reaction mechanisms and catalytic performance of electrocatalysts. However, determining them at complex solid–liquid interfaces is challenging. Here we use multimodal spectroscopy to investigate polarized iridium oxide (IrOx) electrodes, a model water oxidation catalyst, to identify potential-dependent iridium and oxygen oxidation states. By integrating multiple operando spectroscopies (optical (ultraviolet–visible), Ir L-edge and O K-edge X-ray absorption spectroscopy) with electrochemistry mass spectrometry and density functional theory calculations, we identify the sequential depletion of electron densities from the Ir5d band (corresponding to Ir3+→Ir4+→Ir5+), followed by electron removal from the O2p band, forming electrophilic oxygen species (O−1) due to enhanced Ir–O covalency and electronic state overlap. Time-resolved measurements reveal distinct lifetimes for Ir5+ and O−1 states under water oxidation conditions, Ir5+ remains unreactive whereas O−1 is consumed at a time constant commensurate with the reaction rate, indicating that O−1 drives the oxygen evolution reaction. These findings demonstrate the necessity of using multiple operando techniques to gain a unified understanding of the evolution of oxidation states and active sites with potential for water oxidation on oxide catalysts.</w:t>
      </w:r>
    </w:p>
    <w:p>
      <w:pPr>
        <w:spacing w:before="120" w:after="120"/>
      </w:pPr>
      <w:r>
        <w:rPr>
          <w:sz w:val="18"/>
        </w:rPr>
        <w:t>——————————————————————————————————————————————————————————————————————</w:t>
      </w:r>
    </w:p>
    <w:p>
      <w:pPr>
        <w:spacing w:before="160" w:after="40" w:line="240" w:lineRule="auto"/>
      </w:pPr>
      <w:r>
        <w:rPr>
          <w:b/>
        </w:rPr>
        <w:t xml:space="preserve">[255] </w:t>
      </w:r>
      <w:hyperlink r:id="rId607">
        <w:r>
          <w:rPr>
            <w:color w:val="1155CC"/>
            <w:u w:val="single"/>
          </w:rPr>
          <w:t>Tumor-associated CD19+ macrophages induce immunosuppressive microenvironment in hepatocellular carcinoma</w:t>
        </w:r>
      </w:hyperlink>
    </w:p>
    <w:p>
      <w:pPr>
        <w:spacing w:before="0" w:after="120"/>
      </w:pPr>
      <w:r>
        <w:rPr>
          <w:b/>
        </w:rPr>
        <w:t xml:space="preserve">Source: </w:t>
      </w:r>
      <w:r>
        <w:t>Nature Communications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Tumor-associated macrophages are a key component that contributes to the immunosuppressive microenvironment in human cancers. However, therapeutic targeting of macrophages has been a challenge in clinic due to the limited understanding of their heterogeneous subpopulations and distinct functions. Here, we identify a clinically relevant CD19+ subpopulation of macrophages that is enriched in many types of cancer, particularly in hepatocellular carcinoma (HCC). The CD19+ macrophages exhibit increased levels of programmed cell death 1 ligand 1 (PD-L1) and CD73, enhanced mitochondrial oxidation, and compromised phagocytosis, indicating their immunosuppressive functions. Targeting CD19+ macrophages with anti-CD19 chimeric antigen receptor T (CAR-T) cells inhibited HCC tumor growth. We identify Paired Box 5 (PAX5) as a primary driver of up-regulated mitochondrial biogenesis in CD19+ macrophages, which depletes cytoplasmic Ca2+, leading to lysosomal deficiency and consequent accumulation of CD73 and PD-L1. Inhibiting CD73 or mitochondrial oxidation enhanced the efficacy of immune checkpoint blockade therapy in treating HCC, suggesting great promise for CD19+ macrophage-targeting therapeutics.</w:t>
      </w:r>
    </w:p>
    <w:p>
      <w:pPr>
        <w:spacing w:before="120" w:after="120"/>
      </w:pPr>
      <w:r>
        <w:rPr>
          <w:sz w:val="18"/>
        </w:rPr>
        <w:t>——————————————————————————————————————————————————————————————————————</w:t>
      </w:r>
    </w:p>
    <w:p>
      <w:pPr>
        <w:spacing w:before="160" w:after="40" w:line="240" w:lineRule="auto"/>
      </w:pPr>
      <w:r>
        <w:rPr>
          <w:b/>
        </w:rPr>
        <w:t xml:space="preserve">[256] </w:t>
      </w:r>
      <w:hyperlink r:id="rId608">
        <w:r>
          <w:rPr>
            <w:color w:val="1155CC"/>
            <w:u w:val="single"/>
          </w:rPr>
          <w:t>Decoding the substrate specificity landscape of a promiscuous enzyme through multi-substrate mutational scanning</w:t>
        </w:r>
      </w:hyperlink>
    </w:p>
    <w:p>
      <w:pPr>
        <w:spacing w:before="0" w:after="120"/>
      </w:pPr>
      <w:r>
        <w:rPr>
          <w:b/>
        </w:rPr>
        <w:t xml:space="preserve">Source: </w:t>
      </w:r>
      <w:r>
        <w:t>Nature Communications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Substrate specificity is a defining feature of enzyme function, but its molecular underpinnings remain difficult to decode and engineer. Here, we leverage enzyme proximity sequencing (EP-Seq) to systematically map how single-point and combinatorial mutations reshape the substrate preferences of D-amino acid oxidase (DAOx) from Rhodotorula gracilis, a model promiscuous enzyme. We generate ~40,000 sequence–phenotype pairs, enabling us to profile the activities of ~6,500 unique DAOx variants against five D-amino acid substrates with distinct physicochemical properties. Our analysis reveals that substrate-specific mutations are distributed throughout the enzyme structure. Mutations near the active site drive strong specificity shifts but also incur catalytic penalties, while distal mutations subtly rewire intramolecular contacts in order to modulate specificity with minimal loss of activity. We identify and validate positional hotspots that act allosterically to influence specificity, and characterize key variants that acquire exclusive substrate specificity or exhibit up to 230-fold changes in substrate preference. Combining mutations with complementary effects further sharpens substrate discrimination, enabling rational design of highly selective biocatalysts. This work establishes a powerful framework for decoding enzyme specificity and provides foundational datasets to advance AI-guided enzyme engineering.</w:t>
      </w:r>
    </w:p>
    <w:p>
      <w:pPr>
        <w:spacing w:before="120" w:after="120"/>
      </w:pPr>
      <w:r>
        <w:rPr>
          <w:sz w:val="18"/>
        </w:rPr>
        <w:t>——————————————————————————————————————————————————————————————————————</w:t>
      </w:r>
    </w:p>
    <w:p>
      <w:pPr>
        <w:spacing w:before="160" w:after="40" w:line="240" w:lineRule="auto"/>
      </w:pPr>
      <w:r>
        <w:rPr>
          <w:b/>
        </w:rPr>
        <w:t xml:space="preserve">[257] </w:t>
      </w:r>
      <w:hyperlink r:id="rId609">
        <w:r>
          <w:rPr>
            <w:color w:val="1155CC"/>
            <w:u w:val="single"/>
          </w:rPr>
          <w:t>Building two-dimensional microprocessors with a foundry-inspired strategy</w:t>
        </w:r>
      </w:hyperlink>
    </w:p>
    <w:p>
      <w:pPr>
        <w:spacing w:before="0" w:after="120"/>
      </w:pPr>
      <w:r>
        <w:rPr>
          <w:b/>
        </w:rPr>
        <w:t xml:space="preserve">Source: </w:t>
      </w:r>
      <w:r>
        <w:t>Nature Electronics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[258] </w:t>
      </w:r>
      <w:hyperlink r:id="rId610">
        <w:r>
          <w:rPr>
            <w:color w:val="1155CC"/>
            <w:u w:val="single"/>
          </w:rPr>
          <w:t>Sector coupling reimagined: Synthesizing fragmented perspectives into a unified framework</w:t>
        </w:r>
      </w:hyperlink>
    </w:p>
    <w:p>
      <w:pPr>
        <w:spacing w:before="0" w:after="120"/>
      </w:pPr>
      <w:r>
        <w:rPr>
          <w:b/>
        </w:rPr>
        <w:t xml:space="preserve">Source: </w:t>
      </w:r>
      <w:r>
        <w:t>ScienceDirect Publication: Applied Energy</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[259] </w:t>
      </w:r>
      <w:hyperlink r:id="rId611">
        <w:r>
          <w:rPr>
            <w:color w:val="1155CC"/>
            <w:u w:val="single"/>
          </w:rPr>
          <w:t>Educational disparities in STEM during COVID-induced distance learning and a potential strategy to address them</w:t>
        </w:r>
      </w:hyperlink>
    </w:p>
    <w:p>
      <w:pPr>
        <w:spacing w:before="0" w:after="120"/>
      </w:pPr>
      <w:r>
        <w:rPr>
          <w:b/>
        </w:rPr>
        <w:t xml:space="preserve">Source: </w:t>
      </w:r>
      <w:r>
        <w:t>Nature Communications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The COVID-19 pandemic prompted widespread school closures and a swift transition to distance learning, raising concerns about consequences for student success. This study explores academic outcomes in STEM (Science, Technology, Engineering, and Mathematics) courses during COVID-induced distance learning using student-course records at an U.S. public university. We particularly focus on students from underserved populations and who have below average academic outcomes. Employing an expected shortfall regression strategy, we examine outcomes in the bottom quintile and compare differences between students whose household income were in the lowest bracket or without a parent holding a four-year college degree and peers for whom this was not the case, in distance and in-person learning. We show that during distance learning, students in disadvantaged populations in the lowest quintile had average grade differences of 0.11 and 0.06 points, respectively. We also find that targeted instructional changes in an introductory physics course were associated with narrower achievement gaps. These results suggest that while distance learning posed challenges for underserved students, deliberate strategies to increase interaction may potentially support greater equity in STEM education.</w:t>
      </w:r>
    </w:p>
    <w:p>
      <w:pPr>
        <w:spacing w:before="120" w:after="120"/>
      </w:pPr>
      <w:r>
        <w:rPr>
          <w:sz w:val="18"/>
        </w:rPr>
        <w:t>——————————————————————————————————————————————————————————————————————</w:t>
      </w:r>
    </w:p>
    <w:p>
      <w:pPr>
        <w:spacing w:before="160" w:after="40" w:line="240" w:lineRule="auto"/>
      </w:pPr>
      <w:r>
        <w:rPr>
          <w:b/>
        </w:rPr>
        <w:t xml:space="preserve">[260] </w:t>
      </w:r>
      <w:hyperlink r:id="rId612">
        <w:r>
          <w:rPr>
            <w:color w:val="1155CC"/>
            <w:u w:val="single"/>
          </w:rPr>
          <w:t>A day-ahead market clearing model embedded with equivalent output bounds of cascaded hydropower</w:t>
        </w:r>
      </w:hyperlink>
    </w:p>
    <w:p>
      <w:pPr>
        <w:spacing w:before="0" w:after="120"/>
      </w:pPr>
      <w:r>
        <w:rPr>
          <w:b/>
        </w:rPr>
        <w:t xml:space="preserve">Source: </w:t>
      </w:r>
      <w:r>
        <w:t>ScienceDirect Publication: Applied Energy</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[261] </w:t>
      </w:r>
      <w:hyperlink r:id="rId613">
        <w:r>
          <w:rPr>
            <w:color w:val="1155CC"/>
            <w:u w:val="single"/>
          </w:rPr>
          <w:t>Rumor propagation on hypergraphs</w:t>
        </w:r>
      </w:hyperlink>
    </w:p>
    <w:p>
      <w:pPr>
        <w:spacing w:before="0" w:after="120"/>
      </w:pPr>
      <w:r>
        <w:rPr>
          <w:b/>
        </w:rPr>
        <w:t xml:space="preserve">Source: </w:t>
      </w:r>
      <w:r>
        <w:t>Nature Communications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The rapid spread of information and rumors through social media platforms, especially in group settings, motivates the need for more sophisticated models of rumor propagation. Traditional pairwise models do not account for group interactions, a limitation that we address by proposing a higher-order rumor model based on hypergraphs. Our model incorporates a group-based annihilation mechanism, where a spreader becomes a stifler when the fraction of hyperedges aware of the rumor exceeds a threshold. The dynamics has two distinct subcritical behaviors: exponential and power-law decay, which can coexist depending on the heterogeneity of the hypergraph. Interestingly, in the set of parameters we analysed, we found continuous phase transitions in both homogeneous and heterogeneous hypergraphs. This finding aligns with the literature suggesting that real-world rumor propagation occurs near criticality. Finally, we validated our model using empirical data from Telegram and email cascades, which provides additional evidence and possible explanations for this criticality claim. These results open the door to a more detailed understanding of rumor dynamics in higher-order systems.</w:t>
      </w:r>
    </w:p>
    <w:p>
      <w:pPr>
        <w:spacing w:before="120" w:after="120"/>
      </w:pPr>
      <w:r>
        <w:rPr>
          <w:sz w:val="18"/>
        </w:rPr>
        <w:t>——————————————————————————————————————————————————————————————————————</w:t>
      </w:r>
    </w:p>
    <w:p>
      <w:pPr>
        <w:spacing w:before="160" w:after="40" w:line="240" w:lineRule="auto"/>
      </w:pPr>
      <w:r>
        <w:rPr>
          <w:b/>
        </w:rPr>
        <w:t xml:space="preserve">[262] </w:t>
      </w:r>
      <w:hyperlink r:id="rId614">
        <w:r>
          <w:rPr>
            <w:color w:val="1155CC"/>
            <w:u w:val="single"/>
          </w:rPr>
          <w:t>IoT-enabled interoperability for energy-mobility integration: A systematic review of protocols, platforms, and standards</w:t>
        </w:r>
      </w:hyperlink>
    </w:p>
    <w:p>
      <w:pPr>
        <w:spacing w:before="0" w:after="120"/>
      </w:pPr>
      <w:r>
        <w:rPr>
          <w:b/>
        </w:rPr>
        <w:t xml:space="preserve">Source: </w:t>
      </w:r>
      <w:r>
        <w:t>ScienceDirect Publication: Applied Energy</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[263] </w:t>
      </w:r>
      <w:hyperlink r:id="rId615">
        <w:r>
          <w:rPr>
            <w:color w:val="1155CC"/>
            <w:u w:val="single"/>
          </w:rPr>
          <w:t>Longer lifetimes through quantum effects</w:t>
        </w:r>
      </w:hyperlink>
    </w:p>
    <w:p>
      <w:pPr>
        <w:spacing w:before="0" w:after="120"/>
      </w:pPr>
      <w:r>
        <w:rPr>
          <w:b/>
        </w:rPr>
        <w:t xml:space="preserve">Source: </w:t>
      </w:r>
      <w:r>
        <w:t>Nature Energy</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[264] </w:t>
      </w:r>
      <w:hyperlink r:id="rId616">
        <w:r>
          <w:rPr>
            <w:color w:val="1155CC"/>
            <w:u w:val="single"/>
          </w:rPr>
          <w:t>A heteromeric TRP channel that functions as a WNT-activated G protein-coupled receptor</w:t>
        </w:r>
      </w:hyperlink>
    </w:p>
    <w:p>
      <w:pPr>
        <w:spacing w:before="0" w:after="120"/>
      </w:pPr>
      <w:r>
        <w:rPr>
          <w:b/>
        </w:rPr>
        <w:t xml:space="preserve">Source: </w:t>
      </w:r>
      <w:r>
        <w:t>Nature Communications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The human genome contains approximately 800 G protein-coupled receptors (GPCRs), all characterized by a common 7-transmembrane domain architecture. Here, we show that PKD1, an 11-transmembrane protein with a noncanonical transient receptor potential (TRP) channel architecture, functions as a GPCR with unique biochemical properties. PKD1 acts as a WNT-activated receptor, directly coupling to heterotrimeric Gαi1-3 subunits to inhibit cellular cAMP accumulation. While PKD1 contains both ligand-binding and G protein recruitment sites, PKD2, an associating TRP channel subunit, chaperones PKD1 to the plasma membrane to operate as a GPCR. This represents a striking departure from classical GPCR architecture and expands the functional repertoire of the TRP channel family. Given that mutations in either PKD1 or PKD2 are linked to autosomal dominant polycystic kidney disease, a multisystemic disorder marked by elevated cAMP levels, our results provide molecular insights into disease pathogenesis and highlight potential new therapeutic avenues for this debilitating and costly condition.</w:t>
      </w:r>
    </w:p>
    <w:p>
      <w:pPr>
        <w:spacing w:before="120" w:after="120"/>
      </w:pPr>
      <w:r>
        <w:rPr>
          <w:sz w:val="18"/>
        </w:rPr>
        <w:t>——————————————————————————————————————————————————————————————————————</w:t>
      </w:r>
    </w:p>
    <w:p>
      <w:pPr>
        <w:spacing w:before="160" w:after="40" w:line="240" w:lineRule="auto"/>
      </w:pPr>
      <w:r>
        <w:rPr>
          <w:b/>
        </w:rPr>
        <w:t xml:space="preserve">[265] </w:t>
      </w:r>
      <w:hyperlink r:id="rId617">
        <w:r>
          <w:rPr>
            <w:color w:val="1155CC"/>
            <w:u w:val="single"/>
          </w:rPr>
          <w:t>A towards-foundry strategy for creating fully interconnected two-dimensional microprocessors</w:t>
        </w:r>
      </w:hyperlink>
    </w:p>
    <w:p>
      <w:pPr>
        <w:spacing w:before="0" w:after="120"/>
      </w:pPr>
      <w:r>
        <w:rPr>
          <w:b/>
        </w:rPr>
        <w:t xml:space="preserve">Source: </w:t>
      </w:r>
      <w:r>
        <w:t>Nature Electronics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Two-dimensional (2D) materials can be used to build next-generation electronics. However, large-scale chips containing hundreds of transistors based on 2D materials suffer from problems related to low yield and laboratory fabrication. Here we report a towards-foundry strategy to create large-scale circuits based on transferred 2D materials. The approach uses testing and repeated iterative optimization of six aspects: circuit design, layout design, material growth, material transfer, device fabrication and chip probing. We fabricate around 130 batches of samples for testing to improve the yield at each scale, from single transistors to circuit modules to a complete microprocessor. We create single transistors with nearly 100% yield, on/off ratios greater than 107 and inverter gains of approximately 400 on average. The statistical yields for the arithmetic logic unit, control unit and D-latch circuit modules are found to be 96.5%, 79.5% and 61.5%, respectively. The resulting 2D microprocessor exhibits excellent signal integrity and stability, as well as low-energy-consumption characteristics that are superior to those of early Intel central processing units.</w:t>
      </w:r>
    </w:p>
    <w:p>
      <w:pPr>
        <w:spacing w:before="120" w:after="120"/>
      </w:pPr>
      <w:r>
        <w:rPr>
          <w:sz w:val="18"/>
        </w:rPr>
        <w:t>——————————————————————————————————————————————————————————————————————</w:t>
      </w:r>
    </w:p>
    <w:p>
      <w:pPr>
        <w:spacing w:before="160" w:after="40" w:line="240" w:lineRule="auto"/>
      </w:pPr>
      <w:r>
        <w:rPr>
          <w:b/>
        </w:rPr>
        <w:t xml:space="preserve">[266] </w:t>
      </w:r>
      <w:hyperlink r:id="rId618">
        <w:r>
          <w:rPr>
            <w:color w:val="1155CC"/>
            <w:u w:val="single"/>
          </w:rPr>
          <w:t>Author Correction: H3.3 deposition counteracts the replication-dependent enrichment of H3.1 at chromocenters in embryonic stem cells</w:t>
        </w:r>
      </w:hyperlink>
    </w:p>
    <w:p>
      <w:pPr>
        <w:spacing w:before="0" w:after="120"/>
      </w:pPr>
      <w:r>
        <w:rPr>
          <w:b/>
        </w:rPr>
        <w:t xml:space="preserve">Source: </w:t>
      </w:r>
      <w:r>
        <w:t>Nature Communications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[267] </w:t>
      </w:r>
      <w:hyperlink r:id="rId619">
        <w:r>
          <w:rPr>
            <w:color w:val="1155CC"/>
            <w:u w:val="single"/>
          </w:rPr>
          <w:t>Endometrium-targeted mRNA-lipid nanoparticles for treating reproductive conditions</w:t>
        </w:r>
      </w:hyperlink>
    </w:p>
    <w:p>
      <w:pPr>
        <w:spacing w:before="0" w:after="120"/>
      </w:pPr>
      <w:r>
        <w:rPr>
          <w:b/>
        </w:rPr>
        <w:t xml:space="preserve">Source: </w:t>
      </w:r>
      <w:r>
        <w:t>Nature Nanotechnology</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[268] </w:t>
      </w:r>
      <w:hyperlink r:id="rId620">
        <w:r>
          <w:rPr>
            <w:color w:val="1155CC"/>
            <w:u w:val="single"/>
          </w:rPr>
          <w:t>Direct upcycling of aluminium scrap</w:t>
        </w:r>
      </w:hyperlink>
    </w:p>
    <w:p>
      <w:pPr>
        <w:spacing w:before="0" w:after="120"/>
      </w:pPr>
      <w:r>
        <w:rPr>
          <w:b/>
        </w:rPr>
        <w:t xml:space="preserve">Source: </w:t>
      </w:r>
      <w:r>
        <w:t>Nature Reviews Materials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[269] </w:t>
      </w:r>
      <w:hyperlink r:id="rId621">
        <w:r>
          <w:rPr>
            <w:color w:val="1155CC"/>
            <w:u w:val="single"/>
          </w:rPr>
          <w:t>Ultrahigh Energy Storage in Multilayer Capacitors with Self-Assembled Glass-Like Matrix and Polar Clusters</w:t>
        </w:r>
      </w:hyperlink>
    </w:p>
    <w:p>
      <w:pPr>
        <w:spacing w:before="0" w:after="120"/>
      </w:pPr>
      <w:r>
        <w:rPr>
          <w:b/>
        </w:rPr>
        <w:t xml:space="preserve">Source: </w:t>
      </w:r>
      <w:r>
        <w:t>RSC - Energy Environ. Sci. latest articles</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The development of multilayer ceramic capacitors (MLCCs) with high energy storage performance (ESP) is crucial for keeping pace with the ongoing trend toward miniaturization and integration in next-generation pulsed-power systems. Nevertheless, current research strategies of tailoring device performance based on bulk ceramic properties, typically involve premature polarization saturation and limit the potential for performance breakthroughs in MLCCs. To address this issue, we construct a novel polarization configuration comprising polar clusters embedded within a glass-like matrix. This configuration successfully enables high-polarity near-linear characteristics under high electric fields, avoiding the energy density limitations imposed by premature polarization saturation in conventional relaxors. As a result, the fabricated MLCCs exhibit ultrahigh ESP with a recoverable energy density of 24.8 J cm-3 and an efficiency of 92.4%, along with exceptional reliability and discharge characteristics, demonstrating enormous application potential. This work highlights the superiority of developing high-polarity near-linear dielectrics over existing strategies for achieving ultrahigh-ESP MLCCs, and proposes a feasible approach via high-entropy engineered construction of self-assembled glass-like matrix and polar clusters.</w:t>
      </w:r>
    </w:p>
    <w:p>
      <w:pPr>
        <w:spacing w:before="120" w:after="120"/>
      </w:pPr>
      <w:r>
        <w:rPr>
          <w:sz w:val="18"/>
        </w:rPr>
        <w:t>——————————————————————————————————————————————————————————————————————</w:t>
      </w:r>
    </w:p>
    <w:p>
      <w:pPr>
        <w:spacing w:before="160" w:after="40" w:line="240" w:lineRule="auto"/>
      </w:pPr>
      <w:r>
        <w:rPr>
          <w:b/>
        </w:rPr>
        <w:t xml:space="preserve">[270] </w:t>
      </w:r>
      <w:hyperlink r:id="rId622">
        <w:r>
          <w:rPr>
            <w:color w:val="1155CC"/>
            <w:u w:val="single"/>
          </w:rPr>
          <w:t>Transformer-enhanced multi-agent reinforcement learning for dynamic electric logistics Fleet routing under time-varying traffic</w:t>
        </w:r>
      </w:hyperlink>
    </w:p>
    <w:p>
      <w:pPr>
        <w:spacing w:before="0" w:after="120"/>
      </w:pPr>
      <w:r>
        <w:rPr>
          <w:b/>
        </w:rPr>
        <w:t xml:space="preserve">Source: </w:t>
      </w:r>
      <w:r>
        <w:t>ScienceDirect Publication: Applied Energy</w:t>
      </w:r>
      <w:r>
        <w:t xml:space="preserve">    </w:t>
      </w:r>
      <w:r>
        <w:rPr>
          <w:b/>
        </w:rPr>
        <w:t xml:space="preserve">Pub date: </w:t>
      </w:r>
      <w:r>
        <w:t>2026-02-26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[271] </w:t>
      </w:r>
      <w:hyperlink r:id="rId623">
        <w:r>
          <w:rPr>
            <w:color w:val="1155CC"/>
            <w:u w:val="single"/>
          </w:rPr>
          <w:t>Receptor‐Mimetic Stereo Olfaction for Simultaneous Odor Recognition and Spatial Localization</w:t>
        </w:r>
      </w:hyperlink>
    </w:p>
    <w:p>
      <w:pPr>
        <w:spacing w:before="0" w:after="120"/>
      </w:pPr>
      <w:r>
        <w:rPr>
          <w:b/>
        </w:rPr>
        <w:t xml:space="preserve">Source: </w:t>
      </w:r>
      <w:r>
        <w:t>Wiley: Advanced Materials: Table of Contents</w:t>
      </w:r>
      <w:r>
        <w:t xml:space="preserve">    </w:t>
      </w:r>
      <w:r>
        <w:rPr>
          <w:b/>
        </w:rPr>
        <w:t xml:space="preserve">Pub date: </w:t>
      </w:r>
      <w:r>
        <w:t>2026-02-26 06:16:45+00:00</w:t>
      </w:r>
      <w:r>
        <w:t xml:space="preserve">    </w:t>
      </w:r>
      <w:r>
        <w:rPr>
          <w:b/>
        </w:rPr>
        <w:t xml:space="preserve">DOI: </w:t>
      </w:r>
      <w:hyperlink r:id="rId624">
        <w:r>
          <w:rPr>
            <w:color w:val="1155CC"/>
            <w:u w:val="single"/>
          </w:rPr>
          <w:t>10.1002/adma.202521410</w:t>
        </w:r>
      </w:hyperlink>
    </w:p>
    <w:p>
      <w:pPr>
        <w:spacing w:before="0" w:after="80" w:lineRule="auto" w:line="276"/>
      </w:pPr>
      <w:r>
        <w:rPr>
          <w:b/>
        </w:rPr>
        <w:t xml:space="preserve">摘要（ZH）: </w:t>
      </w:r>
      <w:r>
        <w:t>(empty)</w:t>
      </w:r>
    </w:p>
    <w:p>
      <w:pPr>
        <w:spacing w:before="0" w:after="200" w:lineRule="auto" w:line="276"/>
      </w:pPr>
      <w:r>
        <w:rPr>
          <w:b/>
        </w:rPr>
        <w:t xml:space="preserve">Abstract (EN): </w:t>
      </w:r>
      <w:r>
        <w:t>Odor plumes are chemophysical fields where molecular identity is coupled to transport phenomena including diffusion and turbulence. In animals, decoding this joint information underlies navigation and social behavior. However, artificial systems treat identity and location as independent problems, solved by distinct modalities. Here we present AROMA (Artificial Receptor-Olfaction Mimetic Array), a stereo olfaction strategy in which receptor-mimetic sensors capture plume dynamics, enabling concurrent decoding of mixture composition and 3D source location from analyte-dependent kinetic patterns. AROMA is built on mixed-ligand gold nanoparticles whose phase-separated monolayers and non-additive interfacial energetics emulate the promiscuous selectivity of olfactory GPCRs. Deployed in an antenna-like, spatially separated configuration, these sensors convert evolving concentration fields into disparities in onset, rise, and amplitude that encode geometric information. Trained on 50 plume trials of six-odorant mixtures sampled by a 30-channel array in an 18 cm cubic chamber, a multi-task Transformer achieves 86.7% mixture identification accuracy and a 3D localization error of 2.84 ± 0.87 cm. We demonstrate room-scale source tracking with a mobile robot indoors under natural airflow. By translating plume dynamics into a unified latent representation, AROMA advances artificial olfaction from static molecular discrimination toward spatial intelligence, offering a general framework for environmental monitoring and autonomous navigation.</w:t>
      </w:r>
    </w:p>
    <w:p>
      <w:pPr>
        <w:spacing w:before="120" w:after="120"/>
      </w:pPr>
      <w:r>
        <w:rPr>
          <w:sz w:val="18"/>
        </w:rPr>
        <w:t>——————————————————————————————————————————————————————————————————————</w:t>
      </w:r>
    </w:p>
    <w:p>
      <w:pPr>
        <w:spacing w:before="160" w:after="40" w:line="240" w:lineRule="auto"/>
      </w:pPr>
      <w:r>
        <w:rPr>
          <w:b/>
        </w:rPr>
        <w:t xml:space="preserve">[272] </w:t>
      </w:r>
      <w:hyperlink r:id="rId625">
        <w:r>
          <w:rPr>
            <w:color w:val="1155CC"/>
            <w:u w:val="single"/>
          </w:rPr>
          <w:t>Dual‐Circuit Nanopipette for Quantitative Characterization of Mitochondrial‐Cytosolic Communications in Single Living Cell</w:t>
        </w:r>
      </w:hyperlink>
    </w:p>
    <w:p>
      <w:pPr>
        <w:spacing w:before="0" w:after="120"/>
      </w:pPr>
      <w:r>
        <w:rPr>
          <w:b/>
        </w:rPr>
        <w:t xml:space="preserve">Source: </w:t>
      </w:r>
      <w:r>
        <w:t>Wiley: Angewandte Chemie International Edition: Table of Contents</w:t>
      </w:r>
      <w:r>
        <w:t xml:space="preserve">    </w:t>
      </w:r>
      <w:r>
        <w:rPr>
          <w:b/>
        </w:rPr>
        <w:t xml:space="preserve">Pub date: </w:t>
      </w:r>
      <w:r>
        <w:t>2026-02-26 06:16:56+00:00</w:t>
      </w:r>
      <w:r>
        <w:t xml:space="preserve">    </w:t>
      </w:r>
      <w:r>
        <w:rPr>
          <w:b/>
        </w:rPr>
        <w:t xml:space="preserve">DOI: </w:t>
      </w:r>
      <w:hyperlink r:id="rId626">
        <w:r>
          <w:rPr>
            <w:color w:val="1155CC"/>
            <w:u w:val="single"/>
          </w:rPr>
          <w:t>10.1002/anie.4039681</w:t>
        </w:r>
      </w:hyperlink>
    </w:p>
    <w:p>
      <w:pPr>
        <w:spacing w:before="0" w:after="80" w:lineRule="auto" w:line="276"/>
      </w:pPr>
      <w:r>
        <w:rPr>
          <w:b/>
        </w:rPr>
        <w:t xml:space="preserve">摘要（ZH）: </w:t>
      </w:r>
      <w:r>
        <w:t>(empty)</w:t>
      </w:r>
    </w:p>
    <w:p>
      <w:pPr>
        <w:spacing w:before="0" w:after="200" w:lineRule="auto" w:line="276"/>
      </w:pPr>
      <w:r>
        <w:rPr>
          <w:b/>
        </w:rPr>
        <w:t xml:space="preserve">Abstract (EN): </w:t>
      </w:r>
      <w:r>
        <w:t>The quantitative analysis of intricate communications linking subcellular compartments in living cells poses a significant challenge in chemistry and biology. Here, we present a dual-circuit nanopipette platform with high spatiotemporal resolution allowing for the co-tracking of reactive oxygen species (ROS) dynamics from a mitochondrion and its adjacent cytosol within the same living cell. Our findings uncover that transient ROS levels in individual mitochondrion exhibit significant fluctuations, either exceeding or falling below those measured in its surrounding cytosol. Such variations, typically obscured by averaged measurements, underscore the dynamic interplay between subcellular compartments, while simultaneously retaining functional autonomy. Importantly, our quantitative analysis indicates that ROS generated by mitochondria initiates a positive feedback mechanism that amplifies cytosolic ROS levels. Additionally, the average duration for cytosolic ROS levels to return to baseline in cyclosporin A (CsA) pretreated cells was comparable to that observed in untreated cells. This extended time is attributed to a negative feedback loop triggered by mitochondrial ROS, which enhances overall ROS clearance efficiency. Collectively, this nanopipette offers a robust platform for dissecting the complex sspatiotemporal dynamics of ROS at the single-organelle level, thereby acquiring simultaneous insights into the communication mechanisms between organelles and their immediate cytosolic surroundings.</w:t>
      </w:r>
    </w:p>
    <w:p>
      <w:pPr>
        <w:spacing w:before="120" w:after="120"/>
      </w:pPr>
      <w:r>
        <w:rPr>
          <w:sz w:val="18"/>
        </w:rPr>
        <w:t>——————————————————————————————————————————————————————————————————————</w:t>
      </w:r>
    </w:p>
    <w:p>
      <w:pPr>
        <w:spacing w:before="160" w:after="40" w:line="240" w:lineRule="auto"/>
      </w:pPr>
      <w:r>
        <w:rPr>
          <w:b/>
        </w:rPr>
        <w:t xml:space="preserve">[273] </w:t>
      </w:r>
      <w:hyperlink r:id="rId627">
        <w:r>
          <w:rPr>
            <w:color w:val="1155CC"/>
            <w:u w:val="single"/>
          </w:rPr>
          <w:t>Controlled Delivery and Light‐Induced Release of Magic Spot Nucleotides in Escherichia coli</w:t>
        </w:r>
      </w:hyperlink>
    </w:p>
    <w:p>
      <w:pPr>
        <w:spacing w:before="0" w:after="120"/>
      </w:pPr>
      <w:r>
        <w:rPr>
          <w:b/>
        </w:rPr>
        <w:t xml:space="preserve">Source: </w:t>
      </w:r>
      <w:r>
        <w:t>Wiley: Angewandte Chemie International Edition: Table of Contents</w:t>
      </w:r>
      <w:r>
        <w:t xml:space="preserve">    </w:t>
      </w:r>
      <w:r>
        <w:rPr>
          <w:b/>
        </w:rPr>
        <w:t xml:space="preserve">Pub date: </w:t>
      </w:r>
      <w:r>
        <w:t>2026-02-26 06:19:12+00:00</w:t>
      </w:r>
      <w:r>
        <w:t xml:space="preserve">    </w:t>
      </w:r>
      <w:r>
        <w:rPr>
          <w:b/>
        </w:rPr>
        <w:t xml:space="preserve">DOI: </w:t>
      </w:r>
      <w:hyperlink r:id="rId628">
        <w:r>
          <w:rPr>
            <w:color w:val="1155CC"/>
            <w:u w:val="single"/>
          </w:rPr>
          <w:t>10.1002/anie.202523307</w:t>
        </w:r>
      </w:hyperlink>
    </w:p>
    <w:p>
      <w:pPr>
        <w:spacing w:before="0" w:after="80" w:lineRule="auto" w:line="276"/>
      </w:pPr>
      <w:r>
        <w:rPr>
          <w:b/>
        </w:rPr>
        <w:t xml:space="preserve">摘要（ZH）: </w:t>
      </w:r>
      <w:r>
        <w:t>(empty)</w:t>
      </w:r>
    </w:p>
    <w:p>
      <w:pPr>
        <w:spacing w:before="0" w:after="200" w:lineRule="auto" w:line="276"/>
      </w:pPr>
      <w:r>
        <w:rPr>
          <w:b/>
        </w:rPr>
        <w:t xml:space="preserve">Abstract (EN): </w:t>
      </w:r>
      <w:r>
        <w:t>The "magic spot" nucleotides (MSNs) ppGpp and pppGpp constitute bacterial alarmones that orchestrate the conserved stringent response, a global regulatory mechanism enabling bacteria to adapt to nutrient deprivation and other environmental stresses. Current strategies to manipulate MSN levels rely mainly on genetic or environmental approaches, which are slow and lack temporal control. Chemical tools such as photocaged MSN analogues could provide such temporal control over MSN levels. However, the high negative charge of MSNs prevents spontaneous passage through the complex bacterial cell envelope. Here, we report the synthesis of photocaged, clickable, and isotope-labeled MSN analogues and their delivery into Escherichia coli comparing different approaches. A cyclodextrin-based synthetic nucleotide transporter facilitated uptake. Upon 400 nm irradiation, these probes were photo-released inside living cells, where we tracked their conversion from pppGpp to ppGpp by capillary electrophoresis mass spectrometry and demonstrated their ability to alter growth in a (p)ppGpp0 mutant. These probes lay the foundation for spatially and temporally controlled studies of MSN function and of other highly negatively charged metabolites in vivo.</w:t>
      </w:r>
    </w:p>
    <w:p>
      <w:pPr>
        <w:spacing w:before="120" w:after="120"/>
      </w:pPr>
      <w:r>
        <w:rPr>
          <w:sz w:val="18"/>
        </w:rPr>
        <w:t>——————————————————————————————————————————————————————————————————————</w:t>
      </w:r>
    </w:p>
    <w:p>
      <w:pPr>
        <w:spacing w:before="160" w:after="40" w:line="240" w:lineRule="auto"/>
      </w:pPr>
      <w:r>
        <w:rPr>
          <w:b/>
        </w:rPr>
        <w:t xml:space="preserve">[274] </w:t>
      </w:r>
      <w:hyperlink r:id="rId629">
        <w:r>
          <w:rPr>
            <w:color w:val="1155CC"/>
            <w:u w:val="single"/>
          </w:rPr>
          <w:t>Polarons in Heterogeneous Photo(electro)Catalysts</w:t>
        </w:r>
      </w:hyperlink>
    </w:p>
    <w:p>
      <w:pPr>
        <w:spacing w:before="0" w:after="120"/>
      </w:pPr>
      <w:r>
        <w:rPr>
          <w:b/>
        </w:rPr>
        <w:t xml:space="preserve">Source: </w:t>
      </w:r>
      <w:r>
        <w:t>Wiley: Angewandte Chemie International Edition: Table of Contents</w:t>
      </w:r>
      <w:r>
        <w:t xml:space="preserve">    </w:t>
      </w:r>
      <w:r>
        <w:rPr>
          <w:b/>
        </w:rPr>
        <w:t xml:space="preserve">Pub date: </w:t>
      </w:r>
      <w:r>
        <w:t>2026-02-26 06:19:19+00:00</w:t>
      </w:r>
      <w:r>
        <w:t xml:space="preserve">    </w:t>
      </w:r>
      <w:r>
        <w:rPr>
          <w:b/>
        </w:rPr>
        <w:t xml:space="preserve">DOI: </w:t>
      </w:r>
      <w:hyperlink r:id="rId630">
        <w:r>
          <w:rPr>
            <w:color w:val="1155CC"/>
            <w:u w:val="single"/>
          </w:rPr>
          <w:t>10.1002/anie.202522726</w:t>
        </w:r>
      </w:hyperlink>
    </w:p>
    <w:p>
      <w:pPr>
        <w:spacing w:before="0" w:after="80" w:lineRule="auto" w:line="276"/>
      </w:pPr>
      <w:r>
        <w:rPr>
          <w:b/>
        </w:rPr>
        <w:t xml:space="preserve">摘要（ZH）: </w:t>
      </w:r>
      <w:r>
        <w:t>(empty)</w:t>
      </w:r>
    </w:p>
    <w:p>
      <w:pPr>
        <w:spacing w:before="0" w:after="200" w:lineRule="auto" w:line="276"/>
      </w:pPr>
      <w:r>
        <w:rPr>
          <w:b/>
        </w:rPr>
        <w:t xml:space="preserve">Abstract (EN): </w:t>
      </w:r>
      <w:r>
        <w:t>Heterogeneous photo(electro)catalysis involves sequential steps of photon absorption, charge separation, polaron formation, trapping, bulk and surface recombination, charge extraction, and surface catalysis. Among these, the formation and dynamics of polarons, quasiparticles resulting from strong electron-lattice interactions, play a pivotal yet often underappreciated role. With ultrafast lifetimes ranging from femtoseconds to picoseconds, polarons are challenging to control, but they crucially influence photon absorption, charge carrier mobility, recombination rates, and catalytic reactivity. Recent advances in time-resolved spectroscopy, scanning probe microscopy, and theoretical modeling have enabled direct observation and mechanistic interpretation of polaronic states in various photoactive semiconductors. This minireview aims to provide a comprehensive and pedagogical overview of polaron phenomena in heterogeneous photo(electro)catalysts, with a focus on how they affect key material functionalities. Special emphasis is placed on correlating material performance with polaron behavior through state-of-the-art experimental characterization and modeling techniques. By highlighting mechanistic insights and unifying design principles, this minireview aims to guide the rational engineering of semiconductors with tailored polaronic properties for enhanced photo(electro)catalytic performance.</w:t>
      </w:r>
    </w:p>
    <w:p>
      <w:pPr>
        <w:spacing w:before="120" w:after="120"/>
      </w:pPr>
      <w:r>
        <w:rPr>
          <w:sz w:val="18"/>
        </w:rPr>
        <w:t>——————————————————————————————————————————————————————————————————————</w:t>
      </w:r>
    </w:p>
    <w:p>
      <w:pPr>
        <w:spacing w:before="160" w:after="40" w:line="240" w:lineRule="auto"/>
      </w:pPr>
      <w:r>
        <w:rPr>
          <w:b/>
        </w:rPr>
        <w:t xml:space="preserve">[275] </w:t>
      </w:r>
      <w:hyperlink r:id="rId631">
        <w:r>
          <w:rPr>
            <w:color w:val="1155CC"/>
            <w:u w:val="single"/>
          </w:rPr>
          <w:t>Photochromic Metal‐Organic Frameworks With White‐Light Emission, and Multicolor Afterglow for Advanced Anti‐Counterfeiting and Encryption</w:t>
        </w:r>
      </w:hyperlink>
    </w:p>
    <w:p>
      <w:pPr>
        <w:spacing w:before="0" w:after="120"/>
      </w:pPr>
      <w:r>
        <w:rPr>
          <w:b/>
        </w:rPr>
        <w:t xml:space="preserve">Source: </w:t>
      </w:r>
      <w:r>
        <w:t>Wiley: Angewandte Chemie International Edition: Table of Contents</w:t>
      </w:r>
      <w:r>
        <w:t xml:space="preserve">    </w:t>
      </w:r>
      <w:r>
        <w:rPr>
          <w:b/>
        </w:rPr>
        <w:t xml:space="preserve">Pub date: </w:t>
      </w:r>
      <w:r>
        <w:t>2026-02-26 06:21:01+00:00</w:t>
      </w:r>
      <w:r>
        <w:t xml:space="preserve">    </w:t>
      </w:r>
      <w:r>
        <w:rPr>
          <w:b/>
        </w:rPr>
        <w:t xml:space="preserve">DOI: </w:t>
      </w:r>
      <w:hyperlink r:id="rId632">
        <w:r>
          <w:rPr>
            <w:color w:val="1155CC"/>
            <w:u w:val="single"/>
          </w:rPr>
          <w:t>10.1002/anie.7328455</w:t>
        </w:r>
      </w:hyperlink>
    </w:p>
    <w:p>
      <w:pPr>
        <w:spacing w:before="0" w:after="80" w:lineRule="auto" w:line="276"/>
      </w:pPr>
      <w:r>
        <w:rPr>
          <w:b/>
        </w:rPr>
        <w:t xml:space="preserve">摘要（ZH）: </w:t>
      </w:r>
      <w:r>
        <w:t>(empty)</w:t>
      </w:r>
    </w:p>
    <w:p>
      <w:pPr>
        <w:spacing w:before="0" w:after="200" w:lineRule="auto" w:line="276"/>
      </w:pPr>
      <w:r>
        <w:rPr>
          <w:b/>
        </w:rPr>
        <w:t xml:space="preserve">Abstract (EN): </w:t>
      </w:r>
      <w:r>
        <w:t>Rational design of metal-organic frameworks (MOFs) with integrated long-afterglow luminescence (LAL), photochromism, and multicolor emission remains desirable yet challenging for advanced anti-counterfeiting and information encryption applications. Herein, a series of halide-tuned X-MOFs (X = Cl, Br, and I) integrating photoluminescence and photochromism were synthesized via hydrothermal reaction of an electron-deficient triazine-based ligand (L) with CdX2. The rigid framework, combined with halogen engineering, enables tunable multi-path luminescence in these X-MOFs. Meanwhile, the involvement of halogens and charge distribution of the ligand facilitate effective photoinduced electron transfer. Upon prolonged UV exposure, photochromic and photothermal responses result directly from the accumulation of HL· free radicals. Owing to the coexistence of photoinduced electron-transfer quenching and charge-transfer emission, the X-MOFs exhibit not only irradiation-time-, excitation-, and temperature-dependent cold-to-warm white-light tunability, but also excitation-, temperature-, and time-responsive multicolor LAL spanning green to yellow or orange. Combined theoretical analyses elucidate the multipath luminescence originating from intra- and intermolecular charge transfer in the rigid framework, and photochromic behavior arising from electron transfer between the pyridine and triazine in the ligand backbone. These multifunctional MOFs exhibit great promise for high-security information encryption and anti-counterfeiting, offering a straightforward strategy for designing advanced luminescent materials.</w:t>
      </w:r>
    </w:p>
    <w:p>
      <w:pPr>
        <w:spacing w:before="120" w:after="120"/>
      </w:pPr>
      <w:r>
        <w:rPr>
          <w:sz w:val="18"/>
        </w:rPr>
        <w:t>——————————————————————————————————————————————————————————————————————</w:t>
      </w:r>
    </w:p>
    <w:p>
      <w:pPr>
        <w:spacing w:before="160" w:after="40" w:line="240" w:lineRule="auto"/>
      </w:pPr>
      <w:r>
        <w:rPr>
          <w:b/>
        </w:rPr>
        <w:t xml:space="preserve">[276] </w:t>
      </w:r>
      <w:hyperlink r:id="rId633">
        <w:r>
          <w:rPr>
            <w:color w:val="1155CC"/>
            <w:u w:val="single"/>
          </w:rPr>
          <w:t>Data show sharp drops in NIH funding success in 2025</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34">
        <w:r>
          <w:rPr>
            <w:color w:val="1155CC"/>
            <w:u w:val="single"/>
          </w:rPr>
          <w:t>10.1126/science.aeg7168</w:t>
        </w:r>
      </w:hyperlink>
    </w:p>
    <w:p>
      <w:pPr>
        <w:spacing w:before="0" w:after="80" w:lineRule="auto" w:line="276"/>
      </w:pPr>
      <w:r>
        <w:rPr>
          <w:b/>
        </w:rPr>
        <w:t xml:space="preserve">摘要（ZH）: </w:t>
      </w:r>
      <w:r>
        <w:t>(empty)</w:t>
      </w:r>
    </w:p>
    <w:p>
      <w:pPr>
        <w:spacing w:before="0" w:after="200" w:lineRule="auto" w:line="276"/>
      </w:pPr>
      <w:r>
        <w:rPr>
          <w:b/>
        </w:rPr>
        <w:t xml:space="preserve">Abstract (EN): </w:t>
      </w:r>
      <w:r>
        <w:t>Young investigators lose out as result of multiyear funding policy imposed by White House</w:t>
      </w:r>
    </w:p>
    <w:p>
      <w:pPr>
        <w:spacing w:before="120" w:after="120"/>
      </w:pPr>
      <w:r>
        <w:rPr>
          <w:sz w:val="18"/>
        </w:rPr>
        <w:t>——————————————————————————————————————————————————————————————————————</w:t>
      </w:r>
    </w:p>
    <w:p>
      <w:pPr>
        <w:spacing w:before="160" w:after="40" w:line="240" w:lineRule="auto"/>
      </w:pPr>
      <w:r>
        <w:rPr>
          <w:b/>
        </w:rPr>
        <w:t xml:space="preserve">[277] </w:t>
      </w:r>
      <w:hyperlink r:id="rId635">
        <w:r>
          <w:rPr>
            <w:color w:val="1155CC"/>
            <w:u w:val="single"/>
          </w:rPr>
          <w:t>In Other Journals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36">
        <w:r>
          <w:rPr>
            <w:color w:val="1155CC"/>
            <w:u w:val="single"/>
          </w:rPr>
          <w:t>10.1126/science.aeg6836</w:t>
        </w:r>
      </w:hyperlink>
    </w:p>
    <w:p>
      <w:pPr>
        <w:spacing w:before="0" w:after="80" w:lineRule="auto" w:line="276"/>
      </w:pPr>
      <w:r>
        <w:rPr>
          <w:b/>
        </w:rPr>
        <w:t xml:space="preserve">摘要（ZH）: </w:t>
      </w:r>
      <w:r>
        <w:t>(empty)</w:t>
      </w:r>
    </w:p>
    <w:p>
      <w:pPr>
        <w:spacing w:before="0" w:after="200" w:lineRule="auto" w:line="276"/>
      </w:pPr>
      <w:r>
        <w:rPr>
          <w:b/>
        </w:rPr>
        <w:t xml:space="preserve">Abstract (EN): </w:t>
      </w:r>
      <w:r>
        <w:t>Editors’ selections from the current scientific literature</w:t>
      </w:r>
    </w:p>
    <w:p>
      <w:pPr>
        <w:spacing w:before="120" w:after="120"/>
      </w:pPr>
      <w:r>
        <w:rPr>
          <w:sz w:val="18"/>
        </w:rPr>
        <w:t>——————————————————————————————————————————————————————————————————————</w:t>
      </w:r>
    </w:p>
    <w:p>
      <w:pPr>
        <w:spacing w:before="160" w:after="40" w:line="240" w:lineRule="auto"/>
      </w:pPr>
      <w:r>
        <w:rPr>
          <w:b/>
        </w:rPr>
        <w:t xml:space="preserve">[278] </w:t>
      </w:r>
      <w:hyperlink r:id="rId637">
        <w:r>
          <w:rPr>
            <w:color w:val="1155CC"/>
            <w:u w:val="single"/>
          </w:rPr>
          <w:t>Sensitive CAR T cells redefine targetable CD70 expression in solid tumors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38">
        <w:r>
          <w:rPr>
            <w:color w:val="1155CC"/>
            <w:u w:val="single"/>
          </w:rPr>
          <w:t>10.1126/science.adv7378</w:t>
        </w:r>
      </w:hyperlink>
    </w:p>
    <w:p>
      <w:pPr>
        <w:spacing w:before="0" w:after="80" w:lineRule="auto" w:line="276"/>
      </w:pPr>
      <w:r>
        <w:rPr>
          <w:b/>
        </w:rPr>
        <w:t xml:space="preserve">摘要（ZH）: </w:t>
      </w:r>
      <w:r>
        <w:t>(empty)</w:t>
      </w:r>
    </w:p>
    <w:p>
      <w:pPr>
        <w:spacing w:before="0" w:after="200" w:lineRule="auto" w:line="276"/>
      </w:pPr>
      <w:r>
        <w:rPr>
          <w:b/>
        </w:rPr>
        <w:t xml:space="preserve">Abstract (EN): </w:t>
      </w:r>
      <w:r>
        <w:t>Solid tumor antigen heterogeneity is a major challenge for cancer immunotherapies, including chimeric antigen receptor (CAR) T cells. Unlike CD19 for B cell malignancies, no target with pan-cellular expression in solid tumors and absence in normal vital cells has been identified. CD70 is a promising candidate, physiologically confined to immune cell subsets and aberrantly expressed in many cancers. We show that heterogeneous CD70 expression in tumors is epigenetically regulated, ranging from high to very low in individual cells, appearing negative by conventional detection methods. Using a highly sensitive CD70 receptor, HLA-independent T cell (HIT) receptor coexpressing CD80 and 4-1BBL for costimulation, we efficiently eliminated CD70-heterogeneous tumors that evade prototypic CAR T cells. These findings provide a potential strategy to treat a broad range of solid tumors.</w:t>
      </w:r>
    </w:p>
    <w:p>
      <w:pPr>
        <w:spacing w:before="120" w:after="120"/>
      </w:pPr>
      <w:r>
        <w:rPr>
          <w:sz w:val="18"/>
        </w:rPr>
        <w:t>——————————————————————————————————————————————————————————————————————</w:t>
      </w:r>
    </w:p>
    <w:p>
      <w:pPr>
        <w:spacing w:before="160" w:after="40" w:line="240" w:lineRule="auto"/>
      </w:pPr>
      <w:r>
        <w:rPr>
          <w:b/>
        </w:rPr>
        <w:t xml:space="preserve">[279] </w:t>
      </w:r>
      <w:hyperlink r:id="rId639">
        <w:r>
          <w:rPr>
            <w:color w:val="1155CC"/>
            <w:u w:val="single"/>
          </w:rPr>
          <w:t>Fading melodies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40">
        <w:r>
          <w:rPr>
            <w:color w:val="1155CC"/>
            <w:u w:val="single"/>
          </w:rPr>
          <w:t>10.1126/science.aeg6834</w:t>
        </w:r>
      </w:hyperlink>
    </w:p>
    <w:p>
      <w:pPr>
        <w:spacing w:before="0" w:after="80" w:lineRule="auto" w:line="276"/>
      </w:pPr>
      <w:r>
        <w:rPr>
          <w:b/>
        </w:rPr>
        <w:t xml:space="preserve">摘要（ZH）: </w:t>
      </w:r>
      <w:r>
        <w:t>(empty)</w:t>
      </w:r>
    </w:p>
    <w:p>
      <w:pPr>
        <w:spacing w:before="0" w:after="200" w:lineRule="auto" w:line="276"/>
      </w:pPr>
      <w:r>
        <w:rPr>
          <w:b/>
        </w:rPr>
        <w:t xml:space="preserve">Abstract (EN): </w:t>
      </w:r>
      <w:r>
        <w:t>Intact tropical forests are seeing mysterious bird declines. Is another “silent spring” brewing?</w:t>
      </w:r>
    </w:p>
    <w:p>
      <w:pPr>
        <w:spacing w:before="120" w:after="120"/>
      </w:pPr>
      <w:r>
        <w:rPr>
          <w:sz w:val="18"/>
        </w:rPr>
        <w:t>——————————————————————————————————————————————————————————————————————</w:t>
      </w:r>
    </w:p>
    <w:p>
      <w:pPr>
        <w:spacing w:before="160" w:after="40" w:line="240" w:lineRule="auto"/>
      </w:pPr>
      <w:r>
        <w:rPr>
          <w:b/>
        </w:rPr>
        <w:t xml:space="preserve">[280] </w:t>
      </w:r>
      <w:hyperlink r:id="rId641">
        <w:r>
          <w:rPr>
            <w:color w:val="1155CC"/>
            <w:u w:val="single"/>
          </w:rPr>
          <w:t>AAAS announces 2026 award winners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42">
        <w:r>
          <w:rPr>
            <w:color w:val="1155CC"/>
            <w:u w:val="single"/>
          </w:rPr>
          <w:t>10.1126/science.aeg6310</w:t>
        </w:r>
      </w:hyperlink>
    </w:p>
    <w:p>
      <w:pPr>
        <w:spacing w:before="0" w:after="80" w:lineRule="auto" w:line="276"/>
      </w:pPr>
      <w:r>
        <w:rPr>
          <w:b/>
        </w:rPr>
        <w:t xml:space="preserve">摘要（ZH）: </w:t>
      </w:r>
      <w:r>
        <w:t>(empty)</w:t>
      </w:r>
    </w:p>
    <w:p>
      <w:pPr>
        <w:spacing w:before="0" w:after="200" w:lineRule="auto" w:line="276"/>
      </w:pPr>
      <w:r>
        <w:rPr>
          <w:b/>
        </w:rPr>
        <w:t xml:space="preserve">Abstract (EN): </w:t>
      </w:r>
      <w:r>
        <w:t>The American Association for the Advancement of Science has announced the 2026 winners of eight awards that recognize scientists, engineers, innovators, and public servants for their contributions to science and society. The winners’ achievements include historic science policy guidance for environmental health, advocacy to eliminate harassment in academia, and mentoring the next generation of Indigenous scientists, among other accomplishments.</w:t>
      </w:r>
    </w:p>
    <w:p>
      <w:pPr>
        <w:spacing w:before="120" w:after="120"/>
      </w:pPr>
      <w:r>
        <w:rPr>
          <w:sz w:val="18"/>
        </w:rPr>
        <w:t>——————————————————————————————————————————————————————————————————————</w:t>
      </w:r>
    </w:p>
    <w:p>
      <w:pPr>
        <w:spacing w:before="160" w:after="40" w:line="240" w:lineRule="auto"/>
      </w:pPr>
      <w:r>
        <w:rPr>
          <w:b/>
        </w:rPr>
        <w:t xml:space="preserve">[281] </w:t>
      </w:r>
      <w:hyperlink r:id="rId643">
        <w:r>
          <w:rPr>
            <w:color w:val="1155CC"/>
            <w:u w:val="single"/>
          </w:rPr>
          <w:t>Counting trees together in the EU</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44">
        <w:r>
          <w:rPr>
            <w:color w:val="1155CC"/>
            <w:u w:val="single"/>
          </w:rPr>
          <w:t>10.1126/science.aee7957</w:t>
        </w:r>
      </w:hyperlink>
    </w:p>
    <w:p>
      <w:pPr>
        <w:spacing w:before="0" w:after="80" w:lineRule="auto" w:line="276"/>
      </w:pPr>
      <w:r>
        <w:rPr>
          <w:b/>
        </w:rPr>
        <w:t xml:space="preserve">摘要（ZH）: </w:t>
      </w:r>
      <w:r>
        <w:t>(empty)</w:t>
      </w:r>
    </w:p>
    <w:p>
      <w:pPr>
        <w:spacing w:before="0" w:after="200" w:lineRule="auto" w:line="276"/>
      </w:pPr>
      <w:r>
        <w:rPr>
          <w:b/>
        </w:rPr>
        <w:t xml:space="preserve">Abstract (EN): </w:t>
      </w:r>
      <w:r>
        <w:t>The European Commission, the executive body of the European Union (EU), has long sought to improve the monitoring of one of Europe’s critical resources, its forests. Forests and the pressures they face need not acknowledge political boundaries, yet monitoring is scattered and heterogeneous, delivering an uncoordinated patchwork of outdated, incomplete information from across member states’ individual monitoring efforts. However, in late 2025, the European Parliament rejected the proposed EU forest monitoring law that aimed at enhancing, harmonizing, and coordinating European forest monitoring. Despite this setback, the need for better monitoring and analysis at EU scale grows. New opportunities arise to create a workable and bottom-up solution.</w:t>
      </w:r>
    </w:p>
    <w:p>
      <w:pPr>
        <w:spacing w:before="120" w:after="120"/>
      </w:pPr>
      <w:r>
        <w:rPr>
          <w:sz w:val="18"/>
        </w:rPr>
        <w:t>——————————————————————————————————————————————————————————————————————</w:t>
      </w:r>
    </w:p>
    <w:p>
      <w:pPr>
        <w:spacing w:before="160" w:after="40" w:line="240" w:lineRule="auto"/>
      </w:pPr>
      <w:r>
        <w:rPr>
          <w:b/>
        </w:rPr>
        <w:t xml:space="preserve">[282] </w:t>
      </w:r>
      <w:hyperlink r:id="rId645">
        <w:r>
          <w:rPr>
            <w:color w:val="1155CC"/>
            <w:u w:val="single"/>
          </w:rPr>
          <w:t>Genetic information in insurance: Guiding questions for state regulation</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46">
        <w:r>
          <w:rPr>
            <w:color w:val="1155CC"/>
            <w:u w:val="single"/>
          </w:rPr>
          <w:t>10.1126/science.aee2317</w:t>
        </w:r>
      </w:hyperlink>
    </w:p>
    <w:p>
      <w:pPr>
        <w:spacing w:before="0" w:after="80" w:lineRule="auto" w:line="276"/>
      </w:pPr>
      <w:r>
        <w:rPr>
          <w:b/>
        </w:rPr>
        <w:t xml:space="preserve">摘要（ZH）: </w:t>
      </w:r>
      <w:r>
        <w:t>(empty)</w:t>
      </w:r>
    </w:p>
    <w:p>
      <w:pPr>
        <w:spacing w:before="0" w:after="200" w:lineRule="auto" w:line="276"/>
      </w:pPr>
      <w:r>
        <w:rPr>
          <w:b/>
        </w:rPr>
        <w:t xml:space="preserve">Abstract (EN): </w:t>
      </w:r>
      <w:r>
        <w:t>Many legislative efforts do not adequately address public concerns of genetic discrimination in insurance</w:t>
      </w:r>
    </w:p>
    <w:p>
      <w:pPr>
        <w:spacing w:before="120" w:after="120"/>
      </w:pPr>
      <w:r>
        <w:rPr>
          <w:sz w:val="18"/>
        </w:rPr>
        <w:t>——————————————————————————————————————————————————————————————————————</w:t>
      </w:r>
    </w:p>
    <w:p>
      <w:pPr>
        <w:spacing w:before="160" w:after="40" w:line="240" w:lineRule="auto"/>
      </w:pPr>
      <w:r>
        <w:rPr>
          <w:b/>
        </w:rPr>
        <w:t xml:space="preserve">[283] </w:t>
      </w:r>
      <w:hyperlink r:id="rId647">
        <w:r>
          <w:rPr>
            <w:color w:val="1155CC"/>
            <w:u w:val="single"/>
          </w:rPr>
          <w:t>Two free ends make a match</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48">
        <w:r>
          <w:rPr>
            <w:color w:val="1155CC"/>
            <w:u w:val="single"/>
          </w:rPr>
          <w:t>10.1126/science.aef5647</w:t>
        </w:r>
      </w:hyperlink>
    </w:p>
    <w:p>
      <w:pPr>
        <w:spacing w:before="0" w:after="80" w:lineRule="auto" w:line="276"/>
      </w:pPr>
      <w:r>
        <w:rPr>
          <w:b/>
        </w:rPr>
        <w:t xml:space="preserve">摘要（ZH）: </w:t>
      </w:r>
      <w:r>
        <w:t>(empty)</w:t>
      </w:r>
    </w:p>
    <w:p>
      <w:pPr>
        <w:spacing w:before="0" w:after="200" w:lineRule="auto" w:line="276"/>
      </w:pPr>
      <w:r>
        <w:rPr>
          <w:b/>
        </w:rPr>
        <w:t xml:space="preserve">Abstract (EN): </w:t>
      </w:r>
      <w:r>
        <w:t>A peptide catalyst turns a linear molecule into a ring through two synchronous reactions</w:t>
      </w:r>
    </w:p>
    <w:p>
      <w:pPr>
        <w:spacing w:before="120" w:after="120"/>
      </w:pPr>
      <w:r>
        <w:rPr>
          <w:sz w:val="18"/>
        </w:rPr>
        <w:t>——————————————————————————————————————————————————————————————————————</w:t>
      </w:r>
    </w:p>
    <w:p>
      <w:pPr>
        <w:spacing w:before="160" w:after="40" w:line="240" w:lineRule="auto"/>
      </w:pPr>
      <w:r>
        <w:rPr>
          <w:b/>
        </w:rPr>
        <w:t xml:space="preserve">[284] </w:t>
      </w:r>
      <w:hyperlink r:id="rId649">
        <w:r>
          <w:rPr>
            <w:color w:val="1155CC"/>
            <w:u w:val="single"/>
          </w:rPr>
          <w:t>In a first, ChatGPT helps break new ground in theoretical physics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50">
        <w:r>
          <w:rPr>
            <w:color w:val="1155CC"/>
            <w:u w:val="single"/>
          </w:rPr>
          <w:t>10.1126/science.aeg7163</w:t>
        </w:r>
      </w:hyperlink>
    </w:p>
    <w:p>
      <w:pPr>
        <w:spacing w:before="0" w:after="80" w:lineRule="auto" w:line="276"/>
      </w:pPr>
      <w:r>
        <w:rPr>
          <w:b/>
        </w:rPr>
        <w:t xml:space="preserve">摘要（ZH）: </w:t>
      </w:r>
      <w:r>
        <w:t>(empty)</w:t>
      </w:r>
    </w:p>
    <w:p>
      <w:pPr>
        <w:spacing w:before="0" w:after="200" w:lineRule="auto" w:line="276"/>
      </w:pPr>
      <w:r>
        <w:rPr>
          <w:b/>
        </w:rPr>
        <w:t xml:space="preserve">Abstract (EN): </w:t>
      </w:r>
      <w:r>
        <w:t>Physicists combined human acumen and AI-assisted math to show that a doubted particle interaction is possible after all</w:t>
      </w:r>
    </w:p>
    <w:p>
      <w:pPr>
        <w:spacing w:before="120" w:after="120"/>
      </w:pPr>
      <w:r>
        <w:rPr>
          <w:sz w:val="18"/>
        </w:rPr>
        <w:t>——————————————————————————————————————————————————————————————————————</w:t>
      </w:r>
    </w:p>
    <w:p>
      <w:pPr>
        <w:spacing w:before="160" w:after="40" w:line="240" w:lineRule="auto"/>
      </w:pPr>
      <w:r>
        <w:rPr>
          <w:b/>
        </w:rPr>
        <w:t xml:space="preserve">[285] </w:t>
      </w:r>
      <w:hyperlink r:id="rId651">
        <w:r>
          <w:rPr>
            <w:color w:val="1155CC"/>
            <w:u w:val="single"/>
          </w:rPr>
          <w:t>Investor nominated to head NSF in agency shake-up</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52">
        <w:r>
          <w:rPr>
            <w:color w:val="1155CC"/>
            <w:u w:val="single"/>
          </w:rPr>
          <w:t>10.1126/science.aeg7166</w:t>
        </w:r>
      </w:hyperlink>
    </w:p>
    <w:p>
      <w:pPr>
        <w:spacing w:before="0" w:after="80" w:lineRule="auto" w:line="276"/>
      </w:pPr>
      <w:r>
        <w:rPr>
          <w:b/>
        </w:rPr>
        <w:t xml:space="preserve">摘要（ZH）: </w:t>
      </w:r>
      <w:r>
        <w:t>(empty)</w:t>
      </w:r>
    </w:p>
    <w:p>
      <w:pPr>
        <w:spacing w:before="0" w:after="200" w:lineRule="auto" w:line="276"/>
      </w:pPr>
      <w:r>
        <w:rPr>
          <w:b/>
        </w:rPr>
        <w:t xml:space="preserve">Abstract (EN): </w:t>
      </w:r>
      <w:r>
        <w:t>Move leaves CDC leadership vacancy—to be filled by NIH director</w:t>
      </w:r>
    </w:p>
    <w:p>
      <w:pPr>
        <w:spacing w:before="120" w:after="120"/>
      </w:pPr>
      <w:r>
        <w:rPr>
          <w:sz w:val="18"/>
        </w:rPr>
        <w:t>——————————————————————————————————————————————————————————————————————</w:t>
      </w:r>
    </w:p>
    <w:p>
      <w:pPr>
        <w:spacing w:before="160" w:after="40" w:line="240" w:lineRule="auto"/>
      </w:pPr>
      <w:r>
        <w:rPr>
          <w:b/>
        </w:rPr>
        <w:t xml:space="preserve">[286] </w:t>
      </w:r>
      <w:hyperlink r:id="rId653">
        <w:r>
          <w:rPr>
            <w:color w:val="1155CC"/>
            <w:u w:val="single"/>
          </w:rPr>
          <w:t>Chromatin dynamics shape aging across organs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54">
        <w:r>
          <w:rPr>
            <w:color w:val="1155CC"/>
            <w:u w:val="single"/>
          </w:rPr>
          <w:t>10.1126/science.aef5650</w:t>
        </w:r>
      </w:hyperlink>
    </w:p>
    <w:p>
      <w:pPr>
        <w:spacing w:before="0" w:after="80" w:lineRule="auto" w:line="276"/>
      </w:pPr>
      <w:r>
        <w:rPr>
          <w:b/>
        </w:rPr>
        <w:t xml:space="preserve">摘要（ZH）: </w:t>
      </w:r>
      <w:r>
        <w:t>(empty)</w:t>
      </w:r>
    </w:p>
    <w:p>
      <w:pPr>
        <w:spacing w:before="0" w:after="200" w:lineRule="auto" w:line="276"/>
      </w:pPr>
      <w:r>
        <w:rPr>
          <w:b/>
        </w:rPr>
        <w:t xml:space="preserve">Abstract (EN): </w:t>
      </w:r>
      <w:r>
        <w:t>Age-related chromatin remodeling includes shared and specific signatures across cell types, sex, and organs</w:t>
      </w:r>
    </w:p>
    <w:p>
      <w:pPr>
        <w:spacing w:before="120" w:after="120"/>
      </w:pPr>
      <w:r>
        <w:rPr>
          <w:sz w:val="18"/>
        </w:rPr>
        <w:t>——————————————————————————————————————————————————————————————————————</w:t>
      </w:r>
    </w:p>
    <w:p>
      <w:pPr>
        <w:spacing w:before="160" w:after="40" w:line="240" w:lineRule="auto"/>
      </w:pPr>
      <w:r>
        <w:rPr>
          <w:b/>
        </w:rPr>
        <w:t xml:space="preserve">[287] </w:t>
      </w:r>
      <w:hyperlink r:id="rId655">
        <w:r>
          <w:rPr>
            <w:color w:val="1155CC"/>
            <w:u w:val="single"/>
          </w:rPr>
          <w:t>Neanderthal males paired with modern human females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56">
        <w:r>
          <w:rPr>
            <w:color w:val="1155CC"/>
            <w:u w:val="single"/>
          </w:rPr>
          <w:t>10.1126/science.aeg7164</w:t>
        </w:r>
      </w:hyperlink>
    </w:p>
    <w:p>
      <w:pPr>
        <w:spacing w:before="0" w:after="80" w:lineRule="auto" w:line="276"/>
      </w:pPr>
      <w:r>
        <w:rPr>
          <w:b/>
        </w:rPr>
        <w:t xml:space="preserve">摘要（ZH）: </w:t>
      </w:r>
      <w:r>
        <w:t>(empty)</w:t>
      </w:r>
    </w:p>
    <w:p>
      <w:pPr>
        <w:spacing w:before="0" w:after="200" w:lineRule="auto" w:line="276"/>
      </w:pPr>
      <w:r>
        <w:rPr>
          <w:b/>
        </w:rPr>
        <w:t xml:space="preserve">Abstract (EN): </w:t>
      </w:r>
      <w:r>
        <w:t>X chromosomes in both kinds of human testify to ancient mating bias</w:t>
      </w:r>
    </w:p>
    <w:p>
      <w:pPr>
        <w:spacing w:before="120" w:after="120"/>
      </w:pPr>
      <w:r>
        <w:rPr>
          <w:sz w:val="18"/>
        </w:rPr>
        <w:t>——————————————————————————————————————————————————————————————————————</w:t>
      </w:r>
    </w:p>
    <w:p>
      <w:pPr>
        <w:spacing w:before="160" w:after="40" w:line="240" w:lineRule="auto"/>
      </w:pPr>
      <w:r>
        <w:rPr>
          <w:b/>
        </w:rPr>
        <w:t xml:space="preserve">[288] </w:t>
      </w:r>
      <w:hyperlink r:id="rId657">
        <w:r>
          <w:rPr>
            <w:color w:val="1155CC"/>
            <w:u w:val="single"/>
          </w:rPr>
          <w:t>In Science Journals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58">
        <w:r>
          <w:rPr>
            <w:color w:val="1155CC"/>
            <w:u w:val="single"/>
          </w:rPr>
          <w:t>10.1126/science.aeg6835</w:t>
        </w:r>
      </w:hyperlink>
    </w:p>
    <w:p>
      <w:pPr>
        <w:spacing w:before="0" w:after="80" w:lineRule="auto" w:line="276"/>
      </w:pPr>
      <w:r>
        <w:rPr>
          <w:b/>
        </w:rPr>
        <w:t xml:space="preserve">摘要（ZH）: </w:t>
      </w:r>
      <w:r>
        <w:t>(empty)</w:t>
      </w:r>
    </w:p>
    <w:p>
      <w:pPr>
        <w:spacing w:before="0" w:after="200" w:lineRule="auto" w:line="276"/>
      </w:pPr>
      <w:r>
        <w:rPr>
          <w:b/>
        </w:rPr>
        <w:t xml:space="preserve">Abstract (EN): </w:t>
      </w:r>
      <w:r>
        <w:t>Highlights from the</w:t>
        <w:br/>
        <w:t xml:space="preserve">                    Science</w:t>
        <w:br/>
        <w:t xml:space="preserve">                    family of journals</w:t>
      </w:r>
    </w:p>
    <w:p>
      <w:pPr>
        <w:spacing w:before="120" w:after="120"/>
      </w:pPr>
      <w:r>
        <w:rPr>
          <w:sz w:val="18"/>
        </w:rPr>
        <w:t>——————————————————————————————————————————————————————————————————————</w:t>
      </w:r>
    </w:p>
    <w:p>
      <w:pPr>
        <w:spacing w:before="160" w:after="40" w:line="240" w:lineRule="auto"/>
      </w:pPr>
      <w:r>
        <w:rPr>
          <w:b/>
        </w:rPr>
        <w:t xml:space="preserve">[289] </w:t>
      </w:r>
      <w:hyperlink r:id="rId659">
        <w:r>
          <w:rPr>
            <w:color w:val="1155CC"/>
            <w:u w:val="single"/>
          </w:rPr>
          <w:t>Medical preparedness in deep-space missions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60">
        <w:r>
          <w:rPr>
            <w:color w:val="1155CC"/>
            <w:u w:val="single"/>
          </w:rPr>
          <w:t>10.1126/science.aef9576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[290] </w:t>
      </w:r>
      <w:hyperlink r:id="rId661">
        <w:r>
          <w:rPr>
            <w:color w:val="1155CC"/>
            <w:u w:val="single"/>
          </w:rPr>
          <w:t>How to build a testis, cell by cell</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62">
        <w:r>
          <w:rPr>
            <w:color w:val="1155CC"/>
            <w:u w:val="single"/>
          </w:rPr>
          <w:t>10.1126/science.aef2220</w:t>
        </w:r>
      </w:hyperlink>
    </w:p>
    <w:p>
      <w:pPr>
        <w:spacing w:before="0" w:after="80" w:lineRule="auto" w:line="276"/>
      </w:pPr>
      <w:r>
        <w:rPr>
          <w:b/>
        </w:rPr>
        <w:t xml:space="preserve">摘要（ZH）: </w:t>
      </w:r>
      <w:r>
        <w:t>(empty)</w:t>
      </w:r>
    </w:p>
    <w:p>
      <w:pPr>
        <w:spacing w:before="0" w:after="200" w:lineRule="auto" w:line="276"/>
      </w:pPr>
      <w:r>
        <w:rPr>
          <w:b/>
        </w:rPr>
        <w:t xml:space="preserve">Abstract (EN): </w:t>
      </w:r>
      <w:r>
        <w:t>Engineered pluripotent stem cells form somatic and germ cells that mimic a functional testis</w:t>
      </w:r>
    </w:p>
    <w:p>
      <w:pPr>
        <w:spacing w:before="120" w:after="120"/>
      </w:pPr>
      <w:r>
        <w:rPr>
          <w:sz w:val="18"/>
        </w:rPr>
        <w:t>——————————————————————————————————————————————————————————————————————</w:t>
      </w:r>
    </w:p>
    <w:p>
      <w:pPr>
        <w:spacing w:before="160" w:after="40" w:line="240" w:lineRule="auto"/>
      </w:pPr>
      <w:r>
        <w:rPr>
          <w:b/>
        </w:rPr>
        <w:t xml:space="preserve">[291] </w:t>
      </w:r>
      <w:hyperlink r:id="rId663">
        <w:r>
          <w:rPr>
            <w:color w:val="1155CC"/>
            <w:u w:val="single"/>
          </w:rPr>
          <w:t>Organocatalyst-controlled stereoselective head-to-tail macrocyclizations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64">
        <w:r>
          <w:rPr>
            <w:color w:val="1155CC"/>
            <w:u w:val="single"/>
          </w:rPr>
          <w:t>10.1126/science.aec8992</w:t>
        </w:r>
      </w:hyperlink>
    </w:p>
    <w:p>
      <w:pPr>
        <w:spacing w:before="0" w:after="80" w:lineRule="auto" w:line="276"/>
      </w:pPr>
      <w:r>
        <w:rPr>
          <w:b/>
        </w:rPr>
        <w:t xml:space="preserve">摘要（ZH）: </w:t>
      </w:r>
      <w:r>
        <w:t>(empty)</w:t>
      </w:r>
    </w:p>
    <w:p>
      <w:pPr>
        <w:spacing w:before="0" w:after="200" w:lineRule="auto" w:line="276"/>
      </w:pPr>
      <w:r>
        <w:rPr>
          <w:b/>
        </w:rPr>
        <w:t xml:space="preserve">Abstract (EN): </w:t>
      </w:r>
      <w:r>
        <w:t>Chiral macrocycles are key to the discovery of new medicines. Their synthesis is, however, challenging and typically requires the often-cumbersome installation of stereochemical features in a linear precursor. In this study, we report a catalyst-controlled stereoselective head-to-tail macrocyclization. The method utilizes a bifunctional peptide catalyst to template the terminal functional groups of the linear precursor, thereby favoring intra- over intermolecular reaction and enabling exquisite control over the stereochemistry of the emerging stereogenic centers. Diverse 12- to 18‐membered macrocyclic lactones and lactams were obtained from achiral linear precursors. The organocatalyst even dictates the stereochemical outcome upon cyclizing a chiral linear precursor. This catalyst-controlled stereoselective head-to-tail macrocyclization provides a practical route to chiral macrocycles with predictable stereochemical outcomes. The utility was highlighted by synthesizing the core of the natural product robotnikinin.</w:t>
      </w:r>
    </w:p>
    <w:p>
      <w:pPr>
        <w:spacing w:before="120" w:after="120"/>
      </w:pPr>
      <w:r>
        <w:rPr>
          <w:sz w:val="18"/>
        </w:rPr>
        <w:t>——————————————————————————————————————————————————————————————————————</w:t>
      </w:r>
    </w:p>
    <w:p>
      <w:pPr>
        <w:spacing w:before="160" w:after="40" w:line="240" w:lineRule="auto"/>
      </w:pPr>
      <w:r>
        <w:rPr>
          <w:b/>
        </w:rPr>
        <w:t xml:space="preserve">[292] </w:t>
      </w:r>
      <w:hyperlink r:id="rId665">
        <w:r>
          <w:rPr>
            <w:color w:val="1155CC"/>
            <w:u w:val="single"/>
          </w:rPr>
          <w:t>OsWRI1a coordinates systemic growth responses to nitrogen availability in rice</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66">
        <w:r>
          <w:rPr>
            <w:color w:val="1155CC"/>
            <w:u w:val="single"/>
          </w:rPr>
          <w:t>10.1126/science.aeb8384</w:t>
        </w:r>
      </w:hyperlink>
    </w:p>
    <w:p>
      <w:pPr>
        <w:spacing w:before="0" w:after="80" w:lineRule="auto" w:line="276"/>
      </w:pPr>
      <w:r>
        <w:rPr>
          <w:b/>
        </w:rPr>
        <w:t xml:space="preserve">摘要（ZH）: </w:t>
      </w:r>
      <w:r>
        <w:t>(empty)</w:t>
      </w:r>
    </w:p>
    <w:p>
      <w:pPr>
        <w:spacing w:before="0" w:after="200" w:lineRule="auto" w:line="276"/>
      </w:pPr>
      <w:r>
        <w:rPr>
          <w:b/>
        </w:rPr>
        <w:t xml:space="preserve">Abstract (EN): </w:t>
      </w:r>
      <w:r>
        <w:t>Nitrogen (N) deficiency–induced increases in the root-to-shoot biomass ratio in plants are adaptive in nature but suboptimal for agriculture. Understanding the regulatory mechanisms governing this developmental plasticity could help improve crop performance while reducing fertilizer application. We identified OsWRI1a (WRINKLED1a) as a regulatory hub coordinating rice root and shoot growth in response to external N supply, thereby stabilizing the root-to-shoot ratio. In roots, OsWRI1a enhances N-responsive development by promoting auxin accumulation. Meanwhile, shoot OsWRI1a stimulates tiller development and therefore shoot growth. We identified an elite</w:t>
        <w:br/>
        <w:t xml:space="preserve">                    OsWRI1a</w:t>
        <w:br/>
        <w:t xml:space="preserve">                    haplotype that minimizes root-to-shoot ratio fluctuation under N deficiency, improving N-use efficiency and grain yield. Our findings reveal a central mechanism coordinating N-responsive growth allocation for sustainable agriculture.</w:t>
      </w:r>
    </w:p>
    <w:p>
      <w:pPr>
        <w:spacing w:before="120" w:after="120"/>
      </w:pPr>
      <w:r>
        <w:rPr>
          <w:sz w:val="18"/>
        </w:rPr>
        <w:t>——————————————————————————————————————————————————————————————————————</w:t>
      </w:r>
    </w:p>
    <w:p>
      <w:pPr>
        <w:spacing w:before="160" w:after="40" w:line="240" w:lineRule="auto"/>
      </w:pPr>
      <w:r>
        <w:rPr>
          <w:b/>
        </w:rPr>
        <w:t xml:space="preserve">[293] </w:t>
      </w:r>
      <w:hyperlink r:id="rId667">
        <w:r>
          <w:rPr>
            <w:color w:val="1155CC"/>
            <w:u w:val="single"/>
          </w:rPr>
          <w:t>STING takes on RNA viruses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68">
        <w:r>
          <w:rPr>
            <w:color w:val="1155CC"/>
            <w:u w:val="single"/>
          </w:rPr>
          <w:t>10.1126/science.aef2227</w:t>
        </w:r>
      </w:hyperlink>
    </w:p>
    <w:p>
      <w:pPr>
        <w:spacing w:before="0" w:after="80" w:lineRule="auto" w:line="276"/>
      </w:pPr>
      <w:r>
        <w:rPr>
          <w:b/>
        </w:rPr>
        <w:t xml:space="preserve">摘要（ZH）: </w:t>
      </w:r>
      <w:r>
        <w:t>(empty)</w:t>
      </w:r>
    </w:p>
    <w:p>
      <w:pPr>
        <w:spacing w:before="0" w:after="200" w:lineRule="auto" w:line="276"/>
      </w:pPr>
      <w:r>
        <w:rPr>
          <w:b/>
        </w:rPr>
        <w:t xml:space="preserve">Abstract (EN): </w:t>
      </w:r>
      <w:r>
        <w:t>A signaling pathway that inhibits DNA virus replication is also protective against RNA viruses</w:t>
      </w:r>
    </w:p>
    <w:p>
      <w:pPr>
        <w:spacing w:before="120" w:after="120"/>
      </w:pPr>
      <w:r>
        <w:rPr>
          <w:sz w:val="18"/>
        </w:rPr>
        <w:t>——————————————————————————————————————————————————————————————————————</w:t>
      </w:r>
    </w:p>
    <w:p>
      <w:pPr>
        <w:spacing w:before="160" w:after="40" w:line="240" w:lineRule="auto"/>
      </w:pPr>
      <w:r>
        <w:rPr>
          <w:b/>
        </w:rPr>
        <w:t xml:space="preserve">[294] </w:t>
      </w:r>
      <w:hyperlink r:id="rId669">
        <w:r>
          <w:rPr>
            <w:color w:val="1155CC"/>
            <w:u w:val="single"/>
          </w:rPr>
          <w:t>The enigmatic Isthmian inscriptions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70">
        <w:r>
          <w:rPr>
            <w:color w:val="1155CC"/>
            <w:u w:val="single"/>
          </w:rPr>
          <w:t>10.1126/science.aee2603</w:t>
        </w:r>
      </w:hyperlink>
    </w:p>
    <w:p>
      <w:pPr>
        <w:spacing w:before="0" w:after="80" w:lineRule="auto" w:line="276"/>
      </w:pPr>
      <w:r>
        <w:rPr>
          <w:b/>
        </w:rPr>
        <w:t xml:space="preserve">摘要（ZH）: </w:t>
      </w:r>
      <w:r>
        <w:t>(empty)</w:t>
      </w:r>
    </w:p>
    <w:p>
      <w:pPr>
        <w:spacing w:before="0" w:after="200" w:lineRule="auto" w:line="276"/>
      </w:pPr>
      <w:r>
        <w:rPr>
          <w:b/>
        </w:rPr>
        <w:t xml:space="preserve">Abstract (EN): </w:t>
      </w:r>
      <w:r>
        <w:t>A long-undeciphered script receives renewed attention and a contested interpretation</w:t>
      </w:r>
    </w:p>
    <w:p>
      <w:pPr>
        <w:spacing w:before="120" w:after="120"/>
      </w:pPr>
      <w:r>
        <w:rPr>
          <w:sz w:val="18"/>
        </w:rPr>
        <w:t>——————————————————————————————————————————————————————————————————————</w:t>
      </w:r>
    </w:p>
    <w:p>
      <w:pPr>
        <w:spacing w:before="160" w:after="40" w:line="240" w:lineRule="auto"/>
      </w:pPr>
      <w:r>
        <w:rPr>
          <w:b/>
        </w:rPr>
        <w:t xml:space="preserve">[295] </w:t>
      </w:r>
      <w:hyperlink r:id="rId671">
        <w:r>
          <w:rPr>
            <w:color w:val="1155CC"/>
            <w:u w:val="single"/>
          </w:rPr>
          <w:t>Imbalance in gut microbial interactions as a marker of health and disease</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72">
        <w:r>
          <w:rPr>
            <w:color w:val="1155CC"/>
            <w:u w:val="single"/>
          </w:rPr>
          <w:t>10.1126/science.ady1729</w:t>
        </w:r>
      </w:hyperlink>
    </w:p>
    <w:p>
      <w:pPr>
        <w:spacing w:before="0" w:after="80" w:lineRule="auto" w:line="276"/>
      </w:pPr>
      <w:r>
        <w:rPr>
          <w:b/>
        </w:rPr>
        <w:t xml:space="preserve">摘要（ZH）: </w:t>
      </w:r>
      <w:r>
        <w:t>(empty)</w:t>
      </w:r>
    </w:p>
    <w:p>
      <w:pPr>
        <w:spacing w:before="0" w:after="200" w:lineRule="auto" w:line="276"/>
      </w:pPr>
      <w:r>
        <w:rPr>
          <w:b/>
        </w:rPr>
        <w:t xml:space="preserve">Abstract (EN): </w:t>
      </w:r>
      <w:r>
        <w:t>Imbalances in the human gut microbiome, or dysbioses, are associated with multiple diseases but remain poorly understood. Existing biomarkers of dysbiosis fail to capture the ecological mechanisms that differentiate healthy from diseased microbiomes. We have developed a metric, the ecological network balance index (ENBI), that quantifies the balance between positive and negative microbial interactions. This metric was inspired by the phenomenology observed in a model for gut microbiome dynamics that we introduce in this work, which revealed alternative stable states with distinct emergent microbial communities: a healthy state dominated by negative interactions and a dysbiotic state dominated by positive interactions. The ENBI robustly differentiates these states in both simulated and empirical datasets spanning multiple diseases and correlates with disease progression in conditions such as colorectal cancer, which underscores its potential as a diagnostic tool.</w:t>
      </w:r>
    </w:p>
    <w:p>
      <w:pPr>
        <w:spacing w:before="120" w:after="120"/>
      </w:pPr>
      <w:r>
        <w:rPr>
          <w:sz w:val="18"/>
        </w:rPr>
        <w:t>——————————————————————————————————————————————————————————————————————</w:t>
      </w:r>
    </w:p>
    <w:p>
      <w:pPr>
        <w:spacing w:before="160" w:after="40" w:line="240" w:lineRule="auto"/>
      </w:pPr>
      <w:r>
        <w:rPr>
          <w:b/>
        </w:rPr>
        <w:t xml:space="preserve">[296] </w:t>
      </w:r>
      <w:hyperlink r:id="rId673">
        <w:r>
          <w:rPr>
            <w:color w:val="1155CC"/>
            <w:u w:val="single"/>
          </w:rPr>
          <w:t>The challengers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74">
        <w:r>
          <w:rPr>
            <w:color w:val="1155CC"/>
            <w:u w:val="single"/>
          </w:rPr>
          <w:t>10.1126/science.aee7241</w:t>
        </w:r>
      </w:hyperlink>
    </w:p>
    <w:p>
      <w:pPr>
        <w:spacing w:before="0" w:after="80" w:lineRule="auto" w:line="276"/>
      </w:pPr>
      <w:r>
        <w:rPr>
          <w:b/>
        </w:rPr>
        <w:t xml:space="preserve">摘要（ZH）: </w:t>
      </w:r>
      <w:r>
        <w:t>(empty)</w:t>
      </w:r>
    </w:p>
    <w:p>
      <w:pPr>
        <w:spacing w:before="0" w:after="200" w:lineRule="auto" w:line="276"/>
      </w:pPr>
      <w:r>
        <w:rPr>
          <w:b/>
        </w:rPr>
        <w:t xml:space="preserve">Abstract (EN): </w:t>
      </w:r>
      <w:r>
        <w:t>Radical rejectors of orthodoxy take center stage in a rich history of ideas</w:t>
      </w:r>
    </w:p>
    <w:p>
      <w:pPr>
        <w:spacing w:before="120" w:after="120"/>
      </w:pPr>
      <w:r>
        <w:rPr>
          <w:sz w:val="18"/>
        </w:rPr>
        <w:t>——————————————————————————————————————————————————————————————————————</w:t>
      </w:r>
    </w:p>
    <w:p>
      <w:pPr>
        <w:spacing w:before="160" w:after="40" w:line="240" w:lineRule="auto"/>
      </w:pPr>
      <w:r>
        <w:rPr>
          <w:b/>
        </w:rPr>
        <w:t xml:space="preserve">[297] </w:t>
      </w:r>
      <w:hyperlink r:id="rId675">
        <w:r>
          <w:rPr>
            <w:color w:val="1155CC"/>
            <w:u w:val="single"/>
          </w:rPr>
          <w:t>Interbreeding between Neanderthals and modern humans was strongly sex biased</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76">
        <w:r>
          <w:rPr>
            <w:color w:val="1155CC"/>
            <w:u w:val="single"/>
          </w:rPr>
          <w:t>10.1126/science.aea6774</w:t>
        </w:r>
      </w:hyperlink>
    </w:p>
    <w:p>
      <w:pPr>
        <w:spacing w:before="0" w:after="80" w:lineRule="auto" w:line="276"/>
      </w:pPr>
      <w:r>
        <w:rPr>
          <w:b/>
        </w:rPr>
        <w:t xml:space="preserve">摘要（ZH）: </w:t>
      </w:r>
      <w:r>
        <w:t>(empty)</w:t>
      </w:r>
    </w:p>
    <w:p>
      <w:pPr>
        <w:spacing w:before="0" w:after="200" w:lineRule="auto" w:line="276"/>
      </w:pPr>
      <w:r>
        <w:rPr>
          <w:b/>
        </w:rPr>
        <w:t xml:space="preserve">Abstract (EN): </w:t>
      </w:r>
      <w:r>
        <w:t>Sex biases in admixture and other demographic processes are recurrent features throughout human evolution. For admixture between Neanderthals and anatomically modern humans (AMHs), sex bias has been proposed as an explanation for the relative lack of Neanderthal ancestry in modern human X chromosomes compared with that in modern human autosomes. By observing a 62% relative excess of AMH ancestry in Neanderthal X chromosomes, we characterized the interbreeding between the two groups as predominantly male Neanderthals with female AMHs. Analytic and numerical modeling presents mate preference as a more parsimonious cause of the sex bias than purely demographic processes with differential patterns of male and female migration.</w:t>
      </w:r>
    </w:p>
    <w:p>
      <w:pPr>
        <w:spacing w:before="120" w:after="120"/>
      </w:pPr>
      <w:r>
        <w:rPr>
          <w:sz w:val="18"/>
        </w:rPr>
        <w:t>——————————————————————————————————————————————————————————————————————</w:t>
      </w:r>
    </w:p>
    <w:p>
      <w:pPr>
        <w:spacing w:before="160" w:after="40" w:line="240" w:lineRule="auto"/>
      </w:pPr>
      <w:r>
        <w:rPr>
          <w:b/>
        </w:rPr>
        <w:t xml:space="preserve">[298] </w:t>
      </w:r>
      <w:hyperlink r:id="rId677">
        <w:r>
          <w:rPr>
            <w:color w:val="1155CC"/>
            <w:u w:val="single"/>
          </w:rPr>
          <w:t>An email of one’s own</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78">
        <w:r>
          <w:rPr>
            <w:color w:val="1155CC"/>
            <w:u w:val="single"/>
          </w:rPr>
          <w:t>10.1126/science.aeg6833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[299] </w:t>
      </w:r>
      <w:hyperlink r:id="rId679">
        <w:r>
          <w:rPr>
            <w:color w:val="1155CC"/>
            <w:u w:val="single"/>
          </w:rPr>
          <w:t>Curing a Black family’s distrust in medicine</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80">
        <w:r>
          <w:rPr>
            <w:color w:val="1155CC"/>
            <w:u w:val="single"/>
          </w:rPr>
          <w:t>10.1126/science.aeb4867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[300] </w:t>
      </w:r>
      <w:hyperlink r:id="rId681">
        <w:r>
          <w:rPr>
            <w:color w:val="1155CC"/>
            <w:u w:val="single"/>
          </w:rPr>
          <w:t>Integrating root and shoot nitrogen responses</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82">
        <w:r>
          <w:rPr>
            <w:color w:val="1155CC"/>
            <w:u w:val="single"/>
          </w:rPr>
          <w:t>10.1126/science.aef5612</w:t>
        </w:r>
      </w:hyperlink>
    </w:p>
    <w:p>
      <w:pPr>
        <w:spacing w:before="0" w:after="80" w:lineRule="auto" w:line="276"/>
      </w:pPr>
      <w:r>
        <w:rPr>
          <w:b/>
        </w:rPr>
        <w:t xml:space="preserve">摘要（ZH）: </w:t>
      </w:r>
      <w:r>
        <w:t>(empty)</w:t>
      </w:r>
    </w:p>
    <w:p>
      <w:pPr>
        <w:spacing w:before="0" w:after="200" w:lineRule="auto" w:line="276"/>
      </w:pPr>
      <w:r>
        <w:rPr>
          <w:b/>
        </w:rPr>
        <w:t xml:space="preserve">Abstract (EN): </w:t>
      </w:r>
      <w:r>
        <w:t>A transcription factor may enable high-yield rice plants to use nitrogen more efficiently</w:t>
      </w:r>
    </w:p>
    <w:p>
      <w:pPr>
        <w:spacing w:before="120" w:after="120"/>
      </w:pPr>
      <w:r>
        <w:rPr>
          <w:sz w:val="18"/>
        </w:rPr>
        <w:t>——————————————————————————————————————————————————————————————————————</w:t>
      </w:r>
    </w:p>
    <w:p>
      <w:pPr>
        <w:spacing w:before="160" w:after="40" w:line="240" w:lineRule="auto"/>
      </w:pPr>
      <w:r>
        <w:rPr>
          <w:b/>
        </w:rPr>
        <w:t xml:space="preserve">[301] </w:t>
      </w:r>
      <w:hyperlink r:id="rId683">
        <w:r>
          <w:rPr>
            <w:color w:val="1155CC"/>
            <w:u w:val="single"/>
          </w:rPr>
          <w:t>Acceleration hotspots of North American birds’ decline are associated with agriculture</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84">
        <w:r>
          <w:rPr>
            <w:color w:val="1155CC"/>
            <w:u w:val="single"/>
          </w:rPr>
          <w:t>10.1126/science.ads0871</w:t>
        </w:r>
      </w:hyperlink>
    </w:p>
    <w:p>
      <w:pPr>
        <w:spacing w:before="0" w:after="80" w:lineRule="auto" w:line="276"/>
      </w:pPr>
      <w:r>
        <w:rPr>
          <w:b/>
        </w:rPr>
        <w:t xml:space="preserve">摘要（ZH）: </w:t>
      </w:r>
      <w:r>
        <w:t>(empty)</w:t>
      </w:r>
    </w:p>
    <w:p>
      <w:pPr>
        <w:spacing w:before="0" w:after="200" w:lineRule="auto" w:line="276"/>
      </w:pPr>
      <w:r>
        <w:rPr>
          <w:b/>
        </w:rPr>
        <w:t xml:space="preserve">Abstract (EN): </w:t>
      </w:r>
      <w:r>
        <w:t>Human activities might have accelerated declines of population abundance, but this acceleration remains underexplored. Using 1033 North American Breeding Bird Survey routes, we analyze abundance change and its acceleration for 261 bird species, 54 avian families, and 10 habitats from 1987 to 2021. We show an average continent-wide decline of abundance of all birds per local route, with hotspots of decline in southern and warm parts of North America and hotspots of accelerating decline in the Mid-Atlantic, Midwest, and California, matching patterns of agricultural intensity. Overall, 122 species (47%) exhibit significant declines, of which 63 also show acceleration of this decline, and 67 show declining per-capita growth rate, raising concerns for a large part of North American bird populations. These findings suggest that bird abundance decline is mostly accelerating, with spatial patterns of this acceleration indicating that agricultural intensity may be a driver of this trend.</w:t>
      </w:r>
    </w:p>
    <w:p>
      <w:pPr>
        <w:spacing w:before="120" w:after="120"/>
      </w:pPr>
      <w:r>
        <w:rPr>
          <w:sz w:val="18"/>
        </w:rPr>
        <w:t>——————————————————————————————————————————————————————————————————————</w:t>
      </w:r>
    </w:p>
    <w:p>
      <w:pPr>
        <w:spacing w:before="160" w:after="40" w:line="240" w:lineRule="auto"/>
      </w:pPr>
      <w:r>
        <w:rPr>
          <w:b/>
        </w:rPr>
        <w:t xml:space="preserve">[302] </w:t>
      </w:r>
      <w:hyperlink r:id="rId685">
        <w:r>
          <w:rPr>
            <w:color w:val="1155CC"/>
            <w:u w:val="single"/>
          </w:rPr>
          <w:t>Islamic influence on the scientific method</w:t>
        </w:r>
      </w:hyperlink>
    </w:p>
    <w:p>
      <w:pPr>
        <w:spacing w:before="0" w:after="120"/>
      </w:pPr>
      <w:r>
        <w:rPr>
          <w:b/>
        </w:rPr>
        <w:t xml:space="preserve">Source: </w:t>
      </w:r>
      <w:r>
        <w:t>AAAS: Science: Table of Contents</w:t>
      </w:r>
      <w:r>
        <w:t xml:space="preserve">    </w:t>
      </w:r>
      <w:r>
        <w:rPr>
          <w:b/>
        </w:rPr>
        <w:t xml:space="preserve">Pub date: </w:t>
      </w:r>
      <w:r>
        <w:t>2026-02-26 07:00:02+00:00</w:t>
      </w:r>
      <w:r>
        <w:t xml:space="preserve">    </w:t>
      </w:r>
      <w:r>
        <w:rPr>
          <w:b/>
        </w:rPr>
        <w:t xml:space="preserve">DOI: </w:t>
      </w:r>
      <w:hyperlink r:id="rId686">
        <w:r>
          <w:rPr>
            <w:color w:val="1155CC"/>
            <w:u w:val="single"/>
          </w:rPr>
          <w:t>10.1126/science.aef2236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[303] </w:t>
      </w:r>
      <w:hyperlink r:id="rId687">
        <w:r>
          <w:rPr>
            <w:color w:val="1155CC"/>
            <w:u w:val="single"/>
          </w:rPr>
          <w:t>Organophosphides: A New Class of Luminophore Ligands for Copper(I) Carbene Based TADF Emitters and Photocatalysts</w:t>
        </w:r>
      </w:hyperlink>
    </w:p>
    <w:p>
      <w:pPr>
        <w:spacing w:before="0" w:after="120"/>
      </w:pPr>
      <w:r>
        <w:rPr>
          <w:b/>
        </w:rPr>
        <w:t xml:space="preserve">Source: </w:t>
      </w:r>
      <w:r>
        <w:t>Wiley: Angewandte Chemie International Edition: Table of Contents</w:t>
      </w:r>
      <w:r>
        <w:t xml:space="preserve">    </w:t>
      </w:r>
      <w:r>
        <w:rPr>
          <w:b/>
        </w:rPr>
        <w:t xml:space="preserve">Pub date: </w:t>
      </w:r>
      <w:r>
        <w:t>2026-02-26 07:26:43+00:00</w:t>
      </w:r>
      <w:r>
        <w:t xml:space="preserve">    </w:t>
      </w:r>
      <w:r>
        <w:rPr>
          <w:b/>
        </w:rPr>
        <w:t xml:space="preserve">DOI: </w:t>
      </w:r>
      <w:hyperlink r:id="rId688">
        <w:r>
          <w:rPr>
            <w:color w:val="1155CC"/>
            <w:u w:val="single"/>
          </w:rPr>
          <w:t>10.1002/anie.202518530</w:t>
        </w:r>
      </w:hyperlink>
    </w:p>
    <w:p>
      <w:pPr>
        <w:spacing w:before="0" w:after="80" w:lineRule="auto" w:line="276"/>
      </w:pPr>
      <w:r>
        <w:rPr>
          <w:b/>
        </w:rPr>
        <w:t xml:space="preserve">摘要（ZH）: </w:t>
      </w:r>
      <w:r>
        <w:t>(empty)</w:t>
      </w:r>
    </w:p>
    <w:p>
      <w:pPr>
        <w:spacing w:before="0" w:after="200" w:lineRule="auto" w:line="276"/>
      </w:pPr>
      <w:r>
        <w:rPr>
          <w:b/>
        </w:rPr>
        <w:t xml:space="preserve">Abstract (EN): </w:t>
      </w:r>
      <w:r>
        <w:t>Luminescent carbene copper(I) charge transfer complexes are promising candidates as molecular materials for photonic applications. Apart from steric and electronic modification of the acceptor carbene, most of the research has been dedicated to amide donor ligands to control the luminescence properties, while the remaining pnictogen group as anionic electron donating ligands is photophysically underrepresented. Herein, we demonstrate that dimesityl phosphide (Mes2P-) as a heavier homologue in [Cu(cAAC)(PMes2)] (cAAC = cyclic amino(alkyl) carbene) gives rise to orange emission with quantum yields of up to ϕmax  = 0.52 in the solid state that is bathochromically shifted by ∼3000 cm-1 in comparison to related amide complexes due to the lower electronegativity of phosphorus. Time-resolved variable temperature studies reveals that the µs-lifetimes and radiative rate constants of ca. kr  =  5 ⋅ 104 s-1 are due to thermally activated delayed fluorescence (TADF) as the dominating emission mechanism at room temperature. In polystyrene matrices, the complexes exhibit environment dependent chiroptical properties (up to glum  =  10-2, BCPL  =  1.31 M-1 cm-1, kCPL  =  41.5 s-1) and are efficient blue light photocatalysts for hydrophosphination of alkynes in solution, highlighting the potential of heavier pnictogen ligands for photonic materials.</w:t>
      </w:r>
    </w:p>
    <w:p>
      <w:pPr>
        <w:spacing w:before="120" w:after="120"/>
      </w:pPr>
      <w:r>
        <w:rPr>
          <w:sz w:val="18"/>
        </w:rPr>
        <w:t>——————————————————————————————————————————————————————————————————————</w:t>
      </w:r>
    </w:p>
    <w:p>
      <w:pPr>
        <w:spacing w:before="160" w:after="40" w:line="240" w:lineRule="auto"/>
      </w:pPr>
      <w:r>
        <w:rPr>
          <w:b/>
        </w:rPr>
        <w:t xml:space="preserve">[304] </w:t>
      </w:r>
      <w:hyperlink r:id="rId689">
        <w:r>
          <w:rPr>
            <w:color w:val="1155CC"/>
            <w:u w:val="single"/>
          </w:rPr>
          <w:t>Achieving High‐Performance Multi‐Resonance Thermally Activated Delayed Fluorescence (MR‐TADF) Blue Emitter Using Benzothiophene Heterocyclic Fusion Strategy</w:t>
        </w:r>
      </w:hyperlink>
    </w:p>
    <w:p>
      <w:pPr>
        <w:spacing w:before="0" w:after="120"/>
      </w:pPr>
      <w:r>
        <w:rPr>
          <w:b/>
        </w:rPr>
        <w:t xml:space="preserve">Source: </w:t>
      </w:r>
      <w:r>
        <w:t>Wiley: Angewandte Chemie International Edition: Table of Contents</w:t>
      </w:r>
      <w:r>
        <w:t xml:space="preserve">    </w:t>
      </w:r>
      <w:r>
        <w:rPr>
          <w:b/>
        </w:rPr>
        <w:t xml:space="preserve">Pub date: </w:t>
      </w:r>
      <w:r>
        <w:t>2026-02-26 07:39:39+00:00</w:t>
      </w:r>
      <w:r>
        <w:t xml:space="preserve">    </w:t>
      </w:r>
      <w:r>
        <w:rPr>
          <w:b/>
        </w:rPr>
        <w:t xml:space="preserve">DOI: </w:t>
      </w:r>
      <w:hyperlink r:id="rId690">
        <w:r>
          <w:rPr>
            <w:color w:val="1155CC"/>
            <w:u w:val="single"/>
          </w:rPr>
          <w:t>10.1002/anie.2644336</w:t>
        </w:r>
      </w:hyperlink>
    </w:p>
    <w:p>
      <w:pPr>
        <w:spacing w:before="0" w:after="80" w:lineRule="auto" w:line="276"/>
      </w:pPr>
      <w:r>
        <w:rPr>
          <w:b/>
        </w:rPr>
        <w:t xml:space="preserve">摘要（ZH）: </w:t>
      </w:r>
      <w:r>
        <w:t>(empty)</w:t>
      </w:r>
    </w:p>
    <w:p>
      <w:pPr>
        <w:spacing w:before="0" w:after="200" w:lineRule="auto" w:line="276"/>
      </w:pPr>
      <w:r>
        <w:rPr>
          <w:b/>
        </w:rPr>
        <w:t xml:space="preserve">Abstract (EN): </w:t>
      </w:r>
      <w:r>
        <w:t>To meet the growing demands in the field of ultra-high-definition display, multi-resonance thermally activated delayed fluorescence (MR-TADF) materials have attracted extensive attention due to their narrowband emission characteristics. However, the development of these materials still faces many challenges, such as limited chemical modification methods and severe device efficiency roll-off. Herein, the benzothiophene (BZT) heterocyclic fusion strategy was adopted to chemically modify the classical single-boron and dual-boron MR-TADF emitters into two new derivatives (SS-B and SS-2B). By combining theory with experiments, the intrinsic mechanism of the improvements in emission properties was revealed due to the fusion incorporation of BZT units, resulting in the high-efficiency and high-color-purity doped blue organic light-emitting diode (OLED) with effective suppression of efficiency roll-off. The full width at half maximum (FWHM) of their electroluminescence spectra are only 26 and 29 nm for SS-B and SS-2B, respectively. Their maximum external quantum efficiencies (EQEmax) are as high as 34.34% and 37.23% respectively, and the EQE roll-off of SS-2B is only 4.9% at 100 cd·m-2. This work not only provides a better understanding of the photophysical nature of boron/nitrogen (B/N) molecular systems, but also offers a new strategy for improving the electroluminescence performance of MR-TADF materials.</w:t>
      </w:r>
    </w:p>
    <w:p>
      <w:pPr>
        <w:spacing w:before="120" w:after="120"/>
      </w:pPr>
      <w:r>
        <w:rPr>
          <w:sz w:val="18"/>
        </w:rPr>
        <w:t>——————————————————————————————————————————————————————————————————————</w:t>
      </w:r>
    </w:p>
    <w:p>
      <w:pPr>
        <w:spacing w:before="160" w:after="40" w:line="240" w:lineRule="auto"/>
      </w:pPr>
      <w:r>
        <w:rPr>
          <w:b/>
        </w:rPr>
        <w:t xml:space="preserve">[305] </w:t>
      </w:r>
      <w:hyperlink r:id="rId691">
        <w:r>
          <w:rPr>
            <w:color w:val="1155CC"/>
            <w:u w:val="single"/>
          </w:rPr>
          <w:t>Confinement π‐Conjugated Moiety Tailoring to Achieve Record Deep‐UV Nonlinearity in Sulfates</w:t>
        </w:r>
      </w:hyperlink>
    </w:p>
    <w:p>
      <w:pPr>
        <w:spacing w:before="0" w:after="120"/>
      </w:pPr>
      <w:r>
        <w:rPr>
          <w:b/>
        </w:rPr>
        <w:t xml:space="preserve">Source: </w:t>
      </w:r>
      <w:r>
        <w:t>Wiley: Angewandte Chemie International Edition: Table of Contents</w:t>
      </w:r>
      <w:r>
        <w:t xml:space="preserve">    </w:t>
      </w:r>
      <w:r>
        <w:rPr>
          <w:b/>
        </w:rPr>
        <w:t xml:space="preserve">Pub date: </w:t>
      </w:r>
      <w:r>
        <w:t>2026-02-26 07:42:27+00:00</w:t>
      </w:r>
      <w:r>
        <w:t xml:space="preserve">    </w:t>
      </w:r>
      <w:r>
        <w:rPr>
          <w:b/>
        </w:rPr>
        <w:t xml:space="preserve">DOI: </w:t>
      </w:r>
      <w:hyperlink r:id="rId692">
        <w:r>
          <w:rPr>
            <w:color w:val="1155CC"/>
            <w:u w:val="single"/>
          </w:rPr>
          <w:t>10.1002/anie.4703576</w:t>
        </w:r>
      </w:hyperlink>
    </w:p>
    <w:p>
      <w:pPr>
        <w:spacing w:before="0" w:after="80" w:lineRule="auto" w:line="276"/>
      </w:pPr>
      <w:r>
        <w:rPr>
          <w:b/>
        </w:rPr>
        <w:t xml:space="preserve">摘要（ZH）: </w:t>
      </w:r>
      <w:r>
        <w:t>(empty)</w:t>
      </w:r>
    </w:p>
    <w:p>
      <w:pPr>
        <w:spacing w:before="0" w:after="200" w:lineRule="auto" w:line="276"/>
      </w:pPr>
      <w:r>
        <w:rPr>
          <w:b/>
        </w:rPr>
        <w:t xml:space="preserve">Abstract (EN): </w:t>
      </w:r>
      <w:r>
        <w:t>The development of deep ultraviolet nonlinear optical (DUV NLO) materials with simultaneous high performance across multiple properties remains a significant challenge. Key properties, such as a short UV cutoff edge, strong second-harmonic generation (SHG) response, and suitable birefringence, are often mutually constrained. This study introduces a novel "Three Birds with One Stone" strategy, utilizing a confined π-conjugated functional group, [OOCCH(NH3)CH2SO3]-, integrated into the sulfate framework. The approach enhances both polarizability anisotropy and hyperpolarizability while preserving the large band gap inherent to sulfates. This strategy achieves a breakthrough in balancing key performance metrics. Using this new design, we successfully synthesized a novel DUV NLO sulfonate, Li[OOCCH(NH3)CH2SO3] (LCNS), which demonstrates excellent optical properties, including a short UV cutoff edge (177 nm), a record SHG response (4.5 × KDP), and exceptional birefringence (0.090@589 nm) among DUV NLO sulfonates. This work not only provides a promising candidate for DUV NLO applications but also introduces an innovative strategy for the development of advanced DUV NLO materials.</w:t>
      </w:r>
    </w:p>
    <w:p>
      <w:pPr>
        <w:spacing w:before="120" w:after="120"/>
      </w:pPr>
      <w:r>
        <w:rPr>
          <w:sz w:val="18"/>
        </w:rPr>
        <w:t>——————————————————————————————————————————————————————————————————————</w:t>
      </w:r>
    </w:p>
    <w:p>
      <w:pPr>
        <w:spacing w:before="160" w:after="40" w:line="240" w:lineRule="auto"/>
      </w:pPr>
      <w:r>
        <w:rPr>
          <w:b/>
        </w:rPr>
        <w:t xml:space="preserve">[306] </w:t>
      </w:r>
      <w:hyperlink r:id="rId693">
        <w:r>
          <w:rPr>
            <w:color w:val="1155CC"/>
            <w:u w:val="single"/>
          </w:rPr>
          <w:t>Long‐Wavelength Visible Griffith‐Type Oxygen Photoactivation on Isomeric Mesoporous Al‐Salen Covalent Organic Polymer Fibers</w:t>
        </w:r>
      </w:hyperlink>
    </w:p>
    <w:p>
      <w:pPr>
        <w:spacing w:before="0" w:after="120"/>
      </w:pPr>
      <w:r>
        <w:rPr>
          <w:b/>
        </w:rPr>
        <w:t xml:space="preserve">Source: </w:t>
      </w:r>
      <w:r>
        <w:t>Wiley: Angewandte Chemie International Edition: Table of Contents</w:t>
      </w:r>
      <w:r>
        <w:t xml:space="preserve">    </w:t>
      </w:r>
      <w:r>
        <w:rPr>
          <w:b/>
        </w:rPr>
        <w:t xml:space="preserve">Pub date: </w:t>
      </w:r>
      <w:r>
        <w:t>2026-02-26 07:45:58+00:00</w:t>
      </w:r>
      <w:r>
        <w:t xml:space="preserve">    </w:t>
      </w:r>
      <w:r>
        <w:rPr>
          <w:b/>
        </w:rPr>
        <w:t xml:space="preserve">DOI: </w:t>
      </w:r>
      <w:hyperlink r:id="rId694">
        <w:r>
          <w:rPr>
            <w:color w:val="1155CC"/>
            <w:u w:val="single"/>
          </w:rPr>
          <w:t>10.1002/anie.7982319</w:t>
        </w:r>
      </w:hyperlink>
    </w:p>
    <w:p>
      <w:pPr>
        <w:spacing w:before="0" w:after="80" w:lineRule="auto" w:line="276"/>
      </w:pPr>
      <w:r>
        <w:rPr>
          <w:b/>
        </w:rPr>
        <w:t xml:space="preserve">摘要（ZH）: </w:t>
      </w:r>
      <w:r>
        <w:t>(empty)</w:t>
      </w:r>
    </w:p>
    <w:p>
      <w:pPr>
        <w:spacing w:before="0" w:after="200" w:lineRule="auto" w:line="276"/>
      </w:pPr>
      <w:r>
        <w:rPr>
          <w:b/>
        </w:rPr>
        <w:t xml:space="preserve">Abstract (EN): </w:t>
      </w:r>
      <w:r>
        <w:t>Covalent organic polymers (COPs) have emerged as promising photocatalysts for efficient solar-driven conversion of energy into chemicals. However, it remains rare for COPs capable of effectively harvesting long-wavelength visible to near-infrared (L-Vis-NIR) light (λ &gt; 600 nm) to achieve these photochemical transformations. Here, two isomeric mesoporous Al-Salen COP fibers are demonstrated as L-Vis-NIR-responsive photocatalysts for efficient Griffith-type oxygen activation to produce hydrogen peroxide (H2O2). Both COPs achieve a high H2O2 production rate of about 1607 µmol gcat -1 h-1 under irradiation of common domestic LED lights (680-690 nm, 3.18 mW cm-2) using 1,2,3,4-tetrahydroisoquinoline as a sacrificial reagent with a high solar to chemical efficiency of about 5.0%. Their efficient L-Vis-NIR-responsive photocatalytic performance is attributed to their narrow band gaps of about 1.5 eV, efficient charge separation facilitated by integrated electron-donor (benzene ring) and electron-acceptor (Al-Salen Lewis acid site) structures, and a direct Griffith-type photo-activation mechanism for oxygen. No significant isomerism effect is observed in their photocatalytic performance, attributed to the similar photoinduced charge carrier behaviors mainly affected by the local Al-Salen moieties rather than the topological structure. This study highlights isomeric Al-based COPs as effective platforms for L-Vis-NIR photocatalysis and opens avenues for the development of Al-based COP photocatalysts for diverse chemical transformations.</w:t>
      </w:r>
    </w:p>
    <w:p>
      <w:pPr>
        <w:spacing w:before="120" w:after="120"/>
      </w:pPr>
      <w:r>
        <w:rPr>
          <w:sz w:val="18"/>
        </w:rPr>
        <w:t>——————————————————————————————————————————————————————————————————————</w:t>
      </w:r>
    </w:p>
    <w:p>
      <w:pPr>
        <w:spacing w:before="160" w:after="40" w:line="240" w:lineRule="auto"/>
      </w:pPr>
      <w:r>
        <w:rPr>
          <w:b/>
        </w:rPr>
        <w:t xml:space="preserve">[307] </w:t>
      </w:r>
      <w:hyperlink r:id="rId695">
        <w:r>
          <w:rPr>
            <w:color w:val="1155CC"/>
            <w:u w:val="single"/>
          </w:rPr>
          <w:t>Organism-wide cellular dynamics and epigenomic remodeling in mammalian aging</w:t>
        </w:r>
      </w:hyperlink>
    </w:p>
    <w:p>
      <w:pPr>
        <w:spacing w:before="0" w:after="120"/>
      </w:pPr>
      <w:r>
        <w:rPr>
          <w:b/>
        </w:rPr>
        <w:t xml:space="preserve">Source: </w:t>
      </w:r>
      <w:r>
        <w:t>AAAS: Science: Table of Contents</w:t>
      </w:r>
      <w:r>
        <w:t xml:space="preserve">    </w:t>
      </w:r>
      <w:r>
        <w:rPr>
          <w:b/>
        </w:rPr>
        <w:t xml:space="preserve">Pub date: </w:t>
      </w:r>
      <w:r>
        <w:t>2026-02-26 08:00:00+00:00</w:t>
      </w:r>
      <w:r>
        <w:t xml:space="preserve">    </w:t>
      </w:r>
      <w:r>
        <w:rPr>
          <w:b/>
        </w:rPr>
        <w:t xml:space="preserve">DOI: </w:t>
      </w:r>
      <w:hyperlink r:id="rId696">
        <w:r>
          <w:rPr>
            <w:color w:val="1155CC"/>
            <w:u w:val="single"/>
          </w:rPr>
          <w:t>10.1126/science.adw6273</w:t>
        </w:r>
      </w:hyperlink>
    </w:p>
    <w:p>
      <w:pPr>
        <w:spacing w:before="0" w:after="80" w:lineRule="auto" w:line="276"/>
      </w:pPr>
      <w:r>
        <w:rPr>
          <w:b/>
        </w:rPr>
        <w:t xml:space="preserve">摘要（ZH）: </w:t>
      </w:r>
      <w:r>
        <w:t>(empty)</w:t>
      </w:r>
    </w:p>
    <w:p>
      <w:pPr>
        <w:spacing w:before="0" w:after="200" w:lineRule="auto" w:line="276"/>
      </w:pPr>
      <w:r>
        <w:rPr>
          <w:b/>
        </w:rPr>
        <w:t xml:space="preserve">Abstract (EN): </w:t>
      </w:r>
      <w:r>
        <w:t>To investigate organism-wide cellular alterations and epigenomic dynamics during aging, we constructed a single-cell chromatin accessibility atlas spanning 21 mouse tissues across three age groups and both sexes. We found that around one-quarter of 536 organ-specific cell types and 1828 finer-grained subtypes exhibited considerable age-related population shifts. Cellular states from broadly distributed lineages displayed synchronized dynamics with age, indicating systemic signals that coordinate these changes. Molecular analyses identified both intrinsic regulators (chromatin peaks, transcription factor activity) and extrinsic factors (cytokine programs) underlying these shifts. Moreover, ~40% of aging-associated population dynamics were sex-dependent, with tens of thousands of peaks altered exclusively in one sex. Together, these findings present a comprehensive framework for how aging reshapes the chromatin landscape and cellular composition across diverse tissues.</w:t>
      </w:r>
    </w:p>
    <w:p>
      <w:pPr>
        <w:spacing w:before="120" w:after="120"/>
      </w:pPr>
      <w:r>
        <w:rPr>
          <w:sz w:val="18"/>
        </w:rPr>
        <w:t>——————————————————————————————————————————————————————————————————————</w:t>
      </w:r>
    </w:p>
    <w:p>
      <w:pPr>
        <w:spacing w:before="160" w:after="40" w:line="240" w:lineRule="auto"/>
      </w:pPr>
      <w:r>
        <w:rPr>
          <w:b/>
        </w:rPr>
        <w:t xml:space="preserve">[308] </w:t>
      </w:r>
      <w:hyperlink r:id="rId697">
        <w:r>
          <w:rPr>
            <w:color w:val="1155CC"/>
            <w:u w:val="single"/>
          </w:rPr>
          <w:t>Cryo–electron microscopic visualization of RAD51 filament assembly and end-capping by XRCC3-RAD51C-RAD51D-XRCC2</w:t>
        </w:r>
      </w:hyperlink>
    </w:p>
    <w:p>
      <w:pPr>
        <w:spacing w:before="0" w:after="120"/>
      </w:pPr>
      <w:r>
        <w:rPr>
          <w:b/>
        </w:rPr>
        <w:t xml:space="preserve">Source: </w:t>
      </w:r>
      <w:r>
        <w:t>AAAS: Science: Table of Contents</w:t>
      </w:r>
      <w:r>
        <w:t xml:space="preserve">    </w:t>
      </w:r>
      <w:r>
        <w:rPr>
          <w:b/>
        </w:rPr>
        <w:t xml:space="preserve">Pub date: </w:t>
      </w:r>
      <w:r>
        <w:t>2026-02-26 08:00:00+00:00</w:t>
      </w:r>
      <w:r>
        <w:t xml:space="preserve">    </w:t>
      </w:r>
      <w:r>
        <w:rPr>
          <w:b/>
        </w:rPr>
        <w:t xml:space="preserve">DOI: </w:t>
      </w:r>
      <w:hyperlink r:id="rId698">
        <w:r>
          <w:rPr>
            <w:color w:val="1155CC"/>
            <w:u w:val="single"/>
          </w:rPr>
          <w:t>10.1126/science.aea1546</w:t>
        </w:r>
      </w:hyperlink>
    </w:p>
    <w:p>
      <w:pPr>
        <w:spacing w:before="0" w:after="80" w:lineRule="auto" w:line="276"/>
      </w:pPr>
      <w:r>
        <w:rPr>
          <w:b/>
        </w:rPr>
        <w:t xml:space="preserve">摘要（ZH）: </w:t>
      </w:r>
      <w:r>
        <w:t>(empty)</w:t>
      </w:r>
    </w:p>
    <w:p>
      <w:pPr>
        <w:spacing w:before="0" w:after="200" w:lineRule="auto" w:line="276"/>
      </w:pPr>
      <w:r>
        <w:rPr>
          <w:b/>
        </w:rPr>
        <w:t xml:space="preserve">Abstract (EN): </w:t>
      </w:r>
      <w:r>
        <w:t>Homologous recombination repairs DNA double-strand breaks and protects stalled replication forks, but how the five RAD51 paralogs contribute to these processes remains unclear. Mutations in the RAD51 paralogs are linked to heritable breast and ovarian cancers and the cancer-prone disease Fanconi anemia. In this work, we show that the RAD51 paralogs assemble into two distinct heterotetrameric complexes, RAD51B-RAD51C-RAD51D-XRCC2 (RAD51B complex) and XRCC3-RAD51C-RAD51D-XRCC2 (XRCC3 complex). The RAD51B complex promotes dynamic adenosine triphosphate hydrolysis–dependent assembly of RAD51 filaments, whereas the XRCC3 complex stably caps the 5′ termini of RAD51 filaments to promote homologous pairing, as visualized by cryo–electron microscopy. Highly conserved across evolution, the XRCC3 complex reveals insights into RAD51 filament formation and capping during DNA repair and replication fork stabilization.</w:t>
      </w:r>
    </w:p>
    <w:p>
      <w:pPr>
        <w:spacing w:before="120" w:after="120"/>
      </w:pPr>
      <w:r>
        <w:rPr>
          <w:sz w:val="18"/>
        </w:rPr>
        <w:t>——————————————————————————————————————————————————————————————————————</w:t>
      </w:r>
    </w:p>
    <w:p>
      <w:pPr>
        <w:spacing w:before="160" w:after="40" w:line="240" w:lineRule="auto"/>
      </w:pPr>
      <w:r>
        <w:rPr>
          <w:b/>
        </w:rPr>
        <w:t xml:space="preserve">[309] </w:t>
      </w:r>
      <w:hyperlink r:id="rId699">
        <w:r>
          <w:rPr>
            <w:color w:val="1155CC"/>
            <w:u w:val="single"/>
          </w:rPr>
          <w:t>Erratum for the Report “Chromosome segregation errors as a cause of DNA damage and structural chromosome aberrations”</w:t>
        </w:r>
      </w:hyperlink>
    </w:p>
    <w:p>
      <w:pPr>
        <w:spacing w:before="0" w:after="120"/>
      </w:pPr>
      <w:r>
        <w:rPr>
          <w:b/>
        </w:rPr>
        <w:t xml:space="preserve">Source: </w:t>
      </w:r>
      <w:r>
        <w:t>AAAS: Science: Table of Contents</w:t>
      </w:r>
      <w:r>
        <w:t xml:space="preserve">    </w:t>
      </w:r>
      <w:r>
        <w:rPr>
          <w:b/>
        </w:rPr>
        <w:t xml:space="preserve">Pub date: </w:t>
      </w:r>
      <w:r>
        <w:t>2026-02-26 08:00:00+00:00</w:t>
      </w:r>
      <w:r>
        <w:t xml:space="preserve">    </w:t>
      </w:r>
      <w:r>
        <w:rPr>
          <w:b/>
        </w:rPr>
        <w:t xml:space="preserve">DOI: </w:t>
      </w:r>
      <w:hyperlink r:id="rId700">
        <w:r>
          <w:rPr>
            <w:color w:val="1155CC"/>
            <w:u w:val="single"/>
          </w:rPr>
          <w:t>10.1126/science.aeg5565</w:t>
        </w:r>
      </w:hyperlink>
    </w:p>
    <w:p>
      <w:pPr>
        <w:spacing w:before="0" w:after="80" w:lineRule="auto" w:line="276"/>
      </w:pPr>
      <w:r>
        <w:rPr>
          <w:b/>
        </w:rPr>
        <w:t xml:space="preserve">摘要（ZH）: </w:t>
      </w:r>
      <w:r>
        <w:t>(empty)</w:t>
      </w:r>
    </w:p>
    <w:p>
      <w:pPr>
        <w:spacing w:before="0" w:after="200" w:lineRule="auto" w:line="276"/>
      </w:pPr>
      <w:r>
        <w:rPr>
          <w:b/>
        </w:rPr>
        <w:t xml:space="preserve">Abstract (EN): </w:t>
      </w:r>
      <w:r>
        <w:t>The Report “Chromosome segregation errors as a cause of DNA damage and structural chromosome aberrations” by A. Janssen et al. (30 September 2011, 10.1126/science.1210214) contained an error in Fig. 1. The images of “asynchronous” cells shown in panel C are the images that belong to the experiment shown in Fig. 3A and were somehow misplaced during the revision of the manuscript. The corrected figure (identical to the figure panel included in the first submission of the manuscript) is now published online. This error does not affect any of the interpretations and conclusions of the described work.</w:t>
      </w:r>
    </w:p>
    <w:p>
      <w:pPr>
        <w:spacing w:before="120" w:after="120"/>
      </w:pPr>
      <w:r>
        <w:rPr>
          <w:sz w:val="18"/>
        </w:rPr>
        <w:t>——————————————————————————————————————————————————————————————————————</w:t>
      </w:r>
    </w:p>
    <w:p>
      <w:pPr>
        <w:spacing w:before="160" w:after="40" w:line="240" w:lineRule="auto"/>
      </w:pPr>
      <w:r>
        <w:rPr>
          <w:b/>
        </w:rPr>
        <w:t xml:space="preserve">[310] </w:t>
      </w:r>
      <w:hyperlink r:id="rId701">
        <w:r>
          <w:rPr>
            <w:color w:val="1155CC"/>
            <w:u w:val="single"/>
          </w:rPr>
          <w:t>Mesophases as stepping stones to enhance crystallization kinetics in nanoparticle self-assembly</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2026-02-26 08:00:00+00:00</w:t>
      </w:r>
      <w:r>
        <w:t xml:space="preserve">    </w:t>
      </w:r>
      <w:r>
        <w:rPr>
          <w:b/>
        </w:rPr>
        <w:t xml:space="preserve">DOI: </w:t>
      </w:r>
      <w:hyperlink r:id="rId702">
        <w:r>
          <w:rPr>
            <w:color w:val="1155CC"/>
            <w:u w:val="single"/>
          </w:rPr>
          <w:t>10.1073/pnas.2519498123</w:t>
        </w:r>
      </w:hyperlink>
    </w:p>
    <w:p>
      <w:pPr>
        <w:spacing w:before="0" w:after="80" w:lineRule="auto" w:line="276"/>
      </w:pPr>
      <w:r>
        <w:rPr>
          <w:b/>
        </w:rPr>
        <w:t xml:space="preserve">摘要（ZH）: </w:t>
      </w:r>
      <w:r>
        <w:t>(empty)</w:t>
      </w:r>
    </w:p>
    <w:p>
      <w:pPr>
        <w:spacing w:before="0" w:after="200" w:lineRule="auto" w:line="276"/>
      </w:pPr>
      <w:r>
        <w:rPr>
          <w:b/>
        </w:rPr>
        <w:t xml:space="preserve">Abstract (EN): </w:t>
      </w:r>
      <w:r>
        <w:t>Manipulation of kinetic pathways is essential to self-assemble nanoparticle building blocks into complex ordered structures, as the emergence of intermediate metastable states could either facilitate or hinder crystallization of the target lattice. Molecular simulations and Markovian and transition state theory are used to validate our conjecture that intermediary mesophases, with partial but long-range translational or orientational structural ordering, accelerate crystallization kinetics from the disordered structure. Using four representative models, two lyotropic single-component and two thermotropic binary mixture systems, we demonstrate that mesophases with intermediate entropies, such as nematic fluid, rotator solid, and microsegregated mesophases, speed up the overall crystallization rate. This enhancement occurs by effectively splitting a larger isotropic-to-crystal free energy barrier into two smaller barriers corresponding to isotropic-to-mesophase and mesophase-to-crystal transitions, with mesophase “bulk” macrostates being kinetically more favorable than microscopic fluctuations. The single-step isotropic-to-crystal transition occurs through a composite-cluster pathway that includes mesophase microdomains; an isotropic-crystal interfacial energy greater than or comparable to the sum of the isotropic-mesophase and mesophase-crystal interfacial energies is associated with enhanced two-step crystallization rate. Overall, our findings validate the conjecture, which offers additional guidance for selecting nanoparticle designs and conditions that promote efficient crystallization pathways.</w:t>
      </w:r>
    </w:p>
    <w:p>
      <w:pPr>
        <w:spacing w:before="120" w:after="120"/>
      </w:pPr>
      <w:r>
        <w:rPr>
          <w:sz w:val="18"/>
        </w:rPr>
        <w:t>——————————————————————————————————————————————————————————————————————</w:t>
      </w:r>
    </w:p>
    <w:p>
      <w:pPr>
        <w:spacing w:before="160" w:after="40" w:line="240" w:lineRule="auto"/>
      </w:pPr>
      <w:r>
        <w:rPr>
          <w:b/>
        </w:rPr>
        <w:t xml:space="preserve">[311] </w:t>
      </w:r>
      <w:hyperlink r:id="rId703">
        <w:r>
          <w:rPr>
            <w:color w:val="1155CC"/>
            <w:u w:val="single"/>
          </w:rPr>
          <w:t>Convergent and lineage-specific genomic changes shape adaptations in sugar-consuming birds</w:t>
        </w:r>
      </w:hyperlink>
    </w:p>
    <w:p>
      <w:pPr>
        <w:spacing w:before="0" w:after="120"/>
      </w:pPr>
      <w:r>
        <w:rPr>
          <w:b/>
        </w:rPr>
        <w:t xml:space="preserve">Source: </w:t>
      </w:r>
      <w:r>
        <w:t>AAAS: Science: Table of Contents</w:t>
      </w:r>
      <w:r>
        <w:t xml:space="preserve">    </w:t>
      </w:r>
      <w:r>
        <w:rPr>
          <w:b/>
        </w:rPr>
        <w:t xml:space="preserve">Pub date: </w:t>
      </w:r>
      <w:r>
        <w:t>2026-02-26 08:00:00+00:00</w:t>
      </w:r>
      <w:r>
        <w:t xml:space="preserve">    </w:t>
      </w:r>
      <w:r>
        <w:rPr>
          <w:b/>
        </w:rPr>
        <w:t xml:space="preserve">DOI: </w:t>
      </w:r>
      <w:hyperlink r:id="rId704">
        <w:r>
          <w:rPr>
            <w:color w:val="1155CC"/>
            <w:u w:val="single"/>
          </w:rPr>
          <w:t>10.1126/science.adt1522</w:t>
        </w:r>
      </w:hyperlink>
    </w:p>
    <w:p>
      <w:pPr>
        <w:spacing w:before="0" w:after="80" w:lineRule="auto" w:line="276"/>
      </w:pPr>
      <w:r>
        <w:rPr>
          <w:b/>
        </w:rPr>
        <w:t xml:space="preserve">摘要（ZH）: </w:t>
      </w:r>
      <w:r>
        <w:t>(empty)</w:t>
      </w:r>
    </w:p>
    <w:p>
      <w:pPr>
        <w:spacing w:before="0" w:after="200" w:lineRule="auto" w:line="276"/>
      </w:pPr>
      <w:r>
        <w:rPr>
          <w:b/>
        </w:rPr>
        <w:t xml:space="preserve">Abstract (EN): </w:t>
      </w:r>
      <w:r>
        <w:t>High-sugar diets cause human metabolic diseases, yet several bird lineages convergently adapted to feeding on sugar-rich nectar or fruits. We investigated the underlying molecular mechanisms in hummingbirds, parrots, honeyeaters, and sunbirds by generating nine new genomes and 90 tissue-specific transcriptomes. Comparative screens revealed an excess of repeated selection in both protein-coding and regulatory sequences in sugar-feeding birds, suggesting reuse of genetic elements. Sequence or expression changes in sugar-feeders affect genes involved in blood pressure regulation and lipid, amino acid, and carbohydrate metabolism, with experiments showing functional changes in honeyeater hexokinase 3.</w:t>
        <w:br/>
        <w:t xml:space="preserve">                    MLXIPL</w:t>
        <w:br/>
        <w:t xml:space="preserve">                    , a key regulator of sugar and lipid homeostasis, showed convergent sequence and regulatory changes across all sugar-feeding clades; experiments revealed enhanced sugar-induced transcriptional activity of hummingbird</w:t>
        <w:br/>
        <w:t xml:space="preserve">                    MLXIPL</w:t>
        <w:br/>
        <w:t xml:space="preserve">                    , highlighting its adaptive role in high-sugar diets.</w:t>
      </w:r>
    </w:p>
    <w:p>
      <w:pPr>
        <w:spacing w:before="120" w:after="120"/>
      </w:pPr>
      <w:r>
        <w:rPr>
          <w:sz w:val="18"/>
        </w:rPr>
        <w:t>——————————————————————————————————————————————————————————————————————</w:t>
      </w:r>
    </w:p>
    <w:p>
      <w:pPr>
        <w:spacing w:before="160" w:after="40" w:line="240" w:lineRule="auto"/>
      </w:pPr>
      <w:r>
        <w:rPr>
          <w:b/>
        </w:rPr>
        <w:t xml:space="preserve">[312] </w:t>
      </w:r>
      <w:hyperlink r:id="rId705">
        <w:r>
          <w:rPr>
            <w:color w:val="1155CC"/>
            <w:u w:val="single"/>
          </w:rPr>
          <w:t>Different DNA repair pathways support intact or truncated insertions by R2 retrotransposon protein</w:t>
        </w:r>
      </w:hyperlink>
    </w:p>
    <w:p>
      <w:pPr>
        <w:spacing w:before="0" w:after="120"/>
      </w:pPr>
      <w:r>
        <w:rPr>
          <w:b/>
        </w:rPr>
        <w:t xml:space="preserve">Source: </w:t>
      </w:r>
      <w:r>
        <w:t>AAAS: Science: Table of Contents</w:t>
      </w:r>
      <w:r>
        <w:t xml:space="preserve">    </w:t>
      </w:r>
      <w:r>
        <w:rPr>
          <w:b/>
        </w:rPr>
        <w:t xml:space="preserve">Pub date: </w:t>
      </w:r>
      <w:r>
        <w:t>2026-02-26 08:00:00+00:00</w:t>
      </w:r>
      <w:r>
        <w:t xml:space="preserve">    </w:t>
      </w:r>
      <w:r>
        <w:rPr>
          <w:b/>
        </w:rPr>
        <w:t xml:space="preserve">DOI: </w:t>
      </w:r>
      <w:hyperlink r:id="rId706">
        <w:r>
          <w:rPr>
            <w:color w:val="1155CC"/>
            <w:u w:val="single"/>
          </w:rPr>
          <w:t>10.1126/science.adz3121</w:t>
        </w:r>
      </w:hyperlink>
    </w:p>
    <w:p>
      <w:pPr>
        <w:spacing w:before="0" w:after="80" w:lineRule="auto" w:line="276"/>
      </w:pPr>
      <w:r>
        <w:rPr>
          <w:b/>
        </w:rPr>
        <w:t xml:space="preserve">摘要（ZH）: </w:t>
      </w:r>
      <w:r>
        <w:t>(empty)</w:t>
      </w:r>
    </w:p>
    <w:p>
      <w:pPr>
        <w:spacing w:before="0" w:after="200" w:lineRule="auto" w:line="276"/>
      </w:pPr>
      <w:r>
        <w:rPr>
          <w:b/>
        </w:rPr>
        <w:t xml:space="preserve">Abstract (EN): </w:t>
      </w:r>
      <w:r>
        <w:t>Non–long terminal repeat (non-LTR) retrotransposon proteins copy their RNA template into a genome through coordinated nicking and reverse transcriptase activities of target-primed reverse transcription. Mechanisms by which the first-strand complementary DNA (cDNA) becomes a stably inserted duplex, including requirements for junction formation at the cDNA 3′ end and second-strand synthesis, are unknown. We screened for cellular factors that influence site-specific transgene synthesis into the human genome by an R2 retrotransposon protein. We discovered that insertion lengths and junction signatures differ based on alternative repair processes involving ATR-dependent polymerase θ end joining, 53BP1-directed shieldin and CST–polymerase α–primase fill-in synthesis, or limited strand annealing dependent on CtIP-MRN. These insights shed light on how genome-primed cDNA synthesis by a non-LTR retrotransposon protein can support stable new gene insertion, with major implications for native retrotransposon mobility and genome engineering.</w:t>
      </w:r>
    </w:p>
    <w:p>
      <w:pPr>
        <w:spacing w:before="120" w:after="120"/>
      </w:pPr>
      <w:r>
        <w:rPr>
          <w:sz w:val="18"/>
        </w:rPr>
        <w:t>——————————————————————————————————————————————————————————————————————</w:t>
      </w:r>
    </w:p>
    <w:p>
      <w:pPr>
        <w:spacing w:before="160" w:after="40" w:line="240" w:lineRule="auto"/>
      </w:pPr>
      <w:r>
        <w:rPr>
          <w:b/>
        </w:rPr>
        <w:t xml:space="preserve">[313] </w:t>
      </w:r>
      <w:hyperlink r:id="rId707">
        <w:r>
          <w:rPr>
            <w:color w:val="1155CC"/>
            <w:u w:val="single"/>
          </w:rPr>
          <w:t>Private money cannot replace public funding of science</w:t>
        </w:r>
      </w:hyperlink>
    </w:p>
    <w:p>
      <w:pPr>
        <w:spacing w:before="0" w:after="120"/>
      </w:pPr>
      <w:r>
        <w:rPr>
          <w:b/>
        </w:rPr>
        <w:t xml:space="preserve">Source: </w:t>
      </w:r>
      <w:r>
        <w:t>AAAS: Science: Table of Contents</w:t>
      </w:r>
      <w:r>
        <w:t xml:space="preserve">    </w:t>
      </w:r>
      <w:r>
        <w:rPr>
          <w:b/>
        </w:rPr>
        <w:t xml:space="preserve">Pub date: </w:t>
      </w:r>
      <w:r>
        <w:t>2026-02-26 08:00:00+00:00</w:t>
      </w:r>
      <w:r>
        <w:t xml:space="preserve">    </w:t>
      </w:r>
      <w:r>
        <w:rPr>
          <w:b/>
        </w:rPr>
        <w:t xml:space="preserve">DOI: </w:t>
      </w:r>
      <w:hyperlink r:id="rId708">
        <w:r>
          <w:rPr>
            <w:color w:val="1155CC"/>
            <w:u w:val="single"/>
          </w:rPr>
          <w:t>10.1126/science.aef2849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[314] </w:t>
      </w:r>
      <w:hyperlink r:id="rId709">
        <w:r>
          <w:rPr>
            <w:color w:val="1155CC"/>
            <w:u w:val="single"/>
          </w:rPr>
          <w:t>A cellular basis for the mammalian nocturnal-diurnal switch</w:t>
        </w:r>
      </w:hyperlink>
    </w:p>
    <w:p>
      <w:pPr>
        <w:spacing w:before="0" w:after="120"/>
      </w:pPr>
      <w:r>
        <w:rPr>
          <w:b/>
        </w:rPr>
        <w:t xml:space="preserve">Source: </w:t>
      </w:r>
      <w:r>
        <w:t>AAAS: Science: Table of Contents</w:t>
      </w:r>
      <w:r>
        <w:t xml:space="preserve">    </w:t>
      </w:r>
      <w:r>
        <w:rPr>
          <w:b/>
        </w:rPr>
        <w:t xml:space="preserve">Pub date: </w:t>
      </w:r>
      <w:r>
        <w:t>2026-02-26 08:00:00+00:00</w:t>
      </w:r>
      <w:r>
        <w:t xml:space="preserve">    </w:t>
      </w:r>
      <w:r>
        <w:rPr>
          <w:b/>
        </w:rPr>
        <w:t xml:space="preserve">DOI: </w:t>
      </w:r>
      <w:hyperlink r:id="rId710">
        <w:r>
          <w:rPr>
            <w:color w:val="1155CC"/>
            <w:u w:val="single"/>
          </w:rPr>
          <w:t>10.1126/science.ady2822</w:t>
        </w:r>
      </w:hyperlink>
    </w:p>
    <w:p>
      <w:pPr>
        <w:spacing w:before="0" w:after="80" w:lineRule="auto" w:line="276"/>
      </w:pPr>
      <w:r>
        <w:rPr>
          <w:b/>
        </w:rPr>
        <w:t xml:space="preserve">摘要（ZH）: </w:t>
      </w:r>
      <w:r>
        <w:t>(empty)</w:t>
      </w:r>
    </w:p>
    <w:p>
      <w:pPr>
        <w:spacing w:before="0" w:after="200" w:lineRule="auto" w:line="276"/>
      </w:pPr>
      <w:r>
        <w:rPr>
          <w:b/>
        </w:rPr>
        <w:t xml:space="preserve">Abstract (EN): </w:t>
      </w:r>
      <w:r>
        <w:t>Early mammals were nocturnal while dinosaurs dominated the daytime. Mammalian transition to daytime activity accelerated after the Cretaceous-Paleogene extinction, but the underlying mechanisms remain unclear. We identified a conserved cell-intrinsic, thermodynamic mechanism that likely facilitated this shift. In cells from diurnal mammals, protein synthesis, phosphorylation, and circadian timing were less sensitive to temperature changes than were cells from nocturnal mammals. Comparative genomics revealed accelerated evolution within essential signaling pathways, including mechanistic target of rapamycin (mTOR), that increase the robustness of diurnal cellular clocks to thermal and osmotic perturbation. In nocturnal mice, mTOR inhibition shifted cells, tissues, and behavior toward diurnal activity. These findings uncover a genetic and biochemical basis for nocturnal-diurnal switching, emphasizing how cellular signaling networks can encode complex phenotypes such as temporal niche selection.</w:t>
      </w:r>
    </w:p>
    <w:p>
      <w:pPr>
        <w:spacing w:before="120" w:after="120"/>
      </w:pPr>
      <w:r>
        <w:rPr>
          <w:sz w:val="18"/>
        </w:rPr>
        <w:t>——————————————————————————————————————————————————————————————————————</w:t>
      </w:r>
    </w:p>
    <w:p>
      <w:pPr>
        <w:spacing w:before="160" w:after="40" w:line="240" w:lineRule="auto"/>
      </w:pPr>
      <w:r>
        <w:rPr>
          <w:b/>
        </w:rPr>
        <w:t xml:space="preserve">[315] </w:t>
      </w:r>
      <w:hyperlink r:id="rId711">
        <w:r>
          <w:rPr>
            <w:color w:val="1155CC"/>
            <w:u w:val="single"/>
          </w:rPr>
          <w:t>The Rab5 effector Rabankyrin-5 mediates endosomal fusion and trafficking of human papillomavirus during early entry</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2026-02-26 08:00:00+00:00</w:t>
      </w:r>
      <w:r>
        <w:t xml:space="preserve">    </w:t>
      </w:r>
      <w:r>
        <w:rPr>
          <w:b/>
        </w:rPr>
        <w:t xml:space="preserve">DOI: </w:t>
      </w:r>
      <w:hyperlink r:id="rId712">
        <w:r>
          <w:rPr>
            <w:color w:val="1155CC"/>
            <w:u w:val="single"/>
          </w:rPr>
          <w:t>10.1073/pnas.2524765123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fusion of newly formed early endosomal vesicles after endocytosis is a crucial step in viral infection. It facilitates the transition of many viruses from viral internalization to downstream intracellular trafficking within the endosomal network, ultimately enabling their delivery to intracellular replication sites. Despite its significance, the molecular mechanisms regulating the fusion of these vesicles remain poorly understood. In this study, we show that Rabankyrin-5, a Rab5 effector, is essential for the fusion of human papillomavirus (HPV)-carrying early endosomes during viral entry. Additionally, Rabankyrin-5 acts as a dynein adaptor, directly binding both the HPV minor capsid protein L2 and the dynein motor complex to link virus-carrying early endosomes to the dynein transport machinery, thereby promoting virus movement along microtubules. These dual functions enable the coordinated integration of endosomal fusion with microtubule-based transport during the early stages of viral entry.</w:t>
      </w:r>
    </w:p>
    <w:p>
      <w:pPr>
        <w:spacing w:before="120" w:after="120"/>
      </w:pPr>
      <w:r>
        <w:rPr>
          <w:sz w:val="18"/>
        </w:rPr>
        <w:t>——————————————————————————————————————————————————————————————————————</w:t>
      </w:r>
    </w:p>
    <w:p>
      <w:pPr>
        <w:spacing w:before="160" w:after="40" w:line="240" w:lineRule="auto"/>
      </w:pPr>
      <w:r>
        <w:rPr>
          <w:b/>
        </w:rPr>
        <w:t xml:space="preserve">[316] </w:t>
      </w:r>
      <w:hyperlink r:id="rId713">
        <w:r>
          <w:rPr>
            <w:color w:val="1155CC"/>
            <w:u w:val="single"/>
          </w:rPr>
          <w:t>HOP2–MND1 chaperones a diffusing DMC1–ssDNA complex to survey dsDNA for homology recognition during meiotic recombination</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2026-02-26 08:00:00+00:00</w:t>
      </w:r>
      <w:r>
        <w:t xml:space="preserve">    </w:t>
      </w:r>
      <w:r>
        <w:rPr>
          <w:b/>
        </w:rPr>
        <w:t xml:space="preserve">DOI: </w:t>
      </w:r>
      <w:hyperlink r:id="rId714">
        <w:r>
          <w:rPr>
            <w:color w:val="1155CC"/>
            <w:u w:val="single"/>
          </w:rPr>
          <w:t>10.1073/pnas.2529249123</w:t>
        </w:r>
      </w:hyperlink>
    </w:p>
    <w:p>
      <w:pPr>
        <w:spacing w:before="0" w:after="80" w:lineRule="auto" w:line="276"/>
      </w:pPr>
      <w:r>
        <w:rPr>
          <w:b/>
        </w:rPr>
        <w:t xml:space="preserve">摘要（ZH）: </w:t>
      </w:r>
      <w:r>
        <w:t>(empty)</w:t>
      </w:r>
    </w:p>
    <w:p>
      <w:pPr>
        <w:spacing w:before="0" w:after="200" w:lineRule="auto" w:line="276"/>
      </w:pPr>
      <w:r>
        <w:rPr>
          <w:b/>
        </w:rPr>
        <w:t xml:space="preserve">Abstract (EN): </w:t>
      </w:r>
      <w:r>
        <w:t>Meiotic recombination ensures genetic diversity and accurate chromosome segregation by mediating reciprocal DNA exchange between homologous chromosomes. In this process, the meiosis-specific recombinase DMC1 plays a pivotal role in homology search and pairing, but the molecular mechanisms underlying its function remain unclear. Using single-molecule imaging, we demonstrate that the human DMC1–ssDNA presynaptic complex employs a diffusion-based mechanism to search for homologous DNA. Although this diffusing complex generates a migrating DNA “bubble,” it cannot align with the homologous sequence in the absence of free DMC1 protein. Strikingly, the meiosis-specific cofactor complex HOP2–MND1 compensates for the lack of free DMC1 and enables homology recognition. Notably, HOP2–MND1 achieves this by codiffusing with the presynaptic complex, acting to clamp the ssDNA–dsDNA junctions and maintain an expanded DNA bubble conducive to sequence alignment. Our findings identify DMC1 together with HOP2–MND1 as a functional homology search unit and provide mechanistic insights into how auxiliary factors regulate DMC1-driven strand exchange during meiotic recombination.</w:t>
      </w:r>
    </w:p>
    <w:p>
      <w:pPr>
        <w:spacing w:before="120" w:after="120"/>
      </w:pPr>
      <w:r>
        <w:rPr>
          <w:sz w:val="18"/>
        </w:rPr>
        <w:t>——————————————————————————————————————————————————————————————————————</w:t>
      </w:r>
    </w:p>
    <w:p>
      <w:pPr>
        <w:spacing w:before="160" w:after="40" w:line="240" w:lineRule="auto"/>
      </w:pPr>
      <w:r>
        <w:rPr>
          <w:b/>
        </w:rPr>
        <w:t xml:space="preserve">[317] </w:t>
      </w:r>
      <w:hyperlink r:id="rId715">
        <w:r>
          <w:rPr>
            <w:color w:val="1155CC"/>
            <w:u w:val="single"/>
          </w:rPr>
          <w:t>Generation of functionally competent testicular somatic cells from pluripotent stem cells</w:t>
        </w:r>
      </w:hyperlink>
    </w:p>
    <w:p>
      <w:pPr>
        <w:spacing w:before="0" w:after="120"/>
      </w:pPr>
      <w:r>
        <w:rPr>
          <w:b/>
        </w:rPr>
        <w:t xml:space="preserve">Source: </w:t>
      </w:r>
      <w:r>
        <w:t>AAAS: Science Advances: Table of Contents</w:t>
      </w:r>
      <w:r>
        <w:t xml:space="preserve">    </w:t>
      </w:r>
      <w:r>
        <w:rPr>
          <w:b/>
        </w:rPr>
        <w:t xml:space="preserve">Pub date: </w:t>
      </w:r>
      <w:r>
        <w:t>2026-02-26 08:00:00+00:00</w:t>
      </w:r>
      <w:r>
        <w:t xml:space="preserve">    </w:t>
      </w:r>
      <w:r>
        <w:rPr>
          <w:b/>
        </w:rPr>
        <w:t xml:space="preserve">DOI: </w:t>
      </w:r>
      <w:hyperlink r:id="rId716">
        <w:r>
          <w:rPr>
            <w:color w:val="1155CC"/>
            <w:u w:val="single"/>
          </w:rPr>
          <w:t>10.1126/sciadv.adz0269</w:t>
        </w:r>
      </w:hyperlink>
    </w:p>
    <w:p>
      <w:pPr>
        <w:spacing w:before="0" w:after="80" w:lineRule="auto" w:line="276"/>
      </w:pPr>
      <w:r>
        <w:rPr>
          <w:b/>
        </w:rPr>
        <w:t xml:space="preserve">摘要（ZH）: </w:t>
      </w:r>
      <w:r>
        <w:t>(empty)</w:t>
      </w:r>
    </w:p>
    <w:p>
      <w:pPr>
        <w:spacing w:before="0" w:after="200" w:lineRule="auto" w:line="276"/>
      </w:pPr>
      <w:r>
        <w:rPr>
          <w:b/>
        </w:rPr>
        <w:t xml:space="preserve">Abstract (EN): </w:t>
      </w:r>
      <w:r>
        <w:t>Cellular interactions between germ cells and gonadal somatic cells are essential for the progression of gametogenesis. Here, we report a culture method for generating fetal testicular somatic cell–like cells (fTeSLCs) from embryonic stem cells. These fTeSLCs exhibit a transcriptomic profile closely resembling that of their in vivo counterparts, including distinct cell populations corresponding to Sertoli cells and interstitial cells. For functional assessment, interstitial cell–like cells (ICLCs) and Sertoli-like cells (SerLCs) were isolated from fTeSLCs. ICLCs differentiated into Leydig cells when cocultured with testes lacking endogenous Leydig cells, thereby restoring androgenic support. SerLCs reconstituted the seminiferous epithelium following selective ablation of endogenous Sertoli cells. Both cell types supported spermatogenesis and generated spermatids reaching the elongating stage. Notably, round spermatids derived from these reconstructed systems produced viable offspring by round spermatid injection. These findings demonstrate that fTeSLCs can generate functional testicular somatic cells, providing a valuable platform for studying testis development and spermatogenesis.</w:t>
      </w:r>
    </w:p>
    <w:p>
      <w:pPr>
        <w:spacing w:before="120" w:after="120"/>
      </w:pPr>
      <w:r>
        <w:rPr>
          <w:sz w:val="18"/>
        </w:rPr>
        <w:t>——————————————————————————————————————————————————————————————————————</w:t>
      </w:r>
    </w:p>
    <w:p>
      <w:pPr>
        <w:spacing w:before="160" w:after="40" w:line="240" w:lineRule="auto"/>
      </w:pPr>
      <w:r>
        <w:rPr>
          <w:b/>
        </w:rPr>
        <w:t xml:space="preserve">[318] </w:t>
      </w:r>
      <w:hyperlink r:id="rId717">
        <w:r>
          <w:rPr>
            <w:color w:val="1155CC"/>
            <w:u w:val="single"/>
          </w:rPr>
          <w:t>From peptides to DNA: All required steps can be catalyzed</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2026-02-26 08:00:00+00:00</w:t>
      </w:r>
      <w:r>
        <w:t xml:space="preserve">    </w:t>
      </w:r>
      <w:r>
        <w:rPr>
          <w:b/>
        </w:rPr>
        <w:t xml:space="preserve">DOI: </w:t>
      </w:r>
      <w:hyperlink r:id="rId718">
        <w:r>
          <w:rPr>
            <w:color w:val="1155CC"/>
            <w:u w:val="single"/>
          </w:rPr>
          <w:t>10.1073/pnas.2534387123</w:t>
        </w:r>
      </w:hyperlink>
    </w:p>
    <w:p>
      <w:pPr>
        <w:spacing w:before="0" w:after="80" w:lineRule="auto" w:line="276"/>
      </w:pPr>
      <w:r>
        <w:rPr>
          <w:b/>
        </w:rPr>
        <w:t xml:space="preserve">摘要（ZH）: </w:t>
      </w:r>
      <w:r>
        <w:t>(empty)</w:t>
      </w:r>
    </w:p>
    <w:p>
      <w:pPr>
        <w:spacing w:before="0" w:after="200" w:lineRule="auto" w:line="276"/>
      </w:pPr>
      <w:r>
        <w:rPr>
          <w:b/>
        </w:rPr>
        <w:t xml:space="preserve">Abstract (EN): </w:t>
      </w:r>
      <w:r>
        <w:t>Ensuring information flow (heredity) and metabolic processes (catalysis) are two important prerequisites for early evolution. The widely accepted “RNA world” theory proposes that ancient RNAs ensured both heredity and catalysis during the transition from prebiotic to biotic evolution. However, alternative hypothetical molecules and processes have also been proposed, suggesting that catalytic peptides may have existed before polynucleotides, and that their sequences were later reverse translated into genes. Our objective was to experimentally address these alternative theories by asking whether the steps required for the hypothetical conversion of peptide sequences into DNA could be catalyzed by the existing molecular kit. The reactions we tested comprise i) step-wise degradation of peptides by a processive amino peptidase, sequentially releasing amino acids, ii) matching the identity of released amino acids to codons by aptazymes (RNA adapters that recognize amino acids and self-cleave and release specific codon triplets in response), and iii) ligating codon triplets into longer RNAs that can be reverse-transcribed into DNA. In a hypothetical processive system based on these reactions, the resulting DNA sequence would match the sequence of amino acids in the starting peptide. Our results suggest that all these steps can be catalyzed, and therefore the possibility of reverse translation occurring at some point in early evolution should not be disregarded.</w:t>
      </w:r>
    </w:p>
    <w:p>
      <w:pPr>
        <w:spacing w:before="120" w:after="120"/>
      </w:pPr>
      <w:r>
        <w:rPr>
          <w:sz w:val="18"/>
        </w:rPr>
        <w:t>——————————————————————————————————————————————————————————————————————</w:t>
      </w:r>
    </w:p>
    <w:p>
      <w:pPr>
        <w:spacing w:before="160" w:after="40" w:line="240" w:lineRule="auto"/>
      </w:pPr>
      <w:r>
        <w:rPr>
          <w:b/>
        </w:rPr>
        <w:t xml:space="preserve">[319] </w:t>
      </w:r>
      <w:hyperlink r:id="rId719">
        <w:r>
          <w:rPr>
            <w:color w:val="1155CC"/>
            <w:u w:val="single"/>
          </w:rPr>
          <w:t>Evolutionary remodeling of a remnant GET pathway factor into PEX38, an essential peroxin</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2026-02-26 08:00:00+00:00</w:t>
      </w:r>
      <w:r>
        <w:t xml:space="preserve">    </w:t>
      </w:r>
      <w:r>
        <w:rPr>
          <w:b/>
        </w:rPr>
        <w:t xml:space="preserve">DOI: </w:t>
      </w:r>
      <w:hyperlink r:id="rId720">
        <w:r>
          <w:rPr>
            <w:color w:val="1155CC"/>
            <w:u w:val="single"/>
          </w:rPr>
          <w:t>10.1073/pnas.2533726123</w:t>
        </w:r>
      </w:hyperlink>
    </w:p>
    <w:p>
      <w:pPr>
        <w:spacing w:before="0" w:after="80" w:lineRule="auto" w:line="276"/>
      </w:pPr>
      <w:r>
        <w:rPr>
          <w:b/>
        </w:rPr>
        <w:t xml:space="preserve">摘要（ZH）: </w:t>
      </w:r>
      <w:r>
        <w:t>(empty)</w:t>
      </w:r>
    </w:p>
    <w:p>
      <w:pPr>
        <w:spacing w:before="0" w:after="200" w:lineRule="auto" w:line="276"/>
      </w:pPr>
      <w:r>
        <w:rPr>
          <w:b/>
        </w:rPr>
        <w:t xml:space="preserve">Abstract (EN): </w:t>
      </w:r>
      <w:r>
        <w:t>PEX19 is a cytosolic receptor that directs membrane proteins posttranslationally to peroxisomes, as well as to mitochondria, lipid droplets, and the endoplasmic reticulum. A comprehensive</w:t>
        <w:br/>
        <w:t xml:space="preserve">                    Trypanosoma</w:t>
        <w:br/>
        <w:t xml:space="preserve">                    PEX19 interactome analysis uncovered PEX38 as an essential Euglenozoa-specific peroxin. PEX38 contains distinct domains that bind the cochaperone Hip and the PEX3-binding motif of PEX19, suggesting a role in stabilizing membrane proteins and preventing premature membrane docking. PEX38 illustrates functional repurposing in organelle biogenesis. It originated from a remnant of the GET/TRC pathway, typically responsible for the targeting of tail-anchored (TA) proteins to the endoplasmic reticulum. While most components of this machinery are absent in Euglenozoa, PEX38 has been retained and adapted to mediate peroxisomal membrane protein targeting. This evolutionary adaptation is unique to Euglenozoa. Because the PEX19–PEX38 interaction is essential for parasite viability and PEX38 has no human homologs, this complex is a promising therapeutic target against trypanosomatid parasites.</w:t>
      </w:r>
    </w:p>
    <w:p>
      <w:pPr>
        <w:spacing w:before="120" w:after="120"/>
      </w:pPr>
      <w:r>
        <w:rPr>
          <w:sz w:val="18"/>
        </w:rPr>
        <w:t>——————————————————————————————————————————————————————————————————————</w:t>
      </w:r>
    </w:p>
    <w:p>
      <w:pPr>
        <w:spacing w:before="160" w:after="40" w:line="240" w:lineRule="auto"/>
      </w:pPr>
      <w:r>
        <w:rPr>
          <w:b/>
        </w:rPr>
        <w:t xml:space="preserve">[320] </w:t>
      </w:r>
      <w:hyperlink r:id="rId721">
        <w:r>
          <w:rPr>
            <w:color w:val="1155CC"/>
            <w:u w:val="single"/>
          </w:rPr>
          <w:t>Chiral gliding: Right-handed navigation of filamentous cyanobacteria</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2026-02-26 08:00:00+00:00</w:t>
      </w:r>
      <w:r>
        <w:t xml:space="preserve">    </w:t>
      </w:r>
      <w:r>
        <w:rPr>
          <w:b/>
        </w:rPr>
        <w:t xml:space="preserve">DOI: </w:t>
      </w:r>
      <w:hyperlink r:id="rId722">
        <w:r>
          <w:rPr>
            <w:color w:val="1155CC"/>
            <w:u w:val="single"/>
          </w:rPr>
          <w:t>10.1073/pnas.2534547123</w:t>
        </w:r>
      </w:hyperlink>
    </w:p>
    <w:p>
      <w:pPr>
        <w:spacing w:before="0" w:after="80" w:lineRule="auto" w:line="276"/>
      </w:pPr>
      <w:r>
        <w:rPr>
          <w:b/>
        </w:rPr>
        <w:t xml:space="preserve">摘要（ZH）: </w:t>
      </w:r>
      <w:r>
        <w:t>(empty)</w:t>
      </w:r>
    </w:p>
    <w:p>
      <w:pPr>
        <w:spacing w:before="0" w:after="200" w:lineRule="auto" w:line="276"/>
      </w:pPr>
      <w:r>
        <w:rPr>
          <w:b/>
        </w:rPr>
        <w:t xml:space="preserve">Abstract (EN): </w:t>
      </w:r>
      <w:r>
        <w:t>Cyanobacteria are the earliest known organisms that produced oxygen through photosynthesis, leading to the oxygen atmosphere that allowed the evolution of more complex life forms. Many species of cyanobacteria exhibit gliding motility along surfaces to navigate complex environments and adapt to fluctuating conditions. Here, we studied the gliding motility of filamentous cyanobacteria</w:t>
        <w:br/>
        <w:t xml:space="preserve">                    Lyngbya lagerheimii</w:t>
        <w:br/>
        <w:t xml:space="preserve">                    at the transition between different physical environments. We show that on a dry surface, a filament adopts a curved shape that turns right while gliding. When a filament switches the gliding direction, the curvature is initially preserved and a filament can turn left as long as it backtracks along a slime trace. We propose a model of chiral motility that explains the bending based on the right-handed rotation of gliding filaments and a velocity mismatch between the leading and the trailing end of the filament. The mechanism involves a unique way of transferring the structural chirality to the macroscale and also a unique physical navigation mechanism.</w:t>
      </w:r>
    </w:p>
    <w:p>
      <w:pPr>
        <w:spacing w:before="120" w:after="120"/>
      </w:pPr>
      <w:r>
        <w:rPr>
          <w:sz w:val="18"/>
        </w:rPr>
        <w:t>——————————————————————————————————————————————————————————————————————</w:t>
      </w:r>
    </w:p>
    <w:p>
      <w:pPr>
        <w:spacing w:before="160" w:after="40" w:line="240" w:lineRule="auto"/>
      </w:pPr>
      <w:r>
        <w:rPr>
          <w:b/>
        </w:rPr>
        <w:t xml:space="preserve">[321] </w:t>
      </w:r>
      <w:hyperlink r:id="rId723">
        <w:r>
          <w:rPr>
            <w:color w:val="1155CC"/>
            <w:u w:val="single"/>
          </w:rPr>
          <w:t>Reconstitution of sex determination and the testicular niche using mouse pluripotent stem cells</w:t>
        </w:r>
      </w:hyperlink>
    </w:p>
    <w:p>
      <w:pPr>
        <w:spacing w:before="0" w:after="120"/>
      </w:pPr>
      <w:r>
        <w:rPr>
          <w:b/>
        </w:rPr>
        <w:t xml:space="preserve">Source: </w:t>
      </w:r>
      <w:r>
        <w:t>AAAS: Science: Table of Contents</w:t>
      </w:r>
      <w:r>
        <w:t xml:space="preserve">    </w:t>
      </w:r>
      <w:r>
        <w:rPr>
          <w:b/>
        </w:rPr>
        <w:t xml:space="preserve">Pub date: </w:t>
      </w:r>
      <w:r>
        <w:t>2026-02-26 08:00:00+00:00</w:t>
      </w:r>
      <w:r>
        <w:t xml:space="preserve">    </w:t>
      </w:r>
      <w:r>
        <w:rPr>
          <w:b/>
        </w:rPr>
        <w:t xml:space="preserve">DOI: </w:t>
      </w:r>
      <w:hyperlink r:id="rId724">
        <w:r>
          <w:rPr>
            <w:color w:val="1155CC"/>
            <w:u w:val="single"/>
          </w:rPr>
          <w:t>10.1126/science.aea0296</w:t>
        </w:r>
      </w:hyperlink>
    </w:p>
    <w:p>
      <w:pPr>
        <w:spacing w:before="0" w:after="80" w:lineRule="auto" w:line="276"/>
      </w:pPr>
      <w:r>
        <w:rPr>
          <w:b/>
        </w:rPr>
        <w:t xml:space="preserve">摘要（ZH）: </w:t>
      </w:r>
      <w:r>
        <w:t>(empty)</w:t>
      </w:r>
    </w:p>
    <w:p>
      <w:pPr>
        <w:spacing w:before="0" w:after="200" w:lineRule="auto" w:line="276"/>
      </w:pPr>
      <w:r>
        <w:rPr>
          <w:b/>
        </w:rPr>
        <w:t xml:space="preserve">Abstract (EN): </w:t>
      </w:r>
      <w:r>
        <w:t>Proper differentiation of gonadal somatic cells is crucial for sex determination and the production of sex hormones and gametes, and reconstituting this process in culture would both deepen our understanding of this process and enable the generation of gametes in vitro. Here, we report the reconstitution of testicular somatic cells using mouse pluripotent stem cells. The reconstitution recapitulated the sex-determination process, yielding cell types that formed seminiferous tubules and adjacent interstitial tissues. The reconstituted testicular tissue incorporated pluripotent stem cell–derived primordial germ cells and supported their differentiation into spermatogonial stem cells. These spermatogonial stem cells differentiated into functional spermatozoa upon transplantation into testis. This study contributes to a deeper understanding of the sex-determination process and to the creation of an alternative source for the male germ line in culture.</w:t>
      </w:r>
    </w:p>
    <w:p>
      <w:pPr>
        <w:spacing w:before="120" w:after="120"/>
      </w:pPr>
      <w:r>
        <w:rPr>
          <w:sz w:val="18"/>
        </w:rPr>
        <w:t>——————————————————————————————————————————————————————————————————————</w:t>
      </w:r>
    </w:p>
    <w:p>
      <w:pPr>
        <w:spacing w:before="160" w:after="40" w:line="240" w:lineRule="auto"/>
      </w:pPr>
      <w:r>
        <w:rPr>
          <w:b/>
        </w:rPr>
        <w:t xml:space="preserve">[322] </w:t>
      </w:r>
      <w:hyperlink r:id="rId725">
        <w:r>
          <w:rPr>
            <w:color w:val="1155CC"/>
            <w:u w:val="single"/>
          </w:rPr>
          <w:t>STING–NF-κB signaling builds an influenza spillover barrier</w:t>
        </w:r>
      </w:hyperlink>
    </w:p>
    <w:p>
      <w:pPr>
        <w:spacing w:before="0" w:after="120"/>
      </w:pPr>
      <w:r>
        <w:rPr>
          <w:b/>
        </w:rPr>
        <w:t xml:space="preserve">Source: </w:t>
      </w:r>
      <w:r>
        <w:t>AAAS: Science: Table of Contents</w:t>
      </w:r>
      <w:r>
        <w:t xml:space="preserve">    </w:t>
      </w:r>
      <w:r>
        <w:rPr>
          <w:b/>
        </w:rPr>
        <w:t xml:space="preserve">Pub date: </w:t>
      </w:r>
      <w:r>
        <w:t>2026-02-26 08:00:00+00:00</w:t>
      </w:r>
      <w:r>
        <w:t xml:space="preserve">    </w:t>
      </w:r>
      <w:r>
        <w:rPr>
          <w:b/>
        </w:rPr>
        <w:t xml:space="preserve">DOI: </w:t>
      </w:r>
      <w:hyperlink r:id="rId726">
        <w:r>
          <w:rPr>
            <w:color w:val="1155CC"/>
            <w:u w:val="single"/>
          </w:rPr>
          <w:t>10.1126/science.ads4405</w:t>
        </w:r>
      </w:hyperlink>
    </w:p>
    <w:p>
      <w:pPr>
        <w:spacing w:before="0" w:after="80" w:lineRule="auto" w:line="276"/>
      </w:pPr>
      <w:r>
        <w:rPr>
          <w:b/>
        </w:rPr>
        <w:t xml:space="preserve">摘要（ZH）: </w:t>
      </w:r>
      <w:r>
        <w:t>(empty)</w:t>
      </w:r>
    </w:p>
    <w:p>
      <w:pPr>
        <w:spacing w:before="0" w:after="200" w:lineRule="auto" w:line="276"/>
      </w:pPr>
      <w:r>
        <w:rPr>
          <w:b/>
        </w:rPr>
        <w:t xml:space="preserve">Abstract (EN): </w:t>
      </w:r>
      <w:r>
        <w:t>Influenza pandemics are often traced back to the spillover of avian influenza A viruses (IAVs) to humans. However, barriers against IAV transmission remain elusive. We demonstrated human stimulator of interferon genes (STING) as a transmission barrier against IAVs. STING activated nuclear factor κB (NF-κB) and downstream NF-κB–stimulated genes (NSGs) through a specific domain. Among these NSGs,</w:t>
        <w:br/>
        <w:t xml:space="preserve">                    growth arrest and DNA damage–inducible protein 34</w:t>
        <w:br/>
        <w:t xml:space="preserve">                    (</w:t>
        <w:br/>
        <w:t xml:space="preserve">                    GADD34</w:t>
        <w:br/>
        <w:t xml:space="preserve">                    ) was crucial for IAV restriction. Some IAVs have evolved to evade activating human STING by mutating residue 115 in their matrix protein 1 (M1), which is essential for efficient viral replication in human respiratory cells. This barrier against the zoonotic threat of IAVs provides a tool for future investigations into the biological functions of the cyclic guanosine monophosphate–adenosine monosphosphate (cGMP-AMP) synthase (cGAS)–STING–NF-κB signaling pathway.</w:t>
      </w:r>
    </w:p>
    <w:p>
      <w:pPr>
        <w:spacing w:before="120" w:after="120"/>
      </w:pPr>
      <w:r>
        <w:rPr>
          <w:sz w:val="18"/>
        </w:rPr>
        <w:t>——————————————————————————————————————————————————————————————————————</w:t>
      </w:r>
    </w:p>
    <w:p>
      <w:pPr>
        <w:spacing w:before="160" w:after="40" w:line="240" w:lineRule="auto"/>
      </w:pPr>
      <w:r>
        <w:rPr>
          <w:b/>
        </w:rPr>
        <w:t xml:space="preserve">[323] </w:t>
      </w:r>
      <w:hyperlink r:id="rId727">
        <w:r>
          <w:rPr>
            <w:color w:val="1155CC"/>
            <w:u w:val="single"/>
          </w:rPr>
          <w:t>Cell fate acquisition at a de novo developmental boundary in the maize leaf</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2026-02-26 08:00:00+00:00</w:t>
      </w:r>
      <w:r>
        <w:t xml:space="preserve">    </w:t>
      </w:r>
      <w:r>
        <w:rPr>
          <w:b/>
        </w:rPr>
        <w:t xml:space="preserve">DOI: </w:t>
      </w:r>
      <w:hyperlink r:id="rId728">
        <w:r>
          <w:rPr>
            <w:color w:val="1155CC"/>
            <w:u w:val="single"/>
          </w:rPr>
          <w:t>10.1073/pnas.2533591123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formation of boundaries separating developmental fields with distinct gene expression and cell fate trajectories is a universal feature of noncolonial multicellular organisms. Developmental boundaries arise reiteratively during ontogeny and are characterized by stiff, slowly dividing cells that demarcate adjacent and divergent morphogenetic domains; the genetic mechanisms of cell fate acquisition within these boundaries are incompletely understood. Grass leaves are initiated at a developmental boundary in the periphery of the shoot apical meristem, an organogenic pool of plant stem cells that generates all lateral organs in the plant shoot. During later primordial growth, maize leaves form a de novo developmental boundary that ultimately separates the distal, photosynthetic leaf blade from the proximal, clasping leaf sheath. Morphogenesis at this blade/sheath boundary in maize leaves generates an epidermal outgrowth called the ligule and two tissue-wedges forming the auricle, a hinge-like structure with major effects on leaf angle, light capture, and yield. Here, we use cell lineage mapping, morphometric measures of cell division and expansion, cell-specific multidimensional transcriptomic analyses, and topological landscape modeling to investigate the mechanisms of cell fate acquisition at the ligule/auricle morphogenetic boundary in the maize leaf. The data suggest a model where auricle initial cells are recruited from blade founder cells at this boundary, via repression of blade identity during early stages in auricle ontogeny. Thereafter, auricle primordial cells assume a developmental genetic trajectory that is distinct from the blade, sheath, and ligule, thereby acquiring a unique auricle cell fate in the maize leaf.</w:t>
      </w:r>
    </w:p>
    <w:p>
      <w:pPr>
        <w:spacing w:before="120" w:after="120"/>
      </w:pPr>
      <w:r>
        <w:rPr>
          <w:sz w:val="18"/>
        </w:rPr>
        <w:t>——————————————————————————————————————————————————————————————————————</w:t>
      </w:r>
    </w:p>
    <w:p>
      <w:pPr>
        <w:spacing w:before="160" w:after="40" w:line="240" w:lineRule="auto"/>
      </w:pPr>
      <w:r>
        <w:rPr>
          <w:b/>
        </w:rPr>
        <w:t xml:space="preserve">[324] </w:t>
      </w:r>
      <w:hyperlink r:id="rId729">
        <w:r>
          <w:rPr>
            <w:color w:val="1155CC"/>
            <w:u w:val="single"/>
          </w:rPr>
          <w:t>Quantitative 3D Real‐Space Analysis of Photonic Supraparticles</w:t>
        </w:r>
      </w:hyperlink>
    </w:p>
    <w:p>
      <w:pPr>
        <w:spacing w:before="0" w:after="120"/>
      </w:pPr>
      <w:r>
        <w:rPr>
          <w:b/>
        </w:rPr>
        <w:t xml:space="preserve">Source: </w:t>
      </w:r>
      <w:r>
        <w:t>Wiley: Advanced Materials: Table of Contents</w:t>
      </w:r>
      <w:r>
        <w:t xml:space="preserve">    </w:t>
      </w:r>
      <w:r>
        <w:rPr>
          <w:b/>
        </w:rPr>
        <w:t xml:space="preserve">Pub date: </w:t>
      </w:r>
      <w:r>
        <w:t>2026-02-26 11:56:13+00:00</w:t>
      </w:r>
      <w:r>
        <w:t xml:space="preserve">    </w:t>
      </w:r>
      <w:r>
        <w:rPr>
          <w:b/>
        </w:rPr>
        <w:t xml:space="preserve">DOI: </w:t>
      </w:r>
      <w:hyperlink r:id="rId730">
        <w:r>
          <w:rPr>
            <w:color w:val="1155CC"/>
            <w:u w:val="single"/>
          </w:rPr>
          <w:t>10.1002/adma.202520344</w:t>
        </w:r>
      </w:hyperlink>
    </w:p>
    <w:p>
      <w:pPr>
        <w:spacing w:before="0" w:after="80" w:lineRule="auto" w:line="276"/>
      </w:pPr>
      <w:r>
        <w:rPr>
          <w:b/>
        </w:rPr>
        <w:t xml:space="preserve">摘要（ZH）: </w:t>
      </w:r>
      <w:r>
        <w:t>(empty)</w:t>
      </w:r>
    </w:p>
    <w:p>
      <w:pPr>
        <w:spacing w:before="0" w:after="200" w:lineRule="auto" w:line="276"/>
      </w:pPr>
      <w:r>
        <w:rPr>
          <w:b/>
        </w:rPr>
        <w:t xml:space="preserve">Abstract (EN): </w:t>
      </w:r>
      <w:r>
        <w:t>Supraparticles (SPs) are assemblies of smaller particles, and they form an interesting material class. One way through which these structures can be formed is self-assembly (SA) in spherical confinement, and what makes them unique is that they combine the properties of the smaller particles with collective properties arising from the length scale on which these smaller particles are ordered. Additionally, the limited number of particles in an SP enables them to form structures that are not found in bulk systems. An example of this is icosahedral symmetry, which is the equilibrium structure for SPs up to several hundreds of thousands of particles. Although these icosahedral structures have been investigated through computer simulations and several experimental techniques have been used to analyze them in 3D, the number of experimental datasets published is so limited that no statistically relevant conclusions have been drawn so far. The experimental technique most commonly applied to study them is scanning electron microscopy (SEM), but with this, only quantitative information about the surface of the SPs can be obtained. By using a combination of 3D confocal and stimulated emission depletion (STED) microscopy on extremely well-index-matched (within 0.002) fluorescent core-shell, colloidal silica spheres (of 442-478 nm in diameter with polydispersities below 1%), we obtained full 3D real-space datasets of tens of SPs within several hours. The structures were classified based on bond order parameters and deviations from local centrosymmetry, using an unsupervised machine learning model. From this, we are able to correctly classify structures that are commonly misidentified using SEM. Additionally, the quantitative real-space analysis gave experimental insights into the SA pathway and defect formation mechanisms of mostly icosahedral SPs.</w:t>
      </w:r>
    </w:p>
    <w:p>
      <w:pPr>
        <w:spacing w:before="120" w:after="120"/>
      </w:pPr>
      <w:r>
        <w:rPr>
          <w:sz w:val="18"/>
        </w:rPr>
        <w:t>——————————————————————————————————————————————————————————————————————</w:t>
      </w:r>
    </w:p>
    <w:p>
      <w:pPr>
        <w:spacing w:before="160" w:after="40" w:line="240" w:lineRule="auto"/>
      </w:pPr>
      <w:r>
        <w:rPr>
          <w:b/>
        </w:rPr>
        <w:t xml:space="preserve">[325] </w:t>
      </w:r>
      <w:hyperlink r:id="rId731">
        <w:r>
          <w:rPr>
            <w:color w:val="1155CC"/>
            <w:u w:val="single"/>
          </w:rPr>
          <w:t>[ASAP] In Vivo Multiplexed Analysis of Aminopeptidase Activities by Hyperpolarized Molecular Probes for Tumor Diagnostic Applications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12:00:21+00:00</w:t>
      </w:r>
      <w:r>
        <w:t xml:space="preserve">    </w:t>
      </w:r>
      <w:r>
        <w:rPr>
          <w:b/>
        </w:rPr>
        <w:t xml:space="preserve">DOI: </w:t>
      </w:r>
      <w:hyperlink r:id="rId732">
        <w:r>
          <w:rPr>
            <w:color w:val="1155CC"/>
            <w:u w:val="single"/>
          </w:rPr>
          <w:t>10.1021/jacs.5c16910</w:t>
        </w:r>
      </w:hyperlink>
    </w:p>
    <w:p>
      <w:pPr>
        <w:spacing w:before="0" w:after="80" w:lineRule="auto" w:line="276"/>
      </w:pPr>
      <w:r>
        <w:rPr>
          <w:b/>
        </w:rPr>
        <w:t xml:space="preserve">摘要（ZH）: </w:t>
      </w:r>
      <w:r>
        <w:t>(empty)</w:t>
      </w:r>
    </w:p>
    <w:p>
      <w:pPr>
        <w:spacing w:before="0" w:after="200" w:lineRule="auto" w:line="276"/>
      </w:pPr>
      <w:r>
        <w:rPr>
          <w:b/>
        </w:rPr>
        <w:t xml:space="preserve">Abstract (EN): </w:t>
      </w:r>
      <w:r>
        <w:t>Aminopeptidases (APs) in the renin-angiotensin system (RAS) and their activity balance play crucial roles in regulating vascular functions. Multiplexed analysis of RAS-related AP activities is useful for diagnosing diseases including cancer. Dynamic nuclear polarization-coupled magnetic resonance imaging (DNP-MRI) enables the simultaneous detection of multiple enzymatic activities in vivo. However, developing practical DNP-MRI probes, especially for multiplexed detection, remains challenging. Here, we report the design of DNP-MRI probes for the in vivo multiplexed analysis of AP activities. By integrating quantum mechanical calculations, organic synthesis, and physicochemical and biochemical evaluations, we developed a series of AP-responsive DNP-MRI probes with high enzymatic reactivities and distinguishable chemical shifts. Using these probes, we successfully detected and visualized multiple AP activities in vivo. Furthermore, we performed in vivo multiplexed analysis of RAS-related AP activities in tumor-bearing mice, demonstrating the potential of this approach for monitoring the efficacy of antiangiogenic cancer therapy and for the accurate discrimination of tumor types.</w:t>
      </w:r>
    </w:p>
    <w:p>
      <w:pPr>
        <w:spacing w:before="120" w:after="120"/>
      </w:pPr>
      <w:r>
        <w:rPr>
          <w:sz w:val="18"/>
        </w:rPr>
        <w:t>——————————————————————————————————————————————————————————————————————</w:t>
      </w:r>
    </w:p>
    <w:p>
      <w:pPr>
        <w:spacing w:before="160" w:after="40" w:line="240" w:lineRule="auto"/>
      </w:pPr>
      <w:r>
        <w:rPr>
          <w:b/>
        </w:rPr>
        <w:t xml:space="preserve">[326] </w:t>
      </w:r>
      <w:hyperlink r:id="rId733">
        <w:r>
          <w:rPr>
            <w:color w:val="1155CC"/>
            <w:u w:val="single"/>
          </w:rPr>
          <w:t>[ASAP] Desymmetrization of meso-Pyrrolidines via Oxoammonium-Catalyzed Enantioselective Hydride Transfer</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12:03:23+00:00</w:t>
      </w:r>
      <w:r>
        <w:t xml:space="preserve">    </w:t>
      </w:r>
      <w:r>
        <w:rPr>
          <w:b/>
        </w:rPr>
        <w:t xml:space="preserve">DOI: </w:t>
      </w:r>
      <w:hyperlink r:id="rId734">
        <w:r>
          <w:rPr>
            <w:color w:val="1155CC"/>
            <w:u w:val="single"/>
          </w:rPr>
          <w:t>10.1021/jacs.5c20639</w:t>
        </w:r>
      </w:hyperlink>
    </w:p>
    <w:p>
      <w:pPr>
        <w:spacing w:before="0" w:after="80" w:lineRule="auto" w:line="276"/>
      </w:pPr>
      <w:r>
        <w:rPr>
          <w:b/>
        </w:rPr>
        <w:t xml:space="preserve">摘要（ZH）: </w:t>
      </w:r>
      <w:r>
        <w:t>(empty)</w:t>
      </w:r>
    </w:p>
    <w:p>
      <w:pPr>
        <w:spacing w:before="0" w:after="200" w:lineRule="auto" w:line="276"/>
      </w:pPr>
      <w:r>
        <w:rPr>
          <w:b/>
        </w:rPr>
        <w:t xml:space="preserve">Abstract (EN): </w:t>
      </w:r>
      <w:r>
        <w:t>We report the oxidative desymmetrization of urea-protected pyrrolidines via site-selective hydride transfer from enantiotopic C–H bonds. The optimal oxoammonium–peptide conjugate catalyst provided over 90% ee across all tested pyrrolidines, providing products that can readily undergo subsequent N-deprotection and other derivatization reactions to form medicinally relevant compounds. We isolated key on-cycle catalytic intermediates, which allowed us to elucidate both the mechanism of catalytic activation and the origin of stereochemical induction in detail. In particular, a stereochemical model for asymmetric induction emerged from analyzing a covalent catalyst–substrate adduct, which served as an isolable analog of the enantiodetermining transition state. In this model, a tight hydrogen bond between the urea protecting group and the peptide directs the asymmetric hydride transfer.</w:t>
      </w:r>
    </w:p>
    <w:p>
      <w:pPr>
        <w:spacing w:before="120" w:after="120"/>
      </w:pPr>
      <w:r>
        <w:rPr>
          <w:sz w:val="18"/>
        </w:rPr>
        <w:t>——————————————————————————————————————————————————————————————————————</w:t>
      </w:r>
    </w:p>
    <w:p>
      <w:pPr>
        <w:spacing w:before="160" w:after="40" w:line="240" w:lineRule="auto"/>
      </w:pPr>
      <w:r>
        <w:rPr>
          <w:b/>
        </w:rPr>
        <w:t xml:space="preserve">[327] </w:t>
      </w:r>
      <w:hyperlink r:id="rId735">
        <w:r>
          <w:rPr>
            <w:color w:val="1155CC"/>
            <w:u w:val="single"/>
          </w:rPr>
          <w:t>Correspondence on “Carbon‐Dot‐Based Dual‐Emission Nanohybrid Produces a Ratiometric Fluorescent Sensor for in Vivo Imaging of Cellular Copper Ions”</w:t>
        </w:r>
      </w:hyperlink>
    </w:p>
    <w:p>
      <w:pPr>
        <w:spacing w:before="0" w:after="120"/>
      </w:pPr>
      <w:r>
        <w:rPr>
          <w:b/>
        </w:rPr>
        <w:t xml:space="preserve">Source: </w:t>
      </w:r>
      <w:r>
        <w:t>Wiley: Angewandte Chemie International Edition: Table of Contents</w:t>
      </w:r>
      <w:r>
        <w:t xml:space="preserve">    </w:t>
      </w:r>
      <w:r>
        <w:rPr>
          <w:b/>
        </w:rPr>
        <w:t xml:space="preserve">Pub date: </w:t>
      </w:r>
      <w:r>
        <w:t>2026-02-26 12:08:58+00:00</w:t>
      </w:r>
      <w:r>
        <w:t xml:space="preserve">    </w:t>
      </w:r>
      <w:r>
        <w:rPr>
          <w:b/>
        </w:rPr>
        <w:t xml:space="preserve">DOI: </w:t>
      </w:r>
      <w:hyperlink r:id="rId736">
        <w:r>
          <w:rPr>
            <w:color w:val="1155CC"/>
            <w:u w:val="single"/>
          </w:rPr>
          <w:t>10.1002/anie.4904466</w:t>
        </w:r>
      </w:hyperlink>
    </w:p>
    <w:p>
      <w:pPr>
        <w:spacing w:before="0" w:after="80" w:lineRule="auto" w:line="276"/>
      </w:pPr>
      <w:r>
        <w:rPr>
          <w:b/>
        </w:rPr>
        <w:t xml:space="preserve">摘要（ZH）: </w:t>
      </w:r>
      <w:r>
        <w:t>(empty)</w:t>
      </w:r>
    </w:p>
    <w:p>
      <w:pPr>
        <w:spacing w:before="0" w:after="200" w:lineRule="auto" w:line="276"/>
      </w:pPr>
      <w:r>
        <w:rPr>
          <w:b/>
        </w:rPr>
        <w:t xml:space="preserve">Abstract (EN): </w:t>
      </w:r>
      <w:r>
        <w:t>The 2012 study by Zhu et al. (DOI: 10.1002/anie.201109089) reporting a hybrid nanosystem composed of carbon and CdSe/ZnS quantum dots functionalized with tris(pyridin-2-ylmethyl)ethane-1,2-diamine (CdSe@C-TPEA) as ratiometric fluorescent sensors for intracellular copper imaging remains highly influential, with 499 citations to date (Web of Science, December 4, 2025). As part of the NanoBubbles replication project, we attempted to reproduce key experimental findings following detailed pre-registered protocols. Despite strict adherence to the reported synthesis procedures, we failed to replicate the central claim of Cu2+-induced fluorescence quenching. Furthermore, our analysis reveals significant data anomalies in the original publication, including spectral overlaps with identical noise patterns inconsistent with independent measurements. These findings raise critical concerns regarding data integrity and reproducibility and cast significant doubt on the reliability of Zhu et al.'s reported results.</w:t>
      </w:r>
    </w:p>
    <w:p>
      <w:pPr>
        <w:spacing w:before="120" w:after="120"/>
      </w:pPr>
      <w:r>
        <w:rPr>
          <w:sz w:val="18"/>
        </w:rPr>
        <w:t>——————————————————————————————————————————————————————————————————————</w:t>
      </w:r>
    </w:p>
    <w:p>
      <w:pPr>
        <w:spacing w:before="160" w:after="40" w:line="240" w:lineRule="auto"/>
      </w:pPr>
      <w:r>
        <w:rPr>
          <w:b/>
        </w:rPr>
        <w:t xml:space="preserve">[328] </w:t>
      </w:r>
      <w:hyperlink r:id="rId737">
        <w:r>
          <w:rPr>
            <w:color w:val="1155CC"/>
            <w:u w:val="single"/>
          </w:rPr>
          <w:t>Induced Photoelectron Circular Dichroism as a Probe for Distinguishing Diastereotopic Lone Electron Pairs</w:t>
        </w:r>
      </w:hyperlink>
    </w:p>
    <w:p>
      <w:pPr>
        <w:spacing w:before="0" w:after="120"/>
      </w:pPr>
      <w:r>
        <w:rPr>
          <w:b/>
        </w:rPr>
        <w:t xml:space="preserve">Source: </w:t>
      </w:r>
      <w:r>
        <w:t>Wiley: Angewandte Chemie International Edition: Table of Contents</w:t>
      </w:r>
      <w:r>
        <w:t xml:space="preserve">    </w:t>
      </w:r>
      <w:r>
        <w:rPr>
          <w:b/>
        </w:rPr>
        <w:t xml:space="preserve">Pub date: </w:t>
      </w:r>
      <w:r>
        <w:t>2026-02-26 12:15:57+00:00</w:t>
      </w:r>
      <w:r>
        <w:t xml:space="preserve">    </w:t>
      </w:r>
      <w:r>
        <w:rPr>
          <w:b/>
        </w:rPr>
        <w:t xml:space="preserve">DOI: </w:t>
      </w:r>
      <w:hyperlink r:id="rId738">
        <w:r>
          <w:rPr>
            <w:color w:val="1155CC"/>
            <w:u w:val="single"/>
          </w:rPr>
          <w:t>10.1002/anie.3631400</w:t>
        </w:r>
      </w:hyperlink>
    </w:p>
    <w:p>
      <w:pPr>
        <w:spacing w:before="0" w:after="80" w:lineRule="auto" w:line="276"/>
      </w:pPr>
      <w:r>
        <w:rPr>
          <w:b/>
        </w:rPr>
        <w:t xml:space="preserve">摘要（ZH）: </w:t>
      </w:r>
      <w:r>
        <w:t>(empty)</w:t>
      </w:r>
    </w:p>
    <w:p>
      <w:pPr>
        <w:spacing w:before="0" w:after="200" w:lineRule="auto" w:line="276"/>
      </w:pPr>
      <w:r>
        <w:rPr>
          <w:b/>
        </w:rPr>
        <w:t xml:space="preserve">Abstract (EN): </w:t>
      </w:r>
      <w:r>
        <w:t>The hydrogen-bonded complexes of phenol with the chiral molecule methyloxirane (MOx) have been studied under supersonic jet conditions by photoelectron circular dichroism (PECD) experiments based on a resonance-enhanced two-photon ionization scheme. Ionization of the achiral phenol moiety within the complex leads to a strong photoelectron circular dichroism signal, due to chirality induction from the methyloxirane. We observe and characterize two conformers of the complex by IR-UV spectroscopy. They show PECD of similar magnitude and opposite in sign, which is explained in terms of a pseudo-enantiomer relation between them due to the complexation with one or the other of the two lone electron pairs of the MOx oxygen atom, leading to opposite out-of-plane deformation of the phenol hydroxyl group. Chirality indicators are used to quantify the chirality of the wave function localized on phenol. It is therefore possible to differentiate two diasterotopic electron lone pairs by chiroptical spectroscopy in the gas phase.</w:t>
      </w:r>
    </w:p>
    <w:p>
      <w:pPr>
        <w:spacing w:before="120" w:after="120"/>
      </w:pPr>
      <w:r>
        <w:rPr>
          <w:sz w:val="18"/>
        </w:rPr>
        <w:t>——————————————————————————————————————————————————————————————————————</w:t>
      </w:r>
    </w:p>
    <w:p>
      <w:pPr>
        <w:spacing w:before="160" w:after="40" w:line="240" w:lineRule="auto"/>
      </w:pPr>
      <w:r>
        <w:rPr>
          <w:b/>
        </w:rPr>
        <w:t xml:space="preserve">[329] </w:t>
      </w:r>
      <w:hyperlink r:id="rId739">
        <w:r>
          <w:rPr>
            <w:color w:val="1155CC"/>
            <w:u w:val="single"/>
          </w:rPr>
          <w:t>Sn‐Triggered Bridging‐Oxygen of lr─O─Ru Deprotonation Enhances Acidic Oxygen Evolution Reaction</w:t>
        </w:r>
      </w:hyperlink>
    </w:p>
    <w:p>
      <w:pPr>
        <w:spacing w:before="0" w:after="120"/>
      </w:pPr>
      <w:r>
        <w:rPr>
          <w:b/>
        </w:rPr>
        <w:t xml:space="preserve">Source: </w:t>
      </w:r>
      <w:r>
        <w:t>Wiley: Advanced Materials: Table of Contents</w:t>
      </w:r>
      <w:r>
        <w:t xml:space="preserve">    </w:t>
      </w:r>
      <w:r>
        <w:rPr>
          <w:b/>
        </w:rPr>
        <w:t xml:space="preserve">Pub date: </w:t>
      </w:r>
      <w:r>
        <w:t>2026-02-26 12:40:21+00:00</w:t>
      </w:r>
      <w:r>
        <w:t xml:space="preserve">    </w:t>
      </w:r>
      <w:r>
        <w:rPr>
          <w:b/>
        </w:rPr>
        <w:t xml:space="preserve">DOI: </w:t>
      </w:r>
      <w:hyperlink r:id="rId740">
        <w:r>
          <w:rPr>
            <w:color w:val="1155CC"/>
            <w:u w:val="single"/>
          </w:rPr>
          <w:t>10.1002/adma.202519807</w:t>
        </w:r>
      </w:hyperlink>
    </w:p>
    <w:p>
      <w:pPr>
        <w:spacing w:before="0" w:after="80" w:lineRule="auto" w:line="276"/>
      </w:pPr>
      <w:r>
        <w:rPr>
          <w:b/>
        </w:rPr>
        <w:t xml:space="preserve">摘要（ZH）: </w:t>
      </w:r>
      <w:r>
        <w:t>(empty)</w:t>
      </w:r>
    </w:p>
    <w:p>
      <w:pPr>
        <w:spacing w:before="0" w:after="200" w:lineRule="auto" w:line="276"/>
      </w:pPr>
      <w:r>
        <w:rPr>
          <w:b/>
        </w:rPr>
        <w:t xml:space="preserve">Abstract (EN): </w:t>
      </w:r>
      <w:r>
        <w:t>The development of efficient and stable electrocatalysts for the oxygen evolution reaction (OER) is crucial for advancing the commercialization of proton exchange membrane water electrolyzers (PEMWEs). Here, we report a ternary oxide catalyst, Ir-RuSnOx, in which atomically dispersed Ir substitutes surface Ru sites to construct an Ir─O─Ru atomic interface. The catalyst requires an overpotential of only 165 mV to deliver 10 mA cm- 2 and maintains stable operation for over 350 h at 100 mA cm- 2. When integrated into a PEMWE, Ir-RuSnOx sustains continuous operation at 1 A cm- 2 for 800 h without observable degradation. Combined electrochemical and theoretical studies reveal that Sn acting as a strong electron donor, enhances electron localization at the bridging oxygen (Obri) within the Ir─O─Ru motif. This enables Obri as a proton acceptor, facilitating deprotonation of O─H and OO─H species at Ru sites, thereby forming Obri─H intermediates, lowering the energy barrier of the rate-determining step (RDS), and accelerating OER kinetics. Simultaneously, Sn incorporation increases the electron density of the Ir─O─Ru structure, strengthening its resistance against oxidative degradation. These findings offer a path to achieving both high activity and long-term durability in acidic OER electrocatalysts.</w:t>
      </w:r>
    </w:p>
    <w:p>
      <w:pPr>
        <w:spacing w:before="120" w:after="120"/>
      </w:pPr>
      <w:r>
        <w:rPr>
          <w:sz w:val="18"/>
        </w:rPr>
        <w:t>——————————————————————————————————————————————————————————————————————</w:t>
      </w:r>
    </w:p>
    <w:p>
      <w:pPr>
        <w:spacing w:before="160" w:after="40" w:line="240" w:lineRule="auto"/>
      </w:pPr>
      <w:r>
        <w:rPr>
          <w:b/>
        </w:rPr>
        <w:t xml:space="preserve">[330] </w:t>
      </w:r>
      <w:hyperlink r:id="rId741">
        <w:r>
          <w:rPr>
            <w:color w:val="1155CC"/>
            <w:u w:val="single"/>
          </w:rPr>
          <w:t>Synergistic Tri‐emission Enabling Single‐Component White Organic Light‐Emitting Transistors</w:t>
        </w:r>
      </w:hyperlink>
    </w:p>
    <w:p>
      <w:pPr>
        <w:spacing w:before="0" w:after="120"/>
      </w:pPr>
      <w:r>
        <w:rPr>
          <w:b/>
        </w:rPr>
        <w:t xml:space="preserve">Source: </w:t>
      </w:r>
      <w:r>
        <w:t>Wiley: Angewandte Chemie International Edition: Table of Contents</w:t>
      </w:r>
      <w:r>
        <w:t xml:space="preserve">    </w:t>
      </w:r>
      <w:r>
        <w:rPr>
          <w:b/>
        </w:rPr>
        <w:t xml:space="preserve">Pub date: </w:t>
      </w:r>
      <w:r>
        <w:t>2026-02-26 12:42:11+00:00</w:t>
      </w:r>
      <w:r>
        <w:t xml:space="preserve">    </w:t>
      </w:r>
      <w:r>
        <w:rPr>
          <w:b/>
        </w:rPr>
        <w:t xml:space="preserve">DOI: </w:t>
      </w:r>
      <w:hyperlink r:id="rId742">
        <w:r>
          <w:rPr>
            <w:color w:val="1155CC"/>
            <w:u w:val="single"/>
          </w:rPr>
          <w:t>10.1002/anie.202524614</w:t>
        </w:r>
      </w:hyperlink>
    </w:p>
    <w:p>
      <w:pPr>
        <w:spacing w:before="0" w:after="80" w:lineRule="auto" w:line="276"/>
      </w:pPr>
      <w:r>
        <w:rPr>
          <w:b/>
        </w:rPr>
        <w:t xml:space="preserve">摘要（ZH）: </w:t>
      </w:r>
      <w:r>
        <w:t>(empty)</w:t>
      </w:r>
    </w:p>
    <w:p>
      <w:pPr>
        <w:spacing w:before="0" w:after="200" w:lineRule="auto" w:line="276"/>
      </w:pPr>
      <w:r>
        <w:rPr>
          <w:b/>
        </w:rPr>
        <w:t xml:space="preserve">Abstract (EN): </w:t>
      </w:r>
      <w:r>
        <w:t>White organic light-emitting transistors (OLETs) are poised to be pivotal components in next generation smart displays. However, their development is hindered by the scarcity of ideal materials that concurrently exhibit high charge carrier mobility and efficient white-light emission. Herein, we present a novel molecular design strategy that achieves white electroluminescence by synergistically harnessing emissions from the monomer, excimer, and electromer within a single material. Guided by this approach, we designed and synthesized 2,6-bis(dibenzo[b,d]thiophen-3-yl)anthracene (DTA), which exhibits a photoluminescence quantum yield of 35% and a high saturation hole mobility of 5.8 cm2 V-1 s-1. Remarkably, in single-component OLET devices, DTA manifests an additional electromer emission. The combination of this red-shifted electromer band with the monomer and excimer emissions results in broad-spectrum white electroluminescence, with Commission Internationale de l'Eclairage coordinates of (0.3030, 0.3558). Moreover, the relative intensities of these three emissive species can be dynamically modulated by the gate voltage, enabling real-time tuning of the white color temperature and achieving a high color-rendering index. This work establishes a new design paradigm for high-mobility white-light emitters and represents a significant stride toward practical single-component white OLETs.</w:t>
      </w:r>
    </w:p>
    <w:p>
      <w:pPr>
        <w:spacing w:before="120" w:after="120"/>
      </w:pPr>
      <w:r>
        <w:rPr>
          <w:sz w:val="18"/>
        </w:rPr>
        <w:t>——————————————————————————————————————————————————————————————————————</w:t>
      </w:r>
    </w:p>
    <w:p>
      <w:pPr>
        <w:spacing w:before="160" w:after="40" w:line="240" w:lineRule="auto"/>
      </w:pPr>
      <w:r>
        <w:rPr>
          <w:b/>
        </w:rPr>
        <w:t xml:space="preserve">[331] </w:t>
      </w:r>
      <w:hyperlink r:id="rId743">
        <w:r>
          <w:rPr>
            <w:color w:val="1155CC"/>
            <w:u w:val="single"/>
          </w:rPr>
          <w:t>Generative Models for Crystalline Materials</w:t>
        </w:r>
      </w:hyperlink>
    </w:p>
    <w:p>
      <w:pPr>
        <w:spacing w:before="0" w:after="120"/>
      </w:pPr>
      <w:r>
        <w:rPr>
          <w:b/>
        </w:rPr>
        <w:t xml:space="preserve">Source: </w:t>
      </w:r>
      <w:r>
        <w:t>Wiley: Advanced Materials: Table of Contents</w:t>
      </w:r>
      <w:r>
        <w:t xml:space="preserve">    </w:t>
      </w:r>
      <w:r>
        <w:rPr>
          <w:b/>
        </w:rPr>
        <w:t xml:space="preserve">Pub date: </w:t>
      </w:r>
      <w:r>
        <w:t>2026-02-26 14:05:00+00:00</w:t>
      </w:r>
      <w:r>
        <w:t xml:space="preserve">    </w:t>
      </w:r>
      <w:r>
        <w:rPr>
          <w:b/>
        </w:rPr>
        <w:t xml:space="preserve">DOI: </w:t>
      </w:r>
      <w:hyperlink r:id="rId744">
        <w:r>
          <w:rPr>
            <w:color w:val="1155CC"/>
            <w:u w:val="single"/>
          </w:rPr>
          <w:t>10.1002/adma.202523620</w:t>
        </w:r>
      </w:hyperlink>
    </w:p>
    <w:p>
      <w:pPr>
        <w:spacing w:before="0" w:after="80" w:lineRule="auto" w:line="276"/>
      </w:pPr>
      <w:r>
        <w:rPr>
          <w:b/>
        </w:rPr>
        <w:t xml:space="preserve">摘要（ZH）: </w:t>
      </w:r>
      <w:r>
        <w:t>(empty)</w:t>
      </w:r>
    </w:p>
    <w:p>
      <w:pPr>
        <w:spacing w:before="0" w:after="200" w:lineRule="auto" w:line="276"/>
      </w:pPr>
      <w:r>
        <w:rPr>
          <w:b/>
        </w:rPr>
        <w:t xml:space="preserve">Abstract (EN): </w:t>
      </w:r>
      <w:r>
        <w:t>Understanding structure-property relationships in materials is fundamental in condensed matter physics and materials science. Over the past few years, machine learning (ML) has emerged as a powerful tool for advancing this understanding and accelerating materials discovery. Early ML approaches primarily focused on constructing and screening large material spaces to identify promising candidates for various applications. More recently, research efforts have increasingly shifted toward generating crystal structures using end-to-end generative models. This review analyzes the current state of generative modeling for crystal structure prediction and de novo generation. It examines crystal representations, outlines the generative models used to design crystal structures, and evaluates their respective strengths and limitations. Furthermore, the review highlights experimental considerations for evaluating generated structures and provides recommendations for suitable existing software tools. Emerging topics, such as modeling disorder and defects, integration in advanced characterization, incorporating synthetic feasibility constraints, and model explainability are explored. Ultimately, this work aims to inform both experimental scientists looking to adapt suitable ML models to their specific circumstances and ML specialists seeking to understand the unique challenges related to inverse materials design and discovery.</w:t>
      </w:r>
    </w:p>
    <w:p>
      <w:pPr>
        <w:spacing w:before="120" w:after="120"/>
      </w:pPr>
      <w:r>
        <w:rPr>
          <w:sz w:val="18"/>
        </w:rPr>
        <w:t>——————————————————————————————————————————————————————————————————————</w:t>
      </w:r>
    </w:p>
    <w:p>
      <w:pPr>
        <w:spacing w:before="160" w:after="40" w:line="240" w:lineRule="auto"/>
      </w:pPr>
      <w:r>
        <w:rPr>
          <w:b/>
        </w:rPr>
        <w:t xml:space="preserve">[332] </w:t>
      </w:r>
      <w:hyperlink r:id="rId745">
        <w:r>
          <w:rPr>
            <w:color w:val="1155CC"/>
            <w:u w:val="single"/>
          </w:rPr>
          <w:t>Additive‐Free Ionic Polyurethanes with Ultrasensitive Thermo‐Switchable Conductivity and Melting Stability</w:t>
        </w:r>
      </w:hyperlink>
    </w:p>
    <w:p>
      <w:pPr>
        <w:spacing w:before="0" w:after="120"/>
      </w:pPr>
      <w:r>
        <w:rPr>
          <w:b/>
        </w:rPr>
        <w:t xml:space="preserve">Source: </w:t>
      </w:r>
      <w:r>
        <w:t>Wiley: Advanced Materials: Table of Contents</w:t>
      </w:r>
      <w:r>
        <w:t xml:space="preserve">    </w:t>
      </w:r>
      <w:r>
        <w:rPr>
          <w:b/>
        </w:rPr>
        <w:t xml:space="preserve">Pub date: </w:t>
      </w:r>
      <w:r>
        <w:t>2026-02-26 14:28:56+00:00</w:t>
      </w:r>
      <w:r>
        <w:t xml:space="preserve">    </w:t>
      </w:r>
      <w:r>
        <w:rPr>
          <w:b/>
        </w:rPr>
        <w:t xml:space="preserve">DOI: </w:t>
      </w:r>
      <w:hyperlink r:id="rId746">
        <w:r>
          <w:rPr>
            <w:color w:val="1155CC"/>
            <w:u w:val="single"/>
          </w:rPr>
          <w:t>10.1002/adma.72643</w:t>
        </w:r>
      </w:hyperlink>
    </w:p>
    <w:p>
      <w:pPr>
        <w:spacing w:before="0" w:after="80" w:lineRule="auto" w:line="276"/>
      </w:pPr>
      <w:r>
        <w:rPr>
          <w:b/>
        </w:rPr>
        <w:t xml:space="preserve">摘要（ZH）: </w:t>
      </w:r>
      <w:r>
        <w:t>(empty)</w:t>
      </w:r>
    </w:p>
    <w:p>
      <w:pPr>
        <w:spacing w:before="0" w:after="200" w:lineRule="auto" w:line="276"/>
      </w:pPr>
      <w:r>
        <w:rPr>
          <w:b/>
        </w:rPr>
        <w:t xml:space="preserve">Abstract (EN): </w:t>
      </w:r>
      <w:r>
        <w:t>Thermally switchable ion-conductive polymers (TSIPs) show considerable application potential for flexible electronics and information encryption. However, their practical implementation is frequently affected by several inherent limitations, including ion leaching, interfacial instability, and inadequate temperature sensitivity in conductivity switching. To address these issues, a series of ionic polyurethanes featuring covalently grafted ionic groups, rather than small-molecule additives, is reported here. This rational design not only provides ion transport pathways, but also enables precise temperature-switchable conductivity by varying the length of crystalline soft segments. The resulting TSIPs exhibit an ultra-sensitive thermo-electrical response with a record-high temperature coefficient of conductivity of up to 30.2%°C- 1. Modeling of electrode polarization reveals that ion transport at elevated temperatures operates through a dual mechanism: a "swing-like" segmental motion coupled with dynamic reconstruction of ionic clusters. The dynamic reorganization of ionic clusters promotes efficient charge mobility and provides physical crosslinking networks that ensure mechanical integrity in the melt state. Furthermore, they function as intrinsic fluorophores, producing stable photoluminescence. With the integration of intrinsic fluorescent properties and reversible opaque-to-transparent and insulating-to-conducting transitions, the polyurethanes developed in this work establish a versatile platform for multimodal anti-counterfeiting applications.</w:t>
      </w:r>
    </w:p>
    <w:p>
      <w:pPr>
        <w:spacing w:before="120" w:after="120"/>
      </w:pPr>
      <w:r>
        <w:rPr>
          <w:sz w:val="18"/>
        </w:rPr>
        <w:t>——————————————————————————————————————————————————————————————————————</w:t>
      </w:r>
    </w:p>
    <w:p>
      <w:pPr>
        <w:spacing w:before="160" w:after="40" w:line="240" w:lineRule="auto"/>
      </w:pPr>
      <w:r>
        <w:rPr>
          <w:b/>
        </w:rPr>
        <w:t xml:space="preserve">[333] </w:t>
      </w:r>
      <w:hyperlink r:id="rId747">
        <w:r>
          <w:rPr>
            <w:color w:val="1155CC"/>
            <w:u w:val="single"/>
          </w:rPr>
          <w:t>Synergistic OH−/H2O Engineering and Dynamic Potential Modulation for Efficient Upcycling of PET Waste to Glycolic Acid Using H2O as the Oxygen Source</w:t>
        </w:r>
      </w:hyperlink>
    </w:p>
    <w:p>
      <w:pPr>
        <w:spacing w:before="0" w:after="120"/>
      </w:pPr>
      <w:r>
        <w:rPr>
          <w:b/>
        </w:rPr>
        <w:t xml:space="preserve">Source: </w:t>
      </w:r>
      <w:r>
        <w:t>Wiley: Angewandte Chemie International Edition: Table of Contents</w:t>
      </w:r>
      <w:r>
        <w:t xml:space="preserve">    </w:t>
      </w:r>
      <w:r>
        <w:rPr>
          <w:b/>
        </w:rPr>
        <w:t xml:space="preserve">Pub date: </w:t>
      </w:r>
      <w:r>
        <w:t>2026-02-26 14:35:25+00:00</w:t>
      </w:r>
      <w:r>
        <w:t xml:space="preserve">    </w:t>
      </w:r>
      <w:r>
        <w:rPr>
          <w:b/>
        </w:rPr>
        <w:t xml:space="preserve">DOI: </w:t>
      </w:r>
      <w:hyperlink r:id="rId748">
        <w:r>
          <w:rPr>
            <w:color w:val="1155CC"/>
            <w:u w:val="single"/>
          </w:rPr>
          <w:t>10.1002/anie.202521577</w:t>
        </w:r>
      </w:hyperlink>
    </w:p>
    <w:p>
      <w:pPr>
        <w:spacing w:before="0" w:after="80" w:lineRule="auto" w:line="276"/>
      </w:pPr>
      <w:r>
        <w:rPr>
          <w:b/>
        </w:rPr>
        <w:t xml:space="preserve">摘要（ZH）: </w:t>
      </w:r>
      <w:r>
        <w:t>(empty)</w:t>
      </w:r>
    </w:p>
    <w:p>
      <w:pPr>
        <w:spacing w:before="0" w:after="200" w:lineRule="auto" w:line="276"/>
      </w:pPr>
      <w:r>
        <w:rPr>
          <w:b/>
        </w:rPr>
        <w:t xml:space="preserve">Abstract (EN): </w:t>
      </w:r>
      <w:r>
        <w:t>The conversion of polyethylene terephthalate (PET)-derived ethylene glycol (EG) into value-added glycolic acid (GA) by electrocatalysis using H2O as an oxygen source is a promising pathway for the sustainable valorization of plastic waste. However, the commonly used Pt and Pd catalysts suffer from undesirable activity and fast deactivation. Herein, we designed a AuPtPdRh medium-entropy aerogel (MEA) with multi-site synergies, coupled with dynamic potential modulation strategy, to achieve efficient GA synthesis. The AuPtPdRh MEA reduces the overall energy barrier through a potential relay-type catalytic mechanism across distinct active sites. The potential sweep-step hybrid electrolysis (PS-SHE) modulation strategy establishes a "progressive pre-enrichment-pulsed cleaning-regeneration" cycle, which enhances catalytic activity and stability. This system achieves 98% Faradaic efficiency (FE) for GA (FEGA), as well as an GA production rate (PRGA) of up to 8.82 mmol cm-2 h-1. Additionally, it can maintain stable operation for 500 h at an ampere-level current density (0.25 A cm-2) in a membrane-free flow cell. The universality of this approach is further demonstrated for methanol, ethanol, and propanol electrooxidation, providing a versatile platform for biomass valorization.</w:t>
      </w:r>
    </w:p>
    <w:p>
      <w:pPr>
        <w:spacing w:before="120" w:after="120"/>
      </w:pPr>
      <w:r>
        <w:rPr>
          <w:sz w:val="18"/>
        </w:rPr>
        <w:t>——————————————————————————————————————————————————————————————————————</w:t>
      </w:r>
    </w:p>
    <w:p>
      <w:pPr>
        <w:spacing w:before="160" w:after="40" w:line="240" w:lineRule="auto"/>
      </w:pPr>
      <w:r>
        <w:rPr>
          <w:b/>
        </w:rPr>
        <w:t xml:space="preserve">[334] </w:t>
      </w:r>
      <w:hyperlink r:id="rId749">
        <w:r>
          <w:rPr>
            <w:color w:val="1155CC"/>
            <w:u w:val="single"/>
          </w:rPr>
          <w:t>In Situ Synthesis of Biocompatible and Functionalizable Core–Shell Conductive Nanocomposites for Stretchable Electronics</w:t>
        </w:r>
      </w:hyperlink>
    </w:p>
    <w:p>
      <w:pPr>
        <w:spacing w:before="0" w:after="120"/>
      </w:pPr>
      <w:r>
        <w:rPr>
          <w:b/>
        </w:rPr>
        <w:t xml:space="preserve">Source: </w:t>
      </w:r>
      <w:r>
        <w:t>Wiley: Advanced Materials: Table of Contents</w:t>
      </w:r>
      <w:r>
        <w:t xml:space="preserve">    </w:t>
      </w:r>
      <w:r>
        <w:rPr>
          <w:b/>
        </w:rPr>
        <w:t xml:space="preserve">Pub date: </w:t>
      </w:r>
      <w:r>
        <w:t>2026-02-26 14:55:10+00:00</w:t>
      </w:r>
      <w:r>
        <w:t xml:space="preserve">    </w:t>
      </w:r>
      <w:r>
        <w:rPr>
          <w:b/>
        </w:rPr>
        <w:t xml:space="preserve">DOI: </w:t>
      </w:r>
      <w:hyperlink r:id="rId750">
        <w:r>
          <w:rPr>
            <w:color w:val="1155CC"/>
            <w:u w:val="single"/>
          </w:rPr>
          <w:t>10.1002/adma.202520928</w:t>
        </w:r>
      </w:hyperlink>
    </w:p>
    <w:p>
      <w:pPr>
        <w:spacing w:before="0" w:after="80" w:lineRule="auto" w:line="276"/>
      </w:pPr>
      <w:r>
        <w:rPr>
          <w:b/>
        </w:rPr>
        <w:t xml:space="preserve">摘要（ZH）: </w:t>
      </w:r>
      <w:r>
        <w:t>(empty)</w:t>
      </w:r>
    </w:p>
    <w:p>
      <w:pPr>
        <w:spacing w:before="0" w:after="200" w:lineRule="auto" w:line="276"/>
      </w:pPr>
      <w:r>
        <w:rPr>
          <w:b/>
        </w:rPr>
        <w:t xml:space="preserve">Abstract (EN): </w:t>
      </w:r>
      <w:r>
        <w:t>Stretchable electronics are poised to revolutionize smart wearables and biomedical implants, yet their progress is hindered by the lack of biocompatible and easily functionalized conductors. While silver nanowire (Ag NW)-based composites show promise, their cytotoxicity and chemical instability often require complex passivation with noble metal coatings. Here, we introduce a scalable in situ synthesis that directly converts a patterned blend of Ag NWs and carbon nanotubes (CNTs) into a hierarchical core-shell architecture. The resulting material features a conductive nanocomposite core enveloped by a protective, CNT-rich shell, achieving high conductivity (5100 S/cm), stretchability (&gt;200% strain), and carbon-like biocompatibility. Its broad electrochemical stability window permits direct electroplating of active materials required for physical and chemical sensing. We demonstrate the utility of this platform via soft electronic patches that conform to dynamic skins and organs. In a compelling in vivo application, these patches successfully recorded pathological electrograms and terminated arrhythmia via closed-loop pacing therapy on a rabbit heart. This work establishes a general strategy for creating biocompatible compliant conductors as a key enabler for stretchable devices in health monitoring, medical therapies, and human-machine interfaces.</w:t>
      </w:r>
    </w:p>
    <w:p>
      <w:pPr>
        <w:spacing w:before="120" w:after="120"/>
      </w:pPr>
      <w:r>
        <w:rPr>
          <w:sz w:val="18"/>
        </w:rPr>
        <w:t>——————————————————————————————————————————————————————————————————————</w:t>
      </w:r>
    </w:p>
    <w:p>
      <w:pPr>
        <w:spacing w:before="160" w:after="40" w:line="240" w:lineRule="auto"/>
      </w:pPr>
      <w:r>
        <w:rPr>
          <w:b/>
        </w:rPr>
        <w:t xml:space="preserve">[335] </w:t>
      </w:r>
      <w:hyperlink r:id="rId751">
        <w:r>
          <w:rPr>
            <w:color w:val="1155CC"/>
            <w:u w:val="single"/>
          </w:rPr>
          <w:t>High‐Performance Flexible Near‐Infrared Organic Light‐Emitting Diodes with a Heterogeneous Alloy Semitransparent Electrode</w:t>
        </w:r>
      </w:hyperlink>
    </w:p>
    <w:p>
      <w:pPr>
        <w:spacing w:before="0" w:after="120"/>
      </w:pPr>
      <w:r>
        <w:rPr>
          <w:b/>
        </w:rPr>
        <w:t xml:space="preserve">Source: </w:t>
      </w:r>
      <w:r>
        <w:t>Wiley: Advanced Materials: Table of Contents</w:t>
      </w:r>
      <w:r>
        <w:t xml:space="preserve">    </w:t>
      </w:r>
      <w:r>
        <w:rPr>
          <w:b/>
        </w:rPr>
        <w:t xml:space="preserve">Pub date: </w:t>
      </w:r>
      <w:r>
        <w:t>2026-02-26 15:15:47+00:00</w:t>
      </w:r>
      <w:r>
        <w:t xml:space="preserve">    </w:t>
      </w:r>
      <w:r>
        <w:rPr>
          <w:b/>
        </w:rPr>
        <w:t xml:space="preserve">DOI: </w:t>
      </w:r>
      <w:hyperlink r:id="rId752">
        <w:r>
          <w:rPr>
            <w:color w:val="1155CC"/>
            <w:u w:val="single"/>
          </w:rPr>
          <w:t>10.1002/adma.202518212</w:t>
        </w:r>
      </w:hyperlink>
    </w:p>
    <w:p>
      <w:pPr>
        <w:spacing w:before="0" w:after="80" w:lineRule="auto" w:line="276"/>
      </w:pPr>
      <w:r>
        <w:rPr>
          <w:b/>
        </w:rPr>
        <w:t xml:space="preserve">摘要（ZH）: </w:t>
      </w:r>
      <w:r>
        <w:t>(empty)</w:t>
      </w:r>
    </w:p>
    <w:p>
      <w:pPr>
        <w:spacing w:before="0" w:after="200" w:lineRule="auto" w:line="276"/>
      </w:pPr>
      <w:r>
        <w:rPr>
          <w:b/>
        </w:rPr>
        <w:t xml:space="preserve">Abstract (EN): </w:t>
      </w:r>
      <w:r>
        <w:t>Flexible near-infrared (NIR) organic light-emitting diodes (OLEDs) face efficiency challenges due to low photoluminescence quantum yields (PLQYs) in NIR emitters, governed by the energy gap law. Accelerating radiative transitions via the Purcell effect in optical microcavities offers a solution, but conventional flexible semitransparent electrodes struggle to balance microcavity-enhanced PLQY and light outcoupling efficiency (OCE). We address this with a micro-structured magnesium-bismuth (Mg-Bi) alloy electrode offering 40% broadband transmittance (400-1600 nm) and conductivity (29.3 Ω ◻-1). The alloy's low real permittivity supports less confined surface plasmon polariton and, with a capping layer, yields 60% NIR transmittance in an organic-to-air optical configuration. This design achieves 42.3% OCE and elevates the PLQY of a 704 nm NIR emitter to 71.8%, enabling flexible NIR-OLEDs with a record 24.3% external quantum efficiency. The synergy of optical engineering and conductive microstructures establishes a universal strategy for high-efficiency flexible NIR optoelectronics.</w:t>
      </w:r>
    </w:p>
    <w:p>
      <w:pPr>
        <w:spacing w:before="120" w:after="120"/>
      </w:pPr>
      <w:r>
        <w:rPr>
          <w:sz w:val="18"/>
        </w:rPr>
        <w:t>——————————————————————————————————————————————————————————————————————</w:t>
      </w:r>
    </w:p>
    <w:p>
      <w:pPr>
        <w:spacing w:before="160" w:after="40" w:line="240" w:lineRule="auto"/>
      </w:pPr>
      <w:r>
        <w:rPr>
          <w:b/>
        </w:rPr>
        <w:t xml:space="preserve">[336] </w:t>
      </w:r>
      <w:hyperlink r:id="rId753">
        <w:r>
          <w:rPr>
            <w:color w:val="1155CC"/>
            <w:u w:val="single"/>
          </w:rPr>
          <w:t>[ASAP] Versatile 2-Oxoglutarate-Dependent Dioxygenases Catalyze Radical-Mediated Multifunctional Skeleton Reconstructions and Oxidation Modifications of Taxoids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15:31:39+00:00</w:t>
      </w:r>
      <w:r>
        <w:t xml:space="preserve">    </w:t>
      </w:r>
      <w:r>
        <w:rPr>
          <w:b/>
        </w:rPr>
        <w:t xml:space="preserve">DOI: </w:t>
      </w:r>
      <w:hyperlink r:id="rId754">
        <w:r>
          <w:rPr>
            <w:color w:val="1155CC"/>
            <w:u w:val="single"/>
          </w:rPr>
          <w:t>10.1021/jacs.6c01169</w:t>
        </w:r>
      </w:hyperlink>
    </w:p>
    <w:p>
      <w:pPr>
        <w:spacing w:before="0" w:after="80" w:lineRule="auto" w:line="276"/>
      </w:pPr>
      <w:r>
        <w:rPr>
          <w:b/>
        </w:rPr>
        <w:t xml:space="preserve">摘要（ZH）: </w:t>
      </w:r>
      <w:r>
        <w:t>(empty)</w:t>
      </w:r>
    </w:p>
    <w:p>
      <w:pPr>
        <w:spacing w:before="0" w:after="200" w:lineRule="auto" w:line="276"/>
      </w:pPr>
      <w:r>
        <w:rPr>
          <w:b/>
        </w:rPr>
        <w:t xml:space="preserve">Abstract (EN): </w:t>
      </w:r>
      <w:r>
        <w:t>Taxane diterpenoids exhibit high scaffold diversity, with 6/8/6 and 5/7/6 frameworks being the most common. 5/7/6 taxoids, exemplified by taxuspine J, display promising pharmacological activities, but their chemical diversity and biosynthesis remain largely unexplored. Here, we characterized two novel 2-oxoglutarate-dependent dioxygenases, TcOGD1 and TcOGD2, which exhibit remarkable catalytic versatility, including skeleton reconstructions from 6/8/6 taxanes to 5/7/6, &lt;i&gt;trinor&lt;/i&gt;-5/7/6, and 6/12 frameworks, and oxidation modifications at C-5, C-6, C-16, or C-20 of various taxoids. Specifically, they catalyze the skeletal rearrangement of 2-deacetoxytaxinine J (a 6/8/6 taxoid) and subsequent oxidation modifications to produce taxuspine J and a panel of 15,16,17-&lt;i&gt;trinor&lt;/i&gt;-5/7/6 taxoids, which were identified through scale-up enzymatic reactions and NMR spectroscopy. Mechanistic investigation reveals a substrate-specific oxidative degradation for constructing the &lt;i&gt;trinor&lt;/i&gt;-5/7/6 scaffold via radical-mediated C-C bond cleavage, accompanied by acetone release. In addition, TcOGD1 catalyzes two distinct transformations of a new Δ&lt;sup&gt;5,6&lt;/sup&gt; containing 6/8/6 taxoid isolated from &lt;i&gt;Taxus chinensis&lt;/i&gt; var. &lt;i&gt;mairei&lt;/i&gt;, including C-C bond cleavage coupled with aldehyde formation to form a unique highly unsaturated 6/12 taxoid, and C-16 aldehyde formation to yield a 6/8/6 taxoid. TcOGD1 also mediates the 5-OH oxidation of a 6/10/6 taxoid. Furthermore, five novel &lt;i&gt;trinor&lt;/i&gt;-5/7/6 taxoids were isolated from the &lt;i&gt;Taxus&lt;/i&gt; plant, and taxuspine J and &lt;i&gt;trinor&lt;/i&gt;-5/7/6 taxoids showed effective tumor resistance reversal activity. Our findings offered new insights into the formation of taxane structural diversity, expanded the chemical space of taxane diterpenoids, and provided valuable biocatalytic tools for constructing unusual taxane architectures through enzyme engineering or synthetic biology.</w:t>
      </w:r>
    </w:p>
    <w:p>
      <w:pPr>
        <w:spacing w:before="120" w:after="120"/>
      </w:pPr>
      <w:r>
        <w:rPr>
          <w:sz w:val="18"/>
        </w:rPr>
        <w:t>——————————————————————————————————————————————————————————————————————</w:t>
      </w:r>
    </w:p>
    <w:p>
      <w:pPr>
        <w:spacing w:before="160" w:after="40" w:line="240" w:lineRule="auto"/>
      </w:pPr>
      <w:r>
        <w:rPr>
          <w:b/>
        </w:rPr>
        <w:t xml:space="preserve">[337] </w:t>
      </w:r>
      <w:hyperlink r:id="rId755">
        <w:r>
          <w:rPr>
            <w:color w:val="1155CC"/>
            <w:u w:val="single"/>
          </w:rPr>
          <w:t>[ASAP] Continuous, Week-Long, Seconds-Resolved In Vivo Drug Measurements Performed with a Xenonucleic Acid-Employing Electrochemical, Aptamer-Based Sensor</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15:34:14+00:00</w:t>
      </w:r>
      <w:r>
        <w:t xml:space="preserve">    </w:t>
      </w:r>
      <w:r>
        <w:rPr>
          <w:b/>
        </w:rPr>
        <w:t xml:space="preserve">DOI: </w:t>
      </w:r>
      <w:hyperlink r:id="rId756">
        <w:r>
          <w:rPr>
            <w:color w:val="1155CC"/>
            <w:u w:val="single"/>
          </w:rPr>
          <w:t>10.1021/jacs.5c22605</w:t>
        </w:r>
      </w:hyperlink>
    </w:p>
    <w:p>
      <w:pPr>
        <w:spacing w:before="0" w:after="80" w:lineRule="auto" w:line="276"/>
      </w:pPr>
      <w:r>
        <w:rPr>
          <w:b/>
        </w:rPr>
        <w:t xml:space="preserve">摘要（ZH）: </w:t>
      </w:r>
      <w:r>
        <w:t>(empty)</w:t>
      </w:r>
    </w:p>
    <w:p>
      <w:pPr>
        <w:spacing w:before="0" w:after="200" w:lineRule="auto" w:line="276"/>
      </w:pPr>
      <w:r>
        <w:rPr>
          <w:b/>
        </w:rPr>
        <w:t xml:space="preserve">Abstract (EN): </w:t>
      </w:r>
      <w:r>
        <w:t>The ability to monitor drug and biomarker concentrations in the body continuously and in real time could transform our understanding of physiology, enhance the diagnosis and monitoring of disease, and enable high-precision, truly personalized drug dosing. Toward this goal, we are developing electrochemical aptamer-based (EAB) sensors, the only real-time monitoring technology yet shown able to measure molecules as diverse as small molecule drugs to protein biomarkers in situ in the veins, brains, and peripheral tissues of live subjects. This advance notwithstanding, a significant challenge nevertheless remains: to date, degradation of their target-recognizing aptamer has limited the demonstrated, in vivo operation of EAB sensors to less than 24 h, reducing the platform’s clinical and scientific utility. Notably, for example, the continuous glucose monitor did not come into widespread clinical use until it reached an in vivo duration of 5 days, with current models achieving an operational duration of 2 weeks. Thus motivated, here we use a non-natural, more nuclease-resistant “xenonucleic” acid (XNA) aptamer to extend the continuous, in vivo operation of EAB sensors to 1 week, with the latter encompassing &gt;47,000 real-time, 12.8 s-resolved measurements. Moreover, we have reached this operational duration without employing protective membranes, which can harm sensor performance and complicate sensor fabrication and insertion. The week-long in vivo operation demonstrated here represents a crucial milestone for clinical adoption and experimental flexibility, marking a shift from short-term testing toward robust, long-duration, real-time molecular measurements.</w:t>
      </w:r>
    </w:p>
    <w:p>
      <w:pPr>
        <w:spacing w:before="120" w:after="120"/>
      </w:pPr>
      <w:r>
        <w:rPr>
          <w:sz w:val="18"/>
        </w:rPr>
        <w:t>——————————————————————————————————————————————————————————————————————</w:t>
      </w:r>
    </w:p>
    <w:p>
      <w:pPr>
        <w:spacing w:before="160" w:after="40" w:line="240" w:lineRule="auto"/>
      </w:pPr>
      <w:r>
        <w:rPr>
          <w:b/>
        </w:rPr>
        <w:t xml:space="preserve">[338] </w:t>
      </w:r>
      <w:hyperlink r:id="rId757">
        <w:r>
          <w:rPr>
            <w:color w:val="1155CC"/>
            <w:u w:val="single"/>
          </w:rPr>
          <w:t>[ASAP] Medium-Range Structural Order in Amorphous Arsenic</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15:39:17+00:00</w:t>
      </w:r>
      <w:r>
        <w:t xml:space="preserve">    </w:t>
      </w:r>
      <w:r>
        <w:rPr>
          <w:b/>
        </w:rPr>
        <w:t xml:space="preserve">DOI: </w:t>
      </w:r>
      <w:hyperlink r:id="rId758">
        <w:r>
          <w:rPr>
            <w:color w:val="1155CC"/>
            <w:u w:val="single"/>
          </w:rPr>
          <w:t>10.1021/jacs.5c18688</w:t>
        </w:r>
      </w:hyperlink>
    </w:p>
    <w:p>
      <w:pPr>
        <w:spacing w:before="0" w:after="80" w:lineRule="auto" w:line="276"/>
      </w:pPr>
      <w:r>
        <w:rPr>
          <w:b/>
        </w:rPr>
        <w:t xml:space="preserve">摘要（ZH）: </w:t>
      </w:r>
      <w:r>
        <w:t>(empty)</w:t>
      </w:r>
    </w:p>
    <w:p>
      <w:pPr>
        <w:spacing w:before="0" w:after="200" w:lineRule="auto" w:line="276"/>
      </w:pPr>
      <w:r>
        <w:rPr>
          <w:b/>
        </w:rPr>
        <w:t xml:space="preserve">Abstract (EN): </w:t>
      </w:r>
      <w:r>
        <w:t>Medium-range order (MRO) is a key structural feature of amorphous materials, but its origin and nature remain elusive. Here, we reveal the MRO in amorphous arsenic (a-As) using advanced atomistic simulations, based on machine-learned potentials derived using automated workflows. Our simulations accurately reproduce the experimental structure factor of a-As, especially the first sharp diffraction peak (FSDP), which is a signature of MRO. We compare and contrast the structure of a-As with that of its lighter homologue, red amorphous phosphorus (a-P): we find that a-As has a more uniform dihedral-angle distribution, and so we confirm that its structure can be thought of as a 3-fold coordinated continuous random network in first approximation, in contrast to the more molecular-cluster-like structure of a-P. The pressure-dependent structural behaviors of a-As and a-P differ as well, and the origin of the FSDP is closely correlated with the size and spatial distribution of voids in the amorphous networks. Our work provides fundamental insights into MRO in an amorphous elemental system, and more widely it illustrates the usefulness of automation for machine-learning-driven atomistic simulations.</w:t>
      </w:r>
    </w:p>
    <w:p>
      <w:pPr>
        <w:spacing w:before="120" w:after="120"/>
      </w:pPr>
      <w:r>
        <w:rPr>
          <w:sz w:val="18"/>
        </w:rPr>
        <w:t>——————————————————————————————————————————————————————————————————————</w:t>
      </w:r>
    </w:p>
    <w:p>
      <w:pPr>
        <w:spacing w:before="160" w:after="40" w:line="240" w:lineRule="auto"/>
      </w:pPr>
      <w:r>
        <w:rPr>
          <w:b/>
        </w:rPr>
        <w:t xml:space="preserve">[339] </w:t>
      </w:r>
      <w:hyperlink r:id="rId759">
        <w:r>
          <w:rPr>
            <w:color w:val="1155CC"/>
            <w:u w:val="single"/>
          </w:rPr>
          <w:t>[ASAP] Merocyanine-Linked Zwitterionic Covalent Organic Frameworks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15:49:09+00:00</w:t>
      </w:r>
      <w:r>
        <w:t xml:space="preserve">    </w:t>
      </w:r>
      <w:r>
        <w:rPr>
          <w:b/>
        </w:rPr>
        <w:t xml:space="preserve">DOI: </w:t>
      </w:r>
      <w:hyperlink r:id="rId760">
        <w:r>
          <w:rPr>
            <w:color w:val="1155CC"/>
            <w:u w:val="single"/>
          </w:rPr>
          <w:t>10.1021/jacs.5c20548</w:t>
        </w:r>
      </w:hyperlink>
    </w:p>
    <w:p>
      <w:pPr>
        <w:spacing w:before="0" w:after="80" w:lineRule="auto" w:line="276"/>
      </w:pPr>
      <w:r>
        <w:rPr>
          <w:b/>
        </w:rPr>
        <w:t xml:space="preserve">摘要（ZH）: </w:t>
      </w:r>
      <w:r>
        <w:t>(empty)</w:t>
      </w:r>
    </w:p>
    <w:p>
      <w:pPr>
        <w:spacing w:before="0" w:after="200" w:lineRule="auto" w:line="276"/>
      </w:pPr>
      <w:r>
        <w:rPr>
          <w:b/>
        </w:rPr>
        <w:t xml:space="preserve">Abstract (EN): </w:t>
      </w:r>
      <w:r>
        <w:t>Merocyanines are classic π-conjugated systems with significant zwitterionic character and distinct optoelectronic properties. Here, we report the synthesis of the first merocyanine-based C = C-linked COFs through the condensation of &lt;i&gt;N&lt;/i&gt;-alkylcollidinium salts with hydroxytrimesic aldehyde. These zwitterionic COFs are chemically stable, with a pronounced charge-transfer absorption band to ∼850 nm. Strong dipolar interactions within the COFs result in pore contraction/expansion in response to the medium polarity, manifested in a macroscopic expansion and an increased surface area in a high dielectric constant medium. The COFs can reversibly transition between a black neutral and a yellow cationic form upon protonation. Density functional theory calculations suggest an "omnidirectional" π-conjugation with large band dispersions. Thin films of &lt;b&gt;EtMER-COF&lt;/b&gt; prepared by heterogeneous nucleation on glass/ITO substrates reveal a vertical orientation of its 2D sheets. Time-resolved spectroscopy of the thin film suggests the presence of stimulated emission as well as a long-lived excited state.</w:t>
      </w:r>
    </w:p>
    <w:p>
      <w:pPr>
        <w:spacing w:before="120" w:after="120"/>
      </w:pPr>
      <w:r>
        <w:rPr>
          <w:sz w:val="18"/>
        </w:rPr>
        <w:t>——————————————————————————————————————————————————————————————————————</w:t>
      </w:r>
    </w:p>
    <w:p>
      <w:pPr>
        <w:spacing w:before="160" w:after="40" w:line="240" w:lineRule="auto"/>
      </w:pPr>
      <w:r>
        <w:rPr>
          <w:b/>
        </w:rPr>
        <w:t xml:space="preserve">[340] </w:t>
      </w:r>
      <w:hyperlink r:id="rId761">
        <w:r>
          <w:rPr>
            <w:color w:val="1155CC"/>
            <w:u w:val="single"/>
          </w:rPr>
          <w:t>[ASAP] Polar Opposites: Ligand-Mediated Polarity Inversion for Perovskite Quantum Dots with Sub-Nanometer Ligand Shells</w:t>
        </w:r>
      </w:hyperlink>
    </w:p>
    <w:p>
      <w:pPr>
        <w:spacing w:before="0" w:after="120"/>
      </w:pPr>
      <w:r>
        <w:rPr>
          <w:b/>
        </w:rPr>
        <w:t xml:space="preserve">Source: </w:t>
      </w:r>
      <w:r>
        <w:t>ACS Energy Letters: Latest Articles (ACS Publications)</w:t>
      </w:r>
      <w:r>
        <w:t xml:space="preserve">    </w:t>
      </w:r>
      <w:r>
        <w:rPr>
          <w:b/>
        </w:rPr>
        <w:t xml:space="preserve">Pub date: </w:t>
      </w:r>
      <w:r>
        <w:t>2026-02-26 15:49:35+00:00</w:t>
      </w:r>
      <w:r>
        <w:t xml:space="preserve">    </w:t>
      </w:r>
      <w:r>
        <w:rPr>
          <w:b/>
        </w:rPr>
        <w:t xml:space="preserve">DOI: </w:t>
      </w:r>
      <w:hyperlink r:id="rId762">
        <w:r>
          <w:rPr>
            <w:color w:val="1155CC"/>
            <w:u w:val="single"/>
          </w:rPr>
          <w:t>10.1021/acsenergylett.5c04073</w:t>
        </w:r>
      </w:hyperlink>
    </w:p>
    <w:p>
      <w:pPr>
        <w:spacing w:before="0" w:after="80" w:lineRule="auto" w:line="276"/>
      </w:pPr>
      <w:r>
        <w:rPr>
          <w:b/>
        </w:rPr>
        <w:t xml:space="preserve">摘要（ZH）: </w:t>
      </w:r>
      <w:r>
        <w:t>(empty)</w:t>
      </w:r>
    </w:p>
    <w:p>
      <w:pPr>
        <w:spacing w:before="0" w:after="200" w:lineRule="auto" w:line="276"/>
      </w:pPr>
      <w:r>
        <w:rPr>
          <w:b/>
        </w:rPr>
        <w:t xml:space="preserve">Abstract (EN): </w:t>
      </w:r>
      <w:r>
        <w:t>Perovskite quantum dots are promising classical and quantum light emitters but have limited chemical and colloidal stability in polar solvents due to their highly ionic lattices. In this work we demonstrate that perovskite quantum dots capped with strongly binding Gemini ligands with thin 0.7 nm hydroxyl-terminated ligands can be colloidally dispersed in polar solvents like ethanol.</w:t>
      </w:r>
    </w:p>
    <w:p>
      <w:pPr>
        <w:spacing w:before="120" w:after="120"/>
      </w:pPr>
      <w:r>
        <w:rPr>
          <w:sz w:val="18"/>
        </w:rPr>
        <w:t>——————————————————————————————————————————————————————————————————————</w:t>
      </w:r>
    </w:p>
    <w:p>
      <w:pPr>
        <w:spacing w:before="160" w:after="40" w:line="240" w:lineRule="auto"/>
      </w:pPr>
      <w:r>
        <w:rPr>
          <w:b/>
        </w:rPr>
        <w:t xml:space="preserve">[341] </w:t>
      </w:r>
      <w:hyperlink r:id="rId763">
        <w:r>
          <w:rPr>
            <w:color w:val="1155CC"/>
            <w:u w:val="single"/>
          </w:rPr>
          <w:t>[ASAP] A Stable, NH-Containing Chiral Nanographene: An Electroactive N-Doped π-System for Chiroptics and Spin-Selective Transport</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15:50:10+00:00</w:t>
      </w:r>
      <w:r>
        <w:t xml:space="preserve">    </w:t>
      </w:r>
      <w:r>
        <w:rPr>
          <w:b/>
        </w:rPr>
        <w:t xml:space="preserve">DOI: </w:t>
      </w:r>
      <w:hyperlink r:id="rId764">
        <w:r>
          <w:rPr>
            <w:color w:val="1155CC"/>
            <w:u w:val="single"/>
          </w:rPr>
          <w:t>10.1021/jacs.5c20735</w:t>
        </w:r>
      </w:hyperlink>
    </w:p>
    <w:p>
      <w:pPr>
        <w:spacing w:before="0" w:after="80" w:lineRule="auto" w:line="276"/>
      </w:pPr>
      <w:r>
        <w:rPr>
          <w:b/>
        </w:rPr>
        <w:t xml:space="preserve">摘要（ZH）: </w:t>
      </w:r>
      <w:r>
        <w:t>(empty)</w:t>
      </w:r>
    </w:p>
    <w:p>
      <w:pPr>
        <w:spacing w:before="0" w:after="200" w:lineRule="auto" w:line="276"/>
      </w:pPr>
      <w:r>
        <w:rPr>
          <w:b/>
        </w:rPr>
        <w:t xml:space="preserve">Abstract (EN): </w:t>
      </w:r>
      <w:r>
        <w:t>The integration of nitrogen atoms into chiral nanographenes (c-NGs) offers a powerful strategy for designing chiral materials with programmable electronic and chiroptical responses. However, the preparation of stable N-doped c-NGs featuring free NH groups─an essential chemical handle─remains a major synthetic challenge. Herein, we report a highly stable N-doped c-NG (&lt;b&gt;NHNG&lt;/b&gt;) featuring a free NH moiety, which enables comprehensive investigation of not only its structural but also its optical, redox, electronic, and spintronic properties. X-ray crystallography reveals an intriguing π-scaffold combining three coexisting topologies: two helical and one saddle-shaped. By virtue of its extended conjugation, &lt;b&gt;NHNG&lt;/b&gt; displays strong visible-light absorption (ε = 170,000 M&lt;sup&gt;-1&lt;/sup&gt; cm&lt;sup&gt;-1&lt;/sup&gt;) and a rich electrochemical profile, with four oxidations leading to persistent cationic species that exhibit sharp near-infrared absorptions. In parallel, time-resolved microwave conductivity measurements demonstrate notable photoconductivity (ϕΣμ&lt;sub&gt;max&lt;/sub&gt; = 3.0 × 10&lt;sup&gt;-5&lt;/sup&gt; cm&lt;sup&gt;2&lt;/sup&gt; V&lt;sup&gt;-1&lt;/sup&gt; s&lt;sup&gt;-1&lt;/sup&gt;). Owing to their robustness, the corresponding &lt;i&gt;M&lt;/i&gt;- and &lt;i&gt;P&lt;/i&gt;-enantiomers were resolved and found to exhibit pronounced chiroptical properties, with |&lt;i&gt;g&lt;/i&gt;&lt;sub&gt;abs&lt;/sub&gt;| = 4.2 × 10&lt;sup&gt;-3&lt;/sup&gt; and |&lt;i&gt;g&lt;/i&gt;&lt;sub&gt;lum&lt;/sub&gt;| = 2.2 × 10&lt;sup&gt;-3&lt;/sup&gt;. Remarkably, both enantiomers also display spin-selective charge transport &lt;i&gt;via&lt;/i&gt; the chiral-induced spin selectivity effect, reaching spin-polarization values of ∼80%─among the highest reported for single-molecule-based π-conjugated spin filters. Altogether, these findings render &lt;b&gt;NHNG&lt;/b&gt; a multifunctional chiral platform for next-generation optoelectronic, spintronic, and chiroptical applications.</w:t>
      </w:r>
    </w:p>
    <w:p>
      <w:pPr>
        <w:spacing w:before="120" w:after="120"/>
      </w:pPr>
      <w:r>
        <w:rPr>
          <w:sz w:val="18"/>
        </w:rPr>
        <w:t>——————————————————————————————————————————————————————————————————————</w:t>
      </w:r>
    </w:p>
    <w:p>
      <w:pPr>
        <w:spacing w:before="160" w:after="40" w:line="240" w:lineRule="auto"/>
      </w:pPr>
      <w:r>
        <w:rPr>
          <w:b/>
        </w:rPr>
        <w:t xml:space="preserve">[342] </w:t>
      </w:r>
      <w:hyperlink r:id="rId765">
        <w:r>
          <w:rPr>
            <w:color w:val="1155CC"/>
            <w:u w:val="single"/>
          </w:rPr>
          <w:t>[ASAP] Redox- and Protonation-Tunable Diboraheptacenes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16:07:09+00:00</w:t>
      </w:r>
      <w:r>
        <w:t xml:space="preserve">    </w:t>
      </w:r>
      <w:r>
        <w:rPr>
          <w:b/>
        </w:rPr>
        <w:t xml:space="preserve">DOI: </w:t>
      </w:r>
      <w:hyperlink r:id="rId766">
        <w:r>
          <w:rPr>
            <w:color w:val="1155CC"/>
            <w:u w:val="single"/>
          </w:rPr>
          <w:t>10.1021/jacs.5c21449</w:t>
        </w:r>
      </w:hyperlink>
    </w:p>
    <w:p>
      <w:pPr>
        <w:spacing w:before="0" w:after="80" w:lineRule="auto" w:line="276"/>
      </w:pPr>
      <w:r>
        <w:rPr>
          <w:b/>
        </w:rPr>
        <w:t xml:space="preserve">摘要（ZH）: </w:t>
      </w:r>
      <w:r>
        <w:t>(empty)</w:t>
      </w:r>
    </w:p>
    <w:p>
      <w:pPr>
        <w:spacing w:before="0" w:after="200" w:lineRule="auto" w:line="276"/>
      </w:pPr>
      <w:r>
        <w:rPr>
          <w:b/>
        </w:rPr>
        <w:t xml:space="preserve">Abstract (EN): </w:t>
      </w:r>
      <w:r>
        <w:t>Acenes are attractive molecular platforms with characteristic π-electron delocalization, resulting in exceptionally small HOMO-LUMO gaps, which makes them valuable for use in a variety of organic electronics. Incorporating heteroatoms into the backbones of acenes enables systematic tuning of their electronic structures and introduces well-defined sites for redox and protonation chemistry. However, the redox chemistry of boron-doped higher acenes remains poorly understood. Herein, we report the synthesis, structural characterization, and multistate redox and protonation chemistry of a series of diboraheptacenes. Starting from tetrahydrodiboraheptacene (&lt;b&gt;1&lt;/b&gt;), the corresponding radical anion (&lt;b&gt;1&lt;/b&gt;&lt;sup&gt;&lt;b&gt;•-&lt;/b&gt;&lt;/sup&gt;) was generated via one-electron reduction. The fully aromatized diborataheptacene dianion (&lt;b&gt;2&lt;/b&gt;&lt;sup&gt;&lt;b&gt;2-&lt;/b&gt;&lt;/sup&gt;) was accessed via double deprotonation, which represents the first diboron-doped π-isostere of all-hydrocarbon heptacene. Two-electron oxidation of &lt;b&gt;2&lt;/b&gt;&lt;sup&gt;&lt;b&gt;2-&lt;/b&gt;&lt;/sup&gt; gave a neutral quinodimethane (&lt;b&gt;2&lt;/b&gt;) that is isoelectronic with the heptacene dication, demonstrating redox-interconversion between benzenoid and quinoidal structures. Dianion &lt;b&gt;2&lt;/b&gt;&lt;sup&gt;&lt;b&gt;2-&lt;/b&gt;&lt;/sup&gt;, isoelectronic to heptacene, features NIR absorption at λ&lt;sub&gt;abs&lt;/sub&gt; = 951 nm, reflecting its exceptionally small HOMO-LUMO gap. In addition, &lt;b&gt;2&lt;/b&gt; shows remarkable low-energy electronic transitions, displaying red fluorescence (λ&lt;sub&gt;em&lt;/sub&gt; = 682 nm). Furthermore, reactions of &lt;b&gt;2&lt;/b&gt;&lt;sup&gt;&lt;b&gt;2-&lt;/b&gt;&lt;/sup&gt; with CO&lt;sub&gt;2&lt;/sub&gt; or acrylonitrile yield cycloaddition products, while the reaction with H&lt;sub&gt;2&lt;/sub&gt;O affords a hydroxylated diboraheptacene dianion. These results establish redox- and protonation-state-dependent electronic structures, photophysical properties, and reactivity of an extended diboraacene platform.</w:t>
      </w:r>
    </w:p>
    <w:p>
      <w:pPr>
        <w:spacing w:before="120" w:after="120"/>
      </w:pPr>
      <w:r>
        <w:rPr>
          <w:sz w:val="18"/>
        </w:rPr>
        <w:t>——————————————————————————————————————————————————————————————————————</w:t>
      </w:r>
    </w:p>
    <w:p>
      <w:pPr>
        <w:spacing w:before="160" w:after="40" w:line="240" w:lineRule="auto"/>
      </w:pPr>
      <w:r>
        <w:rPr>
          <w:b/>
        </w:rPr>
        <w:t xml:space="preserve">[343] </w:t>
      </w:r>
      <w:hyperlink r:id="rId767">
        <w:r>
          <w:rPr>
            <w:color w:val="1155CC"/>
            <w:u w:val="single"/>
          </w:rPr>
          <w:t>[ASAP] Ionic Liquid Gating Enol–Keto Tautomerism</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16:08:51+00:00</w:t>
      </w:r>
      <w:r>
        <w:t xml:space="preserve">    </w:t>
      </w:r>
      <w:r>
        <w:rPr>
          <w:b/>
        </w:rPr>
        <w:t xml:space="preserve">DOI: </w:t>
      </w:r>
      <w:hyperlink r:id="rId768">
        <w:r>
          <w:rPr>
            <w:color w:val="1155CC"/>
            <w:u w:val="single"/>
          </w:rPr>
          <w:t>10.1021/jacs.5c21927</w:t>
        </w:r>
      </w:hyperlink>
    </w:p>
    <w:p>
      <w:pPr>
        <w:spacing w:before="0" w:after="80" w:lineRule="auto" w:line="276"/>
      </w:pPr>
      <w:r>
        <w:rPr>
          <w:b/>
        </w:rPr>
        <w:t xml:space="preserve">摘要（ZH）: </w:t>
      </w:r>
      <w:r>
        <w:t>(empty)</w:t>
      </w:r>
    </w:p>
    <w:p>
      <w:pPr>
        <w:spacing w:before="0" w:after="200" w:lineRule="auto" w:line="276"/>
      </w:pPr>
      <w:r>
        <w:rPr>
          <w:b/>
        </w:rPr>
        <w:t xml:space="preserve">Abstract (EN): </w:t>
      </w:r>
      <w:r>
        <w:t>Keto-enol tautomerism plays an important role in functional organic synthesis, pharmaceutical chemistry, biological activity, and molecular-scale charge transport. It is, therefore, critical to find a reliable approach to manipulate keto-enol tautomerism at the single-molecular level. In this study, we demonstrated that the β-diketone derivative, which existed dominantly in the enol form, can be reversibly switched between keto and enol forms with remarkable conductance discrepancy by modulating the electrochemical potential of the gate electrode in an ionic liquid, paving the way for the fabrication of single-molecule circuit switches. It has been recognized for a long time that the enol-keto tautomerism is governed by an excited intramolecular proton transfer process, and we provide evidence that the enol-keto tautomerism in the biased electro-circuit is governed by the proton-coupled electron transfer (PCET) rather than the intramolecular proton transfer (IPT) upon the electrochemical-gated ionic interfacial redistribution, clarifying the mechanism of keto-enol tautomerism in circuits and benefiting the application of tautomerism in different research areas.</w:t>
      </w:r>
    </w:p>
    <w:p>
      <w:pPr>
        <w:spacing w:before="120" w:after="120"/>
      </w:pPr>
      <w:r>
        <w:rPr>
          <w:sz w:val="18"/>
        </w:rPr>
        <w:t>——————————————————————————————————————————————————————————————————————</w:t>
      </w:r>
    </w:p>
    <w:p>
      <w:pPr>
        <w:spacing w:before="160" w:after="40" w:line="240" w:lineRule="auto"/>
      </w:pPr>
      <w:r>
        <w:rPr>
          <w:b/>
        </w:rPr>
        <w:t xml:space="preserve">[344] </w:t>
      </w:r>
      <w:hyperlink r:id="rId769">
        <w:r>
          <w:rPr>
            <w:color w:val="1155CC"/>
            <w:u w:val="single"/>
          </w:rPr>
          <w:t>[ASAP] Overlooked Complications and Opportunities in the Development of Drugs Based upon Macrobicyclic Peptides: The “Homeomorphic Switch”</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16:29:40+00:00</w:t>
      </w:r>
      <w:r>
        <w:t xml:space="preserve">    </w:t>
      </w:r>
      <w:r>
        <w:rPr>
          <w:b/>
        </w:rPr>
        <w:t xml:space="preserve">DOI: </w:t>
      </w:r>
      <w:hyperlink r:id="rId770">
        <w:r>
          <w:rPr>
            <w:color w:val="1155CC"/>
            <w:u w:val="single"/>
          </w:rPr>
          <w:t>10.1021/jacs.5c21032</w:t>
        </w:r>
      </w:hyperlink>
    </w:p>
    <w:p>
      <w:pPr>
        <w:spacing w:before="0" w:after="80" w:lineRule="auto" w:line="276"/>
      </w:pPr>
      <w:r>
        <w:rPr>
          <w:b/>
        </w:rPr>
        <w:t xml:space="preserve">摘要（ZH）: </w:t>
      </w:r>
      <w:r>
        <w:t>(empty)</w:t>
      </w:r>
    </w:p>
    <w:p>
      <w:pPr>
        <w:spacing w:before="0" w:after="200" w:lineRule="auto" w:line="276"/>
      </w:pPr>
      <w:r>
        <w:rPr>
          <w:b/>
        </w:rPr>
        <w:t xml:space="preserve">Abstract (EN): </w:t>
      </w:r>
      <w:r>
        <w:t>Many macrobicyclic compounds can undergo a widely overlooked conformational process, homeomorphic isomerization, that effectively turns molecules inside-out and leads to species with in,in, out,out, in,out, and out,in bridgeheads. Different chemical and biological properties would be expected. Some foundational aspects of this phenomenon are briefly reviewed, with both model compounds of the formula E((CH2)n)3E (n ≥ 10, E = P, As, etc.) and macrobicyclic peptides. Attempts are made to bridge the differing cultural perspectives of the physical organic and chemical biology communities regarding bicyclic molecules. Opportunities are presented for (1) improving the stereochemical definition of macrobicyclic peptides and their adducts with proteins, (2) new drug design and efficacy protocols, and (3) refining or circumventing existing patented IP.</w:t>
      </w:r>
    </w:p>
    <w:p>
      <w:pPr>
        <w:spacing w:before="120" w:after="120"/>
      </w:pPr>
      <w:r>
        <w:rPr>
          <w:sz w:val="18"/>
        </w:rPr>
        <w:t>——————————————————————————————————————————————————————————————————————</w:t>
      </w:r>
    </w:p>
    <w:p>
      <w:pPr>
        <w:spacing w:before="160" w:after="40" w:line="240" w:lineRule="auto"/>
      </w:pPr>
      <w:r>
        <w:rPr>
          <w:b/>
        </w:rPr>
        <w:t xml:space="preserve">[345] </w:t>
      </w:r>
      <w:hyperlink r:id="rId771">
        <w:r>
          <w:rPr>
            <w:color w:val="1155CC"/>
            <w:u w:val="single"/>
          </w:rPr>
          <w:t>[ASAP] Dynamic Exchange Assembly of Enzymes with Single-Crystal Covalent Organic Frameworks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16:33:20+00:00</w:t>
      </w:r>
      <w:r>
        <w:t xml:space="preserve">    </w:t>
      </w:r>
      <w:r>
        <w:rPr>
          <w:b/>
        </w:rPr>
        <w:t xml:space="preserve">DOI: </w:t>
      </w:r>
      <w:hyperlink r:id="rId772">
        <w:r>
          <w:rPr>
            <w:color w:val="1155CC"/>
            <w:u w:val="single"/>
          </w:rPr>
          <w:t>10.1021/jacs.5c22300</w:t>
        </w:r>
      </w:hyperlink>
    </w:p>
    <w:p>
      <w:pPr>
        <w:spacing w:before="0" w:after="80" w:lineRule="auto" w:line="276"/>
      </w:pPr>
      <w:r>
        <w:rPr>
          <w:b/>
        </w:rPr>
        <w:t xml:space="preserve">摘要（ZH）: </w:t>
      </w:r>
      <w:r>
        <w:t>(empty)</w:t>
      </w:r>
    </w:p>
    <w:p>
      <w:pPr>
        <w:spacing w:before="0" w:after="200" w:lineRule="auto" w:line="276"/>
      </w:pPr>
      <w:r>
        <w:rPr>
          <w:b/>
        </w:rPr>
        <w:t xml:space="preserve">Abstract (EN): </w:t>
      </w:r>
      <w:r>
        <w:t>Employing single-crystal porous materials to study their assembly with biomacromolecules is a powerful method for uncovering the fundamental principles behind biocomposite formation and advancing their practical applications, but it remains a formidable challenge. Herein, we develop a dynamic exchange strategy to investigate the assembly process of enzymes with covalent organic frameworks (COFs). To demonstrate the proof of concept, we design and synthesize a single-crystal three-dimensional (3D) microporous COF, whose structure is fully solved by single-crystal X-ray diffraction, enabling precise characterization of its interactions with enzymes. It is found that the assembly of COFs with enzymes is driven by the dynamic, reversible imine linkage in COFs, and this dynamic exchange strategy is versatile, allowing it to be applied to various enzymes and COFs. Additionally, the controlled distribution of enzymes within the crystals enables a highly efficient cascade of large enzymes to catalyze large substrates. This study offers an innovative platform for biocatalysis and establishes guiding principles for developing biohybrid materials, opening new avenues for the assembly of biomacromolecules and porous materials.</w:t>
      </w:r>
    </w:p>
    <w:p>
      <w:pPr>
        <w:spacing w:before="120" w:after="120"/>
      </w:pPr>
      <w:r>
        <w:rPr>
          <w:sz w:val="18"/>
        </w:rPr>
        <w:t>——————————————————————————————————————————————————————————————————————</w:t>
      </w:r>
    </w:p>
    <w:p>
      <w:pPr>
        <w:spacing w:before="160" w:after="40" w:line="240" w:lineRule="auto"/>
      </w:pPr>
      <w:r>
        <w:rPr>
          <w:b/>
        </w:rPr>
        <w:t xml:space="preserve">[346] </w:t>
      </w:r>
      <w:hyperlink r:id="rId773">
        <w:r>
          <w:rPr>
            <w:color w:val="1155CC"/>
            <w:u w:val="single"/>
          </w:rPr>
          <w:t>[ASAP] Side-Chain Free Semiconducting Polymer for High-Performance n-Type Organic Electrochemical Transistors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17:46:17+00:00</w:t>
      </w:r>
      <w:r>
        <w:t xml:space="preserve">    </w:t>
      </w:r>
      <w:r>
        <w:rPr>
          <w:b/>
        </w:rPr>
        <w:t xml:space="preserve">DOI: </w:t>
      </w:r>
      <w:hyperlink r:id="rId774">
        <w:r>
          <w:rPr>
            <w:color w:val="1155CC"/>
            <w:u w:val="single"/>
          </w:rPr>
          <w:t>10.1021/jacs.5c19399</w:t>
        </w:r>
      </w:hyperlink>
    </w:p>
    <w:p>
      <w:pPr>
        <w:spacing w:before="0" w:after="80" w:lineRule="auto" w:line="276"/>
      </w:pPr>
      <w:r>
        <w:rPr>
          <w:b/>
        </w:rPr>
        <w:t xml:space="preserve">摘要（ZH）: </w:t>
      </w:r>
      <w:r>
        <w:t>(empty)</w:t>
      </w:r>
    </w:p>
    <w:p>
      <w:pPr>
        <w:spacing w:before="0" w:after="200" w:lineRule="auto" w:line="276"/>
      </w:pPr>
      <w:r>
        <w:rPr>
          <w:b/>
        </w:rPr>
        <w:t xml:space="preserve">Abstract (EN): </w:t>
      </w:r>
      <w:r>
        <w:t>The development of organic electrochemical transistors (OECTs) critically depends on the design and characterization of mixed-conducting, high-performance conjugated polymers (CPs) as channel materials, particularly for n-type OECTs. In this study, we present a novel strategy to enhance the OECT performance of a semiconducting polymer film via a postdeposition ester pyrolysis of thermally cleavable side chains, thus facilitating ion incorporation and transport within the bulk. Our approach relies on the synthesis of a high glass-transition, rigid-rod polymer, able to withstand the pyrolysis temperature without deformation and maintain the voids formed from the pyrolysis reaction which removes the thermally cleavable ester side chains. After side-chain cleavage, the resulting film exhibits increased porosity, hydrophilicity, and crystallinity. By creating bulk porosity in thin films via this approach, ion diffusion is enhanced, resulting in a superior μC* figure of merit up to 158.85 F cm–1 V–1 s–1, and a corresponding increase in normalized transconductance (31.67 S cm–1). In addition, the device switching speed and long-term stability are also observed to increase, further demonstrating the benefit of nanoscale porosity for mixed conductivity semiconductors.</w:t>
      </w:r>
    </w:p>
    <w:p>
      <w:pPr>
        <w:spacing w:before="120" w:after="120"/>
      </w:pPr>
      <w:r>
        <w:rPr>
          <w:sz w:val="18"/>
        </w:rPr>
        <w:t>——————————————————————————————————————————————————————————————————————</w:t>
      </w:r>
    </w:p>
    <w:p>
      <w:pPr>
        <w:spacing w:before="160" w:after="40" w:line="240" w:lineRule="auto"/>
      </w:pPr>
      <w:r>
        <w:rPr>
          <w:b/>
        </w:rPr>
        <w:t xml:space="preserve">[347] </w:t>
      </w:r>
      <w:hyperlink r:id="rId775">
        <w:r>
          <w:rPr>
            <w:color w:val="1155CC"/>
            <w:u w:val="single"/>
          </w:rPr>
          <w:t>[ASAP] Multinuclear Ruthenium Sites Confined in Metal–Organic Frameworks with Bio-Inspired Water Networks for Efficient Water Oxidation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2026-02-26 19:55:32+00:00</w:t>
      </w:r>
      <w:r>
        <w:t xml:space="preserve">    </w:t>
      </w:r>
      <w:r>
        <w:rPr>
          <w:b/>
        </w:rPr>
        <w:t xml:space="preserve">DOI: </w:t>
      </w:r>
      <w:hyperlink r:id="rId776">
        <w:r>
          <w:rPr>
            <w:color w:val="1155CC"/>
            <w:u w:val="single"/>
          </w:rPr>
          <w:t>10.1021/jacs.5c22536</w:t>
        </w:r>
      </w:hyperlink>
    </w:p>
    <w:p>
      <w:pPr>
        <w:spacing w:before="0" w:after="80" w:lineRule="auto" w:line="276"/>
      </w:pPr>
      <w:r>
        <w:rPr>
          <w:b/>
        </w:rPr>
        <w:t xml:space="preserve">摘要（ZH）: </w:t>
      </w:r>
      <w:r>
        <w:t>(empty)</w:t>
      </w:r>
    </w:p>
    <w:p>
      <w:pPr>
        <w:spacing w:before="0" w:after="200" w:lineRule="auto" w:line="276"/>
      </w:pPr>
      <w:r>
        <w:rPr>
          <w:b/>
        </w:rPr>
        <w:t xml:space="preserve">Abstract (EN): </w:t>
      </w:r>
      <w:r>
        <w:t>Natural enzymes achieve exceptional catalytic efficiency by organizing substrates within precisely defined microenvironments, a level of control that remains challenging to replicate in synthetic systems. Here we report an enzyme-inspired strategy in which a mononuclear Ru-cba water-oxidation catalyst is assembled into a Hf-based MOF to form Hf-Ru-cba featuring confined catalytic pockets and spatially organized multinuclear Ru-cba sites (cba = 5,5′-bis(4-carboxyphenyl)-[2,2'-bipyridine]-6,6′-dicarboxylic acid). Within these nanocavities, an extended hydrogen-bond network preorganizes water molecules and stabilizes high-valent intermediates, thereby accelerating the water-nucleophilic-attack (WNA) pathway. This microenvironment-driven enhancement yields a turnover frequency of 20.6 s–1, which is nearly an order of magnitude higher than that of the discrete Ru-cba analogue. Furthermore, the MOF-integrated catalyst maintains its exceptional activity even at an ultralow catalyst concentration (3.6 μM) compared with the homogeneous system. Mechanistic evidence from kinetics, isotope labeling, and DFT calculations confirms that nanoconfinement directs the reaction toward a WNA mechanism and lowers the barrier for O–O bond formation. The heterogeneous Hf-Ru-cba catalyst also exhibits excellent operational stability, retaining performance over at least five cycles. These results establish MOFs as programmable scaffolds for integrating molecular catalysts and highlight water-network engineering as a powerful approach to modulate reaction dynamics.</w:t>
      </w:r>
    </w:p>
    <w:p>
      <w:pPr>
        <w:spacing w:before="120" w:after="120"/>
      </w:pPr>
      <w:r>
        <w:rPr>
          <w:sz w:val="18"/>
        </w:rPr>
        <w:t>——————————————————————————————————————————————————————————————————————</w:t>
      </w:r>
    </w:p>
    <w:p>
      <w:pPr>
        <w:spacing w:before="160" w:after="40" w:line="240" w:lineRule="auto"/>
      </w:pPr>
      <w:r>
        <w:rPr>
          <w:b/>
        </w:rPr>
        <w:t xml:space="preserve">[348] </w:t>
      </w:r>
      <w:hyperlink r:id="rId777">
        <w:r>
          <w:rPr>
            <w:color w:val="1155CC"/>
            <w:u w:val="single"/>
          </w:rPr>
          <w:t>Stratospheric precursor induces wintertime phase reversal of the “warm Arctic-cold Eurasia” pattern</w:t>
        </w:r>
      </w:hyperlink>
    </w:p>
    <w:p>
      <w:pPr>
        <w:spacing w:before="0" w:after="120"/>
      </w:pPr>
      <w:r>
        <w:rPr>
          <w:b/>
        </w:rPr>
        <w:t xml:space="preserve">Source: </w:t>
      </w:r>
      <w:r>
        <w:t>Nature Communications</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Rapid Arctic warming has reached 2–4 times the global average, contrasting with the cooling trend in mid-high latitude Eurasia during the 1990s–2010s. A notable phenomenon of the “warm Arctic-cold Eurasia” (WACE) pattern is its frequent phase reversal between early and late winter seen in the last decade. As one of the important drivers of climate variability, the role of the stratosphere in WACE reversal remains unclear. Here, we find that approximately 25 days before WACE reversal, the morphology of the stratospheric polar vortex over North America-North Atlantic undergoes a transition between stretching and contraction. Through vertical wave coupling and downward propagation, this stratospheric transition effectively modulates the key atmospheric circulation responsible for the WACE reversal. CMIP6 models including complete stratospheric processes can successfully simulate the WACE reversal induced by the stratospheric precursor, while low-top models fail to capture this linkage. Our findings deepen the understanding of cold-warm transition events from a stratosphere-troposphere coupling perspective.</w:t>
      </w:r>
    </w:p>
    <w:p>
      <w:pPr>
        <w:spacing w:before="120" w:after="120"/>
      </w:pPr>
      <w:r>
        <w:rPr>
          <w:sz w:val="18"/>
        </w:rPr>
        <w:t>——————————————————————————————————————————————————————————————————————</w:t>
      </w:r>
    </w:p>
    <w:p>
      <w:pPr>
        <w:spacing w:before="160" w:after="40" w:line="240" w:lineRule="auto"/>
      </w:pPr>
      <w:r>
        <w:rPr>
          <w:b/>
        </w:rPr>
        <w:t xml:space="preserve">[349] </w:t>
      </w:r>
      <w:hyperlink r:id="rId778">
        <w:r>
          <w:rPr>
            <w:color w:val="1155CC"/>
            <w:u w:val="single"/>
          </w:rPr>
          <w:t>Systematic review and meta-analysis of the evidence for an illusory truth effect and its determinants</w:t>
        </w:r>
      </w:hyperlink>
    </w:p>
    <w:p>
      <w:pPr>
        <w:spacing w:before="0" w:after="120"/>
      </w:pPr>
      <w:r>
        <w:rPr>
          <w:b/>
        </w:rPr>
        <w:t xml:space="preserve">Source: </w:t>
      </w:r>
      <w:r>
        <w:t>Nature Communications</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Over the last four decades, studies provided evidence that individuals tend to rate statements as being more truthful when they are re-exposed to them, the so-called ‘illusory truth effect’. In light of a growing number of studies published since the previous meta-analysis in 2006 and concern of publishing biases, we conduct a meta-analysis on 182 studies and 366 effect sizes (N = 31,184 participants) published from 1977 to 2025. After correcting for small-study effects, we observe a small illusory truth effect (g = 0.37, 95% confidence interval [0.30, 0.44]), with a substantial within and between-study heterogeneity. Here, we show that multiple variables accounted for such heterogeneity, including the type of item, the instructions during the first exposure, the presence of veracity cues, and the duration of presentation on first exposure to the statement. We highlight the importance of the initial exposure and discuss practical implications regarding the current misinformation crisis.</w:t>
      </w:r>
    </w:p>
    <w:p>
      <w:pPr>
        <w:spacing w:before="120" w:after="120"/>
      </w:pPr>
      <w:r>
        <w:rPr>
          <w:sz w:val="18"/>
        </w:rPr>
        <w:t>——————————————————————————————————————————————————————————————————————</w:t>
      </w:r>
    </w:p>
    <w:p>
      <w:pPr>
        <w:spacing w:before="160" w:after="40" w:line="240" w:lineRule="auto"/>
      </w:pPr>
      <w:r>
        <w:rPr>
          <w:b/>
        </w:rPr>
        <w:t xml:space="preserve">[350] </w:t>
      </w:r>
      <w:hyperlink r:id="rId779">
        <w:r>
          <w:rPr>
            <w:color w:val="1155CC"/>
            <w:u w:val="single"/>
          </w:rPr>
          <w:t>Unveiling individual and collective temporal patterns in the tanker shipping network</w:t>
        </w:r>
      </w:hyperlink>
    </w:p>
    <w:p>
      <w:pPr>
        <w:spacing w:before="0" w:after="120"/>
      </w:pPr>
      <w:r>
        <w:rPr>
          <w:b/>
        </w:rPr>
        <w:t xml:space="preserve">Source: </w:t>
      </w:r>
      <w:r>
        <w:t>Nature Communications</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The global oil tanker shipping network emerges from individual ship and fleet decisions driven by economic, environmental, and operational factors. However, most existing shipping network analysis rely on static, time-aggregated representations, overlooking critical temporality connecting individual vessel routing strategies with both operational efficiency and global cargo flows. To address this gap, we introduce a dual-scale framework complementing sequential motif analysis—capturing recurrent patterns in vessel movement sequences—with Dynamic Mode Decomposition (DMD), extracting temporal dynamics from vessel trajectories to global cargo flows. Using tanker movement data across four vessel classes, we demonstrate that vessels exhibiting diverse regional exploration patterns spend up to 50% more time transporting rather than seeking cargo, indicating greater economic and environmental efficiency. At the system scale, DMD analysis reveals distinct seasonality with an average peak-to-trough amplitude of 16%. Major import regions show synchronous annual demand cycles, while export regions exhibit anti-synchronicity. These temporal patterns, invisible to static analysis, reveal performance differences that enable route optimization for both economic and environmental benefits.</w:t>
      </w:r>
    </w:p>
    <w:p>
      <w:pPr>
        <w:spacing w:before="120" w:after="120"/>
      </w:pPr>
      <w:r>
        <w:rPr>
          <w:sz w:val="18"/>
        </w:rPr>
        <w:t>——————————————————————————————————————————————————————————————————————</w:t>
      </w:r>
    </w:p>
    <w:p>
      <w:pPr>
        <w:spacing w:before="160" w:after="40" w:line="240" w:lineRule="auto"/>
      </w:pPr>
      <w:r>
        <w:rPr>
          <w:b/>
        </w:rPr>
        <w:t xml:space="preserve">[351] </w:t>
      </w:r>
      <w:hyperlink r:id="rId780">
        <w:r>
          <w:rPr>
            <w:color w:val="1155CC"/>
            <w:u w:val="single"/>
          </w:rPr>
          <w:t>Emerging roles of cations in electrocatalytic reduction of CO2 and CO</w:t>
        </w:r>
      </w:hyperlink>
    </w:p>
    <w:p>
      <w:pPr>
        <w:spacing w:before="0" w:after="120"/>
      </w:pPr>
      <w:r>
        <w:rPr>
          <w:b/>
        </w:rPr>
        <w:t xml:space="preserve">Source: </w:t>
      </w:r>
      <w:r>
        <w:t>Nature Energy</w:t>
      </w:r>
      <w:r>
        <w:t xml:space="preserve">    </w:t>
      </w:r>
      <w:r>
        <w:rPr>
          <w:b/>
        </w:rPr>
        <w:t xml:space="preserve">Pub date: </w:t>
      </w:r>
      <w:r>
        <w:t>2026-02-27 00:00:00+00:00</w:t>
      </w:r>
      <w:r>
        <w:t xml:space="preserve">    </w:t>
      </w:r>
      <w:r>
        <w:rPr>
          <w:b/>
        </w:rPr>
        <w:t xml:space="preserve">DOI: </w:t>
      </w:r>
      <w:hyperlink r:id="rId781">
        <w:r>
          <w:rPr>
            <w:color w:val="1155CC"/>
            <w:u w:val="single"/>
          </w:rPr>
          <w:t>10.1038/s41560-026-01973-3</w:t>
        </w:r>
      </w:hyperlink>
    </w:p>
    <w:p>
      <w:pPr>
        <w:spacing w:before="0" w:after="80" w:lineRule="auto" w:line="276"/>
      </w:pPr>
      <w:r>
        <w:rPr>
          <w:b/>
        </w:rPr>
        <w:t xml:space="preserve">摘要（ZH）: </w:t>
      </w:r>
      <w:r>
        <w:t>(empty)</w:t>
      </w:r>
    </w:p>
    <w:p>
      <w:pPr>
        <w:spacing w:before="0" w:after="200" w:lineRule="auto" w:line="276"/>
      </w:pPr>
      <w:r>
        <w:rPr>
          <w:b/>
        </w:rPr>
        <w:t xml:space="preserve">Abstract (EN): </w:t>
      </w:r>
      <w:r>
        <w:t>The electrochemical CO2 and CO reduction reactions (CO(2)RR) represent a promising strategy for enabling a circular carbon economy. Cations have been shown to have a substantial impact on catalytic activity and selectivity in CO(2)RR; however, the mechanisms in play remain debated. In this Review we explore the multifaceted roles of cations in CO(2)RR, categorizing their effects based on the degree of involvement at the molecular level: as indirect mediators, energetic modulators and participants in electron-transfer processes. At each level, we critically evaluate the key mechanistic hypotheses, supporting evidence and existing contradictions of cation effects. Furthermore, we highlight critical knowledge gaps and potential future research directions, in particular regarding cation effects on specific elementary steps in reaction pathways and catalyst-dependent behaviours, to advance our understanding of the interfacial chemistry and to enable the rational design and optimization of CO(2)RR.</w:t>
      </w:r>
    </w:p>
    <w:p>
      <w:pPr>
        <w:spacing w:before="120" w:after="120"/>
      </w:pPr>
      <w:r>
        <w:rPr>
          <w:sz w:val="18"/>
        </w:rPr>
        <w:t>——————————————————————————————————————————————————————————————————————</w:t>
      </w:r>
    </w:p>
    <w:p>
      <w:pPr>
        <w:spacing w:before="160" w:after="40" w:line="240" w:lineRule="auto"/>
      </w:pPr>
      <w:r>
        <w:rPr>
          <w:b/>
        </w:rPr>
        <w:t xml:space="preserve">[352] </w:t>
      </w:r>
      <w:hyperlink r:id="rId782">
        <w:r>
          <w:rPr>
            <w:color w:val="1155CC"/>
            <w:u w:val="single"/>
          </w:rPr>
          <w:t>Decoding the SE Tibetan Plateau Growth: A 3D Numerical Simulation of Cenozoic Crustal Deformation</w:t>
        </w:r>
      </w:hyperlink>
    </w:p>
    <w:p>
      <w:pPr>
        <w:spacing w:before="0" w:after="120"/>
      </w:pPr>
      <w:r>
        <w:rPr>
          <w:b/>
        </w:rPr>
        <w:t xml:space="preserve">Source: </w:t>
      </w:r>
      <w:r>
        <w:t>National Science Review Advance Access</w:t>
      </w:r>
      <w:r>
        <w:t xml:space="preserve">    </w:t>
      </w:r>
      <w:r>
        <w:rPr>
          <w:b/>
        </w:rPr>
        <w:t xml:space="preserve">Pub date: </w:t>
      </w:r>
      <w:r>
        <w:t>2026-02-27 00:00:00+00:00</w:t>
      </w:r>
      <w:r>
        <w:t xml:space="preserve">    </w:t>
      </w:r>
      <w:r>
        <w:rPr>
          <w:b/>
        </w:rPr>
        <w:t xml:space="preserve">DOI: </w:t>
      </w:r>
      <w:hyperlink r:id="rId783">
        <w:r>
          <w:rPr>
            <w:color w:val="1155CC"/>
            <w:u w:val="single"/>
          </w:rPr>
          <w:t>10.1093/nsr/nwag118/8501036</w:t>
        </w:r>
      </w:hyperlink>
    </w:p>
    <w:p>
      <w:pPr>
        <w:spacing w:before="0" w:after="80" w:lineRule="auto" w:line="276"/>
      </w:pPr>
      <w:r>
        <w:rPr>
          <w:b/>
        </w:rPr>
        <w:t xml:space="preserve">摘要（ZH）: </w:t>
      </w:r>
      <w:r>
        <w:t>(empty)</w:t>
      </w:r>
    </w:p>
    <w:p>
      <w:pPr>
        <w:spacing w:before="0" w:after="200" w:lineRule="auto" w:line="276"/>
      </w:pPr>
      <w:r>
        <w:rPr>
          <w:b/>
        </w:rPr>
        <w:t xml:space="preserve">Abstract (EN): </w:t>
      </w:r>
      <w:r>
        <w:t>The southeastern Tibetan Plateau, an intracontinental deformation archetype recording oblique Indian-Eurasian convergence, has long tested the end-member models of block extrusion and lower crustal flow. Driven by India’s northward indentation, it has undergone multi-phase deformation with kinematic and structural shifts. To explore its evolutionary dynamics, we developed 3D visco-elasto-plastic thermomechanical models reconstructing three tectonic stages: (1) crustal shortening, (2) block lateral extrusion, and (3) kinematic reversal in the southeastern Tibetan Plateau. Simulations show that strain localization along large-scale shear zones is initially controlled by lithospheric heterogeneities enabling rigid block extrusion. Since the mid-late Miocene, vertically stratified crustal rheology promotes decoupling, in which potential energy-driven ductile lower crustal flow modulates upper crustal deformation and triggers kinematic reversal. This transition reconciles block extrusion and lower crustal flow, which operate sequentially rather than exclusively and are modulated by temporal variations in crustal rheology and boundary conditions, resolving the long-lasting debates of geodynamics during continental collision.</w:t>
      </w:r>
    </w:p>
    <w:p>
      <w:pPr>
        <w:spacing w:before="120" w:after="120"/>
      </w:pPr>
      <w:r>
        <w:rPr>
          <w:sz w:val="18"/>
        </w:rPr>
        <w:t>——————————————————————————————————————————————————————————————————————</w:t>
      </w:r>
    </w:p>
    <w:p>
      <w:pPr>
        <w:spacing w:before="160" w:after="40" w:line="240" w:lineRule="auto"/>
      </w:pPr>
      <w:r>
        <w:rPr>
          <w:b/>
        </w:rPr>
        <w:t xml:space="preserve">[353] </w:t>
      </w:r>
      <w:hyperlink r:id="rId784">
        <w:r>
          <w:rPr>
            <w:color w:val="1155CC"/>
            <w:u w:val="single"/>
          </w:rPr>
          <w:t>Pressure-induced superconductivity beyond magnetic quantum criticality in a Kondo ferromagnet</w:t>
        </w:r>
      </w:hyperlink>
    </w:p>
    <w:p>
      <w:pPr>
        <w:spacing w:before="0" w:after="120"/>
      </w:pPr>
      <w:r>
        <w:rPr>
          <w:b/>
        </w:rPr>
        <w:t xml:space="preserve">Source: </w:t>
      </w:r>
      <w:r>
        <w:t>National Science Review Advance Access</w:t>
      </w:r>
      <w:r>
        <w:t xml:space="preserve">    </w:t>
      </w:r>
      <w:r>
        <w:rPr>
          <w:b/>
        </w:rPr>
        <w:t xml:space="preserve">Pub date: </w:t>
      </w:r>
      <w:r>
        <w:t>2026-02-27 00:00:00+00:00</w:t>
      </w:r>
      <w:r>
        <w:t xml:space="preserve">    </w:t>
      </w:r>
      <w:r>
        <w:rPr>
          <w:b/>
        </w:rPr>
        <w:t xml:space="preserve">DOI: </w:t>
      </w:r>
      <w:hyperlink r:id="rId785">
        <w:r>
          <w:rPr>
            <w:color w:val="1155CC"/>
            <w:u w:val="single"/>
          </w:rPr>
          <w:t>10.1093/nsr/nwag119/8501035</w:t>
        </w:r>
      </w:hyperlink>
    </w:p>
    <w:p>
      <w:pPr>
        <w:spacing w:before="0" w:after="80" w:lineRule="auto" w:line="276"/>
      </w:pPr>
      <w:r>
        <w:rPr>
          <w:b/>
        </w:rPr>
        <w:t xml:space="preserve">摘要（ZH）: </w:t>
      </w:r>
      <w:r>
        <w:t>(empty)</w:t>
      </w:r>
    </w:p>
    <w:p>
      <w:pPr>
        <w:spacing w:before="0" w:after="200" w:lineRule="auto" w:line="276"/>
      </w:pPr>
      <w:r>
        <w:rPr>
          <w:b/>
        </w:rPr>
        <w:t xml:space="preserve">Abstract (EN): </w:t>
      </w:r>
      <w:r>
        <w:t>Quantum phase transitions are an established setting for emergent phenomena driven by strong electronic correlations, including strange metals and unconventional superconductivity. These have been explored extensively in Kondo lattice materials tuned to an antiferromagnetic quantum critical point (QCP), but superconductivity emerging near ferromagnetic quantum criticality is not yet observed, and the conditions under which it occurs in proximity to ferromagnetism are undetermined. Here, we report a new setting for superconductivity in the ferromagnetic Kondo-lattice material Ce5CoGe2, where there is a ferromagnetic ground state at ambient pressure, which evolves to antiferromagnetism under applied pressures. The antiferromagnetic transition is suppressed to a zero-temperature QCP, which is accompanied by strange-metal behavior. Superconductivity does not occur at the QCP, but instead appears at pressures beyond the magnetic instability. These findings suggest that Ce5CoGe2 represents a distinct class of correlated materials exhibiting a unique scenario for the emergence of superconductivity, likely associated with unconventional pairing mechanisms beyond spin-fluctuations.</w:t>
      </w:r>
    </w:p>
    <w:p>
      <w:pPr>
        <w:spacing w:before="120" w:after="120"/>
      </w:pPr>
      <w:r>
        <w:rPr>
          <w:sz w:val="18"/>
        </w:rPr>
        <w:t>——————————————————————————————————————————————————————————————————————</w:t>
      </w:r>
    </w:p>
    <w:p>
      <w:pPr>
        <w:spacing w:before="160" w:after="40" w:line="240" w:lineRule="auto"/>
      </w:pPr>
      <w:r>
        <w:rPr>
          <w:b/>
        </w:rPr>
        <w:t xml:space="preserve">[354] </w:t>
      </w:r>
      <w:hyperlink r:id="rId786">
        <w:r>
          <w:rPr>
            <w:color w:val="1155CC"/>
            <w:u w:val="single"/>
          </w:rPr>
          <w:t>Needs for a robust research on thermo-electrochemical systems</w:t>
        </w:r>
      </w:hyperlink>
    </w:p>
    <w:p>
      <w:pPr>
        <w:spacing w:before="0" w:after="120"/>
      </w:pPr>
      <w:r>
        <w:rPr>
          <w:b/>
        </w:rPr>
        <w:t xml:space="preserve">Source: </w:t>
      </w:r>
      <w:r>
        <w:t>National Science Review Advance Access</w:t>
      </w:r>
      <w:r>
        <w:t xml:space="preserve">    </w:t>
      </w:r>
      <w:r>
        <w:rPr>
          <w:b/>
        </w:rPr>
        <w:t xml:space="preserve">Pub date: </w:t>
      </w:r>
      <w:r>
        <w:t>2026-02-27 00:00:00+00:00</w:t>
      </w:r>
      <w:r>
        <w:t xml:space="preserve">    </w:t>
      </w:r>
      <w:r>
        <w:rPr>
          <w:b/>
        </w:rPr>
        <w:t xml:space="preserve">DOI: </w:t>
      </w:r>
      <w:hyperlink r:id="rId787">
        <w:r>
          <w:rPr>
            <w:color w:val="1155CC"/>
            <w:u w:val="single"/>
          </w:rPr>
          <w:t>10.1093/nsr/nwag120/8501029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[355] </w:t>
      </w:r>
      <w:hyperlink r:id="rId788">
        <w:r>
          <w:rPr>
            <w:color w:val="1155CC"/>
            <w:u w:val="single"/>
          </w:rPr>
          <w:t>Carbonate’s radical role in competitive electroreduction reactions</w:t>
        </w:r>
      </w:hyperlink>
    </w:p>
    <w:p>
      <w:pPr>
        <w:spacing w:before="0" w:after="120"/>
      </w:pPr>
      <w:r>
        <w:rPr>
          <w:b/>
        </w:rPr>
        <w:t xml:space="preserve">Source: </w:t>
      </w:r>
      <w:r>
        <w:t>Nature Chemistry</w:t>
      </w:r>
      <w:r>
        <w:t xml:space="preserve">    </w:t>
      </w:r>
      <w:r>
        <w:rPr>
          <w:b/>
        </w:rPr>
        <w:t xml:space="preserve">Pub date: </w:t>
      </w:r>
      <w:r>
        <w:t>2026-02-27 00:00:00+00:00</w:t>
      </w:r>
      <w:r>
        <w:t xml:space="preserve">    </w:t>
      </w:r>
      <w:r>
        <w:rPr>
          <w:b/>
        </w:rPr>
        <w:t xml:space="preserve">DOI: </w:t>
      </w:r>
      <w:hyperlink r:id="rId789">
        <w:r>
          <w:rPr>
            <w:color w:val="1155CC"/>
            <w:u w:val="single"/>
          </w:rPr>
          <w:t>10.1038/s41557-026-02083-z</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[356] </w:t>
      </w:r>
      <w:hyperlink r:id="rId790">
        <w:r>
          <w:rPr>
            <w:color w:val="1155CC"/>
            <w:u w:val="single"/>
          </w:rPr>
          <w:t>Pokémon turns 30 — how the fictional pocket monsters shaped science</w:t>
        </w:r>
      </w:hyperlink>
    </w:p>
    <w:p>
      <w:pPr>
        <w:spacing w:before="0" w:after="120"/>
      </w:pPr>
      <w:r>
        <w:rPr>
          <w:b/>
        </w:rPr>
        <w:t xml:space="preserve">Source: </w:t>
      </w:r>
      <w:r>
        <w:t>Nature</w:t>
      </w:r>
      <w:r>
        <w:t xml:space="preserve">    </w:t>
      </w:r>
      <w:r>
        <w:rPr>
          <w:b/>
        </w:rPr>
        <w:t xml:space="preserve">Pub date: </w:t>
      </w:r>
      <w:r>
        <w:t>2026-02-27 00:00:00+00:00</w:t>
      </w:r>
      <w:r>
        <w:t xml:space="preserve">    </w:t>
      </w:r>
      <w:r>
        <w:rPr>
          <w:b/>
        </w:rPr>
        <w:t xml:space="preserve">DOI: </w:t>
      </w:r>
      <w:hyperlink r:id="rId791">
        <w:r>
          <w:rPr>
            <w:color w:val="1155CC"/>
            <w:u w:val="single"/>
          </w:rPr>
          <w:t>10.1038/d41586-026-00441-y</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[357] </w:t>
      </w:r>
      <w:hyperlink r:id="rId792">
        <w:r>
          <w:rPr>
            <w:color w:val="1155CC"/>
            <w:u w:val="single"/>
          </w:rPr>
          <w:t>I will continue the fight for environmental justice in Black communities</w:t>
        </w:r>
      </w:hyperlink>
    </w:p>
    <w:p>
      <w:pPr>
        <w:spacing w:before="0" w:after="120"/>
      </w:pPr>
      <w:r>
        <w:rPr>
          <w:b/>
        </w:rPr>
        <w:t xml:space="preserve">Source: </w:t>
      </w:r>
      <w:r>
        <w:t>Nature</w:t>
      </w:r>
      <w:r>
        <w:t xml:space="preserve">    </w:t>
      </w:r>
      <w:r>
        <w:rPr>
          <w:b/>
        </w:rPr>
        <w:t xml:space="preserve">Pub date: </w:t>
      </w:r>
      <w:r>
        <w:t>2026-02-27 00:00:00+00:00</w:t>
      </w:r>
      <w:r>
        <w:t xml:space="preserve">    </w:t>
      </w:r>
      <w:r>
        <w:rPr>
          <w:b/>
        </w:rPr>
        <w:t xml:space="preserve">DOI: </w:t>
      </w:r>
      <w:hyperlink r:id="rId793">
        <w:r>
          <w:rPr>
            <w:color w:val="1155CC"/>
            <w:u w:val="single"/>
          </w:rPr>
          <w:t>10.1038/d41586-026-00538-4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[358] </w:t>
      </w:r>
      <w:hyperlink r:id="rId794">
        <w:r>
          <w:rPr>
            <w:color w:val="1155CC"/>
            <w:u w:val="single"/>
          </w:rPr>
          <w:t>Scheduling-control coupling framework for variable-speed pumped storage: Coordinating economics and stability in renewable energy systems</w:t>
        </w:r>
      </w:hyperlink>
    </w:p>
    <w:p>
      <w:pPr>
        <w:spacing w:before="0" w:after="120"/>
      </w:pPr>
      <w:r>
        <w:rPr>
          <w:b/>
        </w:rPr>
        <w:t xml:space="preserve">Source: </w:t>
      </w:r>
      <w:r>
        <w:t>ScienceDirect Publication: Applied Energy</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[359] </w:t>
      </w:r>
      <w:hyperlink r:id="rId795">
        <w:r>
          <w:rPr>
            <w:color w:val="1155CC"/>
            <w:u w:val="single"/>
          </w:rPr>
          <w:t>Support schemes for utility-scale energy storage: a comparative analysis</w:t>
        </w:r>
      </w:hyperlink>
    </w:p>
    <w:p>
      <w:pPr>
        <w:spacing w:before="0" w:after="120"/>
      </w:pPr>
      <w:r>
        <w:rPr>
          <w:b/>
        </w:rPr>
        <w:t xml:space="preserve">Source: </w:t>
      </w:r>
      <w:r>
        <w:t>ScienceDirect Publication: Applied Energy</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[360] </w:t>
      </w:r>
      <w:hyperlink r:id="rId796">
        <w:r>
          <w:rPr>
            <w:color w:val="1155CC"/>
            <w:u w:val="single"/>
          </w:rPr>
          <w:t>Ternary-Dielectric Dual-Domain Triboelectric Nanogenerator for High Charge Density and Tail-Charge Suppression</w:t>
        </w:r>
      </w:hyperlink>
    </w:p>
    <w:p>
      <w:pPr>
        <w:spacing w:before="0" w:after="120"/>
      </w:pPr>
      <w:r>
        <w:rPr>
          <w:b/>
        </w:rPr>
        <w:t xml:space="preserve">Source: </w:t>
      </w:r>
      <w:r>
        <w:t>RSC - Energy Environ. Sci. latest articles</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Residual-charge accumulation and limited interfacial charge excitation have emerged as inherent bottlenecks that constrain the charge density and energy-conversion efficiency of sliding triboelectric nanogenerators (TENGs). These limitations commonly originate from binary-dielectric architectures, in which deep-level tail charges and incomplete interfacial depletion hinder charge transfer regardless of materials or structural configurations. Here, we introduce a ternary-dielectric dual-domain triboelectric architecture that overcomes this intrinsic constraint by reconfiguring the dielectric field landscape and enabling cross-domain charge management. The upper discharge domain-constructed by a PA/PTFE/PU ternary triboelectric layer with adjacent electrodes-realizes efficient interfacial charge generation and active removal of tail-inherent charges via corona-assisted regulation. Simultaneously, a lower polarization-discharge domain formed by promoting discharge electrodes harnesses space-volume-induced charge migration within the PU foam, converting previously lost inherent charges into additional effective output via dielectric-polarization discharge. By coupling these two charge domains, the system establishes a charge-generation and charge-depletion pathway that systematically reshapes the excitation–decay dynamics of triboelectric charges. The optimized device achieves a considerable charge density of 1.2 mC·m⁻², an average power density of 22.53 W·m⁻², and an energy density of 3.42 J·m⁻². This work introduces a generalizable dielectric-domain engineering strategy that addresses long-standing charge-retention and tail-charge bottlenecks in TENGs, offering a mechanistic foundation for next-generation high-efficiency triboelectric energy-conversion systems.</w:t>
      </w:r>
    </w:p>
    <w:p>
      <w:pPr>
        <w:spacing w:before="120" w:after="120"/>
      </w:pPr>
      <w:r>
        <w:rPr>
          <w:sz w:val="18"/>
        </w:rPr>
        <w:t>——————————————————————————————————————————————————————————————————————</w:t>
      </w:r>
    </w:p>
    <w:p>
      <w:pPr>
        <w:spacing w:before="160" w:after="40" w:line="240" w:lineRule="auto"/>
      </w:pPr>
      <w:r>
        <w:rPr>
          <w:b/>
        </w:rPr>
        <w:t xml:space="preserve">[361] </w:t>
      </w:r>
      <w:hyperlink r:id="rId797">
        <w:r>
          <w:rPr>
            <w:color w:val="1155CC"/>
            <w:u w:val="single"/>
          </w:rPr>
          <w:t>Actions and actors driving transformative change for global sustainability</w:t>
        </w:r>
      </w:hyperlink>
    </w:p>
    <w:p>
      <w:pPr>
        <w:spacing w:before="0" w:after="120"/>
      </w:pPr>
      <w:r>
        <w:rPr>
          <w:b/>
        </w:rPr>
        <w:t xml:space="preserve">Source: </w:t>
      </w:r>
      <w:r>
        <w:t>Nature Sustainability</w:t>
      </w:r>
      <w:r>
        <w:t xml:space="preserve">    </w:t>
      </w:r>
      <w:r>
        <w:rPr>
          <w:b/>
        </w:rPr>
        <w:t xml:space="preserve">Pub date: </w:t>
      </w:r>
      <w:r>
        <w:t>2026-02-27 00:00:00+00:00</w:t>
      </w:r>
      <w:r>
        <w:t xml:space="preserve">    </w:t>
      </w:r>
      <w:r>
        <w:rPr>
          <w:b/>
        </w:rPr>
        <w:t xml:space="preserve">DOI: </w:t>
      </w:r>
      <w:hyperlink r:id="rId798">
        <w:r>
          <w:rPr>
            <w:color w:val="1155CC"/>
            <w:u w:val="single"/>
          </w:rPr>
          <w:t>10.1038/s41893-026-01783-1</w:t>
        </w:r>
      </w:hyperlink>
    </w:p>
    <w:p>
      <w:pPr>
        <w:spacing w:before="0" w:after="80" w:lineRule="auto" w:line="276"/>
      </w:pPr>
      <w:r>
        <w:rPr>
          <w:b/>
        </w:rPr>
        <w:t xml:space="preserve">摘要（ZH）: </w:t>
      </w:r>
      <w:r>
        <w:t>(empty)</w:t>
      </w:r>
    </w:p>
    <w:p>
      <w:pPr>
        <w:spacing w:before="0" w:after="200" w:lineRule="auto" w:line="276"/>
      </w:pPr>
      <w:r>
        <w:rPr>
          <w:b/>
        </w:rPr>
        <w:t xml:space="preserve">Abstract (EN): </w:t>
      </w:r>
      <w:r>
        <w:t>The urgent need for transformative change to address the intertwined crises of climate change and biodiversity loss is widely recognized. Here, drawing on work originally conducted within the IPBES Transformative Change Assessment and using a bibliometric analysis of more than 4 million scholarly documents, we examine the actions and actors driving transformative change for global sustainability. The literature disproportionately focuses on a limited set of available actions and actors, neglecting others and overlooking their potential interactions. Notably, the actions ‘changing social norms’ and ‘technological change’ and the communication and knowledge and private sectors are frequently discussed, while actions referring to transforming the economic and governance systems and the civil society and the public sector are understudied. Moreover, actions and actors do not tend to appear together in consistent or systematic ways; instead, most action–actor combinations appear at rates similar to random chance, with only a few notable exceptions. The uneven distribution of scholarly attention may hinder the coordination and cross-sectoral coalitions required for effective transformative change. Our findings call for a more inclusive approach to research on actors and actions needed for transformative change towards a just and sustainable world, and for a greater focus on synergies between actions and actors potentially driving transformative change.</w:t>
      </w:r>
    </w:p>
    <w:p>
      <w:pPr>
        <w:spacing w:before="120" w:after="120"/>
      </w:pPr>
      <w:r>
        <w:rPr>
          <w:sz w:val="18"/>
        </w:rPr>
        <w:t>——————————————————————————————————————————————————————————————————————</w:t>
      </w:r>
    </w:p>
    <w:p>
      <w:pPr>
        <w:spacing w:before="160" w:after="40" w:line="240" w:lineRule="auto"/>
      </w:pPr>
      <w:r>
        <w:rPr>
          <w:b/>
        </w:rPr>
        <w:t xml:space="preserve">[362] </w:t>
      </w:r>
      <w:hyperlink r:id="rId799">
        <w:r>
          <w:rPr>
            <w:color w:val="1155CC"/>
            <w:u w:val="single"/>
          </w:rPr>
          <w:t>Is a ‘selfish gene’ making a Utah family have twice as many boys as girls?</w:t>
        </w:r>
      </w:hyperlink>
    </w:p>
    <w:p>
      <w:pPr>
        <w:spacing w:before="0" w:after="120"/>
      </w:pPr>
      <w:r>
        <w:rPr>
          <w:b/>
        </w:rPr>
        <w:t xml:space="preserve">Source: </w:t>
      </w:r>
      <w:r>
        <w:t>Nature</w:t>
      </w:r>
      <w:r>
        <w:t xml:space="preserve">    </w:t>
      </w:r>
      <w:r>
        <w:rPr>
          <w:b/>
        </w:rPr>
        <w:t xml:space="preserve">Pub date: </w:t>
      </w:r>
      <w:r>
        <w:t>2026-02-27 00:00:00+00:00</w:t>
      </w:r>
      <w:r>
        <w:t xml:space="preserve">    </w:t>
      </w:r>
      <w:r>
        <w:rPr>
          <w:b/>
        </w:rPr>
        <w:t xml:space="preserve">DOI: </w:t>
      </w:r>
      <w:hyperlink r:id="rId800">
        <w:r>
          <w:rPr>
            <w:color w:val="1155CC"/>
            <w:u w:val="single"/>
          </w:rPr>
          <w:t>10.1038/d41586-026-00505-z</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[363] </w:t>
      </w:r>
      <w:hyperlink r:id="rId801">
        <w:r>
          <w:rPr>
            <w:color w:val="1155CC"/>
            <w:u w:val="single"/>
          </w:rPr>
          <w:t>Engineering phase-frustration-induced flat bands in an aza-triangulene covalent kagome lattice</w:t>
        </w:r>
      </w:hyperlink>
    </w:p>
    <w:p>
      <w:pPr>
        <w:spacing w:before="0" w:after="120"/>
      </w:pPr>
      <w:r>
        <w:rPr>
          <w:b/>
        </w:rPr>
        <w:t xml:space="preserve">Source: </w:t>
      </w:r>
      <w:r>
        <w:t>Nature Materials</w:t>
      </w:r>
      <w:r>
        <w:t xml:space="preserve">    </w:t>
      </w:r>
      <w:r>
        <w:rPr>
          <w:b/>
        </w:rPr>
        <w:t xml:space="preserve">Pub date: </w:t>
      </w:r>
      <w:r>
        <w:t>2026-02-27 00:00:00+00:00</w:t>
      </w:r>
      <w:r>
        <w:t xml:space="preserve">    </w:t>
      </w:r>
      <w:r>
        <w:rPr>
          <w:b/>
        </w:rPr>
        <w:t xml:space="preserve">DOI: </w:t>
      </w:r>
      <w:hyperlink r:id="rId802">
        <w:r>
          <w:rPr>
            <w:color w:val="1155CC"/>
            <w:u w:val="single"/>
          </w:rPr>
          <w:t>10.1038/s41563-026-02528-3</w:t>
        </w:r>
      </w:hyperlink>
    </w:p>
    <w:p>
      <w:pPr>
        <w:spacing w:before="0" w:after="80" w:lineRule="auto" w:line="276"/>
      </w:pPr>
      <w:r>
        <w:rPr>
          <w:b/>
        </w:rPr>
        <w:t xml:space="preserve">摘要（ZH）: </w:t>
      </w:r>
      <w:r>
        <w:t>(empty)</w:t>
      </w:r>
    </w:p>
    <w:p>
      <w:pPr>
        <w:spacing w:before="0" w:after="200" w:lineRule="auto" w:line="276"/>
      </w:pPr>
      <w:r>
        <w:rPr>
          <w:b/>
        </w:rPr>
        <w:t xml:space="preserve">Abstract (EN): </w:t>
      </w:r>
      <w:r>
        <w:t>π-Conjugated covalent organic frameworks provide a versatile molecular scaffold for the realization of designer quantum nanomaterials. Strong electron–electron correlation within these artificial lattices can give rise to exotic phases of matter. Their experimental realization, however, requires precise control over orbital symmetry, charge localization and band dispersion, all arising from the effective hybridization between molecular linkers and nodes. Here we present a modular strategy for constructing diatomic kagome lattices from aza-[3]triangulene nodes, in which a D3h-symmetric ground state is stabilized through resonance contributions from a cumulenic linker. First-principles density functional theory and scanning tunnelling spectroscopy reveal that the hybridization of a sixfold-degenerate set of edge-localized Wannier functions in the unit cell gives rise to orbital-phase-frustration-induced non-trivial flat bands. These results establish a general design principle for engineering orbital interactions in organic lattices and open a pathway towards programmable covalent-organic-framework-based quantum materials with correlated electronic ground states.</w:t>
      </w:r>
    </w:p>
    <w:p>
      <w:pPr>
        <w:spacing w:before="120" w:after="120"/>
      </w:pPr>
      <w:r>
        <w:rPr>
          <w:sz w:val="18"/>
        </w:rPr>
        <w:t>——————————————————————————————————————————————————————————————————————</w:t>
      </w:r>
    </w:p>
    <w:p>
      <w:pPr>
        <w:spacing w:before="160" w:after="40" w:line="240" w:lineRule="auto"/>
      </w:pPr>
      <w:r>
        <w:rPr>
          <w:b/>
        </w:rPr>
        <w:t xml:space="preserve">[364] </w:t>
      </w:r>
      <w:hyperlink r:id="rId803">
        <w:r>
          <w:rPr>
            <w:color w:val="1155CC"/>
            <w:u w:val="single"/>
          </w:rPr>
          <w:t>Formation of active sites in copper-exchanged zeolites for the direct methane-to-methanol conversion</w:t>
        </w:r>
      </w:hyperlink>
    </w:p>
    <w:p>
      <w:pPr>
        <w:spacing w:before="0" w:after="120"/>
      </w:pPr>
      <w:r>
        <w:rPr>
          <w:b/>
        </w:rPr>
        <w:t xml:space="preserve">Source: </w:t>
      </w:r>
      <w:r>
        <w:t>RSC - Chem. Soc. Rev. latest articles</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Cu-exchanged zeolites are extensively studied for their promising properties in the direct and selective conversion of CH4 to CH3OH at low temperatures. Their performance has been attributed to the presence of multiple oxygenated Cu(II) active sites, which can co-exist in a given zeolite framework. Most emphasis has been placed on identifying these Cu-oxo centers, understanding their structural development during reaction with CH4, and establishing a correlation between the Cu speciation and the zeolite's Cu loading, Si/Al ratio, and topology. On the contrary, the processes underlying the oxidative formation of Cu(II) active sites have received comparatively little attention. This critical review presents an overview of the current understanding of the generation of Cu(II) active centers and highlights the impact of the oxidant type and the reaction conditions on the nature of the formed Cu(II) species. Key knowledge gaps are identified by addressing prevailing misconceptions and conflicting reports in the literature. To remedy these issues, strategies are proposed to resolve discrepancies and to gain new insight into the processes preceding the CH4-to-CH3OH conversion in Cu-exchanged zeolites, aiming to better understand and control the generation of these Cu(II) active sites in zeolites.</w:t>
      </w:r>
    </w:p>
    <w:p>
      <w:pPr>
        <w:spacing w:before="120" w:after="120"/>
      </w:pPr>
      <w:r>
        <w:rPr>
          <w:sz w:val="18"/>
        </w:rPr>
        <w:t>——————————————————————————————————————————————————————————————————————</w:t>
      </w:r>
    </w:p>
    <w:p>
      <w:pPr>
        <w:spacing w:before="160" w:after="40" w:line="240" w:lineRule="auto"/>
      </w:pPr>
      <w:r>
        <w:rPr>
          <w:b/>
        </w:rPr>
        <w:t xml:space="preserve">[365] </w:t>
      </w:r>
      <w:hyperlink r:id="rId804">
        <w:r>
          <w:rPr>
            <w:color w:val="1155CC"/>
            <w:u w:val="single"/>
          </w:rPr>
          <w:t>Briefing chat: Pokémon turns 30 — how Pikachu and pals inspired generations of researchers</w:t>
        </w:r>
      </w:hyperlink>
    </w:p>
    <w:p>
      <w:pPr>
        <w:spacing w:before="0" w:after="120"/>
      </w:pPr>
      <w:r>
        <w:rPr>
          <w:b/>
        </w:rPr>
        <w:t xml:space="preserve">Source: </w:t>
      </w:r>
      <w:r>
        <w:t>Nature</w:t>
      </w:r>
      <w:r>
        <w:t xml:space="preserve">    </w:t>
      </w:r>
      <w:r>
        <w:rPr>
          <w:b/>
        </w:rPr>
        <w:t xml:space="preserve">Pub date: </w:t>
      </w:r>
      <w:r>
        <w:t>2026-02-27 00:00:00+00:00</w:t>
      </w:r>
      <w:r>
        <w:t xml:space="preserve">    </w:t>
      </w:r>
      <w:r>
        <w:rPr>
          <w:b/>
        </w:rPr>
        <w:t xml:space="preserve">DOI: </w:t>
      </w:r>
      <w:hyperlink r:id="rId805">
        <w:r>
          <w:rPr>
            <w:color w:val="1155CC"/>
            <w:u w:val="single"/>
          </w:rPr>
          <w:t>10.1038/d41586-026-00674-x</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[366] </w:t>
      </w:r>
      <w:hyperlink r:id="rId806">
        <w:r>
          <w:rPr>
            <w:color w:val="1155CC"/>
            <w:u w:val="single"/>
          </w:rPr>
          <w:t>Brain mysteries and Bronze Age diplomacy: Books in brief</w:t>
        </w:r>
      </w:hyperlink>
    </w:p>
    <w:p>
      <w:pPr>
        <w:spacing w:before="0" w:after="120"/>
      </w:pPr>
      <w:r>
        <w:rPr>
          <w:b/>
        </w:rPr>
        <w:t xml:space="preserve">Source: </w:t>
      </w:r>
      <w:r>
        <w:t>Nature</w:t>
      </w:r>
      <w:r>
        <w:t xml:space="preserve">    </w:t>
      </w:r>
      <w:r>
        <w:rPr>
          <w:b/>
        </w:rPr>
        <w:t xml:space="preserve">Pub date: </w:t>
      </w:r>
      <w:r>
        <w:t>2026-02-27 00:00:00+00:00</w:t>
      </w:r>
      <w:r>
        <w:t xml:space="preserve">    </w:t>
      </w:r>
      <w:r>
        <w:rPr>
          <w:b/>
        </w:rPr>
        <w:t xml:space="preserve">DOI: </w:t>
      </w:r>
      <w:hyperlink r:id="rId807">
        <w:r>
          <w:rPr>
            <w:color w:val="1155CC"/>
            <w:u w:val="single"/>
          </w:rPr>
          <w:t>10.1038/d41586-026-00621-w</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[367] </w:t>
      </w:r>
      <w:hyperlink r:id="rId808">
        <w:r>
          <w:rPr>
            <w:color w:val="1155CC"/>
            <w:u w:val="single"/>
          </w:rPr>
          <w:t>Epitaxially grown single-crystalline antimony trioxide dielectrics for two-dimensional electronics</w:t>
        </w:r>
      </w:hyperlink>
    </w:p>
    <w:p>
      <w:pPr>
        <w:spacing w:before="0" w:after="120"/>
      </w:pPr>
      <w:r>
        <w:rPr>
          <w:b/>
        </w:rPr>
        <w:t xml:space="preserve">Source: </w:t>
      </w:r>
      <w:r>
        <w:t>Nature Electronics</w:t>
      </w:r>
      <w:r>
        <w:t xml:space="preserve">    </w:t>
      </w:r>
      <w:r>
        <w:rPr>
          <w:b/>
        </w:rPr>
        <w:t xml:space="preserve">Pub date: </w:t>
      </w:r>
      <w:r>
        <w:t>2026-02-27 00:00:00+00:00</w:t>
      </w:r>
      <w:r>
        <w:t xml:space="preserve">    </w:t>
      </w:r>
      <w:r>
        <w:rPr>
          <w:b/>
        </w:rPr>
        <w:t xml:space="preserve">DOI: </w:t>
      </w:r>
      <w:hyperlink r:id="rId809">
        <w:r>
          <w:rPr>
            <w:color w:val="1155CC"/>
            <w:u w:val="single"/>
          </w:rPr>
          <w:t>10.1038/s41928-026-01580-w</w:t>
        </w:r>
      </w:hyperlink>
    </w:p>
    <w:p>
      <w:pPr>
        <w:spacing w:before="0" w:after="80" w:lineRule="auto" w:line="276"/>
      </w:pPr>
      <w:r>
        <w:rPr>
          <w:b/>
        </w:rPr>
        <w:t xml:space="preserve">摘要（ZH）: </w:t>
      </w:r>
      <w:r>
        <w:t>(empty)</w:t>
      </w:r>
    </w:p>
    <w:p>
      <w:pPr>
        <w:spacing w:before="0" w:after="200" w:lineRule="auto" w:line="276"/>
      </w:pPr>
      <w:r>
        <w:rPr>
          <w:b/>
        </w:rPr>
        <w:t xml:space="preserve">Abstract (EN): </w:t>
      </w:r>
      <w:r>
        <w:t>Two-dimensional semiconductors require atomically thin high-dielectric-constant dielectrics to create scaled electronic devices. Several candidate materials possess features such as scalability, low interface trap density and good dielectric properties, but many of these require transfer, which can create defects, whereas traditional dielectrics are difficult to grow on the inert surface of two-dimensional materials. Here we report the van der Waals epitaxial growth of single-crystalline antimony trioxide (Sb2O3) on the two-dimensional semiconductors tungsten diselenide (WSe2) and molybendum disulfide (MoS2). Using a two-step process to decouple nucleation and epitaxy, unidirectional Sb2O3 domains are nucleated, grown and stitched to form single-crystal films with high uniformity within a growth time of less than 2 min. Monolayer Sb2O3 has a dielectric constant of 6, a breakdown field of ~11 MV cm−1 and a low interface trap density of 3.8 × 1010 cm−2 eV−1. Top-gate field-effect transistors using a monolayer Sb2O3/bilayer WSe2 heterostructure (equivalent oxide thickness, 0.4 nm) exhibit subthreshold swings of 62 mV dec−1, on/off ratios of 106 and low gate leakage currents of 10−4 A cm−2. We illustrate the scalability of the approach by creating 60 top-gate WSe2 transistor arrays with 95% yield, and complementary logic inverters with a maximum voltage gain of 13 at Vdd = 1 V.</w:t>
      </w:r>
    </w:p>
    <w:p>
      <w:pPr>
        <w:spacing w:before="120" w:after="120"/>
      </w:pPr>
      <w:r>
        <w:rPr>
          <w:sz w:val="18"/>
        </w:rPr>
        <w:t>——————————————————————————————————————————————————————————————————————</w:t>
      </w:r>
    </w:p>
    <w:p>
      <w:pPr>
        <w:spacing w:before="160" w:after="40" w:line="240" w:lineRule="auto"/>
      </w:pPr>
      <w:r>
        <w:rPr>
          <w:b/>
        </w:rPr>
        <w:t xml:space="preserve">[368] </w:t>
      </w:r>
      <w:hyperlink r:id="rId810">
        <w:r>
          <w:rPr>
            <w:color w:val="1155CC"/>
            <w:u w:val="single"/>
          </w:rPr>
          <w:t>A modern perspective on antiferroelectrics</w:t>
        </w:r>
      </w:hyperlink>
    </w:p>
    <w:p>
      <w:pPr>
        <w:spacing w:before="0" w:after="120"/>
      </w:pPr>
      <w:r>
        <w:rPr>
          <w:b/>
        </w:rPr>
        <w:t xml:space="preserve">Source: </w:t>
      </w:r>
      <w:r>
        <w:t>Nature Materials</w:t>
      </w:r>
      <w:r>
        <w:t xml:space="preserve">    </w:t>
      </w:r>
      <w:r>
        <w:rPr>
          <w:b/>
        </w:rPr>
        <w:t xml:space="preserve">Pub date: </w:t>
      </w:r>
      <w:r>
        <w:t>2026-02-27 00:00:00+00:00</w:t>
      </w:r>
      <w:r>
        <w:t xml:space="preserve">    </w:t>
      </w:r>
      <w:r>
        <w:rPr>
          <w:b/>
        </w:rPr>
        <w:t xml:space="preserve">DOI: </w:t>
      </w:r>
      <w:hyperlink r:id="rId811">
        <w:r>
          <w:rPr>
            <w:color w:val="1155CC"/>
            <w:u w:val="single"/>
          </w:rPr>
          <w:t>10.1038/s41563-026-02483-z</w:t>
        </w:r>
      </w:hyperlink>
    </w:p>
    <w:p>
      <w:pPr>
        <w:spacing w:before="0" w:after="80" w:lineRule="auto" w:line="276"/>
      </w:pPr>
      <w:r>
        <w:rPr>
          <w:b/>
        </w:rPr>
        <w:t xml:space="preserve">摘要（ZH）: </w:t>
      </w:r>
      <w:r>
        <w:t>(empty)</w:t>
      </w:r>
    </w:p>
    <w:p>
      <w:pPr>
        <w:spacing w:before="0" w:after="200" w:lineRule="auto" w:line="276"/>
      </w:pPr>
      <w:r>
        <w:rPr>
          <w:b/>
        </w:rPr>
        <w:t xml:space="preserve">Abstract (EN): </w:t>
      </w:r>
      <w:r>
        <w:t>Antiferroelectrics attract attention due to their unusual physical characteristics, chief among which is the double hysteresis loop that separates their antipolar ground state from the voltage-induced polar phase. This behaviour is useful for energy storage and promising for electrocaloric cooling and other applications. However, the defining features of antiferroelectrics (antipolar ground state and double hysteresis loops) are increasingly challenged: materials with non-collinear and/or hybrid polar–antipolar order have been discovered, and double hysteresis has been realized in materials without a conventional antipolar ground state. These developments add to the already intense interest in the fundamental and practical aspects of antiferroelectrics and call for a fresh look at antiferroelectricity. In this Perspective, we revise the definition of antiferroelectricity, discuss material systems with new antipolar orders and/or engineered double hysteresis, and reflect on emergent properties and theoretical approaches.</w:t>
      </w:r>
    </w:p>
    <w:p>
      <w:pPr>
        <w:spacing w:before="120" w:after="120"/>
      </w:pPr>
      <w:r>
        <w:rPr>
          <w:sz w:val="18"/>
        </w:rPr>
        <w:t>——————————————————————————————————————————————————————————————————————</w:t>
      </w:r>
    </w:p>
    <w:p>
      <w:pPr>
        <w:spacing w:before="160" w:after="40" w:line="240" w:lineRule="auto"/>
      </w:pPr>
      <w:r>
        <w:rPr>
          <w:b/>
        </w:rPr>
        <w:t xml:space="preserve">[369] </w:t>
      </w:r>
      <w:hyperlink r:id="rId812">
        <w:r>
          <w:rPr>
            <w:color w:val="1155CC"/>
            <w:u w:val="single"/>
          </w:rPr>
          <w:t>Metaheuristic optimization for microgrid energy systems: Applications, performance, and pathways toward net-zero energy transitions</w:t>
        </w:r>
      </w:hyperlink>
    </w:p>
    <w:p>
      <w:pPr>
        <w:spacing w:before="0" w:after="120"/>
      </w:pPr>
      <w:r>
        <w:rPr>
          <w:b/>
        </w:rPr>
        <w:t xml:space="preserve">Source: </w:t>
      </w:r>
      <w:r>
        <w:t>ScienceDirect Publication: Applied Energy</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[370] </w:t>
      </w:r>
      <w:hyperlink r:id="rId813">
        <w:r>
          <w:rPr>
            <w:color w:val="1155CC"/>
            <w:u w:val="single"/>
          </w:rPr>
          <w:t>Advances in high-entropy oxides for reversible protonic ceramic cells applications</w:t>
        </w:r>
      </w:hyperlink>
    </w:p>
    <w:p>
      <w:pPr>
        <w:spacing w:before="0" w:after="120"/>
      </w:pPr>
      <w:r>
        <w:rPr>
          <w:b/>
        </w:rPr>
        <w:t xml:space="preserve">Source: </w:t>
      </w:r>
      <w:r>
        <w:t>ScienceDirect Publication: Applied Energy</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[371] </w:t>
      </w:r>
      <w:hyperlink r:id="rId814">
        <w:r>
          <w:rPr>
            <w:color w:val="1155CC"/>
            <w:u w:val="single"/>
          </w:rPr>
          <w:t>Heteroatom doping in carbon macrocycles for advanced synthesis and applications</w:t>
        </w:r>
      </w:hyperlink>
    </w:p>
    <w:p>
      <w:pPr>
        <w:spacing w:before="0" w:after="120"/>
      </w:pPr>
      <w:r>
        <w:rPr>
          <w:b/>
        </w:rPr>
        <w:t xml:space="preserve">Source: </w:t>
      </w:r>
      <w:r>
        <w:t>RSC - Chem. Soc. Rev. latest articles</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Macrocycles have garnered significant research interest due to their tunable structures, unique physicochemical properties, and broad range of applications in areas such as aggregation-induced emission (AIE), molecular recognition, bioimaging, and photocatalysis. While conventional carbon-rich macrocycles depend mainly on ring-size adjustments for property modulation, the incorporation of heteroatoms (N, O, and S) allows precise control over electronic structure, band gap, and functionality. This review summarizes recent advances (2020–2025) in the synthesis and applications of heteroatom-doped (N-, O-, S-, N,O-, and N,S-doped) macrocycles. It covers metal-catalyzed (Pd, Ni, Pt, Cu, Ti, Sn, and Fe) and metal-free (acidic/basic) strategies, post-synthetic modifications, and emerging applications in host–guest systems, sensors, OLEDs, OFETs, OPVs, and (photo)catalysis, aiming to advance the field and serve as a reference for cross-disciplinary researchers.</w:t>
      </w:r>
    </w:p>
    <w:p>
      <w:pPr>
        <w:spacing w:before="120" w:after="120"/>
      </w:pPr>
      <w:r>
        <w:rPr>
          <w:sz w:val="18"/>
        </w:rPr>
        <w:t>——————————————————————————————————————————————————————————————————————</w:t>
      </w:r>
    </w:p>
    <w:p>
      <w:pPr>
        <w:spacing w:before="160" w:after="40" w:line="240" w:lineRule="auto"/>
      </w:pPr>
      <w:r>
        <w:rPr>
          <w:b/>
        </w:rPr>
        <w:t xml:space="preserve">[372] </w:t>
      </w:r>
      <w:hyperlink r:id="rId815">
        <w:r>
          <w:rPr>
            <w:color w:val="1155CC"/>
            <w:u w:val="single"/>
          </w:rPr>
          <w:t>An all-in-one Hall rectenna with a bandwidth over 100 GHz</w:t>
        </w:r>
      </w:hyperlink>
    </w:p>
    <w:p>
      <w:pPr>
        <w:spacing w:before="0" w:after="120"/>
      </w:pPr>
      <w:r>
        <w:rPr>
          <w:b/>
        </w:rPr>
        <w:t xml:space="preserve">Source: </w:t>
      </w:r>
      <w:r>
        <w:t>Nature Electronics</w:t>
      </w:r>
      <w:r>
        <w:t xml:space="preserve">    </w:t>
      </w:r>
      <w:r>
        <w:rPr>
          <w:b/>
        </w:rPr>
        <w:t xml:space="preserve">Pub date: </w:t>
      </w:r>
      <w:r>
        <w:t>2026-02-27 00:00:00+00:00</w:t>
      </w:r>
      <w:r>
        <w:t xml:space="preserve">    </w:t>
      </w:r>
      <w:r>
        <w:rPr>
          <w:b/>
        </w:rPr>
        <w:t xml:space="preserve">DOI: </w:t>
      </w:r>
      <w:hyperlink r:id="rId816">
        <w:r>
          <w:rPr>
            <w:color w:val="1155CC"/>
            <w:u w:val="single"/>
          </w:rPr>
          <w:t>10.1038/s41928-026-01574-8</w:t>
        </w:r>
      </w:hyperlink>
    </w:p>
    <w:p>
      <w:pPr>
        <w:spacing w:before="0" w:after="80" w:lineRule="auto" w:line="276"/>
      </w:pPr>
      <w:r>
        <w:rPr>
          <w:b/>
        </w:rPr>
        <w:t xml:space="preserve">摘要（ZH）: </w:t>
      </w:r>
      <w:r>
        <w:t>(empty)</w:t>
      </w:r>
    </w:p>
    <w:p>
      <w:pPr>
        <w:spacing w:before="0" w:after="200" w:lineRule="auto" w:line="276"/>
      </w:pPr>
      <w:r>
        <w:rPr>
          <w:b/>
        </w:rPr>
        <w:t xml:space="preserve">Abstract (EN): </w:t>
      </w:r>
      <w:r>
        <w:t>Nonlinear electron transport in extrinsically doped p–n diodes or junctions is used for rectification and wave mixing in electronic and optoelectronic applications. However, such rectifiers and mixers have fundamental limitations in terms of cut-off wavelength, frequency, sensitivity and working temperature due to thermal-voltage thresholds and transit-time limits. Here we report an all-in-one nonlinear Hall rectenna based on a type-II Weyl semimetal at room temperature. We use niobium iridium tetratelluride (NbIrTe4) and rely on the electromagnetic conversion abilities that arise from its band geometry and topology. With the system, we demonstrate a broadband frequency comb that exceeds the 27th order, subharmonic mixing at low power levels of –25 dBm, tuneable sideband bandwidth higher than 100 GHz and intermediate-frequency signals of over 27 GHz. Our approach offers nonlinear Hall rectification of photonic frequencies between 20 GHz and 820 GHz.</w:t>
      </w:r>
    </w:p>
    <w:p>
      <w:pPr>
        <w:spacing w:before="120" w:after="120"/>
      </w:pPr>
      <w:r>
        <w:rPr>
          <w:sz w:val="18"/>
        </w:rPr>
        <w:t>——————————————————————————————————————————————————————————————————————</w:t>
      </w:r>
    </w:p>
    <w:p>
      <w:pPr>
        <w:spacing w:before="160" w:after="40" w:line="240" w:lineRule="auto"/>
      </w:pPr>
      <w:r>
        <w:rPr>
          <w:b/>
        </w:rPr>
        <w:t xml:space="preserve">[373] </w:t>
      </w:r>
      <w:hyperlink r:id="rId817">
        <w:r>
          <w:rPr>
            <w:color w:val="1155CC"/>
            <w:u w:val="single"/>
          </w:rPr>
          <w:t>NR2F6 deletion revives CAR-T cell function and induces antigen-agnostic immune memory in solid tumors</w:t>
        </w:r>
      </w:hyperlink>
    </w:p>
    <w:p>
      <w:pPr>
        <w:spacing w:before="0" w:after="120"/>
      </w:pPr>
      <w:r>
        <w:rPr>
          <w:b/>
        </w:rPr>
        <w:t xml:space="preserve">Source: </w:t>
      </w:r>
      <w:r>
        <w:t>Nature Communications</w:t>
      </w:r>
      <w:r>
        <w:t xml:space="preserve">    </w:t>
      </w:r>
      <w:r>
        <w:rPr>
          <w:b/>
        </w:rPr>
        <w:t xml:space="preserve">Pub date: </w:t>
      </w:r>
      <w:r>
        <w:t>2026-02-27 00:00:00+00:00</w:t>
      </w:r>
    </w:p>
    <w:p>
      <w:pPr>
        <w:spacing w:before="0" w:after="80" w:lineRule="auto" w:line="276"/>
      </w:pPr>
      <w:r>
        <w:rPr>
          <w:b/>
        </w:rPr>
        <w:t xml:space="preserve">摘要（ZH）: </w:t>
      </w:r>
      <w:r>
        <w:t>(empty)</w:t>
      </w:r>
    </w:p>
    <w:p>
      <w:pPr>
        <w:spacing w:before="0" w:after="200" w:lineRule="auto" w:line="276"/>
      </w:pPr>
      <w:r>
        <w:rPr>
          <w:b/>
        </w:rPr>
        <w:t xml:space="preserve">Abstract (EN): </w:t>
      </w:r>
      <w:r>
        <w:t>CAR-T cell therapy is effective in hematologic malignancies but remains challenging in solid tumors owing to antigen heterogeneity and tumor microenvironment-induced exhaustion. Here, gene editing of the nuclear receptor NR2F6 restores CAR-T cell functionality, sustaining a TCF1⁺ progenitor-exhausted phenotype, enhancing metabolic fitness, and preserving cytotoxic potency under chronic antigen exposure. In immunocompetent models, Nr2f6-deficient CAR-T cells suppress solid tumor growth and induce robust, polyclonal host antitumor responses that persist after CAR-T clearance, as demonstrated by tumor re-challenge protection. Although infused CAR-T cells disappear within 2 weeks, durable tumor control coincides with epitope spreading and secondary immune responses, likely via dendritic cell reactivation. Protection against antigen-negative tumors and transferable immunity reveal a dual mode of direct cytotoxicity followed by durable immune reprogramming. This broadened host immunity may offset immune escape driven by antigen heterogeneity or loss, establishing NR2F6 inhibition as a promising CAR-T engineering strategy for durable, antigen-agnostic solid-tumor immunotherapy.</w:t>
      </w:r>
    </w:p>
    <w:p>
      <w:pPr>
        <w:spacing w:before="120" w:after="120"/>
      </w:pPr>
      <w:r>
        <w:rPr>
          <w:sz w:val="18"/>
        </w:rPr>
        <w:t>——————————————————————————————————————————————————————————————————————</w:t>
      </w:r>
    </w:p>
    <w:p>
      <w:pPr>
        <w:spacing w:before="160" w:after="40" w:line="240" w:lineRule="auto"/>
      </w:pPr>
      <w:r>
        <w:rPr>
          <w:b/>
        </w:rPr>
        <w:t xml:space="preserve">[374] </w:t>
      </w:r>
      <w:hyperlink r:id="rId818">
        <w:r>
          <w:rPr>
            <w:color w:val="1155CC"/>
            <w:u w:val="single"/>
          </w:rPr>
          <w:t>From “heavy” water to “heavy” boron clusters</w:t>
        </w:r>
      </w:hyperlink>
    </w:p>
    <w:p>
      <w:pPr>
        <w:spacing w:before="0" w:after="120"/>
      </w:pPr>
      <w:r>
        <w:rPr>
          <w:b/>
        </w:rPr>
        <w:t xml:space="preserve">Source: </w:t>
      </w:r>
      <w:r>
        <w:t>Chem</w:t>
      </w:r>
      <w:r>
        <w:t xml:space="preserve">    </w:t>
      </w:r>
      <w:r>
        <w:rPr>
          <w:b/>
        </w:rPr>
        <w:t xml:space="preserve">Pub date: </w:t>
      </w:r>
      <w:r>
        <w:t>2026-02-27 00:00:00+00:00</w:t>
      </w:r>
      <w:r>
        <w:t xml:space="preserve">    </w:t>
      </w:r>
      <w:r>
        <w:rPr>
          <w:b/>
        </w:rPr>
        <w:t xml:space="preserve">DOI: </w:t>
      </w:r>
      <w:hyperlink r:id="rId819">
        <w:r>
          <w:rPr>
            <w:color w:val="1155CC"/>
            <w:u w:val="single"/>
          </w:rPr>
          <w:t>10.1016/j.chempr.2026.102995</w:t>
        </w:r>
      </w:hyperlink>
    </w:p>
    <w:p>
      <w:pPr>
        <w:spacing w:before="0" w:after="80" w:lineRule="auto" w:line="276"/>
      </w:pPr>
      <w:r>
        <w:rPr>
          <w:b/>
        </w:rPr>
        <w:t xml:space="preserve">摘要（ZH）: </w:t>
      </w:r>
      <w:r>
        <w:t>(empty)</w:t>
      </w:r>
    </w:p>
    <w:p>
      <w:pPr>
        <w:spacing w:before="0" w:after="200" w:lineRule="auto" w:line="276"/>
      </w:pPr>
      <w:r>
        <w:rPr>
          <w:b/>
        </w:rPr>
        <w:t xml:space="preserve">Abstract (EN): </w:t>
      </w:r>
      <w:r>
        <w:t>In this issue of Chem, Liang et al. report a general and operationally straightforward strategy for the perdeuteration of closo-borane clusters. By employing palladium catalysis, the authors demonstrate efficient catalytic late-stage transfer of deuterium from heavy water (D2O) to B–H vertices across a broad range of boron cluster frameworks.</w:t>
      </w:r>
    </w:p>
    <w:p>
      <w:pPr>
        <w:spacing w:before="120" w:after="120"/>
      </w:pPr>
      <w:r>
        <w:rPr>
          <w:sz w:val="18"/>
        </w:rPr>
        <w:t>——————————————————————————————————————————————————————————————————————</w:t>
      </w:r>
    </w:p>
    <w:p>
      <w:pPr>
        <w:spacing w:before="160" w:after="40" w:line="240" w:lineRule="auto"/>
      </w:pPr>
      <w:r>
        <w:rPr>
          <w:b/>
        </w:rPr>
        <w:t xml:space="preserve">[375] </w:t>
      </w:r>
      <w:hyperlink r:id="rId820">
        <w:r>
          <w:rPr>
            <w:color w:val="1155CC"/>
            <w:u w:val="single"/>
          </w:rPr>
          <w:t>Memristors march on</w:t>
        </w:r>
      </w:hyperlink>
    </w:p>
    <w:p>
      <w:pPr>
        <w:spacing w:before="0" w:after="120"/>
      </w:pPr>
      <w:r>
        <w:rPr>
          <w:b/>
        </w:rPr>
        <w:t xml:space="preserve">Source: </w:t>
      </w:r>
      <w:r>
        <w:t>Nature Electronics</w:t>
      </w:r>
      <w:r>
        <w:t xml:space="preserve">    </w:t>
      </w:r>
      <w:r>
        <w:rPr>
          <w:b/>
        </w:rPr>
        <w:t xml:space="preserve">Pub date: </w:t>
      </w:r>
      <w:r>
        <w:t>2026-02-27 00:00:00+00:00</w:t>
      </w:r>
      <w:r>
        <w:t xml:space="preserve">    </w:t>
      </w:r>
      <w:r>
        <w:rPr>
          <w:b/>
        </w:rPr>
        <w:t xml:space="preserve">DOI: </w:t>
      </w:r>
      <w:hyperlink r:id="rId821">
        <w:r>
          <w:rPr>
            <w:color w:val="1155CC"/>
            <w:u w:val="single"/>
          </w:rPr>
          <w:t>10.1038/s41928-026-01587-3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[376] </w:t>
      </w:r>
      <w:hyperlink r:id="rId822">
        <w:r>
          <w:rPr>
            <w:color w:val="1155CC"/>
            <w:u w:val="single"/>
          </w:rPr>
          <w:t>A nonlinear Hall rectenna in NbIrTe4</w:t>
        </w:r>
      </w:hyperlink>
    </w:p>
    <w:p>
      <w:pPr>
        <w:spacing w:before="0" w:after="120"/>
      </w:pPr>
      <w:r>
        <w:rPr>
          <w:b/>
        </w:rPr>
        <w:t xml:space="preserve">Source: </w:t>
      </w:r>
      <w:r>
        <w:t>Nature Electronics</w:t>
      </w:r>
      <w:r>
        <w:t xml:space="preserve">    </w:t>
      </w:r>
      <w:r>
        <w:rPr>
          <w:b/>
        </w:rPr>
        <w:t xml:space="preserve">Pub date: </w:t>
      </w:r>
      <w:r>
        <w:t>2026-02-27 00:00:00+00:00</w:t>
      </w:r>
      <w:r>
        <w:t xml:space="preserve">    </w:t>
      </w:r>
      <w:r>
        <w:rPr>
          <w:b/>
        </w:rPr>
        <w:t xml:space="preserve">DOI: </w:t>
      </w:r>
      <w:hyperlink r:id="rId823">
        <w:r>
          <w:rPr>
            <w:color w:val="1155CC"/>
            <w:u w:val="single"/>
          </w:rPr>
          <w:t>10.1038/s41928-026-01575-7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[377] </w:t>
      </w:r>
      <w:hyperlink r:id="rId824">
        <w:r>
          <w:rPr>
            <w:color w:val="1155CC"/>
            <w:u w:val="single"/>
          </w:rPr>
          <w:t>A thermal-noise-resilient microwave quantum network up to 4 K</w:t>
        </w:r>
      </w:hyperlink>
    </w:p>
    <w:p>
      <w:pPr>
        <w:spacing w:before="0" w:after="120"/>
      </w:pPr>
      <w:r>
        <w:rPr>
          <w:b/>
        </w:rPr>
        <w:t xml:space="preserve">Source: </w:t>
      </w:r>
      <w:r>
        <w:t>Nature Electronics</w:t>
      </w:r>
      <w:r>
        <w:t xml:space="preserve">    </w:t>
      </w:r>
      <w:r>
        <w:rPr>
          <w:b/>
        </w:rPr>
        <w:t xml:space="preserve">Pub date: </w:t>
      </w:r>
      <w:r>
        <w:t>2026-02-27 00:00:00+00:00</w:t>
      </w:r>
      <w:r>
        <w:t xml:space="preserve">    </w:t>
      </w:r>
      <w:r>
        <w:rPr>
          <w:b/>
        </w:rPr>
        <w:t xml:space="preserve">DOI: </w:t>
      </w:r>
      <w:hyperlink r:id="rId825">
        <w:r>
          <w:rPr>
            <w:color w:val="1155CC"/>
            <w:u w:val="single"/>
          </w:rPr>
          <w:t>10.1038/s41928-026-01581-9</w:t>
        </w:r>
      </w:hyperlink>
    </w:p>
    <w:p>
      <w:pPr>
        <w:spacing w:before="0" w:after="80" w:lineRule="auto" w:line="276"/>
      </w:pPr>
      <w:r>
        <w:rPr>
          <w:b/>
        </w:rPr>
        <w:t xml:space="preserve">摘要（ZH）: </w:t>
      </w:r>
      <w:r>
        <w:t>(empty)</w:t>
      </w:r>
    </w:p>
    <w:p>
      <w:pPr>
        <w:spacing w:before="0" w:after="200" w:lineRule="auto" w:line="276"/>
      </w:pPr>
      <w:r>
        <w:rPr>
          <w:b/>
        </w:rPr>
        <w:t xml:space="preserve">Abstract (EN): </w:t>
      </w:r>
      <w:r>
        <w:t>Quantum communication at microwave frequencies is of use in the development of scalable quantum networks. However, such networks are fundamentally constrained by the susceptibility of microwave photons to thermal noise. Here we report a thermal-noise-resilient microwave quantum network with coherent coupling between two superconducting qubits through a 4-K-thermalized niobium–titanium transmission line. By overcoupling the communication channel to a cold load at 10 mK, we suppress the effective thermal occupancy of the channel to 0.06 photons through radiative cooling—a reduction that is 2 orders of magnitude below ambient thermal noise. We then decouple the cold load and rapidly transfer microwave quantum states through the channel while it rethermalizes. With this approach, we achieve a 58.5% process fidelity for quantum state transfer and a 52.3% Bell entanglement fidelity without correcting for readout errors, both exceeding the classical communication threshold of 1/2. We also develop a set-up with improved channel coherence at 1 K and use this to achieve a Bell entanglement fidelity of 93.6%. As a benchmark, we demonstrate that Bell’s inequality is unambiguously violated with this remote entanglement, without correcting for readout errors.</w:t>
      </w:r>
    </w:p>
    <w:p>
      <w:pPr>
        <w:spacing w:before="120" w:after="120"/>
      </w:pPr>
      <w:r>
        <w:rPr>
          <w:sz w:val="18"/>
        </w:rPr>
        <w:t>——————————————————————————————————————————————————————————————————————</w:t>
      </w:r>
    </w:p>
    <w:p>
      <w:pPr>
        <w:spacing w:before="160" w:after="40" w:line="240" w:lineRule="auto"/>
      </w:pPr>
      <w:r>
        <w:rPr>
          <w:b/>
        </w:rPr>
        <w:t xml:space="preserve">[378] </w:t>
      </w:r>
      <w:hyperlink r:id="rId826">
        <w:r>
          <w:rPr>
            <w:color w:val="1155CC"/>
            <w:u w:val="single"/>
          </w:rPr>
          <w:t>White House stalls release of approved US science budgets</w:t>
        </w:r>
      </w:hyperlink>
    </w:p>
    <w:p>
      <w:pPr>
        <w:spacing w:before="0" w:after="120"/>
      </w:pPr>
      <w:r>
        <w:rPr>
          <w:b/>
        </w:rPr>
        <w:t xml:space="preserve">Source: </w:t>
      </w:r>
      <w:r>
        <w:t>Nature</w:t>
      </w:r>
      <w:r>
        <w:t xml:space="preserve">    </w:t>
      </w:r>
      <w:r>
        <w:rPr>
          <w:b/>
        </w:rPr>
        <w:t xml:space="preserve">Pub date: </w:t>
      </w:r>
      <w:r>
        <w:t>2026-02-27 00:00:00+00:00</w:t>
      </w:r>
      <w:r>
        <w:t xml:space="preserve">    </w:t>
      </w:r>
      <w:r>
        <w:rPr>
          <w:b/>
        </w:rPr>
        <w:t xml:space="preserve">DOI: </w:t>
      </w:r>
      <w:hyperlink r:id="rId827">
        <w:r>
          <w:rPr>
            <w:color w:val="1155CC"/>
            <w:u w:val="single"/>
          </w:rPr>
          <w:t>10.1038/d41586-026-00601-0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[379] </w:t>
      </w:r>
      <w:hyperlink r:id="rId828">
        <w:r>
          <w:rPr>
            <w:color w:val="1155CC"/>
            <w:u w:val="single"/>
          </w:rPr>
          <w:t>Wafer‐Scale Synthesis of Molecularly Engineered 2D Covalent Organic Framework Films for Highly‐Sensitive and Rapid‐Response Humidity Sensing</w:t>
        </w:r>
      </w:hyperlink>
    </w:p>
    <w:p>
      <w:pPr>
        <w:spacing w:before="0" w:after="120"/>
      </w:pPr>
      <w:r>
        <w:rPr>
          <w:b/>
        </w:rPr>
        <w:t xml:space="preserve">Source: </w:t>
      </w:r>
      <w:r>
        <w:t>Wiley: Advanced Materials: Table of Contents</w:t>
      </w:r>
      <w:r>
        <w:t xml:space="preserve">    </w:t>
      </w:r>
      <w:r>
        <w:rPr>
          <w:b/>
        </w:rPr>
        <w:t xml:space="preserve">Pub date: </w:t>
      </w:r>
      <w:r>
        <w:t>2026-02-27 07:20:36+00:00</w:t>
      </w:r>
      <w:r>
        <w:t xml:space="preserve">    </w:t>
      </w:r>
      <w:r>
        <w:rPr>
          <w:b/>
        </w:rPr>
        <w:t xml:space="preserve">DOI: </w:t>
      </w:r>
      <w:hyperlink r:id="rId829">
        <w:r>
          <w:rPr>
            <w:color w:val="1155CC"/>
            <w:u w:val="single"/>
          </w:rPr>
          <w:t>10.1002/adma.202517182</w:t>
        </w:r>
      </w:hyperlink>
    </w:p>
    <w:p>
      <w:pPr>
        <w:spacing w:before="0" w:after="80" w:lineRule="auto" w:line="276"/>
      </w:pPr>
      <w:r>
        <w:rPr>
          <w:b/>
        </w:rPr>
        <w:t xml:space="preserve">摘要（ZH）: </w:t>
      </w:r>
      <w:r>
        <w:t>(empty)</w:t>
      </w:r>
    </w:p>
    <w:p>
      <w:pPr>
        <w:spacing w:before="0" w:after="200" w:lineRule="auto" w:line="276"/>
      </w:pPr>
      <w:r>
        <w:rPr>
          <w:b/>
        </w:rPr>
        <w:t xml:space="preserve">Abstract (EN): </w:t>
      </w:r>
      <w:r>
        <w:t>Covalent organic frameworks (COFs) hold exceptional potential for humidity sensing due to their tunable chemical structure and high porosity, yet their uncontrolled relationships between molecular design, nanoscale architecture, and sensing performance have hindered their practical applications. Here, we report the rational molecular engineering of wafer-scale, ultrathin 2D imine-linked COF films via interfacial polymerization, illustrating precise control over electronic band structure, nanoscale porosity, and hygroscopicity for exceptional humidity sensing, thus unveiling the underlying structural-property correlations. By simultaneously incorporating triazine and multi-hydroxyl groups, the humidity sensor based on 2D COFTPT-THTA exhibits a high sensitivity (66 124% per %RH), fast response/recovery times (0.12/0.40 s), and minimal hysteresis (ΔRH ≈ 1.0%), due to a synergistic effect of high structural polarity, excellent hydrophilicity, and the nanoscale confined crystalline pore framework. The nanometer-scale thickness and ultrasmooth surface facilitate efficient charge transport and water adsorption kinetics. Leveraging these properties, we further demonstrate a prototypical wearable sensor for real-time respiratory monitoring, which is capable of accurately tracking physiological states and detecting pathological patterns (asthma, apnea). This work establishes a fundamental molecular engineering paradigm for 2D COF film-based sensors, bridging the gap between programmable materials and next-generation high-performance health diagnostics.</w:t>
      </w:r>
    </w:p>
    <w:p>
      <w:pPr>
        <w:spacing w:before="120" w:after="120"/>
      </w:pPr>
      <w:r>
        <w:rPr>
          <w:sz w:val="18"/>
        </w:rPr>
        <w:t>——————————————————————————————————————————————————————————————————————</w:t>
      </w:r>
    </w:p>
    <w:p>
      <w:pPr>
        <w:spacing w:before="160" w:after="40" w:line="240" w:lineRule="auto"/>
      </w:pPr>
      <w:r>
        <w:rPr>
          <w:b/>
        </w:rPr>
        <w:t xml:space="preserve">[380] </w:t>
      </w:r>
      <w:hyperlink r:id="rId830">
        <w:r>
          <w:rPr>
            <w:color w:val="1155CC"/>
            <w:u w:val="single"/>
          </w:rPr>
          <w:t>Host iron deficiency protects against Plasmodium infection and drives parasite molecular reprofiling</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31">
        <w:r>
          <w:rPr>
            <w:color w:val="1155CC"/>
            <w:u w:val="single"/>
          </w:rPr>
          <w:t>10.1126/sciadv.aeb0828</w:t>
        </w:r>
      </w:hyperlink>
    </w:p>
    <w:p>
      <w:pPr>
        <w:spacing w:before="0" w:after="80" w:lineRule="auto" w:line="276"/>
      </w:pPr>
      <w:r>
        <w:rPr>
          <w:b/>
        </w:rPr>
        <w:t xml:space="preserve">摘要（ZH）: </w:t>
      </w:r>
      <w:r>
        <w:t>(empty)</w:t>
      </w:r>
    </w:p>
    <w:p>
      <w:pPr>
        <w:spacing w:before="0" w:after="200" w:lineRule="auto" w:line="276"/>
      </w:pPr>
      <w:r>
        <w:rPr>
          <w:b/>
        </w:rPr>
        <w:t xml:space="preserve">Abstract (EN): </w:t>
      </w:r>
      <w:r>
        <w:t>Iron deficiency, anemia, and</w:t>
        <w:br/>
        <w:t xml:space="preserve">                    Plasmodium</w:t>
        <w:br/>
        <w:t xml:space="preserve">                    infection are global health challenges with overlapping geographical distributions, particularly affecting pregnant women in Africa, yet the mechanisms underlying their interactions remain poorly understood. We used a multilayered approach combining clinical data from Malawian pregnant women (</w:t>
        <w:br/>
        <w:t xml:space="preserve">                    n</w:t>
        <w:br/>
        <w:t xml:space="preserve">                     = 711) in the REVAMP trial, a genetic mouse model [</w:t>
        <w:br/>
        <w:t xml:space="preserve">                    Tmprss6</w:t>
        <w:br/>
        <w:t xml:space="preserve">                    -knockout (KO)], and in vitro</w:t>
        <w:br/>
        <w:t xml:space="preserve">                    Plasmodium falciparum</w:t>
        <w:br/>
        <w:t xml:space="preserve">                    cultures to clarify iron-malaria associations. Iron deficiency was associated with 50% reduced</w:t>
        <w:br/>
        <w:t xml:space="preserve">                    P. falciparum</w:t>
        <w:br/>
        <w:t xml:space="preserve">                    parasitemia in pregnant women [95% CI (30 to 64%),</w:t>
        <w:br/>
        <w:t xml:space="preserve">                    P</w:t>
        <w:br/>
        <w:t xml:space="preserve">                     &amp;lt; 0.0001], while iron-deficient mice exhibited improved survival against</w:t>
        <w:br/>
        <w:t xml:space="preserve">                    P. berghei</w:t>
        <w:br/>
        <w:t xml:space="preserve">                    (median 15.5 days versus 7.0 days for WT mice) and protection from cerebral malaria (83% versus 17% survival). Iron chelation substantially changed the transcriptomic and proteomic profile of cultured</w:t>
        <w:br/>
        <w:t xml:space="preserve">                    P. falciparum</w:t>
        <w:br/>
        <w:t xml:space="preserve">                    parasites. Intravenous iron supplementation did not increase parasitemia when coupled with malaria prevention. These findings demonstrate that iron deficiency protects against</w:t>
        <w:br/>
        <w:t xml:space="preserve">                    Plasmodium</w:t>
        <w:br/>
        <w:t xml:space="preserve">                    infection and support World Health Organization recommendations for iron supplementation in malaria-endemic regions when combined with adequate malaria prevention strategies in place.</w:t>
      </w:r>
    </w:p>
    <w:p>
      <w:pPr>
        <w:spacing w:before="120" w:after="120"/>
      </w:pPr>
      <w:r>
        <w:rPr>
          <w:sz w:val="18"/>
        </w:rPr>
        <w:t>——————————————————————————————————————————————————————————————————————</w:t>
      </w:r>
    </w:p>
    <w:p>
      <w:pPr>
        <w:spacing w:before="160" w:after="40" w:line="240" w:lineRule="auto"/>
      </w:pPr>
      <w:r>
        <w:rPr>
          <w:b/>
        </w:rPr>
        <w:t xml:space="preserve">[381] </w:t>
      </w:r>
      <w:hyperlink r:id="rId832">
        <w:r>
          <w:rPr>
            <w:color w:val="1155CC"/>
            <w:u w:val="single"/>
          </w:rPr>
          <w:t>Enable active mobility of untethered miniature robots in high-resistance multiphase medium</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33">
        <w:r>
          <w:rPr>
            <w:color w:val="1155CC"/>
            <w:u w:val="single"/>
          </w:rPr>
          <w:t>10.1126/sciadv.aea7188</w:t>
        </w:r>
      </w:hyperlink>
    </w:p>
    <w:p>
      <w:pPr>
        <w:spacing w:before="0" w:after="80" w:lineRule="auto" w:line="276"/>
      </w:pPr>
      <w:r>
        <w:rPr>
          <w:b/>
        </w:rPr>
        <w:t xml:space="preserve">摘要（ZH）: </w:t>
      </w:r>
      <w:r>
        <w:t>(empty)</w:t>
      </w:r>
    </w:p>
    <w:p>
      <w:pPr>
        <w:spacing w:before="0" w:after="200" w:lineRule="auto" w:line="276"/>
      </w:pPr>
      <w:r>
        <w:rPr>
          <w:b/>
        </w:rPr>
        <w:t xml:space="preserve">Abstract (EN): </w:t>
      </w:r>
      <w:r>
        <w:t>Conventional robotic systems exhibit limited mobility in media characterized by substantial resistance, e.g., solid-liquid mixture (SLM) and solid granular medium (SGM). This challenge is particularly pronounced for untethered miniature robots, as they often lack the capacities to generate sufficient force outputs or to implement strategies that reduce resistance from the surrounding medium. Here, we propose an impact-driven magnetic untethered miniature robot (RoboIMP) capable of delivering repeatable high-force outputs of up to 3 N, surpassing the theoretical force limits of conventional magnetic robots at the same characteristic length. RoboIMP uses reciprocal oscillation to fluidize the surrounding medium, thereby reducing the resistance from the medium by up to 13-fold. This enables effective locomotion of an untethered miniature robot in both SLM and SGM. By integrating functional modules, the proposed system demonstrates various applications, including pipeline cleaning, cargo delivery and retrieval, and navigation in the presence of chyme.</w:t>
      </w:r>
    </w:p>
    <w:p>
      <w:pPr>
        <w:spacing w:before="120" w:after="120"/>
      </w:pPr>
      <w:r>
        <w:rPr>
          <w:sz w:val="18"/>
        </w:rPr>
        <w:t>——————————————————————————————————————————————————————————————————————</w:t>
      </w:r>
    </w:p>
    <w:p>
      <w:pPr>
        <w:spacing w:before="160" w:after="40" w:line="240" w:lineRule="auto"/>
      </w:pPr>
      <w:r>
        <w:rPr>
          <w:b/>
        </w:rPr>
        <w:t xml:space="preserve">[382] </w:t>
      </w:r>
      <w:hyperlink r:id="rId834">
        <w:r>
          <w:rPr>
            <w:color w:val="1155CC"/>
            <w:u w:val="single"/>
          </w:rPr>
          <w:t>Oligomerization enables the selective targeting of an intrinsically disordered region by a small molecule</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35">
        <w:r>
          <w:rPr>
            <w:color w:val="1155CC"/>
            <w:u w:val="single"/>
          </w:rPr>
          <w:t>10.1126/sciadv.adz7400</w:t>
        </w:r>
      </w:hyperlink>
    </w:p>
    <w:p>
      <w:pPr>
        <w:spacing w:before="0" w:after="80" w:lineRule="auto" w:line="276"/>
      </w:pPr>
      <w:r>
        <w:rPr>
          <w:b/>
        </w:rPr>
        <w:t xml:space="preserve">摘要（ZH）: </w:t>
      </w:r>
      <w:r>
        <w:t>(empty)</w:t>
      </w:r>
    </w:p>
    <w:p>
      <w:pPr>
        <w:spacing w:before="0" w:after="200" w:lineRule="auto" w:line="276"/>
      </w:pPr>
      <w:r>
        <w:rPr>
          <w:b/>
        </w:rPr>
        <w:t xml:space="preserve">Abstract (EN): </w:t>
      </w:r>
      <w:r>
        <w:t>Intrinsically disordered regions (IDRs) in proteins are increasingly recognized as attractive targets for therapeutic intervention. A number of small molecules interacting with IDRs have been identified, but the lack of persistent secondary and tertiary structure of these regions has led to the prevailing view that they cannot be targeted selectively. Here, we show that a small molecule targeting an IDR evaluated in a clinical trial interacts selectively with an oligomeric form of its target, which is more structured than the monomer and is stabilized by interactions involving aromatic residues in partially α-helical regions. The interaction reshapes the conformational ensemble of the target, alters the biophysical properties of its phase-separated condensates in vitro, and attenuates RNA polymerase II recruitment in cells. Our findings provide mechanistic insights into how small molecules can selectively recognize IDRs.</w:t>
      </w:r>
    </w:p>
    <w:p>
      <w:pPr>
        <w:spacing w:before="120" w:after="120"/>
      </w:pPr>
      <w:r>
        <w:rPr>
          <w:sz w:val="18"/>
        </w:rPr>
        <w:t>——————————————————————————————————————————————————————————————————————</w:t>
      </w:r>
    </w:p>
    <w:p>
      <w:pPr>
        <w:spacing w:before="160" w:after="40" w:line="240" w:lineRule="auto"/>
      </w:pPr>
      <w:r>
        <w:rPr>
          <w:b/>
        </w:rPr>
        <w:t xml:space="preserve">[383] </w:t>
      </w:r>
      <w:hyperlink r:id="rId836">
        <w:r>
          <w:rPr>
            <w:color w:val="1155CC"/>
            <w:u w:val="single"/>
          </w:rPr>
          <w:t>Strain mapping of three-dimensionally structured two-dimensional materials</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37">
        <w:r>
          <w:rPr>
            <w:color w:val="1155CC"/>
            <w:u w:val="single"/>
          </w:rPr>
          <w:t>10.1126/sciadv.adz7908</w:t>
        </w:r>
      </w:hyperlink>
    </w:p>
    <w:p>
      <w:pPr>
        <w:spacing w:before="0" w:after="80" w:lineRule="auto" w:line="276"/>
      </w:pPr>
      <w:r>
        <w:rPr>
          <w:b/>
        </w:rPr>
        <w:t xml:space="preserve">摘要（ZH）: </w:t>
      </w:r>
      <w:r>
        <w:t>(empty)</w:t>
      </w:r>
    </w:p>
    <w:p>
      <w:pPr>
        <w:spacing w:before="0" w:after="200" w:lineRule="auto" w:line="276"/>
      </w:pPr>
      <w:r>
        <w:rPr>
          <w:b/>
        </w:rPr>
        <w:t xml:space="preserve">Abstract (EN): </w:t>
      </w:r>
      <w:r>
        <w:t>Strain plays a crucial role in tuning materials’ properties, influencing their optical, electrical, and chemical performances. In two-dimensional (2D) materials, applied stress often induces out-of-plane deformation, resulting in a more intricate three-dimensional (3D) topography, where mapping the strain remains a challenge due to the limitations of conventional characterization techniques. In this work, we introduce BRIGHT (Bragg-Rod Informed, Gradient-based Height-mapping Technique), an integrated method for reconstructing both the topography and planar strain profile of 3D-structured 2D materials using nanobeam four-dimensional scanning transmission electron microscopy (4D-STEM). We apply BRIGHT to a MoS</w:t>
        <w:br/>
        <w:t xml:space="preserve">                    2</w:t>
        <w:br/>
        <w:t xml:space="preserve">                    -MoSe</w:t>
        <w:br/>
        <w:t xml:space="preserve">                    2</w:t>
        <w:br/>
        <w:t xml:space="preserve">                    transition metal dichalcogenide (TMD) lateral heterojunctions exhibiting built-in strain and out-of-plane ripples and show that varying heterojunction widths lead to distinct surface morphologies and corresponding changes in the planar strain distribution. These results establish a foundation for more effective strain engineering in 2D materials by accounting for out-of-plane structural features, thereby enabling more precise control of strain-dependent properties.</w:t>
      </w:r>
    </w:p>
    <w:p>
      <w:pPr>
        <w:spacing w:before="120" w:after="120"/>
      </w:pPr>
      <w:r>
        <w:rPr>
          <w:sz w:val="18"/>
        </w:rPr>
        <w:t>——————————————————————————————————————————————————————————————————————</w:t>
      </w:r>
    </w:p>
    <w:p>
      <w:pPr>
        <w:spacing w:before="160" w:after="40" w:line="240" w:lineRule="auto"/>
      </w:pPr>
      <w:r>
        <w:rPr>
          <w:b/>
        </w:rPr>
        <w:t xml:space="preserve">[384] </w:t>
      </w:r>
      <w:hyperlink r:id="rId838">
        <w:r>
          <w:rPr>
            <w:color w:val="1155CC"/>
            <w:u w:val="single"/>
          </w:rPr>
          <w:t>Limits on transverse zero sound in Fermi liquid 3He</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39">
        <w:r>
          <w:rPr>
            <w:color w:val="1155CC"/>
            <w:u w:val="single"/>
          </w:rPr>
          <w:t>10.1126/sciadv.adw3701</w:t>
        </w:r>
      </w:hyperlink>
    </w:p>
    <w:p>
      <w:pPr>
        <w:spacing w:before="0" w:after="80" w:lineRule="auto" w:line="276"/>
      </w:pPr>
      <w:r>
        <w:rPr>
          <w:b/>
        </w:rPr>
        <w:t xml:space="preserve">摘要（ZH）: </w:t>
      </w:r>
      <w:r>
        <w:t>(empty)</w:t>
      </w:r>
    </w:p>
    <w:p>
      <w:pPr>
        <w:spacing w:before="0" w:after="200" w:lineRule="auto" w:line="276"/>
      </w:pPr>
      <w:r>
        <w:rPr>
          <w:b/>
        </w:rPr>
        <w:t xml:space="preserve">Abstract (EN): </w:t>
      </w:r>
      <w:r>
        <w:t>Landau predicted that transverse sound propagates in a Fermi liquid with sufficiently strong interactions such as for liquid</w:t>
        <w:br/>
        <w:t xml:space="preserve">                    3</w:t>
        <w:br/>
        <w:t xml:space="preserve">                    He, unlike a classical fluid that cannot support shear oscillations. Previous attempts to observe this unique collective mode yielded inconclusive results. We microfabricated acoustic cavities with a micrometer-scale path length that is suitable for direct detection of this sound mode and used the interference fringes from our acoustic Fabry-Pérot cavities to determine both real and imaginary parts of the acoustic impedance. No interference was observed. Either transverse sound does not exist or its attenuation must be very high, well above 2000 per centimeter. We discuss a theoretical framework for such high attenuation.</w:t>
      </w:r>
    </w:p>
    <w:p>
      <w:pPr>
        <w:spacing w:before="120" w:after="120"/>
      </w:pPr>
      <w:r>
        <w:rPr>
          <w:sz w:val="18"/>
        </w:rPr>
        <w:t>——————————————————————————————————————————————————————————————————————</w:t>
      </w:r>
    </w:p>
    <w:p>
      <w:pPr>
        <w:spacing w:before="160" w:after="40" w:line="240" w:lineRule="auto"/>
      </w:pPr>
      <w:r>
        <w:rPr>
          <w:b/>
        </w:rPr>
        <w:t xml:space="preserve">[385] </w:t>
      </w:r>
      <w:hyperlink r:id="rId840">
        <w:r>
          <w:rPr>
            <w:color w:val="1155CC"/>
            <w:u w:val="single"/>
          </w:rPr>
          <w:t>Scalable and accurate rare-variant association tests for whole genome sequencing time-to-event analysis in large biobanks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841">
        <w:r>
          <w:rPr>
            <w:color w:val="1155CC"/>
            <w:u w:val="single"/>
          </w:rPr>
          <w:t>10.1073/pnas.2525288123</w:t>
        </w:r>
      </w:hyperlink>
    </w:p>
    <w:p>
      <w:pPr>
        <w:spacing w:before="0" w:after="80" w:lineRule="auto" w:line="276"/>
      </w:pPr>
      <w:r>
        <w:rPr>
          <w:b/>
        </w:rPr>
        <w:t xml:space="preserve">摘要（ZH）: </w:t>
      </w:r>
      <w:r>
        <w:t>(empty)</w:t>
      </w:r>
    </w:p>
    <w:p>
      <w:pPr>
        <w:spacing w:before="0" w:after="200" w:lineRule="auto" w:line="276"/>
      </w:pPr>
      <w:r>
        <w:rPr>
          <w:b/>
        </w:rPr>
        <w:t xml:space="preserve">Abstract (EN): </w:t>
      </w:r>
      <w:r>
        <w:t>Whole genome sequencing (WGS) studies in large biobanks provide an unprecedented opportunity to study the rare-variant (RV) effects on the natural history of human diseases by analyzing censored time-to-event (TTE) phenotypes, such as age at disease diagnosis, disease progression, and lifespan. Unlike existing methods developed for continuous and categorical phenotypes, rare-variant association tests (RVATs) for TTE phenotypes in large biobanks face several major challenges, including heavy censoring, cryptic relatedness, and population structure. We introduce GATE-STAAR (Genetic Analysis of Time-to-Event phenotypes via the variant-Set Test for Association using Annotation infoRmation), a powerful and computationally efficient frailty model framework for RVATs of TTE phenotypes in large biobanks. GATE-STAAR accounts for high censoring rates, cryptic relatedness, and population structure in large biobanks, while incorporating multifaceted variant functional annotations to improve power and result interpretability. We propose a rare-variant saddlepoint approximation method to effectively address heavy censoring in WGS TTE analysis. We demonstrate through extensive simulations that GATE-STAAR is powerful while maintaining proper control of type I error rates. We apply GATE-STAAR to analyze the WGS data of approximately 400,000 UK Biobank participants of white British ancestry across a variety of TTE phenotypes, and validate the findings using participants of European ancestry from the All of Us Research Program. These analyses uncover RV associations with age at diagnosis of a range of diseases.</w:t>
      </w:r>
    </w:p>
    <w:p>
      <w:pPr>
        <w:spacing w:before="120" w:after="120"/>
      </w:pPr>
      <w:r>
        <w:rPr>
          <w:sz w:val="18"/>
        </w:rPr>
        <w:t>——————————————————————————————————————————————————————————————————————</w:t>
      </w:r>
    </w:p>
    <w:p>
      <w:pPr>
        <w:spacing w:before="160" w:after="40" w:line="240" w:lineRule="auto"/>
      </w:pPr>
      <w:r>
        <w:rPr>
          <w:b/>
        </w:rPr>
        <w:t xml:space="preserve">[386] </w:t>
      </w:r>
      <w:hyperlink r:id="rId842">
        <w:r>
          <w:rPr>
            <w:color w:val="1155CC"/>
            <w:u w:val="single"/>
          </w:rPr>
          <w:t>Optical logic convolutional neural network</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43">
        <w:r>
          <w:rPr>
            <w:color w:val="1155CC"/>
            <w:u w:val="single"/>
          </w:rPr>
          <w:t>10.1126/sciadv.aea9278</w:t>
        </w:r>
      </w:hyperlink>
    </w:p>
    <w:p>
      <w:pPr>
        <w:spacing w:before="0" w:after="80" w:lineRule="auto" w:line="276"/>
      </w:pPr>
      <w:r>
        <w:rPr>
          <w:b/>
        </w:rPr>
        <w:t xml:space="preserve">摘要（ZH）: </w:t>
      </w:r>
      <w:r>
        <w:t>(empty)</w:t>
      </w:r>
    </w:p>
    <w:p>
      <w:pPr>
        <w:spacing w:before="0" w:after="200" w:lineRule="auto" w:line="276"/>
      </w:pPr>
      <w:r>
        <w:rPr>
          <w:b/>
        </w:rPr>
        <w:t xml:space="preserve">Abstract (EN): </w:t>
      </w:r>
      <w:r>
        <w:t>Optical computing presents a promising avenue to meet the escalating computational demands. However, optical analog computing is susceptible to environmental perturbations, relies heavily on digital-to-analog converters and analog-to-digital converters, and requires electronic or photonic nonlinear operations. While optical digital computing mitigates some issues, its reliance on manual, task-specific configuration hinders broader applications like inference. Here, we propose the concept of an optical logic convolutional neural network (OLCNN). We demonstrate a 1-by-3 optical logic convolutional operator (OLCO) for pattern generation and validate its high-speed computing capacity at 20 Gbit/s. A 2-by-2 OLCO is then implemented to perform three types of image edge extraction. By scaling up, a 3-by-3 OLCO is constructed for an OLCNN to achieve four-class classification on the MNIST dataset with an average test accuracy of 95.1%. By synergizing optical logic devices with neural networks, this work pioneers a logic-driven paradigm for high-speed, energy-efficient optical hardware in artificial intelligence.</w:t>
      </w:r>
    </w:p>
    <w:p>
      <w:pPr>
        <w:spacing w:before="120" w:after="120"/>
      </w:pPr>
      <w:r>
        <w:rPr>
          <w:sz w:val="18"/>
        </w:rPr>
        <w:t>——————————————————————————————————————————————————————————————————————</w:t>
      </w:r>
    </w:p>
    <w:p>
      <w:pPr>
        <w:spacing w:before="160" w:after="40" w:line="240" w:lineRule="auto"/>
      </w:pPr>
      <w:r>
        <w:rPr>
          <w:b/>
        </w:rPr>
        <w:t xml:space="preserve">[387] </w:t>
      </w:r>
      <w:hyperlink r:id="rId844">
        <w:r>
          <w:rPr>
            <w:color w:val="1155CC"/>
            <w:u w:val="single"/>
          </w:rPr>
          <w:t>Human hippocampal theta–gamma coupling coordinates sequential planning during navigation</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845">
        <w:r>
          <w:rPr>
            <w:color w:val="1155CC"/>
            <w:u w:val="single"/>
          </w:rPr>
          <w:t>10.1073/pnas.2513547123</w:t>
        </w:r>
      </w:hyperlink>
    </w:p>
    <w:p>
      <w:pPr>
        <w:spacing w:before="0" w:after="80" w:lineRule="auto" w:line="276"/>
      </w:pPr>
      <w:r>
        <w:rPr>
          <w:b/>
        </w:rPr>
        <w:t xml:space="preserve">摘要（ZH）: </w:t>
      </w:r>
      <w:r>
        <w:t>(empty)</w:t>
      </w:r>
    </w:p>
    <w:p>
      <w:pPr>
        <w:spacing w:before="0" w:after="200" w:lineRule="auto" w:line="276"/>
      </w:pPr>
      <w:r>
        <w:rPr>
          <w:b/>
        </w:rPr>
        <w:t xml:space="preserve">Abstract (EN): </w:t>
      </w:r>
      <w:r>
        <w:t>Human behavior often relies on executing a specific sequence of actions to achieve a desired outcome. However, the neural mechanisms underlying the dynamic construction and maintenance of such sequences during goal-directed behavior are not yet clear. Empirical and theoretical studies of working memory function suggest that sequential information may be encoded in neural circuits by bursts of gamma activity occurring at consecutive theta phases. Here, we asked whether a similar coding scheme might support sequential planning during goal-directed navigation. Using noninvasive magnetoencephalography and an abstract navigation task, we found that hippocampal theta power during both planning and subsequent navigation decreased with proximity to the current goal, only during accurate navigation. At the same time, theta–gamma phase–amplitude coupling (PAC) increased with goal proximity, consistent with sequences of upcoming locations being represented by gamma bursts occurring at successive theta phases. Importantly, entorhinal high gamma and hippocampal low gamma dominated while traversing novel and previously experienced paths, respectively, consistent with previous rodent studies. These findings suggest that hippocampal theta–gamma PAC flexibly and dynamically coordinates sequences of actions during goal-directed behavior across mammalian species, using different gamma bands for mnemonic and prospective planning.</w:t>
      </w:r>
    </w:p>
    <w:p>
      <w:pPr>
        <w:spacing w:before="120" w:after="120"/>
      </w:pPr>
      <w:r>
        <w:rPr>
          <w:sz w:val="18"/>
        </w:rPr>
        <w:t>——————————————————————————————————————————————————————————————————————</w:t>
      </w:r>
    </w:p>
    <w:p>
      <w:pPr>
        <w:spacing w:before="160" w:after="40" w:line="240" w:lineRule="auto"/>
      </w:pPr>
      <w:r>
        <w:rPr>
          <w:b/>
        </w:rPr>
        <w:t xml:space="preserve">[388] </w:t>
      </w:r>
      <w:hyperlink r:id="rId846">
        <w:r>
          <w:rPr>
            <w:color w:val="1155CC"/>
            <w:u w:val="single"/>
          </w:rPr>
          <w:t>Reply to Pernet et al.: Mesocosm experiment reveals the carbon removal mechanisms in oyster farming</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847">
        <w:r>
          <w:rPr>
            <w:color w:val="1155CC"/>
            <w:u w:val="single"/>
          </w:rPr>
          <w:t>10.1073/pnas.2536882123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[389] </w:t>
      </w:r>
      <w:hyperlink r:id="rId848">
        <w:r>
          <w:rPr>
            <w:color w:val="1155CC"/>
            <w:u w:val="single"/>
          </w:rPr>
          <w:t>Ecological inheritance facilitates the coexistence of environmental helpers and free riders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849">
        <w:r>
          <w:rPr>
            <w:color w:val="1155CC"/>
            <w:u w:val="single"/>
          </w:rPr>
          <w:t>10.1073/pnas.2527016123</w:t>
        </w:r>
      </w:hyperlink>
    </w:p>
    <w:p>
      <w:pPr>
        <w:spacing w:before="0" w:after="80" w:lineRule="auto" w:line="276"/>
      </w:pPr>
      <w:r>
        <w:rPr>
          <w:b/>
        </w:rPr>
        <w:t xml:space="preserve">摘要（ZH）: </w:t>
      </w:r>
      <w:r>
        <w:t>(empty)</w:t>
      </w:r>
    </w:p>
    <w:p>
      <w:pPr>
        <w:spacing w:before="0" w:after="200" w:lineRule="auto" w:line="276"/>
      </w:pPr>
      <w:r>
        <w:rPr>
          <w:b/>
        </w:rPr>
        <w:t xml:space="preserve">Abstract (EN): </w:t>
      </w:r>
      <w:r>
        <w:t>Many traits influence fitness indirectly by modifying shared environments that are transmitted across generations, a process known as ecological inheritance. Here, we investigate how variation in traits to improve common resources emerges when locally modified environments show ecological inheritance. Using eco-evolutionary modeling, we reveal that ecological inheritance, when combined with limited dispersal, can facilitate the coexistence of two types with opposite ecological legacies: environmental helpers, who improve the local environment for the future at a personal cost, and environmental free riders, who benefit without contributing to the detriment of future generations, particularly when interactions among helpers generate diminishing returns. This polymorphism generates lasting spatial heterogeneity in environmental quality and, consequently, in survival and reproduction—particularly under isolation-by-distance, where it creates stable clusters of high- and low-quality habitats across an otherwise homogeneous landscape. These findings reveal how ecological inheritance and spatial structure interact to stabilize polymorphism, potentially driving long-term behavioral, ecological, and fitness variation across diverse biological systems.</w:t>
      </w:r>
    </w:p>
    <w:p>
      <w:pPr>
        <w:spacing w:before="120" w:after="120"/>
      </w:pPr>
      <w:r>
        <w:rPr>
          <w:sz w:val="18"/>
        </w:rPr>
        <w:t>——————————————————————————————————————————————————————————————————————</w:t>
      </w:r>
    </w:p>
    <w:p>
      <w:pPr>
        <w:spacing w:before="160" w:after="40" w:line="240" w:lineRule="auto"/>
      </w:pPr>
      <w:r>
        <w:rPr>
          <w:b/>
        </w:rPr>
        <w:t xml:space="preserve">[390] </w:t>
      </w:r>
      <w:hyperlink r:id="rId850">
        <w:r>
          <w:rPr>
            <w:color w:val="1155CC"/>
            <w:u w:val="single"/>
          </w:rPr>
          <w:t>Integration of learned artificial sensation with vision during freely moving navigation</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851">
        <w:r>
          <w:rPr>
            <w:color w:val="1155CC"/>
            <w:u w:val="single"/>
          </w:rPr>
          <w:t>10.1073/pnas.2521769123</w:t>
        </w:r>
      </w:hyperlink>
    </w:p>
    <w:p>
      <w:pPr>
        <w:spacing w:before="0" w:after="80" w:lineRule="auto" w:line="276"/>
      </w:pPr>
      <w:r>
        <w:rPr>
          <w:b/>
        </w:rPr>
        <w:t xml:space="preserve">摘要（ZH）: </w:t>
      </w:r>
      <w:r>
        <w:t>(empty)</w:t>
      </w:r>
    </w:p>
    <w:p>
      <w:pPr>
        <w:spacing w:before="0" w:after="200" w:lineRule="auto" w:line="276"/>
      </w:pPr>
      <w:r>
        <w:rPr>
          <w:b/>
        </w:rPr>
        <w:t xml:space="preserve">Abstract (EN): </w:t>
      </w:r>
      <w:r>
        <w:t>Humans rely on both proprioceptive and visual feedback during reaching, integrating these two sensory streams to improve movement accuracy and precision. Patients using a brain-computer interface will similarly require artificial proprioceptive feedback in addition to vision to finely control a prosthesis. Intracortical microstimulation (ICMS) elicits sensory perceptions that could replace the lost proprioceptive signal. However, some learning may be required for encoding artificial sensation, as current technology does not give access to neurons with all of the desired encoding properties. We developed a freely moving mouse behavioral task in which to test learning and integration of artificial sensory information with natural vision. Mice implanted with a 16-channel microwire array in the primary somatosensory cortex were trained to navigate to randomly selected targets upon the floor of a custom behavioral training chamber. Target location was encoded with visual and/or patterned multichannel ICMS feedback. Mice received multimodal feedback from the beginning of training of the behavioral task, achieving 75% on multimodal trials after approximately 1,000 training trials. Mice also quickly learned to use the ICMS signal to locate invisible targets, achieving 75% proficiency on ICMS-only trials when tested. Critically, we found that performance with ICMS was as good or better than performance with natural vision, and that performance on multimodal trials significantly exceeded unimodal performance (vision or ICMS), demonstrating that animals rapidly learned to integrate natural vision with artificial sensation.</w:t>
      </w:r>
    </w:p>
    <w:p>
      <w:pPr>
        <w:spacing w:before="120" w:after="120"/>
      </w:pPr>
      <w:r>
        <w:rPr>
          <w:sz w:val="18"/>
        </w:rPr>
        <w:t>——————————————————————————————————————————————————————————————————————</w:t>
      </w:r>
    </w:p>
    <w:p>
      <w:pPr>
        <w:spacing w:before="160" w:after="40" w:line="240" w:lineRule="auto"/>
      </w:pPr>
      <w:r>
        <w:rPr>
          <w:b/>
        </w:rPr>
        <w:t xml:space="preserve">[391] </w:t>
      </w:r>
      <w:hyperlink r:id="rId852">
        <w:r>
          <w:rPr>
            <w:color w:val="1155CC"/>
            <w:u w:val="single"/>
          </w:rPr>
          <w:t>Microbial metabolite oxindole curbs acute lung injury by suppressing CXCL13</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853">
        <w:r>
          <w:rPr>
            <w:color w:val="1155CC"/>
            <w:u w:val="single"/>
          </w:rPr>
          <w:t>10.1073/pnas.2519332123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gut–lung axis is involved in acute lung injury (ALI) and its fatal sequela, acute respiratory distress syndrome (ARDS), yet the molecular mechanisms governing this crosstalk remain poorly defined. Untargeted metabolomics of plasma revealed significant dysregulation of tryptophan metabolism in ARDS patients compared to healthy controls. Murine dietary interventions demonstrated that high tryptophan intake alleviated ALI severity, whereas deficiency exacerbated injury, with protection being gut microbiota dependent. 16S ribosomal RNA (16S rRNA) gene sequencing revealed marked depletion of a functionally central bacterium</w:t>
        <w:br/>
        <w:t xml:space="preserve">                    Lactobacillus johnsonii</w:t>
        <w:br/>
        <w:t xml:space="preserve">                    (</w:t>
        <w:br/>
        <w:t xml:space="preserve">                    L. johnsonii</w:t>
        <w:br/>
        <w:t xml:space="preserve">                    ) during ALI. Supplementation with</w:t>
        <w:br/>
        <w:t xml:space="preserve">                    L. johnsonii</w:t>
        <w:br/>
        <w:t xml:space="preserve">                    or its encapsulated form attenuated ALI, but this required dietary tryptophan sufficiency. Mechanistically,</w:t>
        <w:br/>
        <w:t xml:space="preserve">                    L. johnsonii</w:t>
        <w:br/>
        <w:t xml:space="preserve">                    converts tryptophan into oxindole, which enters pulmonary macrophages, promotes the aryl hydrocarbon receptor-RelA binding, and thereby suppresses RelA-mediated transcriptional activation of C-X-C motif chemokine 13 (CXCL13). Both genetic ablation and pharmacological inhibition of CXCL13 ameliorated ALI symptoms. Importantly, oxindole and CXCL13 levels correlated with ARDS severity in patients, suggesting their clinical relevance. Collectively, these findings define a protective microbiota-dependent gut–lung axis in ALI/ARDS that is mediated by dietary tryptophan-derived oxindole, which acts at least partially through CXCL13 suppression to underscore targetable diet–microbe–metabolite therapeutic paradigms.</w:t>
      </w:r>
    </w:p>
    <w:p>
      <w:pPr>
        <w:spacing w:before="120" w:after="120"/>
      </w:pPr>
      <w:r>
        <w:rPr>
          <w:sz w:val="18"/>
        </w:rPr>
        <w:t>——————————————————————————————————————————————————————————————————————</w:t>
      </w:r>
    </w:p>
    <w:p>
      <w:pPr>
        <w:spacing w:before="160" w:after="40" w:line="240" w:lineRule="auto"/>
      </w:pPr>
      <w:r>
        <w:rPr>
          <w:b/>
        </w:rPr>
        <w:t xml:space="preserve">[392] </w:t>
      </w:r>
      <w:hyperlink r:id="rId854">
        <w:r>
          <w:rPr>
            <w:color w:val="1155CC"/>
            <w:u w:val="single"/>
          </w:rPr>
          <w:t>The theory of epidemics with altruism</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855">
        <w:r>
          <w:rPr>
            <w:color w:val="1155CC"/>
            <w:u w:val="single"/>
          </w:rPr>
          <w:t>10.1073/pnas.2518893123</w:t>
        </w:r>
      </w:hyperlink>
    </w:p>
    <w:p>
      <w:pPr>
        <w:spacing w:before="0" w:after="80" w:lineRule="auto" w:line="276"/>
      </w:pPr>
      <w:r>
        <w:rPr>
          <w:b/>
        </w:rPr>
        <w:t xml:space="preserve">摘要（ZH）: </w:t>
      </w:r>
      <w:r>
        <w:t>(empty)</w:t>
      </w:r>
    </w:p>
    <w:p>
      <w:pPr>
        <w:spacing w:before="0" w:after="200" w:lineRule="auto" w:line="276"/>
      </w:pPr>
      <w:r>
        <w:rPr>
          <w:b/>
        </w:rPr>
        <w:t xml:space="preserve">Abstract (EN): </w:t>
      </w:r>
      <w:r>
        <w:t>Social distancing can mitigate the spread of diseases in humans and animals. Social distancing allows susceptible individuals to protect themselves (and others) but confers no personal benefit for infected individuals if recovery provides immunity. However, individuals are likely to be at least weakly altruistic and may be interested in protecting others when infected. A strongly altruistic population where individuals value others as equal to themselves would be expected to self-isolate when infected. This would strongly suppress the disease, avoid Herd Immunity, and vastly improve outcomes. Still, little is known about how weaker altruism affects behavior during epidemics. Here we show using game theory that even extremely weakly altruistic individuals, valuing their own lives equivalent to roughly 100,000 others, can rationally achieve almost identical outcomes. Individuals self-isolate in order to avoid setting off chains of infections that they would perceive as costly to them even at such small altruism. Our results are robust to a moderate fraction of asymptomatic cases or completely selfish individuals. The resulting behavior, while emerging from a complex optimization problem, is simple enough that it could have evolved as a behavioral response in social animals, as well as being easy to communicate and understand for humans.</w:t>
      </w:r>
    </w:p>
    <w:p>
      <w:pPr>
        <w:spacing w:before="120" w:after="120"/>
      </w:pPr>
      <w:r>
        <w:rPr>
          <w:sz w:val="18"/>
        </w:rPr>
        <w:t>——————————————————————————————————————————————————————————————————————</w:t>
      </w:r>
    </w:p>
    <w:p>
      <w:pPr>
        <w:spacing w:before="160" w:after="40" w:line="240" w:lineRule="auto"/>
      </w:pPr>
      <w:r>
        <w:rPr>
          <w:b/>
        </w:rPr>
        <w:t xml:space="preserve">[393] </w:t>
      </w:r>
      <w:hyperlink r:id="rId856">
        <w:r>
          <w:rPr>
            <w:color w:val="1155CC"/>
            <w:u w:val="single"/>
          </w:rPr>
          <w:t>Lightning-generated waves detected at Mars</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57">
        <w:r>
          <w:rPr>
            <w:color w:val="1155CC"/>
            <w:u w:val="single"/>
          </w:rPr>
          <w:t>10.1126/sciadv.aeb4898</w:t>
        </w:r>
      </w:hyperlink>
    </w:p>
    <w:p>
      <w:pPr>
        <w:spacing w:before="0" w:after="80" w:lineRule="auto" w:line="276"/>
      </w:pPr>
      <w:r>
        <w:rPr>
          <w:b/>
        </w:rPr>
        <w:t xml:space="preserve">摘要（ZH）: </w:t>
      </w:r>
      <w:r>
        <w:t>(empty)</w:t>
      </w:r>
    </w:p>
    <w:p>
      <w:pPr>
        <w:spacing w:before="0" w:after="200" w:lineRule="auto" w:line="276"/>
      </w:pPr>
      <w:r>
        <w:rPr>
          <w:b/>
        </w:rPr>
        <w:t xml:space="preserve">Abstract (EN): </w:t>
      </w:r>
      <w:r>
        <w:t>Although lightning activity has been confirmed on Jupiter, Saturn, and Neptune through the detection of lightning-generated electromagnetic waves, its occurrence on Venus and Mars remains unclear. Here, we report observations of such a frequency-dispersed whistler detected in the ionosphere of Mars by NASA’s MAVEN spacecraft. We demonstrate the plausibility of wave propagation from the atmosphere to the spacecraft, and we show that the observed dispersion corresponds to theoretical expectations using realistic crustal magnetic field and ionospheric models. Increased attenuation at higher frequencies explains why only the low-frequency part of the whistler is observed. Our observations provide direct evidence of electromagnetic waves from an impulsive source on Mars, suggesting that electric discharges may indeed occur in the Martian atmosphere.</w:t>
      </w:r>
    </w:p>
    <w:p>
      <w:pPr>
        <w:spacing w:before="120" w:after="120"/>
      </w:pPr>
      <w:r>
        <w:rPr>
          <w:sz w:val="18"/>
        </w:rPr>
        <w:t>——————————————————————————————————————————————————————————————————————</w:t>
      </w:r>
    </w:p>
    <w:p>
      <w:pPr>
        <w:spacing w:before="160" w:after="40" w:line="240" w:lineRule="auto"/>
      </w:pPr>
      <w:r>
        <w:rPr>
          <w:b/>
        </w:rPr>
        <w:t xml:space="preserve">[394] </w:t>
      </w:r>
      <w:hyperlink r:id="rId858">
        <w:r>
          <w:rPr>
            <w:color w:val="1155CC"/>
            <w:u w:val="single"/>
          </w:rPr>
          <w:t>Profile of David Baker, Demis Hassabis, and John Jumper: 2024 Nobel laureates in chemistry</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859">
        <w:r>
          <w:rPr>
            <w:color w:val="1155CC"/>
            <w:u w:val="single"/>
          </w:rPr>
          <w:t>10.1073/pnas.2422539123</w:t>
        </w:r>
      </w:hyperlink>
    </w:p>
    <w:p>
      <w:pPr>
        <w:spacing w:before="0" w:after="80" w:lineRule="auto" w:line="276"/>
      </w:pPr>
      <w:r>
        <w:rPr>
          <w:b/>
        </w:rPr>
        <w:t xml:space="preserve">摘要（ZH）: </w:t>
      </w:r>
      <w:r>
        <w:t>(empty)</w:t>
      </w:r>
    </w:p>
    <w:p>
      <w:pPr>
        <w:spacing w:before="0" w:after="200" w:lineRule="auto" w:line="276"/>
      </w:pPr>
      <w:r>
        <w:rPr>
          <w:b/>
        </w:rPr>
        <w:t xml:space="preserve">Abstract (EN): </w:t>
      </w:r>
      <w:r>
        <w:t>The 2024 Nobel Prize in Chemistry recognized revolutionary computational success in predicting protein structures from amino acid sequences and for designing amino acid sequences that fold into desired protein structures. The ultimate accomplishment emerged principally from two labs, applying distinct approaches, culminating four decades of effort by the community of protein scientists. The lab of David Baker at the University of Washington made protein design a reality by adapting methods of classical physical chemistry. Demis Hassabis and John Jumper in the Deep Mind division of Google applied co-evolution and AI methods to enable prediction of protein models remarkably close to experimentally determined structures and prediction of vast numbers of structures of proteins not yet experimentally studied.</w:t>
      </w:r>
    </w:p>
    <w:p>
      <w:pPr>
        <w:spacing w:before="120" w:after="120"/>
      </w:pPr>
      <w:r>
        <w:rPr>
          <w:sz w:val="18"/>
        </w:rPr>
        <w:t>——————————————————————————————————————————————————————————————————————</w:t>
      </w:r>
    </w:p>
    <w:p>
      <w:pPr>
        <w:spacing w:before="160" w:after="40" w:line="240" w:lineRule="auto"/>
      </w:pPr>
      <w:r>
        <w:rPr>
          <w:b/>
        </w:rPr>
        <w:t xml:space="preserve">[395] </w:t>
      </w:r>
      <w:hyperlink r:id="rId860">
        <w:r>
          <w:rPr>
            <w:color w:val="1155CC"/>
            <w:u w:val="single"/>
          </w:rPr>
          <w:t>A structural disorder function linking local symmetry breaking to plastic indicators and strength in amorphous solids</w:t>
        </w:r>
      </w:hyperlink>
    </w:p>
    <w:p>
      <w:pPr>
        <w:spacing w:before="0" w:after="120"/>
      </w:pPr>
      <w:r>
        <w:rPr>
          <w:b/>
        </w:rPr>
        <w:t xml:space="preserve">Source: </w:t>
      </w:r>
      <w:r>
        <w:t>Proceedings of the National Academy of Sciences: Keyword search for query</w:t>
      </w:r>
      <w:r>
        <w:t xml:space="preserve">    </w:t>
      </w:r>
      <w:r>
        <w:rPr>
          <w:b/>
        </w:rPr>
        <w:t xml:space="preserve">Pub date: </w:t>
      </w:r>
      <w:r>
        <w:t>2026-02-27 08:00:00+00:00</w:t>
      </w:r>
      <w:r>
        <w:t xml:space="preserve">    </w:t>
      </w:r>
      <w:r>
        <w:rPr>
          <w:b/>
        </w:rPr>
        <w:t xml:space="preserve">DOI: </w:t>
      </w:r>
      <w:hyperlink r:id="rId861">
        <w:r>
          <w:rPr>
            <w:color w:val="1155CC"/>
            <w:u w:val="single"/>
          </w:rPr>
          <w:t>10.1073/pnas.2532235123</w:t>
        </w:r>
      </w:hyperlink>
    </w:p>
    <w:p>
      <w:pPr>
        <w:spacing w:before="0" w:after="80" w:lineRule="auto" w:line="276"/>
      </w:pPr>
      <w:r>
        <w:rPr>
          <w:b/>
        </w:rPr>
        <w:t xml:space="preserve">摘要（ZH）: </w:t>
      </w:r>
      <w:r>
        <w:t>(empty)</w:t>
      </w:r>
    </w:p>
    <w:p>
      <w:pPr>
        <w:spacing w:before="0" w:after="200" w:lineRule="auto" w:line="276"/>
      </w:pPr>
      <w:r>
        <w:rPr>
          <w:b/>
        </w:rPr>
        <w:t xml:space="preserve">Abstract (EN): </w:t>
      </w:r>
      <w:r>
        <w:t>Establishing intrinsic structure–property relationships in amorphous solids remains a central challenge in materials science because the absence of long-range order obscures universal structural descriptors. Here, we introduce a structural disorder function,</w:t>
        <w:br/>
        <w:t xml:space="preserve">                    S</w:t>
        <w:br/>
        <w:t xml:space="preserve">                    d</w:t>
        <w:br/>
        <w:t xml:space="preserve">                    (</w:t>
        <w:br/>
        <w:t xml:space="preserve">                    r</w:t>
        <w:br/>
        <w:t xml:space="preserve">                    ), as a physically interpretable and quantitative metric for atomic-scale disorder in amorphous systems.</w:t>
        <w:br/>
        <w:t xml:space="preserve">                    S</w:t>
        <w:br/>
        <w:t xml:space="preserve">                    d</w:t>
        <w:br/>
        <w:t xml:space="preserve">                    (</w:t>
        <w:br/>
        <w:t xml:space="preserve">                    r</w:t>
        <w:br/>
        <w:t xml:space="preserve">                    ) is formulated as the magnitude of the normalized vector sum from a reference atom to its neighbors within different radial shells, thereby capturing local symmetry breaking analogous in concept to the Burgers vector in crystals. Molecular dynamics simulations across diverse amorphous alloys and glasses, together with colloidal-glass experiments, demonstrate that</w:t>
        <w:br/>
        <w:t xml:space="preserve">                    S</w:t>
        <w:br/>
        <w:t xml:space="preserve">                    d</w:t>
        <w:br/>
        <w:t xml:space="preserve">                    (</w:t>
        <w:br/>
        <w:t xml:space="preserve">                    r</w:t>
        <w:br/>
        <w:t xml:space="preserve">                    ) correlates meaningfully (correlation coefficient &amp;gt; 0.68) with key particle-scale plastic properties, including vibrational mean-square displacement, flexibility volume, atomic stiffness, and vibrational frequency. Liquid-like regions consistently exhibit higher</w:t>
        <w:br/>
        <w:t xml:space="preserve">                    S</w:t>
        <w:br/>
        <w:t xml:space="preserve">                    d</w:t>
        <w:br/>
        <w:t xml:space="preserve">                    (</w:t>
        <w:br/>
        <w:t xml:space="preserve">                    r</w:t>
        <w:br/>
        <w:t xml:space="preserve">                    ) values than solid-like ones, revealing its ability to distinguish mechanical heterogeneity. When averaged over the field,</w:t>
        <w:br/>
        <w:t xml:space="preserve">                    </w:t>
        <w:br/>
        <w:t xml:space="preserve">                      </w:t>
        <w:br/>
        <w:t xml:space="preserve">                        </w:t>
        <w:br/>
        <w:t xml:space="preserve">                          </w:t>
        <w:br/>
        <w:t xml:space="preserve">                            </w:t>
        <w:br/>
        <w:t xml:space="preserve">                              S</w:t>
        <w:br/>
        <w:t xml:space="preserve">                              d</w:t>
        <w:br/>
        <w:t xml:space="preserve">                            </w:t>
        <w:br/>
        <w:t xml:space="preserve">                          </w:t>
        <w:br/>
        <w:t xml:space="preserve">                        </w:t>
        <w:br/>
        <w:t xml:space="preserve">                      </w:t>
        <w:br/>
        <w:t xml:space="preserve">                    </w:t>
        <w:br/>
        <w:t xml:space="preserve">                    monotonically increases with cooling rate and exhibits a universal negative linear relationship with shear strength, τ</w:t>
        <w:br/>
        <w:t xml:space="preserve">                    p</w:t>
        <w:br/>
        <w:t xml:space="preserve">                    =</w:t>
        <w:br/>
        <w:t xml:space="preserve">                    A</w:t>
        <w:br/>
        <w:t xml:space="preserve">                    –</w:t>
        <w:br/>
        <w:t xml:space="preserve">                    B</w:t>
        <w:br/>
        <w:t xml:space="preserve">                    </w:t>
        <w:br/>
        <w:t xml:space="preserve">                      </w:t>
        <w:br/>
        <w:t xml:space="preserve">                        </w:t>
        <w:br/>
        <w:t xml:space="preserve">                          </w:t>
        <w:br/>
        <w:t xml:space="preserve">                            </w:t>
        <w:br/>
        <w:t xml:space="preserve">                              S</w:t>
        <w:br/>
        <w:t xml:space="preserve">                              d</w:t>
        <w:br/>
        <w:t xml:space="preserve">                            </w:t>
        <w:br/>
        <w:t xml:space="preserve">                          </w:t>
        <w:br/>
        <w:t xml:space="preserve">                        </w:t>
        <w:br/>
        <w:t xml:space="preserve">                      </w:t>
        <w:br/>
        <w:t xml:space="preserve">                    </w:t>
        <w:br/>
        <w:t xml:space="preserve">                    , quantitatively linking structural disorder to macroscopic strength. These results establish</w:t>
        <w:br/>
        <w:t xml:space="preserve">                    S</w:t>
        <w:br/>
        <w:t xml:space="preserve">                    d</w:t>
        <w:br/>
        <w:t xml:space="preserve">                    (</w:t>
        <w:br/>
        <w:t xml:space="preserve">                    r</w:t>
        <w:br/>
        <w:t xml:space="preserve">                    ) as a simple, dimensionless, and broadly applicable descriptor that unifies atomic configuration, processing history, and mechanical response in disordered materials, providing a physics-based framework for the rational design of amorphous solids.</w:t>
      </w:r>
    </w:p>
    <w:p>
      <w:pPr>
        <w:spacing w:before="120" w:after="120"/>
      </w:pPr>
      <w:r>
        <w:rPr>
          <w:sz w:val="18"/>
        </w:rPr>
        <w:t>——————————————————————————————————————————————————————————————————————</w:t>
      </w:r>
    </w:p>
    <w:p>
      <w:pPr>
        <w:spacing w:before="160" w:after="40" w:line="240" w:lineRule="auto"/>
      </w:pPr>
      <w:r>
        <w:rPr>
          <w:b/>
        </w:rPr>
        <w:t xml:space="preserve">[396] </w:t>
      </w:r>
      <w:hyperlink r:id="rId862">
        <w:r>
          <w:rPr>
            <w:color w:val="1155CC"/>
            <w:u w:val="single"/>
          </w:rPr>
          <w:t>Rational design of tetrahydrotetrazinones as potent nonclassical radical-trapping antioxidants for inhibition of ferroptosis</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63">
        <w:r>
          <w:rPr>
            <w:color w:val="1155CC"/>
            <w:u w:val="single"/>
          </w:rPr>
          <w:t>10.1126/sciadv.aec2190</w:t>
        </w:r>
      </w:hyperlink>
    </w:p>
    <w:p>
      <w:pPr>
        <w:spacing w:before="0" w:after="80" w:lineRule="auto" w:line="276"/>
      </w:pPr>
      <w:r>
        <w:rPr>
          <w:b/>
        </w:rPr>
        <w:t xml:space="preserve">摘要（ZH）: </w:t>
      </w:r>
      <w:r>
        <w:t>(empty)</w:t>
      </w:r>
    </w:p>
    <w:p>
      <w:pPr>
        <w:spacing w:before="0" w:after="200" w:lineRule="auto" w:line="276"/>
      </w:pPr>
      <w:r>
        <w:rPr>
          <w:b/>
        </w:rPr>
        <w:t xml:space="preserve">Abstract (EN): </w:t>
      </w:r>
      <w:r>
        <w:t>Radical-trapping antioxidant (RTA) protection plays a critical role in industrial, biological, and pharmaceutical contexts. The cytoprotective role of RTAs has been increasingly recognized as essential in regulating ferroptosis, a form of regulated cell death driven by lipid peroxidation. However, current ferroptosis inhibitors primarily rely on phenolic or aromatic amine scaffolds, which were found through high-throughput screening or derived from historically known RTAs. We introduce hydrazine-derived tetrahydro-1,2,4,5-tetrazin-3-ones (THTZOs) as a class of nonclassical RTAs. THTZOs operate via a unique mechanism involving hydrazyl and verdazyl radical intermediates that is independent of aromatic stabilization. These compounds demonstrate broad reactivity against autoxidation in both simple hydrocarbons and membrane phospholipids, effectively suppressing ferroptosis induced by RAS-selective lethal 3 (RSL3) or erastin in multiple cell lines. Our findings revitalize the application of hydrazine derivatives in RTA chemistry and establish a foundation for the rational design of RTAs as potent ferroptosis inhibitors, offering previously unidentified antioxidant therapeutic candidates.</w:t>
      </w:r>
    </w:p>
    <w:p>
      <w:pPr>
        <w:spacing w:before="120" w:after="120"/>
      </w:pPr>
      <w:r>
        <w:rPr>
          <w:sz w:val="18"/>
        </w:rPr>
        <w:t>——————————————————————————————————————————————————————————————————————</w:t>
      </w:r>
    </w:p>
    <w:p>
      <w:pPr>
        <w:spacing w:before="160" w:after="40" w:line="240" w:lineRule="auto"/>
      </w:pPr>
      <w:r>
        <w:rPr>
          <w:b/>
        </w:rPr>
        <w:t xml:space="preserve">[397] </w:t>
      </w:r>
      <w:hyperlink r:id="rId864">
        <w:r>
          <w:rPr>
            <w:color w:val="1155CC"/>
            <w:u w:val="single"/>
          </w:rPr>
          <w:t>Rapid self-assembly of robust ultrathin ionogel films for high-performance bioelectronics</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65">
        <w:r>
          <w:rPr>
            <w:color w:val="1155CC"/>
            <w:u w:val="single"/>
          </w:rPr>
          <w:t>10.1126/sciadv.aeb4391</w:t>
        </w:r>
      </w:hyperlink>
    </w:p>
    <w:p>
      <w:pPr>
        <w:spacing w:before="0" w:after="80" w:lineRule="auto" w:line="276"/>
      </w:pPr>
      <w:r>
        <w:rPr>
          <w:b/>
        </w:rPr>
        <w:t xml:space="preserve">摘要（ZH）: </w:t>
      </w:r>
      <w:r>
        <w:t>(empty)</w:t>
      </w:r>
    </w:p>
    <w:p>
      <w:pPr>
        <w:spacing w:before="0" w:after="200" w:lineRule="auto" w:line="276"/>
      </w:pPr>
      <w:r>
        <w:rPr>
          <w:b/>
        </w:rPr>
        <w:t xml:space="preserve">Abstract (EN): </w:t>
      </w:r>
      <w:r>
        <w:t>Ionogels, polymer networks infiltrated with ionic liquids (ILs), are promising for flexible electronics but face trade-offs among mechanical robustness, ultrathin form factors, and scalable fabrication. We present an IL-induced self-assembly strategy enabling the rapid formation of ultrathin polyvinyl alcohol (PVA) ionogel films. Upon contact with ILs, PVA chains spontaneously organize into a robust, noncovalently cross-linked network, achieving ultrafast conversion (&amp;lt;5 s) of viscous precursors into films with tunable thickness (13 to 103 μm). The resulting ionogel films combine high tensile strength (9.69 MPa), toughness (35.93 MJ m</w:t>
        <w:br/>
        <w:t xml:space="preserve">                    −3</w:t>
        <w:br/>
        <w:t xml:space="preserve">                    ), good ionic conductivity (0.2 S m</w:t>
        <w:br/>
        <w:t xml:space="preserve">                    −1</w:t>
        <w:br/>
        <w:t xml:space="preserve">                    ), and excellent environmental stability. This approach allows in situ formation of conformal ionogel coatings on complex, nonplanar surfaces, yielding seamless skin-device interfaces that retain stable functionality under repetitive deformation. Ionogel-based bioelectrodes capture diverse electrophysiological signals with high fidelity while serving as stretchable substrates for printed circuits and electrode arrays. Compatibility with diverse ILs highlights the versatility of this rapid, scalable approach for fabricating ultrathin ionogels with broadly tunable properties.</w:t>
      </w:r>
    </w:p>
    <w:p>
      <w:pPr>
        <w:spacing w:before="120" w:after="120"/>
      </w:pPr>
      <w:r>
        <w:rPr>
          <w:sz w:val="18"/>
        </w:rPr>
        <w:t>——————————————————————————————————————————————————————————————————————</w:t>
      </w:r>
    </w:p>
    <w:p>
      <w:pPr>
        <w:spacing w:before="160" w:after="40" w:line="240" w:lineRule="auto"/>
      </w:pPr>
      <w:r>
        <w:rPr>
          <w:b/>
        </w:rPr>
        <w:t xml:space="preserve">[398] </w:t>
      </w:r>
      <w:hyperlink r:id="rId866">
        <w:r>
          <w:rPr>
            <w:color w:val="1155CC"/>
            <w:u w:val="single"/>
          </w:rPr>
          <w:t>Immune-adaptive pathogen variation reveals targetable mediators of gram-positive bacterial killing in macrophages</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67">
        <w:r>
          <w:rPr>
            <w:color w:val="1155CC"/>
            <w:u w:val="single"/>
          </w:rPr>
          <w:t>10.1126/sciadv.aea0375</w:t>
        </w:r>
      </w:hyperlink>
    </w:p>
    <w:p>
      <w:pPr>
        <w:spacing w:before="0" w:after="80" w:lineRule="auto" w:line="276"/>
      </w:pPr>
      <w:r>
        <w:rPr>
          <w:b/>
        </w:rPr>
        <w:t xml:space="preserve">摘要（ZH）: </w:t>
      </w:r>
      <w:r>
        <w:t>(empty)</w:t>
      </w:r>
    </w:p>
    <w:p>
      <w:pPr>
        <w:spacing w:before="0" w:after="200" w:lineRule="auto" w:line="276"/>
      </w:pPr>
      <w:r>
        <w:rPr>
          <w:b/>
        </w:rPr>
        <w:t xml:space="preserve">Abstract (EN): </w:t>
      </w:r>
      <w:r>
        <w:t>Host-directed therapies for bacterial infections can provide an adjunct or alternative to conventional antimicrobials, mitigating the impact of antimicrobial resistance. However, therapeutically targetable mediators of innate immune bacterial killing remain elusive. We hypothesized that immune-adaptive pathogen evolution could provide an informative perspective on this problem. We examined the interaction of a genetically diverging hypervirulent</w:t>
        <w:br/>
        <w:t xml:space="preserve">                    Streptococcus pneumoniae</w:t>
        <w:br/>
        <w:t xml:space="preserve">                    (pneumococcus) serotype with macrophages, identifying closely phylogenetically related isolates with differential susceptibility to intracellular killing. We reasoned that macrophage genes relatively suppressed during pathogen escape from killing were likely to encode mediators normally promoting bacterial killing. This led to the validation of ACOD1 and its product itaconate, NAMPT, and P2RX7 as host defense factors against pneumococci and related gram-positive pathogens. Last, we repurposed the antihistamine clemastine to augment phagolysosomal bacterial killing, via P2RX7, as a candidate host-directed therapy against pneumococci and vancomycin-resistant</w:t>
        <w:br/>
        <w:t xml:space="preserve">                    Enterococcus faecium</w:t>
        <w:br/>
        <w:t xml:space="preserve">                    . Overall, we show that pathogen-centric host screening can aid identification of microbicidal responses as targets for host-directed therapies.</w:t>
      </w:r>
    </w:p>
    <w:p>
      <w:pPr>
        <w:spacing w:before="120" w:after="120"/>
      </w:pPr>
      <w:r>
        <w:rPr>
          <w:sz w:val="18"/>
        </w:rPr>
        <w:t>——————————————————————————————————————————————————————————————————————</w:t>
      </w:r>
    </w:p>
    <w:p>
      <w:pPr>
        <w:spacing w:before="160" w:after="40" w:line="240" w:lineRule="auto"/>
      </w:pPr>
      <w:r>
        <w:rPr>
          <w:b/>
        </w:rPr>
        <w:t xml:space="preserve">[399] </w:t>
      </w:r>
      <w:hyperlink r:id="rId868">
        <w:r>
          <w:rPr>
            <w:color w:val="1155CC"/>
            <w:u w:val="single"/>
          </w:rPr>
          <w:t>Epididymal macrophage senescence contributes to sperm motility decrease upon environmental stress</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69">
        <w:r>
          <w:rPr>
            <w:color w:val="1155CC"/>
            <w:u w:val="single"/>
          </w:rPr>
          <w:t>10.1126/sciadv.aea3591</w:t>
        </w:r>
      </w:hyperlink>
    </w:p>
    <w:p>
      <w:pPr>
        <w:spacing w:before="0" w:after="80" w:lineRule="auto" w:line="276"/>
      </w:pPr>
      <w:r>
        <w:rPr>
          <w:b/>
        </w:rPr>
        <w:t xml:space="preserve">摘要（ZH）: </w:t>
      </w:r>
      <w:r>
        <w:t>(empty)</w:t>
      </w:r>
    </w:p>
    <w:p>
      <w:pPr>
        <w:spacing w:before="0" w:after="200" w:lineRule="auto" w:line="276"/>
      </w:pPr>
      <w:r>
        <w:rPr>
          <w:b/>
        </w:rPr>
        <w:t xml:space="preserve">Abstract (EN): </w:t>
      </w:r>
      <w:r>
        <w:t>Environmental stressors–induced male infertility has become a major public health issue. Sperm motility is the key to conception. However, the immunological mechanism for environmental stress–induced sperm motility reduction remains unknown. Our experiments find that three classical environmental stressors, including lead, cadmium, and mercury, are the key heavy metals reducing sperm motility. We reveal that environmental stress induces epididymal macrophage senescence, whereas the clearance of above cells significantly alleviates environmental stress–reduced sperm motility. In vivo and in vitro experiments further demonstrate that environmental stress induces macrophage senescence via down-regulating</w:t>
        <w:br/>
        <w:t xml:space="preserve">                    Foxo3</w:t>
        <w:br/>
        <w:t xml:space="preserve">                    expression. Mechanistically, environmental stress increases the epididymal</w:t>
        <w:br/>
        <w:t xml:space="preserve">                    Foxo3 N</w:t>
        <w:br/>
        <w:t xml:space="preserve">                    6-methyladenosine level and inhibits the FTO. Overexpression of</w:t>
        <w:br/>
        <w:t xml:space="preserve">                    Fto</w:t>
        <w:br/>
        <w:t xml:space="preserve">                    in vitro and</w:t>
        <w:br/>
        <w:t xml:space="preserve">                    S</w:t>
        <w:br/>
        <w:t xml:space="preserve">                    -adenosylhomocysteine supplementation in vivo alleviates environmental stress–induced macrophage senescence. Together, these results suggest that epididymal macrophage senescence contributes to sperm motility decrease upon environmental stress. Clearing senescent epididymal macrophages will provide a previously unknown strategy for preventing male infertility.</w:t>
      </w:r>
    </w:p>
    <w:p>
      <w:pPr>
        <w:spacing w:before="120" w:after="120"/>
      </w:pPr>
      <w:r>
        <w:rPr>
          <w:sz w:val="18"/>
        </w:rPr>
        <w:t>——————————————————————————————————————————————————————————————————————</w:t>
      </w:r>
    </w:p>
    <w:p>
      <w:pPr>
        <w:spacing w:before="160" w:after="40" w:line="240" w:lineRule="auto"/>
      </w:pPr>
      <w:r>
        <w:rPr>
          <w:b/>
        </w:rPr>
        <w:t xml:space="preserve">[400] </w:t>
      </w:r>
      <w:hyperlink r:id="rId870">
        <w:r>
          <w:rPr>
            <w:color w:val="1155CC"/>
            <w:u w:val="single"/>
          </w:rPr>
          <w:t>Erratum for the Research Article “The spin Hall effect of Bi-Sb alloys driven by thermally excited Dirac-like electrons” by Z. Chi et al.</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71">
        <w:r>
          <w:rPr>
            <w:color w:val="1155CC"/>
            <w:u w:val="single"/>
          </w:rPr>
          <w:t>10.1126/sciadv.aeg3111</w:t>
        </w:r>
      </w:hyperlink>
    </w:p>
    <w:p>
      <w:pPr>
        <w:spacing w:before="0" w:after="80" w:lineRule="auto" w:line="276"/>
      </w:pPr>
      <w:r>
        <w:rPr>
          <w:b/>
        </w:rPr>
        <w:t xml:space="preserve">摘要（ZH）: </w:t>
      </w:r>
      <w:r>
        <w:t>(empty)</w:t>
      </w:r>
    </w:p>
    <w:p>
      <w:pPr>
        <w:spacing w:before="0" w:after="200" w:lineRule="auto" w:line="276"/>
      </w:pPr>
      <w:r>
        <w:rPr>
          <w:b/>
        </w:rPr>
        <w:t xml:space="preserve">Abstract (EN): </w:t>
      </w:r>
      <w:r>
        <w:t>There were errors in the originally published versions of Figs. 2, 3, 4, and 5 and the main text for the Research Article “The spin Hall effect of Bi-Sb alloys driven by thermally excited Dirac-like electrons” by Z. Chi et al.</w:t>
      </w:r>
    </w:p>
    <w:p>
      <w:pPr>
        <w:spacing w:before="120" w:after="120"/>
      </w:pPr>
      <w:r>
        <w:rPr>
          <w:sz w:val="18"/>
        </w:rPr>
        <w:t>——————————————————————————————————————————————————————————————————————</w:t>
      </w:r>
    </w:p>
    <w:p>
      <w:pPr>
        <w:spacing w:before="160" w:after="40" w:line="240" w:lineRule="auto"/>
      </w:pPr>
      <w:r>
        <w:rPr>
          <w:b/>
        </w:rPr>
        <w:t xml:space="preserve">[401] </w:t>
      </w:r>
      <w:hyperlink r:id="rId872">
        <w:r>
          <w:rPr>
            <w:color w:val="1155CC"/>
            <w:u w:val="single"/>
          </w:rPr>
          <w:t>Single-cell protein activity analysis reveals aberrant myogenesis and IGF2-PI3K pathway dependencies in MYOD1-mutant rhabdomyosarcoma</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73">
        <w:r>
          <w:rPr>
            <w:color w:val="1155CC"/>
            <w:u w:val="single"/>
          </w:rPr>
          <w:t>10.1126/sciadv.aea6453</w:t>
        </w:r>
      </w:hyperlink>
    </w:p>
    <w:p>
      <w:pPr>
        <w:spacing w:before="0" w:after="80" w:lineRule="auto" w:line="276"/>
      </w:pPr>
      <w:r>
        <w:rPr>
          <w:b/>
        </w:rPr>
        <w:t xml:space="preserve">摘要（ZH）: </w:t>
      </w:r>
      <w:r>
        <w:t>(empty)</w:t>
      </w:r>
    </w:p>
    <w:p>
      <w:pPr>
        <w:spacing w:before="0" w:after="200" w:lineRule="auto" w:line="276"/>
      </w:pPr>
      <w:r>
        <w:rPr>
          <w:b/>
        </w:rPr>
        <w:t xml:space="preserve">Abstract (EN): </w:t>
      </w:r>
      <w:r>
        <w:t>Myogenic differentiation 1</w:t>
        <w:br/>
        <w:t xml:space="preserve">                    (MYOD1)</w:t>
        <w:br/>
        <w:t xml:space="preserve">                    L122R</w:t>
        <w:br/>
        <w:t xml:space="preserve">                    -mutant spindle cell rhabdomyosarcoma (SRMS) is an ultrarare, treatment-resistant sarcoma with dismal outcomes. We performed regulatory network analysis of single-nucleus RNA sequencing (snRNA-seq) from six patient tumors, revealing disrupted myogenesis and actionable master regulator (MR) dependencies across three coexisting tumor cell states, also conserved in patient-derived xenografts: (i) a MYOD1-enriched progenitor-like state, (ii) a proliferative transition state, and (iii) a partially differentiated state with reduced MYOD1 activity. Ligand-receptor analysis uncovered paracrine insulin-like growth factor 2 (IGF2)-IGF1 receptor (IGF1R)–phosphatidylinositol 3-kinase (PI3K) signaling from progenitor to transition/differentiated states, whose inhibition demonstrated therapeutic potential in ex vivo drug screens, and significantly improved disease control in a patient-derived xenograft model. Oncogenic MRs were recapitulated in 24 bulk RNA profiles, while 20 DNA profiles revealed recurrent IGF2/PI3K/AKT alterations, reinforcing shared transcriptional vulnerabilities. These findings characterize aberrant, mutant MYOD1–driven myogenesis sustained by IGF2 and nominate IGF1R-PI3K/AKT/mammalian target of rapamycin inhibitors for therapeutic translation in</w:t>
        <w:br/>
        <w:t xml:space="preserve">                    MYOD1</w:t>
        <w:br/>
        <w:t xml:space="preserve">                    L122R</w:t>
        <w:br/>
        <w:t xml:space="preserve">                    -mutant SRMS, underscoring the utility of single-cell regulatory network analysis for uncovering actionable dependencies in rare, transcriptionally complex cancers.</w:t>
      </w:r>
    </w:p>
    <w:p>
      <w:pPr>
        <w:spacing w:before="120" w:after="120"/>
      </w:pPr>
      <w:r>
        <w:rPr>
          <w:sz w:val="18"/>
        </w:rPr>
        <w:t>——————————————————————————————————————————————————————————————————————</w:t>
      </w:r>
    </w:p>
    <w:p>
      <w:pPr>
        <w:spacing w:before="160" w:after="40" w:line="240" w:lineRule="auto"/>
      </w:pPr>
      <w:r>
        <w:rPr>
          <w:b/>
        </w:rPr>
        <w:t xml:space="preserve">[402] </w:t>
      </w:r>
      <w:hyperlink r:id="rId874">
        <w:r>
          <w:rPr>
            <w:color w:val="1155CC"/>
            <w:u w:val="single"/>
          </w:rPr>
          <w:t>Sleep deprivation impairs follicular development attributable to granulosa cell pyroptosis mediated by S100A8/A9-driven macrophage M1 polarization</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75">
        <w:r>
          <w:rPr>
            <w:color w:val="1155CC"/>
            <w:u w:val="single"/>
          </w:rPr>
          <w:t>10.1126/sciadv.ady4767</w:t>
        </w:r>
      </w:hyperlink>
    </w:p>
    <w:p>
      <w:pPr>
        <w:spacing w:before="0" w:after="80" w:lineRule="auto" w:line="276"/>
      </w:pPr>
      <w:r>
        <w:rPr>
          <w:b/>
        </w:rPr>
        <w:t xml:space="preserve">摘要（ZH）: </w:t>
      </w:r>
      <w:r>
        <w:t>(empty)</w:t>
      </w:r>
    </w:p>
    <w:p>
      <w:pPr>
        <w:spacing w:before="0" w:after="200" w:lineRule="auto" w:line="276"/>
      </w:pPr>
      <w:r>
        <w:rPr>
          <w:b/>
        </w:rPr>
        <w:t xml:space="preserve">Abstract (EN): </w:t>
      </w:r>
      <w:r>
        <w:t>Sleep disorders and deficiencies can up-regulate pro-inflammatory mediators, but their potential adverse impact on ovarian function remains not fully understood. In this study, we investigated the immunoregulatory mechanisms underlying sleep deprivation (SD)–induced ovarian damage and the effects on follicular development. We found that SD disrupted follicular development and compromised early embryonic developmental potential in female mice. Notably, the use of the anti-inflammatory drug acetaminophen can effectively alleviate the adverse effect. Bulk and single-cell RNA sequencing of ovarian tissues revealed a notable up-regulation of neutrophil-associated genes, including</w:t>
        <w:br/>
        <w:t xml:space="preserve">                    S100a8</w:t>
        <w:br/>
        <w:t xml:space="preserve">                    ,</w:t>
        <w:br/>
        <w:t xml:space="preserve">                    S100a9</w:t>
        <w:br/>
        <w:t xml:space="preserve">                    , the macrophage M1 polarization gene set, and pyroptosis-related genes in granulosa, immune, and mesothelial cells. Further experiments conducted both in vivo and in vitro verified that S100A8/A9 activates the TLR4/Myd88/NF-κB pathway, which induces the polarization of M1 macrophages and leads to pyroptosis of granulosa cells. Collectively, this study provides molecular insight into strategies for fertility preservation in individuals experiencing sleep deprivation, including those with occupational circadian rhythm disruptions.</w:t>
      </w:r>
    </w:p>
    <w:p>
      <w:pPr>
        <w:spacing w:before="120" w:after="120"/>
      </w:pPr>
      <w:r>
        <w:rPr>
          <w:sz w:val="18"/>
        </w:rPr>
        <w:t>——————————————————————————————————————————————————————————————————————</w:t>
      </w:r>
    </w:p>
    <w:p>
      <w:pPr>
        <w:spacing w:before="160" w:after="40" w:line="240" w:lineRule="auto"/>
      </w:pPr>
      <w:r>
        <w:rPr>
          <w:b/>
        </w:rPr>
        <w:t xml:space="preserve">[403] </w:t>
      </w:r>
      <w:hyperlink r:id="rId876">
        <w:r>
          <w:rPr>
            <w:color w:val="1155CC"/>
            <w:u w:val="single"/>
          </w:rPr>
          <w:t>A beneficial environment promotes immune resilience through epigenetic regulation</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77">
        <w:r>
          <w:rPr>
            <w:color w:val="1155CC"/>
            <w:u w:val="single"/>
          </w:rPr>
          <w:t>10.1126/sciadv.ady7317</w:t>
        </w:r>
      </w:hyperlink>
    </w:p>
    <w:p>
      <w:pPr>
        <w:spacing w:before="0" w:after="80" w:lineRule="auto" w:line="276"/>
      </w:pPr>
      <w:r>
        <w:rPr>
          <w:b/>
        </w:rPr>
        <w:t xml:space="preserve">摘要（ZH）: </w:t>
      </w:r>
      <w:r>
        <w:t>(empty)</w:t>
      </w:r>
    </w:p>
    <w:p>
      <w:pPr>
        <w:spacing w:before="0" w:after="200" w:lineRule="auto" w:line="276"/>
      </w:pPr>
      <w:r>
        <w:rPr>
          <w:b/>
        </w:rPr>
        <w:t xml:space="preserve">Abstract (EN): </w:t>
      </w:r>
      <w:r>
        <w:t>Environmental factors are often detrimental; however, certain environments enhance immune resilience. Notably, children raised on traditional farms show reduced allergies and asthma prevalence. Here, we investigated how a beneficial environment, using farm dust (FD) extract, influenced lung immune function in ovalbumin-induced allergic inflammation. FD exposure reduced allergic lung inflammation and increased monocyte-derived macrophage (MDM) recruitment. Single-cell RNA sequencing revealed that FD-exposed MDMs had altered gene expression, including dampened</w:t>
        <w:br/>
        <w:t xml:space="preserve">                    Ccl8</w:t>
        <w:br/>
        <w:t xml:space="preserve">                    and major histocompatibility complex class II expression, impairing eosinophil recruitment and antigen presentation. RNA sequencing and assay for transposase-accessible chromatin using sequencing confirmed FD-induced epigenetic reprogramming ex vivo, on bone marrow–derived macrophages. This modulation, seen in both human and murine cells, relied on histone deacetylase activity sustained by peroxisome proliferator–activated receptor γ signaling. These findings suggest that beneficial environmental exposures can reprogram immune cells and may offer a previously unidentified strategy for asthma prevention.</w:t>
      </w:r>
    </w:p>
    <w:p>
      <w:pPr>
        <w:spacing w:before="120" w:after="120"/>
      </w:pPr>
      <w:r>
        <w:rPr>
          <w:sz w:val="18"/>
        </w:rPr>
        <w:t>——————————————————————————————————————————————————————————————————————</w:t>
      </w:r>
    </w:p>
    <w:p>
      <w:pPr>
        <w:spacing w:before="160" w:after="40" w:line="240" w:lineRule="auto"/>
      </w:pPr>
      <w:r>
        <w:rPr>
          <w:b/>
        </w:rPr>
        <w:t xml:space="preserve">[404] </w:t>
      </w:r>
      <w:hyperlink r:id="rId878">
        <w:r>
          <w:rPr>
            <w:color w:val="1155CC"/>
            <w:u w:val="single"/>
          </w:rPr>
          <w:t>Noise-resilient exceptional point sensing with immunity to undesired perturbations</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79">
        <w:r>
          <w:rPr>
            <w:color w:val="1155CC"/>
            <w:u w:val="single"/>
          </w:rPr>
          <w:t>10.1126/sciadv.aeb7018</w:t>
        </w:r>
      </w:hyperlink>
    </w:p>
    <w:p>
      <w:pPr>
        <w:spacing w:before="0" w:after="80" w:lineRule="auto" w:line="276"/>
      </w:pPr>
      <w:r>
        <w:rPr>
          <w:b/>
        </w:rPr>
        <w:t xml:space="preserve">摘要（ZH）: </w:t>
      </w:r>
      <w:r>
        <w:t>(empty)</w:t>
      </w:r>
    </w:p>
    <w:p>
      <w:pPr>
        <w:spacing w:before="0" w:after="200" w:lineRule="auto" w:line="276"/>
      </w:pPr>
      <w:r>
        <w:rPr>
          <w:b/>
        </w:rPr>
        <w:t xml:space="preserve">Abstract (EN): </w:t>
      </w:r>
      <w:r>
        <w:t>Exceptional point degeneracies (EPDs) are non-Hermitian singularities where</w:t>
        <w:br/>
        <w:t xml:space="preserve">                    K</w:t>
        <w:br/>
        <w:t xml:space="preserve">                    eigenvalues and their corresponding eigenvectors coalesce. When a small perturbation is induced, the eigenvalue detuning from an EPD follows a</w:t>
        <w:br/>
        <w:t xml:space="preserve">                    K</w:t>
        <w:br/>
        <w:t xml:space="preserve">                    th-root sublinear expansion, which provides a means of enhancing the sensitivity (frequency shift) of resonant-based sensors. On the downside, resonant-based sensors are susceptible to cavity imperfections, local mechanical disturbances (temperature variations, vibrations), and other experimental uncertainties. Here, we overcome this problem by experimentally implementing passive periodic microwave metamaterials with nonresonant EPDs (NR-EPDs) occurring in their Bloch spectrum. We demonstrate a sublinear variation of the reflectance near NR-EPDs to a specific class of (global) perturbations and propose its usage for ultrasensitive sensing that is immune to undesired (local) perturbations. The sensitivity is shielded from technical or fundamental noise that typically degrades the signal-to-noise performance of resonant EPDs.</w:t>
      </w:r>
    </w:p>
    <w:p>
      <w:pPr>
        <w:spacing w:before="120" w:after="120"/>
      </w:pPr>
      <w:r>
        <w:rPr>
          <w:sz w:val="18"/>
        </w:rPr>
        <w:t>——————————————————————————————————————————————————————————————————————</w:t>
      </w:r>
    </w:p>
    <w:p>
      <w:pPr>
        <w:spacing w:before="160" w:after="40" w:line="240" w:lineRule="auto"/>
      </w:pPr>
      <w:r>
        <w:rPr>
          <w:b/>
        </w:rPr>
        <w:t xml:space="preserve">[405] </w:t>
      </w:r>
      <w:hyperlink r:id="rId880">
        <w:r>
          <w:rPr>
            <w:color w:val="1155CC"/>
            <w:u w:val="single"/>
          </w:rPr>
          <w:t>Global maps of transcription factor properties reveal threshold-based formation of DNA-bound and mobile clusters</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81">
        <w:r>
          <w:rPr>
            <w:color w:val="1155CC"/>
            <w:u w:val="single"/>
          </w:rPr>
          <w:t>10.1126/sciadv.ady3909</w:t>
        </w:r>
      </w:hyperlink>
    </w:p>
    <w:p>
      <w:pPr>
        <w:spacing w:before="0" w:after="80" w:lineRule="auto" w:line="276"/>
      </w:pPr>
      <w:r>
        <w:rPr>
          <w:b/>
        </w:rPr>
        <w:t xml:space="preserve">摘要（ZH）: </w:t>
      </w:r>
      <w:r>
        <w:t>(empty)</w:t>
      </w:r>
    </w:p>
    <w:p>
      <w:pPr>
        <w:spacing w:before="0" w:after="200" w:lineRule="auto" w:line="276"/>
      </w:pPr>
      <w:r>
        <w:rPr>
          <w:b/>
        </w:rPr>
        <w:t xml:space="preserve">Abstract (EN): </w:t>
      </w:r>
      <w:r>
        <w:t>The relationship between bulk transcription factor concentration and DNA binding has been a central question in gene regulation for decades. Recent studies propose that DNA-bound transcription factor hubs, or clusters, aid in fast and precise transcriptional interpretation. Using live imaging techniques, we quantify the concentration, binding, and mobility of the morphogen Dorsal (Dl), both in bulk and in clusters, in</w:t>
        <w:br/>
        <w:t xml:space="preserve">                    Drosophila</w:t>
        <w:br/>
        <w:t xml:space="preserve">                    blastoderm embryo. Our experiments encompass multiple length and timescales, allowing us to obtain a nucleus-wide view of the mechanism connecting hub formation to bulk Dl concentration. Our results show that previously unobserved, slowly moving clusters of Dl are present, in addition to the expected populations of freely mobile and DNA-bound Dl. Furthermore, both mobile clusters and DNA-bound Dl appear only once a threshold concentration in the nucleus is surpassed, a behavior consistent with liquid-liquid phase separation. Thus, our work elucidates how bulk transcription factor concentration dictates the formation and spatiotemporal changes of different populations needed for gene regulation.</w:t>
      </w:r>
    </w:p>
    <w:p>
      <w:pPr>
        <w:spacing w:before="120" w:after="120"/>
      </w:pPr>
      <w:r>
        <w:rPr>
          <w:sz w:val="18"/>
        </w:rPr>
        <w:t>——————————————————————————————————————————————————————————————————————</w:t>
      </w:r>
    </w:p>
    <w:p>
      <w:pPr>
        <w:spacing w:before="160" w:after="40" w:line="240" w:lineRule="auto"/>
      </w:pPr>
      <w:r>
        <w:rPr>
          <w:b/>
        </w:rPr>
        <w:t xml:space="preserve">[406] </w:t>
      </w:r>
      <w:hyperlink r:id="rId882">
        <w:r>
          <w:rPr>
            <w:color w:val="1155CC"/>
            <w:u w:val="single"/>
          </w:rPr>
          <w:t>How do you measure a threat in the air? Testing the universal, dynamic, and multifaceted nature of social identity threat</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83">
        <w:r>
          <w:rPr>
            <w:color w:val="1155CC"/>
            <w:u w:val="single"/>
          </w:rPr>
          <w:t>10.1126/sciadv.adx2953</w:t>
        </w:r>
      </w:hyperlink>
    </w:p>
    <w:p>
      <w:pPr>
        <w:spacing w:before="0" w:after="80" w:lineRule="auto" w:line="276"/>
      </w:pPr>
      <w:r>
        <w:rPr>
          <w:b/>
        </w:rPr>
        <w:t xml:space="preserve">摘要（ZH）: </w:t>
      </w:r>
      <w:r>
        <w:t>(empty)</w:t>
      </w:r>
    </w:p>
    <w:p>
      <w:pPr>
        <w:spacing w:before="0" w:after="200" w:lineRule="auto" w:line="276"/>
      </w:pPr>
      <w:r>
        <w:rPr>
          <w:b/>
        </w:rPr>
        <w:t xml:space="preserve">Abstract (EN): </w:t>
      </w:r>
      <w:r>
        <w:t>Social identity threat is a vigilance state in which a person anticipates that others in a setting may devalue them because of one (or more) of their social identities. According to theory, threat is multifaceted—encompassing concerns about stereotyping, belonging, fairness, authenticity, and more—and situational, fluctuating depending on which identities and contextual cues are salient. Threat is also theorized as a universal experience—affecting potentially anyone, across any of their identities. Here, we put these central aspects of theory to the test by introducing the Social Identity Threat Concerns (SITC) Inventory, a self-report instrument designed to assess threat across varied identity-by-context situations. Across nine studies (</w:t>
        <w:br/>
        <w:t xml:space="preserve">                    N</w:t>
        <w:br/>
        <w:t xml:space="preserve">                     = 8533), we show that threat is common across social groups yet situational, emerging under specific, theorized conditions. The SITC Inventory is a field-advancing tool that equips researchers to better understand and reduce identity-based threats, laying the groundwork for more inclusive and equitable environments.</w:t>
      </w:r>
    </w:p>
    <w:p>
      <w:pPr>
        <w:spacing w:before="120" w:after="120"/>
      </w:pPr>
      <w:r>
        <w:rPr>
          <w:sz w:val="18"/>
        </w:rPr>
        <w:t>——————————————————————————————————————————————————————————————————————</w:t>
      </w:r>
    </w:p>
    <w:p>
      <w:pPr>
        <w:spacing w:before="160" w:after="40" w:line="240" w:lineRule="auto"/>
      </w:pPr>
      <w:r>
        <w:rPr>
          <w:b/>
        </w:rPr>
        <w:t xml:space="preserve">[407] </w:t>
      </w:r>
      <w:hyperlink r:id="rId884">
        <w:r>
          <w:rPr>
            <w:color w:val="1155CC"/>
            <w:u w:val="single"/>
          </w:rPr>
          <w:t>Enabling Fieldwork for All (EFFA) Framework: Supporting physical, social, financial, and psychological safety in the field</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85">
        <w:r>
          <w:rPr>
            <w:color w:val="1155CC"/>
            <w:u w:val="single"/>
          </w:rPr>
          <w:t>10.1126/sciadv.aeb6753</w:t>
        </w:r>
      </w:hyperlink>
    </w:p>
    <w:p>
      <w:pPr>
        <w:spacing w:before="0" w:after="80" w:lineRule="auto" w:line="276"/>
      </w:pPr>
      <w:r>
        <w:rPr>
          <w:b/>
        </w:rPr>
        <w:t xml:space="preserve">摘要（ZH）: </w:t>
      </w:r>
      <w:r>
        <w:t>(empty)</w:t>
      </w:r>
    </w:p>
    <w:p>
      <w:pPr>
        <w:spacing w:before="0" w:after="200" w:lineRule="auto" w:line="276"/>
      </w:pPr>
      <w:r>
        <w:rPr>
          <w:b/>
        </w:rPr>
        <w:t xml:space="preserve">Abstract (EN): </w:t>
      </w:r>
      <w:r>
        <w:t>Calls to address fieldwork safety that began in the 1980s have been amplified and expanded in the past decade by the National Academies of Sciences, Engineering, and Medicine and US federal funding agencies. Now, research on fieldwork safety and resulting recommendations are largely siloed by scientific discipline, limiting the spread of data and discussion that could yield rapid change for field research. This review synthesizes literature on fieldwork safety across scientific disciplines, highlighting four facets of safety for leaders and researchers to address: physical, social, financial, and psychological. Literature and real-life events demonstrate that the four facets of safety are interconnected and should be considered together. The review concludes with a synthesis of recommendations for each facet of safety. This review provides principal investigators with accessible, data-driven resources and propose a framework for future research on field safety that will enable cross-disciplinary sharing.</w:t>
      </w:r>
    </w:p>
    <w:p>
      <w:pPr>
        <w:spacing w:before="120" w:after="120"/>
      </w:pPr>
      <w:r>
        <w:rPr>
          <w:sz w:val="18"/>
        </w:rPr>
        <w:t>——————————————————————————————————————————————————————————————————————</w:t>
      </w:r>
    </w:p>
    <w:p>
      <w:pPr>
        <w:spacing w:before="160" w:after="40" w:line="240" w:lineRule="auto"/>
      </w:pPr>
      <w:r>
        <w:rPr>
          <w:b/>
        </w:rPr>
        <w:t xml:space="preserve">[408] </w:t>
      </w:r>
      <w:hyperlink r:id="rId886">
        <w:r>
          <w:rPr>
            <w:color w:val="1155CC"/>
            <w:u w:val="single"/>
          </w:rPr>
          <w:t>Erratum for the Research Article “IGF2R-initiated proton rechanneling dictates an anti-inflammatory property in macrophages” by X. Wang et al.</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87">
        <w:r>
          <w:rPr>
            <w:color w:val="1155CC"/>
            <w:u w:val="single"/>
          </w:rPr>
          <w:t>10.1126/sciadv.aef9964</w:t>
        </w:r>
      </w:hyperlink>
    </w:p>
    <w:p>
      <w:pPr>
        <w:spacing w:before="0" w:after="80" w:lineRule="auto" w:line="276"/>
      </w:pPr>
      <w:r>
        <w:rPr>
          <w:b/>
        </w:rPr>
        <w:t xml:space="preserve">摘要（ZH）: </w:t>
      </w:r>
      <w:r>
        <w:t>(empty)</w:t>
      </w:r>
    </w:p>
    <w:p>
      <w:pPr>
        <w:spacing w:before="0" w:after="200" w:lineRule="auto" w:line="276"/>
      </w:pPr>
      <w:r>
        <w:rPr>
          <w:b/>
        </w:rPr>
        <w:t xml:space="preserve">Abstract (EN): </w:t>
      </w:r>
      <w:r>
        <w:t>In the original version of the Research Article “IGF2R-initiated proton rechanneling dictates an anti-inflammatory property in macrophages” by X. Wang et al., the Western blot image for GSK3α in Fig. 5H was inadvertently duplicated and used in place of GSK3β.</w:t>
      </w:r>
    </w:p>
    <w:p>
      <w:pPr>
        <w:spacing w:before="120" w:after="120"/>
      </w:pPr>
      <w:r>
        <w:rPr>
          <w:sz w:val="18"/>
        </w:rPr>
        <w:t>——————————————————————————————————————————————————————————————————————</w:t>
      </w:r>
    </w:p>
    <w:p>
      <w:pPr>
        <w:spacing w:before="160" w:after="40" w:line="240" w:lineRule="auto"/>
      </w:pPr>
      <w:r>
        <w:rPr>
          <w:b/>
        </w:rPr>
        <w:t xml:space="preserve">[409] </w:t>
      </w:r>
      <w:hyperlink r:id="rId888">
        <w:r>
          <w:rPr>
            <w:color w:val="1155CC"/>
            <w:u w:val="single"/>
          </w:rPr>
          <w:t>PROTAC-based synthetic lethality strategy endogenously activates systemic STING to boost antitumor immunity</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89">
        <w:r>
          <w:rPr>
            <w:color w:val="1155CC"/>
            <w:u w:val="single"/>
          </w:rPr>
          <w:t>10.1126/sciadv.ado7448</w:t>
        </w:r>
      </w:hyperlink>
    </w:p>
    <w:p>
      <w:pPr>
        <w:spacing w:before="0" w:after="80" w:lineRule="auto" w:line="276"/>
      </w:pPr>
      <w:r>
        <w:rPr>
          <w:b/>
        </w:rPr>
        <w:t xml:space="preserve">摘要（ZH）: </w:t>
      </w:r>
      <w:r>
        <w:t>(empty)</w:t>
      </w:r>
    </w:p>
    <w:p>
      <w:pPr>
        <w:spacing w:before="0" w:after="200" w:lineRule="auto" w:line="276"/>
      </w:pPr>
      <w:r>
        <w:rPr>
          <w:b/>
        </w:rPr>
        <w:t xml:space="preserve">Abstract (EN): </w:t>
      </w:r>
      <w:r>
        <w:t>Activation of the stimulator of interferon genes (STING) pathway drives natural killer (NK) cells and T cells to orchestrate multidimensional antitumor immune responses. While cytosolic DNA accumulation represents a superior endogenous strategy for STING activation, DNA repair machinery substantially constrains its immunogenic potential. Here, we propose a promising therapeutic strategy that leverages proteolysis-targeting chimera (PROTAC)–mediated degradation of PARP1 [poly(ADP-ribose) polymerase 1] and BRD4 (bromodomain-containing protein 4) to induce synthetic lethality, thereby disrupting DNA repair machinery that drives nuclear-to-cytosolic DNA leakage, surpassing the STING activation threshold to ignite cGAS-STING–mediated innate immunity. Our strategy demonstrates superior antitumor efficacy across multiple tumor models, eliciting robust CD8</w:t>
        <w:br/>
        <w:t xml:space="preserve">                    +</w:t>
        <w:br/>
        <w:t xml:space="preserve">                    T cell– and NK cell–mediated immunity while suppressing pulmonary metastasis progression. This strategic integration of synthetic lethality with an immunogenic stress response establishes a previously unidentified paradigm for expanding broad applications by cGAS-STING–mediated innate immunity.</w:t>
      </w:r>
    </w:p>
    <w:p>
      <w:pPr>
        <w:spacing w:before="120" w:after="120"/>
      </w:pPr>
      <w:r>
        <w:rPr>
          <w:sz w:val="18"/>
        </w:rPr>
        <w:t>——————————————————————————————————————————————————————————————————————</w:t>
      </w:r>
    </w:p>
    <w:p>
      <w:pPr>
        <w:spacing w:before="160" w:after="40" w:line="240" w:lineRule="auto"/>
      </w:pPr>
      <w:r>
        <w:rPr>
          <w:b/>
        </w:rPr>
        <w:t xml:space="preserve">[410] </w:t>
      </w:r>
      <w:hyperlink r:id="rId890">
        <w:r>
          <w:rPr>
            <w:color w:val="1155CC"/>
            <w:u w:val="single"/>
          </w:rPr>
          <w:t>Erratum for the Research Article “AIBP-LRP2–mediated HDL uptake restricts CXCR4+ stemlike capillary expansion and collateral circulation” by L. Zhu et al.</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91">
        <w:r>
          <w:rPr>
            <w:color w:val="1155CC"/>
            <w:u w:val="single"/>
          </w:rPr>
          <w:t>10.1126/sciadv.aeg3112</w:t>
        </w:r>
      </w:hyperlink>
    </w:p>
    <w:p>
      <w:pPr>
        <w:spacing w:before="0" w:after="80" w:lineRule="auto" w:line="276"/>
      </w:pPr>
      <w:r>
        <w:rPr>
          <w:b/>
        </w:rPr>
        <w:t xml:space="preserve">摘要（ZH）: </w:t>
      </w:r>
      <w:r>
        <w:t>(empty)</w:t>
      </w:r>
    </w:p>
    <w:p>
      <w:pPr>
        <w:spacing w:before="0" w:after="200" w:lineRule="auto" w:line="276"/>
      </w:pPr>
      <w:r>
        <w:rPr>
          <w:b/>
        </w:rPr>
        <w:t xml:space="preserve">Abstract (EN): </w:t>
      </w:r>
      <w:r>
        <w:t>There was an error in the originally published version of the Fig. 4 title for the Research Article “AIBP-LRP2–mediated HDL uptake restricts CXCR4+ stemlike capillary expansion and collateral circulation” by L. Zhu et al.</w:t>
      </w:r>
    </w:p>
    <w:p>
      <w:pPr>
        <w:spacing w:before="120" w:after="120"/>
      </w:pPr>
      <w:r>
        <w:rPr>
          <w:sz w:val="18"/>
        </w:rPr>
        <w:t>——————————————————————————————————————————————————————————————————————</w:t>
      </w:r>
    </w:p>
    <w:p>
      <w:pPr>
        <w:spacing w:before="160" w:after="40" w:line="240" w:lineRule="auto"/>
      </w:pPr>
      <w:r>
        <w:rPr>
          <w:b/>
        </w:rPr>
        <w:t xml:space="preserve">[411] </w:t>
      </w:r>
      <w:hyperlink r:id="rId892">
        <w:r>
          <w:rPr>
            <w:color w:val="1155CC"/>
            <w:u w:val="single"/>
          </w:rPr>
          <w:t>Active protothrusts and fluid highways: Seismic noise reveals hidden subduction dynamics in Cascadia</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93">
        <w:r>
          <w:rPr>
            <w:color w:val="1155CC"/>
            <w:u w:val="single"/>
          </w:rPr>
          <w:t>10.1126/sciadv.aea3684</w:t>
        </w:r>
      </w:hyperlink>
    </w:p>
    <w:p>
      <w:pPr>
        <w:spacing w:before="0" w:after="80" w:lineRule="auto" w:line="276"/>
      </w:pPr>
      <w:r>
        <w:rPr>
          <w:b/>
        </w:rPr>
        <w:t xml:space="preserve">摘要（ZH）: </w:t>
      </w:r>
      <w:r>
        <w:t>(empty)</w:t>
      </w:r>
    </w:p>
    <w:p>
      <w:pPr>
        <w:spacing w:before="0" w:after="200" w:lineRule="auto" w:line="276"/>
      </w:pPr>
      <w:r>
        <w:rPr>
          <w:b/>
        </w:rPr>
        <w:t xml:space="preserve">Abstract (EN): </w:t>
      </w:r>
      <w:r>
        <w:t>Complex interactions between strain accumulation, fault slip, and fluid migration influence shallow subduction zone dynamics. Using a decade of continuous ambient seismic data from Cascadia’s seafloor observatories, we identified distinct regional variations in subduction dynamics. Northern Cascadia exhibits a fully locked megathrust with persistent strain accumulation, while central Cascadia displays a slow slip event on protothrusts and rapid fluid migration along fault systems in the overriding plate. Effective fluid transport through the décollement and the Alvin Canyon Fault likely modulates the earthquake behavior but does not cause slow slip events on the megathrust and likely stabilizes large earthquakes, promoting rupture arrest.</w:t>
      </w:r>
    </w:p>
    <w:p>
      <w:pPr>
        <w:spacing w:before="120" w:after="120"/>
      </w:pPr>
      <w:r>
        <w:rPr>
          <w:sz w:val="18"/>
        </w:rPr>
        <w:t>——————————————————————————————————————————————————————————————————————</w:t>
      </w:r>
    </w:p>
    <w:p>
      <w:pPr>
        <w:spacing w:before="160" w:after="40" w:line="240" w:lineRule="auto"/>
      </w:pPr>
      <w:r>
        <w:rPr>
          <w:b/>
        </w:rPr>
        <w:t xml:space="preserve">[412] </w:t>
      </w:r>
      <w:hyperlink r:id="rId894">
        <w:r>
          <w:rPr>
            <w:color w:val="1155CC"/>
            <w:u w:val="single"/>
          </w:rPr>
          <w:t>Decoding the molecular logic of rapidly evolving ZAD zinc finger proteins in Drosophila</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95">
        <w:r>
          <w:rPr>
            <w:color w:val="1155CC"/>
            <w:u w:val="single"/>
          </w:rPr>
          <w:t>10.1126/sciadv.ady7568</w:t>
        </w:r>
      </w:hyperlink>
    </w:p>
    <w:p>
      <w:pPr>
        <w:spacing w:before="0" w:after="80" w:lineRule="auto" w:line="276"/>
      </w:pPr>
      <w:r>
        <w:rPr>
          <w:b/>
        </w:rPr>
        <w:t xml:space="preserve">摘要（ZH）: </w:t>
      </w:r>
      <w:r>
        <w:t>(empty)</w:t>
      </w:r>
    </w:p>
    <w:p>
      <w:pPr>
        <w:spacing w:before="0" w:after="200" w:lineRule="auto" w:line="276"/>
      </w:pPr>
      <w:r>
        <w:rPr>
          <w:b/>
        </w:rPr>
        <w:t xml:space="preserve">Abstract (EN): </w:t>
      </w:r>
      <w:r>
        <w:t>The zinc finger–associated domain (ZAD)–containing C2H2 zinc finger proteins (ZAD-ZnFs) represent the most abundant class of transcription factors that emerged during insect evolution, yet their molecular diversity and biological functions remain largely unclear. Here, we established a systematic CRISPR-based protein-tagging approach that enables direct, unambiguous comparison of nuclear localization and genome-wide binding profiles of endogenous ZAD-ZnFs in developing</w:t>
        <w:br/>
        <w:t xml:space="preserve">                    Drosophila</w:t>
        <w:br/>
        <w:t xml:space="preserve">                    embryos. Evidence is provided that a subset of ZAD-ZnFs forms nuclear condensates through the stacking of the N-terminal ZAD dimerization surface. Disruption of condensation activity leads to misregulation of genome-wide binding profiles and lethality, underscoring its functional and physiological significance in development. Integrative chromatin immunoprecipitation sequencing and Micro-C analyses reveal that many ZAD-ZnFs colocalize with core insulator proteins such as CCCTC-binding factor and Centrosomal protein 190 kD to control the formation of topological boundaries. We suggest that the diverse molecular functions of ZAD-ZnFs have evolutionarily arisen from their ancestral role as insulator-binding proteins.</w:t>
      </w:r>
    </w:p>
    <w:p>
      <w:pPr>
        <w:spacing w:before="120" w:after="120"/>
      </w:pPr>
      <w:r>
        <w:rPr>
          <w:sz w:val="18"/>
        </w:rPr>
        <w:t>——————————————————————————————————————————————————————————————————————</w:t>
      </w:r>
    </w:p>
    <w:p>
      <w:pPr>
        <w:spacing w:before="160" w:after="40" w:line="240" w:lineRule="auto"/>
      </w:pPr>
      <w:r>
        <w:rPr>
          <w:b/>
        </w:rPr>
        <w:t xml:space="preserve">[413] </w:t>
      </w:r>
      <w:hyperlink r:id="rId896">
        <w:r>
          <w:rPr>
            <w:color w:val="1155CC"/>
            <w:u w:val="single"/>
          </w:rPr>
          <w:t>Universal activated aging and weak ergodicity breaking in spin and structural glasses</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97">
        <w:r>
          <w:rPr>
            <w:color w:val="1155CC"/>
            <w:u w:val="single"/>
          </w:rPr>
          <w:t>10.1126/sciadv.aec4416</w:t>
        </w:r>
      </w:hyperlink>
    </w:p>
    <w:p>
      <w:pPr>
        <w:spacing w:before="0" w:after="80" w:lineRule="auto" w:line="276"/>
      </w:pPr>
      <w:r>
        <w:rPr>
          <w:b/>
        </w:rPr>
        <w:t xml:space="preserve">摘要（ZH）: </w:t>
      </w:r>
      <w:r>
        <w:t>(empty)</w:t>
      </w:r>
    </w:p>
    <w:p>
      <w:pPr>
        <w:spacing w:before="0" w:after="200" w:lineRule="auto" w:line="276"/>
      </w:pPr>
      <w:r>
        <w:rPr>
          <w:b/>
        </w:rPr>
        <w:t xml:space="preserve">Abstract (EN): </w:t>
      </w:r>
      <w:r>
        <w:t>Glasses have complex energy landscapes and exhibit nonequilibrium aging dynamics. Here, we propose a generalized trap model for activated aging based on a key static property of the energy landscape: the distribution of energy barriers. Our theory predicts that, upon cooling, weak ergodicity breaking (WEB) in quenching dynamics occurs before strong ergodicity breaking in equilibrium dynamics. Furthermore, the theory indicates that the characteristic size of activation clusters can be deduced from the logarithmic decay of the time-correlation function. We rigorously test the model’s assumptions and predictions using the simplest spin glass model, the random energy model. The predicted aging behavior is also universally observed in paradigmatic structural glasses, including the Weeks-Chandler-Andersen (WCA) model and amorphous silica. Applying our framework to the WCA model allows us to extract a static length from the nonequilibrium dynamics, extending its observable growth range from a mere factor of 2 to 3 to a full order of magnitude and providing supportive evidence for the random first-order transition scenario. Last, we propose a unified ergodic-WEB phase diagram for aging dynamics in general glassy systems.</w:t>
      </w:r>
    </w:p>
    <w:p>
      <w:pPr>
        <w:spacing w:before="120" w:after="120"/>
      </w:pPr>
      <w:r>
        <w:rPr>
          <w:sz w:val="18"/>
        </w:rPr>
        <w:t>——————————————————————————————————————————————————————————————————————</w:t>
      </w:r>
    </w:p>
    <w:p>
      <w:pPr>
        <w:spacing w:before="160" w:after="40" w:line="240" w:lineRule="auto"/>
      </w:pPr>
      <w:r>
        <w:rPr>
          <w:b/>
        </w:rPr>
        <w:t xml:space="preserve">[414] </w:t>
      </w:r>
      <w:hyperlink r:id="rId898">
        <w:r>
          <w:rPr>
            <w:color w:val="1155CC"/>
            <w:u w:val="single"/>
          </w:rPr>
          <w:t>Rapid dopaminergic signatures in movement: Reach vigor reflects reward prediction error and learned expectation</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899">
        <w:r>
          <w:rPr>
            <w:color w:val="1155CC"/>
            <w:u w:val="single"/>
          </w:rPr>
          <w:t>10.1126/sciadv.adz9361</w:t>
        </w:r>
      </w:hyperlink>
    </w:p>
    <w:p>
      <w:pPr>
        <w:spacing w:before="0" w:after="80" w:lineRule="auto" w:line="276"/>
      </w:pPr>
      <w:r>
        <w:rPr>
          <w:b/>
        </w:rPr>
        <w:t xml:space="preserve">摘要（ZH）: </w:t>
      </w:r>
      <w:r>
        <w:t>(empty)</w:t>
      </w:r>
    </w:p>
    <w:p>
      <w:pPr>
        <w:spacing w:before="0" w:after="200" w:lineRule="auto" w:line="276"/>
      </w:pPr>
      <w:r>
        <w:rPr>
          <w:b/>
        </w:rPr>
        <w:t xml:space="preserve">Abstract (EN): </w:t>
      </w:r>
      <w:r>
        <w:t>Movements become more vigorous when rewards are expected, suggesting that motivational signals influence motor control. Dopaminergic neurons, known to encode reward expectation and prediction error, are prime candidates for linking value and vigor. Here, we show that human reach vigor dynamically tracks canonical dopaminergic learning signals not only at movement onset but also during ongoing motion. Using a reaching task with probabilistic rewards (0, 33, 66, and 100%), we observed that peak velocity scaled with expected value. Crucially, following feedback, reach velocity was transiently invigorated or enervated in proportion to the sign and magnitude of the reward prediction error. Trial-by-trial changes in kinematics reflected value updating, consistent with dopaminergic phasic learning signals. These results demonstrate that movement vigor is modulated by reward-learning signals on rapid timescales, revealing a real-time behavioral readout of motivational computation in the brain.</w:t>
      </w:r>
    </w:p>
    <w:p>
      <w:pPr>
        <w:spacing w:before="120" w:after="120"/>
      </w:pPr>
      <w:r>
        <w:rPr>
          <w:sz w:val="18"/>
        </w:rPr>
        <w:t>——————————————————————————————————————————————————————————————————————</w:t>
      </w:r>
    </w:p>
    <w:p>
      <w:pPr>
        <w:spacing w:before="160" w:after="40" w:line="240" w:lineRule="auto"/>
      </w:pPr>
      <w:r>
        <w:rPr>
          <w:b/>
        </w:rPr>
        <w:t xml:space="preserve">[415] </w:t>
      </w:r>
      <w:hyperlink r:id="rId900">
        <w:r>
          <w:rPr>
            <w:color w:val="1155CC"/>
            <w:u w:val="single"/>
          </w:rPr>
          <w:t>Magnetic hysteresis experiments performed on quantum annealers</w:t>
        </w:r>
      </w:hyperlink>
    </w:p>
    <w:p>
      <w:pPr>
        <w:spacing w:before="0" w:after="120"/>
      </w:pPr>
      <w:r>
        <w:rPr>
          <w:b/>
        </w:rPr>
        <w:t xml:space="preserve">Source: </w:t>
      </w:r>
      <w:r>
        <w:t>AAAS: Science Advances: Table of Contents</w:t>
      </w:r>
      <w:r>
        <w:t xml:space="preserve">    </w:t>
      </w:r>
      <w:r>
        <w:rPr>
          <w:b/>
        </w:rPr>
        <w:t xml:space="preserve">Pub date: </w:t>
      </w:r>
      <w:r>
        <w:t>2026-02-27 08:00:00+00:00</w:t>
      </w:r>
      <w:r>
        <w:t xml:space="preserve">    </w:t>
      </w:r>
      <w:r>
        <w:rPr>
          <w:b/>
        </w:rPr>
        <w:t xml:space="preserve">DOI: </w:t>
      </w:r>
      <w:hyperlink r:id="rId901">
        <w:r>
          <w:rPr>
            <w:color w:val="1155CC"/>
            <w:u w:val="single"/>
          </w:rPr>
          <w:t>10.1126/sciadv.aeb5192</w:t>
        </w:r>
      </w:hyperlink>
    </w:p>
    <w:p>
      <w:pPr>
        <w:spacing w:before="0" w:after="80" w:lineRule="auto" w:line="276"/>
      </w:pPr>
      <w:r>
        <w:rPr>
          <w:b/>
        </w:rPr>
        <w:t xml:space="preserve">摘要（ZH）: </w:t>
      </w:r>
      <w:r>
        <w:t>(empty)</w:t>
      </w:r>
    </w:p>
    <w:p>
      <w:pPr>
        <w:spacing w:before="0" w:after="200" w:lineRule="auto" w:line="276"/>
      </w:pPr>
      <w:r>
        <w:rPr>
          <w:b/>
        </w:rPr>
        <w:t xml:space="preserve">Abstract (EN): </w:t>
      </w:r>
      <w:r>
        <w:t>While quantum annealers have emerged as versatile and controllable platforms for experimenting on correlated spin systems, the important phenomenology of magnetic memory and hysteresis remain unexplored on hardware designed to escape metastable states via quantum tunneling. Here, we present the first general protocol to experiment on magnetic hysteresis on programmable quantum annealers and implement it on three D-Wave superconducting qubit quantum annealers, using up to thousands of spins, for both ferromagnetic and disordered Ising models, and across different graph topologies. We observe hysteresis loops whose area depends nonmonotonically on quantum fluctuations, exhibiting both expected and unexpected features, such as disorder-induced steps and nonmonotonicities. Our work establishes quantum annealers as a platform for probing nonequilibrium emergent magnetic phenomena, thereby broadening the role of analog quantum computers into foundational questions in condensed matter physics.</w:t>
      </w:r>
    </w:p>
    <w:p>
      <w:pPr>
        <w:spacing w:before="120" w:after="120"/>
      </w:pPr>
      <w:r>
        <w:rPr>
          <w:sz w:val="18"/>
        </w:rPr>
        <w:t>——————————————————————————————————————————————————————————————————————</w:t>
      </w:r>
    </w:p>
    <w:p>
      <w:pPr>
        <w:spacing w:before="160" w:after="40" w:line="240" w:lineRule="auto"/>
      </w:pPr>
      <w:r>
        <w:rPr>
          <w:b/>
        </w:rPr>
        <w:t xml:space="preserve">[416] </w:t>
      </w:r>
      <w:hyperlink r:id="rId902">
        <w:r>
          <w:rPr>
            <w:color w:val="1155CC"/>
            <w:u w:val="single"/>
          </w:rPr>
          <w:t>[ASAP] The Hidden Variability in Reporting Overpotential: Impact of Slight Ambient Temperature and pH Variations on the Water Oxidation Reaction</w:t>
        </w:r>
      </w:hyperlink>
    </w:p>
    <w:p>
      <w:pPr>
        <w:spacing w:before="0" w:after="120"/>
      </w:pPr>
      <w:r>
        <w:rPr>
          <w:b/>
        </w:rPr>
        <w:t xml:space="preserve">Source: </w:t>
      </w:r>
      <w:r>
        <w:t>ACS Energy Letters: Latest Articles (ACS Publications)</w:t>
      </w:r>
      <w:r>
        <w:t xml:space="preserve">    </w:t>
      </w:r>
      <w:r>
        <w:rPr>
          <w:b/>
        </w:rPr>
        <w:t xml:space="preserve">Pub date: </w:t>
      </w:r>
      <w:r>
        <w:t>2026-02-27 09:31:14+00:00</w:t>
      </w:r>
      <w:r>
        <w:t xml:space="preserve">    </w:t>
      </w:r>
      <w:r>
        <w:rPr>
          <w:b/>
        </w:rPr>
        <w:t xml:space="preserve">DOI: </w:t>
      </w:r>
      <w:hyperlink r:id="rId903">
        <w:r>
          <w:rPr>
            <w:color w:val="1155CC"/>
            <w:u w:val="single"/>
          </w:rPr>
          <w:t>10.1021/acsenergylett.5c04320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[417] </w:t>
      </w:r>
      <w:hyperlink r:id="rId904">
        <w:r>
          <w:rPr>
            <w:color w:val="1155CC"/>
            <w:u w:val="single"/>
          </w:rPr>
          <w:t>[ASAP] Engineering Polymer–Lipid Integrated Nanoparticles with Quantitative Design Principles for Organ-Selective mRNA Delivery</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09:39:45+00:00</w:t>
      </w:r>
      <w:r>
        <w:t xml:space="preserve">    </w:t>
      </w:r>
      <w:r>
        <w:rPr>
          <w:b/>
        </w:rPr>
        <w:t xml:space="preserve">DOI: </w:t>
      </w:r>
      <w:hyperlink r:id="rId905">
        <w:r>
          <w:rPr>
            <w:color w:val="1155CC"/>
            <w:u w:val="single"/>
          </w:rPr>
          <w:t>10.1021/jacs.5c22504</w:t>
        </w:r>
      </w:hyperlink>
    </w:p>
    <w:p>
      <w:pPr>
        <w:spacing w:before="0" w:after="80" w:lineRule="auto" w:line="276"/>
      </w:pPr>
      <w:r>
        <w:rPr>
          <w:b/>
        </w:rPr>
        <w:t xml:space="preserve">摘要（ZH）: </w:t>
      </w:r>
      <w:r>
        <w:t>(empty)</w:t>
      </w:r>
    </w:p>
    <w:p>
      <w:pPr>
        <w:spacing w:before="0" w:after="200" w:lineRule="auto" w:line="276"/>
      </w:pPr>
      <w:r>
        <w:rPr>
          <w:b/>
        </w:rPr>
        <w:t xml:space="preserve">Abstract (EN): </w:t>
      </w:r>
      <w:r>
        <w:t>The therapeutic success of mRNA critically depends on delivery systems capable of robust and organ-selective in vivo targeting. However, achieving such precision remains difficult because the relationships between nanoparticle composition and in vivo delivery outcomes are highly nonlinear and cannot be fully resolved through conventional empirical screening. Here, we present a quantitative design framework that integrates an I-optimal design-of-experiments (DOE) strategy with predictive regression modeling to define the formulation-biodistribution relationships of polymer-lipid integrated nanoparticles (PLINs). This PLIN architecture, composed of amphiphilic polyesters and cationic/ionizable lipids and designed without cholesterol or helper lipids, expands the accessible chemical design space beyond that of conventional lipid nanoparticles. The I-optimal DoE identifies a minimal yet information-rich set of 15 formulations, enabling the construction of predictive regression models (&lt;i&gt;R&lt;/i&gt;&lt;sup&gt;2&lt;/sup&gt; &gt; 0.96) that quantitatively link formulation parameters to organ-specific mRNA expression in vivo. Model-guided optimization yields PLINs with up to 91% lung or 96% spleen selectivity, and mechanistic studies reveal the key physicochemical determinants underlying these organ-tropic behaviors. The resulting design rules are generalized across diverse therapeutic contexts, including somatic genome editing, cytokine delivery for acute lung injury, and antigen-specific cancer vaccination. Together, this model-driven and material-divergent framework establishes a quantitative and generalizable principle for engineering organ-targeted mRNA delivery systems.</w:t>
      </w:r>
    </w:p>
    <w:p>
      <w:pPr>
        <w:spacing w:before="120" w:after="120"/>
      </w:pPr>
      <w:r>
        <w:rPr>
          <w:sz w:val="18"/>
        </w:rPr>
        <w:t>——————————————————————————————————————————————————————————————————————</w:t>
      </w:r>
    </w:p>
    <w:p>
      <w:pPr>
        <w:spacing w:before="160" w:after="40" w:line="240" w:lineRule="auto"/>
      </w:pPr>
      <w:r>
        <w:rPr>
          <w:b/>
        </w:rPr>
        <w:t xml:space="preserve">[418] </w:t>
      </w:r>
      <w:hyperlink r:id="rId906">
        <w:r>
          <w:rPr>
            <w:color w:val="1155CC"/>
            <w:u w:val="single"/>
          </w:rPr>
          <w:t>[ASAP] A Polymer Backbone Editing Strategy for Property Enhancement</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09:40:58+00:00</w:t>
      </w:r>
      <w:r>
        <w:t xml:space="preserve">    </w:t>
      </w:r>
      <w:r>
        <w:rPr>
          <w:b/>
        </w:rPr>
        <w:t xml:space="preserve">DOI: </w:t>
      </w:r>
      <w:hyperlink r:id="rId907">
        <w:r>
          <w:rPr>
            <w:color w:val="1155CC"/>
            <w:u w:val="single"/>
          </w:rPr>
          <w:t>10.1021/jacs.5c21829</w:t>
        </w:r>
      </w:hyperlink>
    </w:p>
    <w:p>
      <w:pPr>
        <w:spacing w:before="0" w:after="80" w:lineRule="auto" w:line="276"/>
      </w:pPr>
      <w:r>
        <w:rPr>
          <w:b/>
        </w:rPr>
        <w:t xml:space="preserve">摘要（ZH）: </w:t>
      </w:r>
      <w:r>
        <w:t>(empty)</w:t>
      </w:r>
    </w:p>
    <w:p>
      <w:pPr>
        <w:spacing w:before="0" w:after="200" w:lineRule="auto" w:line="276"/>
      </w:pPr>
      <w:r>
        <w:rPr>
          <w:b/>
        </w:rPr>
        <w:t xml:space="preserve">Abstract (EN): </w:t>
      </w:r>
      <w:r>
        <w:t>The properties of polymers are closely related to their microstructure, particularly their backbone architecture. Polymer backbone editing (PBE) transforms the backbone architecture through postpolymerization modification. However, the utilization of this strategy to alter polymer material properties has remained largely unexplored. In this study, a PBE strategy was employed to modify the backbone architecture of a polynorbornene (PNB) to enhance its comprehensive material properties. This PBE strategy involved two steps, the epoxidation of PNB and a ring expansion reaction of the resulting epoxidized polynorbornene (EPNB), which achieved high efficiency and selectivity without causing polymer degradation or cross-linking. The ring expansion reaction mechanism was investigated experimentally and via density functional theory (DFT) calculations. The results revealed that a Lewis acid catalyzed the activation of the C-O bonds. This reaction generated a rigid main-chain architecture with bridged ring units with significantly improved heat resistance (Tg = 233 °C) and mechanical properties. Due to the introduction of polar oxygen-containing functional groups, the PBE products exhibited greater hydrophilicity and adhesion to inorganic substrates than PNB with a hydrocarbon chain structure. This PBE strategy provides a promising approach to improving the material properties of polymers after their formation.</w:t>
      </w:r>
    </w:p>
    <w:p>
      <w:pPr>
        <w:spacing w:before="120" w:after="120"/>
      </w:pPr>
      <w:r>
        <w:rPr>
          <w:sz w:val="18"/>
        </w:rPr>
        <w:t>——————————————————————————————————————————————————————————————————————</w:t>
      </w:r>
    </w:p>
    <w:p>
      <w:pPr>
        <w:spacing w:before="160" w:after="40" w:line="240" w:lineRule="auto"/>
      </w:pPr>
      <w:r>
        <w:rPr>
          <w:b/>
        </w:rPr>
        <w:t xml:space="preserve">[419] </w:t>
      </w:r>
      <w:hyperlink r:id="rId908">
        <w:r>
          <w:rPr>
            <w:color w:val="1155CC"/>
            <w:u w:val="single"/>
          </w:rPr>
          <w:t>[ASAP] Low-Background Cancer Imaging with a Bioorthogonal Fluorescence Probe and Engineered Reporter Enzyme Bearing a Targeting Moiety</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10:00:10+00:00</w:t>
      </w:r>
      <w:r>
        <w:t xml:space="preserve">    </w:t>
      </w:r>
      <w:r>
        <w:rPr>
          <w:b/>
        </w:rPr>
        <w:t xml:space="preserve">DOI: </w:t>
      </w:r>
      <w:hyperlink r:id="rId909">
        <w:r>
          <w:rPr>
            <w:color w:val="1155CC"/>
            <w:u w:val="single"/>
          </w:rPr>
          <w:t>10.1021/jacs.5c14173</w:t>
        </w:r>
      </w:hyperlink>
    </w:p>
    <w:p>
      <w:pPr>
        <w:spacing w:before="0" w:after="80" w:lineRule="auto" w:line="276"/>
      </w:pPr>
      <w:r>
        <w:rPr>
          <w:b/>
        </w:rPr>
        <w:t xml:space="preserve">摘要（ZH）: </w:t>
      </w:r>
      <w:r>
        <w:t>(empty)</w:t>
      </w:r>
    </w:p>
    <w:p>
      <w:pPr>
        <w:spacing w:before="0" w:after="200" w:lineRule="auto" w:line="276"/>
      </w:pPr>
      <w:r>
        <w:rPr>
          <w:b/>
        </w:rPr>
        <w:t xml:space="preserve">Abstract (EN): </w:t>
      </w:r>
      <w:r>
        <w:t>Combinatorial use of an antibody-reporter enzyme conjugate and a fluorescence probe activated by the enzyme is a powerful strategy for fluorescence-guided cancer surgery. However, conventional probes for typical reporter enzymes lack sufficient bioorthogonality, leading to high background signals in nontarget tissues. We screened a library of HMRef (rhodol derivative)-based fluorescence probes with various sugar moieties and found that HMRef-β-d-Fucose is bioorthogonal in mammalian systems but is activated by a metagenomic glycosidase, Td2F2. Directed evolution generated a mutant with a kcat/Km of 3.3 × 105/M/sec, 7.3 times higher than wild-type Td2F2 and comparable to β-galactosidase (LacZ) with its corresponding probe. Theoretical calculation suggested the E296G mutation facilitates probe access to the enzyme's active site. In a proof-of-concept study, SKOV-3 cells, which endogenously express HER2, were visualized with minimal background in the mesentery of a mouse model using HMRef-β-d-Fucose and engineered Td2F2 conjugated or fused to a HER2-binding antibody or nanobody.</w:t>
      </w:r>
    </w:p>
    <w:p>
      <w:pPr>
        <w:spacing w:before="120" w:after="120"/>
      </w:pPr>
      <w:r>
        <w:rPr>
          <w:sz w:val="18"/>
        </w:rPr>
        <w:t>——————————————————————————————————————————————————————————————————————</w:t>
      </w:r>
    </w:p>
    <w:p>
      <w:pPr>
        <w:spacing w:before="160" w:after="40" w:line="240" w:lineRule="auto"/>
      </w:pPr>
      <w:r>
        <w:rPr>
          <w:b/>
        </w:rPr>
        <w:t xml:space="preserve">[420] </w:t>
      </w:r>
      <w:hyperlink r:id="rId910">
        <w:r>
          <w:rPr>
            <w:color w:val="1155CC"/>
            <w:u w:val="single"/>
          </w:rPr>
          <w:t>Scalable and Customizable Single‐Atom Coatings for pH‐Universal H2O2 Electrosynthesis</w:t>
        </w:r>
      </w:hyperlink>
    </w:p>
    <w:p>
      <w:pPr>
        <w:spacing w:before="0" w:after="120"/>
      </w:pPr>
      <w:r>
        <w:rPr>
          <w:b/>
        </w:rPr>
        <w:t xml:space="preserve">Source: </w:t>
      </w:r>
      <w:r>
        <w:t>Wiley: Advanced Materials: Table of Contents</w:t>
      </w:r>
      <w:r>
        <w:t xml:space="preserve">    </w:t>
      </w:r>
      <w:r>
        <w:rPr>
          <w:b/>
        </w:rPr>
        <w:t xml:space="preserve">Pub date: </w:t>
      </w:r>
      <w:r>
        <w:t>2026-02-27 10:19:44+00:00</w:t>
      </w:r>
      <w:r>
        <w:t xml:space="preserve">    </w:t>
      </w:r>
      <w:r>
        <w:rPr>
          <w:b/>
        </w:rPr>
        <w:t xml:space="preserve">DOI: </w:t>
      </w:r>
      <w:hyperlink r:id="rId911">
        <w:r>
          <w:rPr>
            <w:color w:val="1155CC"/>
            <w:u w:val="single"/>
          </w:rPr>
          <w:t>10.1002/adma.202521237</w:t>
        </w:r>
      </w:hyperlink>
    </w:p>
    <w:p>
      <w:pPr>
        <w:spacing w:before="0" w:after="80" w:lineRule="auto" w:line="276"/>
      </w:pPr>
      <w:r>
        <w:rPr>
          <w:b/>
        </w:rPr>
        <w:t xml:space="preserve">摘要（ZH）: </w:t>
      </w:r>
      <w:r>
        <w:t>(empty)</w:t>
      </w:r>
    </w:p>
    <w:p>
      <w:pPr>
        <w:spacing w:before="0" w:after="200" w:lineRule="auto" w:line="276"/>
      </w:pPr>
      <w:r>
        <w:rPr>
          <w:b/>
        </w:rPr>
        <w:t xml:space="preserve">Abstract (EN): </w:t>
      </w:r>
      <w:r>
        <w:t>Achieving scalable fabrication of robust and uniform single-atom catalyst-based gas-diffusion electrodes (SAC-GDEs) remains challenging. Here, a universal one-step soot-deposition route was developed to convert various metal-containing paraffins into conformal single-atom catalyst (SAC) coatings on diverse electrodes (1D fibers, 2D plates, and 3D foams). The process provides multiscale control, from precursor-defined molecular coordination to micropore wettability and macroscopic geometry, to collectively engineer hierarchical coating films that couple intensified mass transfer and high intrinsic catalytic activity for efficient H2O2 electrosynthesis. As a device-level demonstration, Pd-SAC-GDE delivers pH-universal H2O2 production under an industrial-level current (500 mA cm-2) for 100 h, achieving a record-high H2O2 yield of 16.9 mol g-1 h-1. A tip-enhanced mechanism was proposed based on constant-potential calculations. The results reveal that the curvature-enhanced localized electric field promotes O2 polarization and activation at the Pd-O3 sites, thereby facilitating both *OOH generation and adsorption and ultimately leading to highly selective H2O2 production. This facile, broadly applicable fabrication strategy significantly advances the scalable manufacture of SAC-coated GDEs for environmental and sustainable catalysis.</w:t>
      </w:r>
    </w:p>
    <w:p>
      <w:pPr>
        <w:spacing w:before="120" w:after="120"/>
      </w:pPr>
      <w:r>
        <w:rPr>
          <w:sz w:val="18"/>
        </w:rPr>
        <w:t>——————————————————————————————————————————————————————————————————————</w:t>
      </w:r>
    </w:p>
    <w:p>
      <w:pPr>
        <w:spacing w:before="160" w:after="40" w:line="240" w:lineRule="auto"/>
      </w:pPr>
      <w:r>
        <w:rPr>
          <w:b/>
        </w:rPr>
        <w:t xml:space="preserve">[421] </w:t>
      </w:r>
      <w:hyperlink r:id="rId912">
        <w:r>
          <w:rPr>
            <w:color w:val="1155CC"/>
            <w:u w:val="single"/>
          </w:rPr>
          <w:t>[ASAP] A Universal Platform for One-Pot Synthesis of Block Copolymers via Organoborane-Mediated Aerobic Tandem Polymerization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10:20:08+00:00</w:t>
      </w:r>
      <w:r>
        <w:t xml:space="preserve">    </w:t>
      </w:r>
      <w:r>
        <w:rPr>
          <w:b/>
        </w:rPr>
        <w:t xml:space="preserve">DOI: </w:t>
      </w:r>
      <w:hyperlink r:id="rId913">
        <w:r>
          <w:rPr>
            <w:color w:val="1155CC"/>
            <w:u w:val="single"/>
          </w:rPr>
          <w:t>10.1021/jacs.5c20519</w:t>
        </w:r>
      </w:hyperlink>
    </w:p>
    <w:p>
      <w:pPr>
        <w:spacing w:before="0" w:after="80" w:lineRule="auto" w:line="276"/>
      </w:pPr>
      <w:r>
        <w:rPr>
          <w:b/>
        </w:rPr>
        <w:t xml:space="preserve">摘要（ZH）: </w:t>
      </w:r>
      <w:r>
        <w:t>(empty)</w:t>
      </w:r>
    </w:p>
    <w:p>
      <w:pPr>
        <w:spacing w:before="0" w:after="200" w:lineRule="auto" w:line="276"/>
      </w:pPr>
      <w:r>
        <w:rPr>
          <w:b/>
        </w:rPr>
        <w:t xml:space="preserve">Abstract (EN): </w:t>
      </w:r>
      <w:r>
        <w:t>Block copolymers are pivotal to advanced materials, yet a general and operationally simple strategy for constructing diverse, well-defined block architectures from distinct monomer classes remains elusive. Here, we report an organoborane-mediated aerobic tandem polymerization system that seamlessly interlinks reversible addition-fragmentation chain-transfer (RAFT) polymerization with eight ring-opening (co)polymerization (RO(CO)P) techniques. This unified platform enables one-pot synthesis of an extensive array of block copolymers, including polyether-, polyester-, polypeptide-, CO2-derived polycarbonate-, polyaziridine-, poly(ester thioester)-, and poly(ester amide)-block-polyacrylates. Mechanistic investigations demonstrate that strongly nucleophilic RO(CO)P active species (RX-, X = O, N) react with an anhydride/thioanhydride to form less nucleophilic intermediates (RCOY-, Y = O, S), which unlocks the controlled autoxidation of organoborane by O2. This process generates alkyl radicals in situ and initiates a clean mechanistic switch from RO(CO)P to RAFT polymerization. Our work establishes a versatile and scalable route to previously inaccessible block copolymers while providing a general framework for unifying disparate polymerization mechanisms, opening broad avenues in polymer science and functional materials design.</w:t>
      </w:r>
    </w:p>
    <w:p>
      <w:pPr>
        <w:spacing w:before="120" w:after="120"/>
      </w:pPr>
      <w:r>
        <w:rPr>
          <w:sz w:val="18"/>
        </w:rPr>
        <w:t>——————————————————————————————————————————————————————————————————————</w:t>
      </w:r>
    </w:p>
    <w:p>
      <w:pPr>
        <w:spacing w:before="160" w:after="40" w:line="240" w:lineRule="auto"/>
      </w:pPr>
      <w:r>
        <w:rPr>
          <w:b/>
        </w:rPr>
        <w:t xml:space="preserve">[422] </w:t>
      </w:r>
      <w:hyperlink r:id="rId914">
        <w:r>
          <w:rPr>
            <w:color w:val="1155CC"/>
            <w:u w:val="single"/>
          </w:rPr>
          <w:t>Thermomechanics of Picoliter Liquids Encapsulated in Metal Microarchitectures</w:t>
        </w:r>
      </w:hyperlink>
    </w:p>
    <w:p>
      <w:pPr>
        <w:spacing w:before="0" w:after="120"/>
      </w:pPr>
      <w:r>
        <w:rPr>
          <w:b/>
        </w:rPr>
        <w:t xml:space="preserve">Source: </w:t>
      </w:r>
      <w:r>
        <w:t>Wiley: Advanced Materials: Table of Contents</w:t>
      </w:r>
      <w:r>
        <w:t xml:space="preserve">    </w:t>
      </w:r>
      <w:r>
        <w:rPr>
          <w:b/>
        </w:rPr>
        <w:t xml:space="preserve">Pub date: </w:t>
      </w:r>
      <w:r>
        <w:t>2026-02-27 10:29:32+00:00</w:t>
      </w:r>
      <w:r>
        <w:t xml:space="preserve">    </w:t>
      </w:r>
      <w:r>
        <w:rPr>
          <w:b/>
        </w:rPr>
        <w:t xml:space="preserve">DOI: </w:t>
      </w:r>
      <w:hyperlink r:id="rId915">
        <w:r>
          <w:rPr>
            <w:color w:val="1155CC"/>
            <w:u w:val="single"/>
          </w:rPr>
          <w:t>10.1002/adma.202515677</w:t>
        </w:r>
      </w:hyperlink>
    </w:p>
    <w:p>
      <w:pPr>
        <w:spacing w:before="0" w:after="80" w:lineRule="auto" w:line="276"/>
      </w:pPr>
      <w:r>
        <w:rPr>
          <w:b/>
        </w:rPr>
        <w:t xml:space="preserve">摘要（ZH）: </w:t>
      </w:r>
      <w:r>
        <w:t>(empty)</w:t>
      </w:r>
    </w:p>
    <w:p>
      <w:pPr>
        <w:spacing w:before="0" w:after="200" w:lineRule="auto" w:line="276"/>
      </w:pPr>
      <w:r>
        <w:rPr>
          <w:b/>
        </w:rPr>
        <w:t xml:space="preserve">Abstract (EN): </w:t>
      </w:r>
      <w:r>
        <w:t>Probing the mechanical behavior of liquids at the nanoscale-especially under hydrostatic stress with various strain rates and extreme temperature conditions-holds significant potential for advancing microfluidic, biomedical, and energy systems. However, it remains experimentally challenging due to the inherent difficulties in encapsulation of liquid at micro/nanoscale and in accurately applying and measuring stress within confined microscale environments. In this work, we present a novel single-step method for liquid encapsulation at the microscale and subsequent in situ micromechanical testing at extreme dynamic thermomechanical conditions. Localized electrodeposition in the liquid process enables the direct formation of hollow copper microarchitectures containing picoliters of liquid. The presence of the encapsulated liquid was verified via structural analysis at cryogenic and elevated temperatures. We investigated the mechanical role of the confined liquid through compressive tests, demonstrating its incompressibility at room temperature and its enhanced load-bearing capacity in the ice phase at -160°C. These results reveal enhanced energy dissipation due to the size-dependent strength of ice. Additionally, we evaluated the tensile response of copper-ice composites at -160°C using microfabricated push-to-pull structures. Our findings outline a new pathway for encapsulation of liquids in metal microarchitectures that could aid and impact fields of microelectronics, pharmaceuticals, and energy storage.</w:t>
      </w:r>
    </w:p>
    <w:p>
      <w:pPr>
        <w:spacing w:before="120" w:after="120"/>
      </w:pPr>
      <w:r>
        <w:rPr>
          <w:sz w:val="18"/>
        </w:rPr>
        <w:t>——————————————————————————————————————————————————————————————————————</w:t>
      </w:r>
    </w:p>
    <w:p>
      <w:pPr>
        <w:spacing w:before="160" w:after="40" w:line="240" w:lineRule="auto"/>
      </w:pPr>
      <w:r>
        <w:rPr>
          <w:b/>
        </w:rPr>
        <w:t xml:space="preserve">[423] </w:t>
      </w:r>
      <w:hyperlink r:id="rId916">
        <w:r>
          <w:rPr>
            <w:color w:val="1155CC"/>
            <w:u w:val="single"/>
          </w:rPr>
          <w:t>[ASAP] Enzyme-Catalyzed Intramolecular C–C Coupling Transformation of Nitriles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10:55:08+00:00</w:t>
      </w:r>
      <w:r>
        <w:t xml:space="preserve">    </w:t>
      </w:r>
      <w:r>
        <w:rPr>
          <w:b/>
        </w:rPr>
        <w:t xml:space="preserve">DOI: </w:t>
      </w:r>
      <w:hyperlink r:id="rId917">
        <w:r>
          <w:rPr>
            <w:color w:val="1155CC"/>
            <w:u w:val="single"/>
          </w:rPr>
          <w:t>10.1021/jacs.6c02210</w:t>
        </w:r>
      </w:hyperlink>
    </w:p>
    <w:p>
      <w:pPr>
        <w:spacing w:before="0" w:after="80" w:lineRule="auto" w:line="276"/>
      </w:pPr>
      <w:r>
        <w:rPr>
          <w:b/>
        </w:rPr>
        <w:t xml:space="preserve">摘要（ZH）: </w:t>
      </w:r>
      <w:r>
        <w:t>(empty)</w:t>
      </w:r>
    </w:p>
    <w:p>
      <w:pPr>
        <w:spacing w:before="0" w:after="200" w:lineRule="auto" w:line="276"/>
      </w:pPr>
      <w:r>
        <w:rPr>
          <w:b/>
        </w:rPr>
        <w:t xml:space="preserve">Abstract (EN): </w:t>
      </w:r>
      <w:r>
        <w:t>Nitrile C-C coupling transformation, currently absent from existing biocatalytic toolbox, is a pivotal objective in enzyme catalysis. Herein, we engineered a ThDP-dependent enzyme to achieve nitrile C-C coupling with in situ-generated acyl anion equivalent, providing a valuable synthetic complement to current enzymatic transformations. This reaction also constitutes the first ThDP-dependent enzymatic addition of aldehyde group to an inert triple bond. Under mildly acidic aqueous conditions, this biocatalytic reaction achieves effective hydrolysis of readily isomerizable imine intermediates. Such a hydrolysis process poses formidable challenges to organic solvent-reliant chemical reactions and has been scarcely explored. In addition, this reaction constitutes an enzyme-catalyzed, oxidant-free strategy for the efficient synthesis of valuable 3-hydroxychromones─key intermediates for accessing flavonol natural products and functional molecules. Related mechanistic studies and preliminary kinetic resolution experiments were also conducted. Our study will encourage further development of biocatalytic systems for nitrile C-C coupling transformations, particularly those challenging to chemical methods.</w:t>
      </w:r>
    </w:p>
    <w:p>
      <w:pPr>
        <w:spacing w:before="120" w:after="120"/>
      </w:pPr>
      <w:r>
        <w:rPr>
          <w:sz w:val="18"/>
        </w:rPr>
        <w:t>——————————————————————————————————————————————————————————————————————</w:t>
      </w:r>
    </w:p>
    <w:p>
      <w:pPr>
        <w:spacing w:before="160" w:after="40" w:line="240" w:lineRule="auto"/>
      </w:pPr>
      <w:r>
        <w:rPr>
          <w:b/>
        </w:rPr>
        <w:t xml:space="preserve">[424] </w:t>
      </w:r>
      <w:hyperlink r:id="rId918">
        <w:r>
          <w:rPr>
            <w:color w:val="1155CC"/>
            <w:u w:val="single"/>
          </w:rPr>
          <w:t>1,3‐Dicarbonyl Rhodamines for Live‐Cell Single‐Molecule Super‐Resolution Imaging</w:t>
        </w:r>
      </w:hyperlink>
    </w:p>
    <w:p>
      <w:pPr>
        <w:spacing w:before="0" w:after="120"/>
      </w:pPr>
      <w:r>
        <w:rPr>
          <w:b/>
        </w:rPr>
        <w:t xml:space="preserve">Source: </w:t>
      </w:r>
      <w:r>
        <w:t>Wiley: Angewandte Chemie International Edition: Table of Contents</w:t>
      </w:r>
      <w:r>
        <w:t xml:space="preserve">    </w:t>
      </w:r>
      <w:r>
        <w:rPr>
          <w:b/>
        </w:rPr>
        <w:t xml:space="preserve">Pub date: </w:t>
      </w:r>
      <w:r>
        <w:t>2026-02-27 10:56:49+00:00</w:t>
      </w:r>
      <w:r>
        <w:t xml:space="preserve">    </w:t>
      </w:r>
      <w:r>
        <w:rPr>
          <w:b/>
        </w:rPr>
        <w:t xml:space="preserve">DOI: </w:t>
      </w:r>
      <w:hyperlink r:id="rId919">
        <w:r>
          <w:rPr>
            <w:color w:val="1155CC"/>
            <w:u w:val="single"/>
          </w:rPr>
          <w:t>10.1002/anie.202524603</w:t>
        </w:r>
      </w:hyperlink>
    </w:p>
    <w:p>
      <w:pPr>
        <w:spacing w:before="0" w:after="80" w:lineRule="auto" w:line="276"/>
      </w:pPr>
      <w:r>
        <w:rPr>
          <w:b/>
        </w:rPr>
        <w:t xml:space="preserve">摘要（ZH）: </w:t>
      </w:r>
      <w:r>
        <w:t>(empty)</w:t>
      </w:r>
    </w:p>
    <w:p>
      <w:pPr>
        <w:spacing w:before="0" w:after="200" w:lineRule="auto" w:line="276"/>
      </w:pPr>
      <w:r>
        <w:rPr>
          <w:b/>
        </w:rPr>
        <w:t xml:space="preserve">Abstract (EN): </w:t>
      </w:r>
      <w:r>
        <w:t>1,3-Dicarbonyl compounds, with their diverse and intriguing chemical properties, have found broad applications in fields such as organic synthesis, pharmaceuticals, luminescent materials, and personal care products. Here, we integrated the 1,3-dicarbonyl scaffold with rhodamine-based fluorophores to construct a series of 1,3-dicarbonyl-rhodamine derivatives. By exploiting the intrinsic thermodynamic and photochemical properties of 1,3-dicarbonyl compounds, these rhodamine derivatives enable sparse localization, tunable emitter density, and a self-triggered photooxidation cascade under single- or dual-laser irradiation. These features render them suitable for single-molecule localization microscopy (SMLM). Using click chemistry, HaloTag labeling, and phospholipid-targeting groups, we achieved super-resolution imaging and dynamic tracking of actin, the endoplasmic reticulum, mitochondria, and the plasma membrane in live cells. Notably, under low laser intensity, a rich repertoire of filopodia dynamics was resolved in live cells over an extended 20 min time course (encompassing 120,000 total frames). The imaging achieved a spatial localization accuracy of 22 nm and a temporal resolution of 20 s, enabling high-fidelity tracking of dynamic cellular protrusions.</w:t>
      </w:r>
    </w:p>
    <w:p>
      <w:pPr>
        <w:spacing w:before="120" w:after="120"/>
      </w:pPr>
      <w:r>
        <w:rPr>
          <w:sz w:val="18"/>
        </w:rPr>
        <w:t>——————————————————————————————————————————————————————————————————————</w:t>
      </w:r>
    </w:p>
    <w:p>
      <w:pPr>
        <w:spacing w:before="160" w:after="40" w:line="240" w:lineRule="auto"/>
      </w:pPr>
      <w:r>
        <w:rPr>
          <w:b/>
        </w:rPr>
        <w:t xml:space="preserve">[425] </w:t>
      </w:r>
      <w:hyperlink r:id="rId920">
        <w:r>
          <w:rPr>
            <w:color w:val="1155CC"/>
            <w:u w:val="single"/>
          </w:rPr>
          <w:t>Covalent Functionalization Strategies for Tailoring the Outer‐Sphere Microenvironments of Single‐Atom Catalysts Supported on Carbon Materials</w:t>
        </w:r>
      </w:hyperlink>
    </w:p>
    <w:p>
      <w:pPr>
        <w:spacing w:before="0" w:after="120"/>
      </w:pPr>
      <w:r>
        <w:rPr>
          <w:b/>
        </w:rPr>
        <w:t xml:space="preserve">Source: </w:t>
      </w:r>
      <w:r>
        <w:t>Wiley: Angewandte Chemie International Edition: Table of Contents</w:t>
      </w:r>
      <w:r>
        <w:t xml:space="preserve">    </w:t>
      </w:r>
      <w:r>
        <w:rPr>
          <w:b/>
        </w:rPr>
        <w:t xml:space="preserve">Pub date: </w:t>
      </w:r>
      <w:r>
        <w:t>2026-02-27 10:59:22+00:00</w:t>
      </w:r>
      <w:r>
        <w:t xml:space="preserve">    </w:t>
      </w:r>
      <w:r>
        <w:rPr>
          <w:b/>
        </w:rPr>
        <w:t xml:space="preserve">DOI: </w:t>
      </w:r>
      <w:hyperlink r:id="rId921">
        <w:r>
          <w:rPr>
            <w:color w:val="1155CC"/>
            <w:u w:val="single"/>
          </w:rPr>
          <w:t>10.1002/anie.202525181</w:t>
        </w:r>
      </w:hyperlink>
    </w:p>
    <w:p>
      <w:pPr>
        <w:spacing w:before="0" w:after="80" w:lineRule="auto" w:line="276"/>
      </w:pPr>
      <w:r>
        <w:rPr>
          <w:b/>
        </w:rPr>
        <w:t xml:space="preserve">摘要（ZH）: </w:t>
      </w:r>
      <w:r>
        <w:t>(empty)</w:t>
      </w:r>
    </w:p>
    <w:p>
      <w:pPr>
        <w:spacing w:before="0" w:after="200" w:lineRule="auto" w:line="276"/>
      </w:pPr>
      <w:r>
        <w:rPr>
          <w:b/>
        </w:rPr>
        <w:t xml:space="preserve">Abstract (EN): </w:t>
      </w:r>
      <w:r>
        <w:t>The design of single-atom catalysts (SACs) with high activity, selectivity, and stability relies on careful modulation of the active sites. The active-site structures of natural metalloenzymes provide blueprints for designing artificial catalysts. Spatially folded proteins surround the central atom, providing fascinating second spheres to optimize the microenvironments of metal sites and thereby influencing their catalytic properties. Inspired by the functions of metalloenzymes, this minireview focuses on optimizing the outer-sphere microenvironment of SACs on carbon materials via covalent functionalization strategies. The article begins by outlining the advantages and inherent challenges of SACs, then highlights the pivotal role of microenvironment engineering in natural metalloenzymes in enhancing catalytic performance. Then, the unique merits of SACs supported on carbon materials toward surface modulation are presented. Building on these insights, the covalent functionalization strategies for carbon-supported SACs are comprehensively elaborated. Furthermore, by leveraging recent examples of bioinspired photo- and electrocatalysts, the modulation mechanisms of the outer-sphere microenvironment in SACs are explored in depth. Finally, this work summarizes recent advances and remaining challenges in this field, critically discusses current limitations, and proposes perspectives to guide the development of advanced covalently modified SACs.</w:t>
      </w:r>
    </w:p>
    <w:p>
      <w:pPr>
        <w:spacing w:before="120" w:after="120"/>
      </w:pPr>
      <w:r>
        <w:rPr>
          <w:sz w:val="18"/>
        </w:rPr>
        <w:t>——————————————————————————————————————————————————————————————————————</w:t>
      </w:r>
    </w:p>
    <w:p>
      <w:pPr>
        <w:spacing w:before="160" w:after="40" w:line="240" w:lineRule="auto"/>
      </w:pPr>
      <w:r>
        <w:rPr>
          <w:b/>
        </w:rPr>
        <w:t xml:space="preserve">[426] </w:t>
      </w:r>
      <w:hyperlink r:id="rId922">
        <w:r>
          <w:rPr>
            <w:color w:val="1155CC"/>
            <w:u w:val="single"/>
          </w:rPr>
          <w:t>Microbial Electrosynthetic Biohybrid System to Synergistically Supply Electrons and CO2 to Rhodopseudomonas palustris for Lycopene Production</w:t>
        </w:r>
      </w:hyperlink>
    </w:p>
    <w:p>
      <w:pPr>
        <w:spacing w:before="0" w:after="120"/>
      </w:pPr>
      <w:r>
        <w:rPr>
          <w:b/>
        </w:rPr>
        <w:t xml:space="preserve">Source: </w:t>
      </w:r>
      <w:r>
        <w:t>Wiley: Angewandte Chemie International Edition: Table of Contents</w:t>
      </w:r>
      <w:r>
        <w:t xml:space="preserve">    </w:t>
      </w:r>
      <w:r>
        <w:rPr>
          <w:b/>
        </w:rPr>
        <w:t xml:space="preserve">Pub date: </w:t>
      </w:r>
      <w:r>
        <w:t>2026-02-27 11:04:24+00:00</w:t>
      </w:r>
      <w:r>
        <w:t xml:space="preserve">    </w:t>
      </w:r>
      <w:r>
        <w:rPr>
          <w:b/>
        </w:rPr>
        <w:t xml:space="preserve">DOI: </w:t>
      </w:r>
      <w:hyperlink r:id="rId923">
        <w:r>
          <w:rPr>
            <w:color w:val="1155CC"/>
            <w:u w:val="single"/>
          </w:rPr>
          <w:t>10.1002/anie.202522703</w:t>
        </w:r>
      </w:hyperlink>
    </w:p>
    <w:p>
      <w:pPr>
        <w:spacing w:before="0" w:after="80" w:lineRule="auto" w:line="276"/>
      </w:pPr>
      <w:r>
        <w:rPr>
          <w:b/>
        </w:rPr>
        <w:t xml:space="preserve">摘要（ZH）: </w:t>
      </w:r>
      <w:r>
        <w:t>(empty)</w:t>
      </w:r>
    </w:p>
    <w:p>
      <w:pPr>
        <w:spacing w:before="0" w:after="200" w:lineRule="auto" w:line="276"/>
      </w:pPr>
      <w:r>
        <w:rPr>
          <w:b/>
        </w:rPr>
        <w:t xml:space="preserve">Abstract (EN): </w:t>
      </w:r>
      <w:r>
        <w:t>Microbial electrosynthesis (MES) systems aim to use electroactive microorganisms (EAMs) to achieve electricity-driven CO2 fixation for biosynthesis of multicarbon chemicals. However, the low efficiencies of extracellular electron transfer (EET) and CO2 assimilation of EAMs remain the essential limiting factors that restrict performance of MES systems. Herein, we developed an electrosynthetic biohybrid system to synergistically supply electrons and CO2 to Rhodopseudomonas palustris (an EAM) for lycopene biosynthesis. Intracellular carbon and energy fluxes were redirected by strengthening the lycopene biosynthesis pathway and blocking the nitrogen-fixation pathway, resulting in 23-fold increase in lycopene yield than that of the wild-type R. palustris. To enhance extracellular transfer of CO2 and electrons to R. palustris, metal-organic frameworks (MOFs) with high CO2 adsorption capacity were assembled with polydopamine on cell membrane to construct a biohybrid MES system, which produced 3.55 mg/L lycopene in two consecutive MES cycles, the highest lycopene production from CO2. Electrochemical and transcriptomic analyses revealed that the biohybrid MES system stimulated microbial metabolism including EET, the Calvin-Benson-Bassham cycle and lycopene biosynthesis, thereby improving CO2-to-chemical conversion. This study demonstrated directional supply of electrons and CO2 to EAMs enabled high-performance MES systems, which also offered insights into the mechanisms underlying efficient CO2 fixation and carbon-negative biomanufacturing.</w:t>
      </w:r>
    </w:p>
    <w:p>
      <w:pPr>
        <w:spacing w:before="120" w:after="120"/>
      </w:pPr>
      <w:r>
        <w:rPr>
          <w:sz w:val="18"/>
        </w:rPr>
        <w:t>——————————————————————————————————————————————————————————————————————</w:t>
      </w:r>
    </w:p>
    <w:p>
      <w:pPr>
        <w:spacing w:before="160" w:after="40" w:line="240" w:lineRule="auto"/>
      </w:pPr>
      <w:r>
        <w:rPr>
          <w:b/>
        </w:rPr>
        <w:t xml:space="preserve">[427] </w:t>
      </w:r>
      <w:hyperlink r:id="rId924">
        <w:r>
          <w:rPr>
            <w:color w:val="1155CC"/>
            <w:u w:val="single"/>
          </w:rPr>
          <w:t>Kinetically Stereocontrolled Gem‐Fluoro(chloro)‐Olefination of Carbonyls by an Unprecedented Sulfoximine: Programmable Construction of Challenging Persubstituted Alkenyl Fluorides</w:t>
        </w:r>
      </w:hyperlink>
    </w:p>
    <w:p>
      <w:pPr>
        <w:spacing w:before="0" w:after="120"/>
      </w:pPr>
      <w:r>
        <w:rPr>
          <w:b/>
        </w:rPr>
        <w:t xml:space="preserve">Source: </w:t>
      </w:r>
      <w:r>
        <w:t>Wiley: Angewandte Chemie International Edition: Table of Contents</w:t>
      </w:r>
      <w:r>
        <w:t xml:space="preserve">    </w:t>
      </w:r>
      <w:r>
        <w:rPr>
          <w:b/>
        </w:rPr>
        <w:t xml:space="preserve">Pub date: </w:t>
      </w:r>
      <w:r>
        <w:t>2026-02-27 11:12:34+00:00</w:t>
      </w:r>
      <w:r>
        <w:t xml:space="preserve">    </w:t>
      </w:r>
      <w:r>
        <w:rPr>
          <w:b/>
        </w:rPr>
        <w:t xml:space="preserve">DOI: </w:t>
      </w:r>
      <w:hyperlink r:id="rId925">
        <w:r>
          <w:rPr>
            <w:color w:val="1155CC"/>
            <w:u w:val="single"/>
          </w:rPr>
          <w:t>10.1002/anie.5110668</w:t>
        </w:r>
      </w:hyperlink>
    </w:p>
    <w:p>
      <w:pPr>
        <w:spacing w:before="0" w:after="80" w:lineRule="auto" w:line="276"/>
      </w:pPr>
      <w:r>
        <w:rPr>
          <w:b/>
        </w:rPr>
        <w:t xml:space="preserve">摘要（ZH）: </w:t>
      </w:r>
      <w:r>
        <w:t>(empty)</w:t>
      </w:r>
    </w:p>
    <w:p>
      <w:pPr>
        <w:spacing w:before="0" w:after="200" w:lineRule="auto" w:line="276"/>
      </w:pPr>
      <w:r>
        <w:rPr>
          <w:b/>
        </w:rPr>
        <w:t xml:space="preserve">Abstract (EN): </w:t>
      </w:r>
      <w:r>
        <w:t>Persubstituted alkenyl fluorides represent pivotal motifs in drug discovery, agrochemical development, and biological science. The (E)-isomeric persubstituted alkenyl fluoride, widely recognized as a conformationally stable mimic of the amide bond, frequently exhibits significantly higher bioactivity than the (Z)-counterpart. Despite their potential, the synthesis of this scaffold remains challenging, due to the severe steric encumbrance. Herein, we reported a highly stereoselective carbonyl gem-fluoro(chloro)olefination with an unprecedented sulfoximine reagent, affording an array of (Z)-persubstituted gem-fluoro(chloro)alkenes. Subsequent cross-couplings enabled them rapidly into a wide array of challenging stereodefined (E)- or (Z)-alkenyl fluorides. The experimental and computational data demonstrated that the key mechanistic feature involved a predominant 1,5-attack pathway, which operated as the rate-determining step with kinetic stereocontrol and prevailed over both the 1,3- and 1,4-attack pathways. The synthetic utility was demonstrated through microfluid synthesis, late-stage modifications, and a streamlined stereoselective synthesis of factor Xa inhibitor and RXR regulator.</w:t>
      </w:r>
    </w:p>
    <w:p>
      <w:pPr>
        <w:spacing w:before="120" w:after="120"/>
      </w:pPr>
      <w:r>
        <w:rPr>
          <w:sz w:val="18"/>
        </w:rPr>
        <w:t>——————————————————————————————————————————————————————————————————————</w:t>
      </w:r>
    </w:p>
    <w:p>
      <w:pPr>
        <w:spacing w:before="160" w:after="40" w:line="240" w:lineRule="auto"/>
      </w:pPr>
      <w:r>
        <w:rPr>
          <w:b/>
        </w:rPr>
        <w:t xml:space="preserve">[428] </w:t>
      </w:r>
      <w:hyperlink r:id="rId926">
        <w:r>
          <w:rPr>
            <w:color w:val="1155CC"/>
            <w:u w:val="single"/>
          </w:rPr>
          <w:t>Scalable Access to N‑Acylindole Linkages: Enabling the Synthesis of Antitrypanosomal Noncanonical Cyclic Peptides for Chagas Disease</w:t>
        </w:r>
      </w:hyperlink>
    </w:p>
    <w:p>
      <w:pPr>
        <w:spacing w:before="0" w:after="120"/>
      </w:pPr>
      <w:r>
        <w:rPr>
          <w:b/>
        </w:rPr>
        <w:t xml:space="preserve">Source: </w:t>
      </w:r>
      <w:r>
        <w:t>Wiley: Angewandte Chemie International Edition: Table of Contents</w:t>
      </w:r>
      <w:r>
        <w:t xml:space="preserve">    </w:t>
      </w:r>
      <w:r>
        <w:rPr>
          <w:b/>
        </w:rPr>
        <w:t xml:space="preserve">Pub date: </w:t>
      </w:r>
      <w:r>
        <w:t>2026-02-27 11:12:40+00:00</w:t>
      </w:r>
      <w:r>
        <w:t xml:space="preserve">    </w:t>
      </w:r>
      <w:r>
        <w:rPr>
          <w:b/>
        </w:rPr>
        <w:t xml:space="preserve">DOI: </w:t>
      </w:r>
      <w:hyperlink r:id="rId927">
        <w:r>
          <w:rPr>
            <w:color w:val="1155CC"/>
            <w:u w:val="single"/>
          </w:rPr>
          <w:t>10.1002/anie.202526149</w:t>
        </w:r>
      </w:hyperlink>
    </w:p>
    <w:p>
      <w:pPr>
        <w:spacing w:before="0" w:after="80" w:lineRule="auto" w:line="276"/>
      </w:pPr>
      <w:r>
        <w:rPr>
          <w:b/>
        </w:rPr>
        <w:t xml:space="preserve">摘要（ZH）: </w:t>
      </w:r>
      <w:r>
        <w:t>(empty)</w:t>
      </w:r>
    </w:p>
    <w:p>
      <w:pPr>
        <w:spacing w:before="0" w:after="200" w:lineRule="auto" w:line="276"/>
      </w:pPr>
      <w:r>
        <w:rPr>
          <w:b/>
        </w:rPr>
        <w:t xml:space="preserve">Abstract (EN): </w:t>
      </w:r>
      <w:r>
        <w:t>Chagas disease is classified as a neglected tropical disease (NTD) and is predominantly endemic in South America. Despite advances in modern medicine, more than 10 million people worldwide are currently infected, and approximately 12 000 deaths are reported annually. The World Health Organization (WHO) aims to eliminate Chagas disease by 2030. Although more than 100 years have passed since the discovery of Chagas disease, no effective vaccine has yet been developed. The only available chemotherapeutic agents are nifurtimox and benznidazole, both of which were introduced more than half a century ago and are included in the WHO's list of essential medicines. However, because these drugs are associated with severe adverse effects and are effective only during the early phase of infection, they have not achieved eradication of Chagas disease. In this study, a scalable synthetic method was developed for noncanonical cyclic peptides bearing a rare N-acylindole linkage, a structural motif not typically observed in conventional cyclic peptides. This strategy enabled the synthesis of bulbiferamide A, a potent antitrypanosomal agent reported to be effective against Chagas disease, as well as a variety of related analogues that had previously been difficult to access synthetically.</w:t>
      </w:r>
    </w:p>
    <w:p>
      <w:pPr>
        <w:spacing w:before="120" w:after="120"/>
      </w:pPr>
      <w:r>
        <w:rPr>
          <w:sz w:val="18"/>
        </w:rPr>
        <w:t>——————————————————————————————————————————————————————————————————————</w:t>
      </w:r>
    </w:p>
    <w:p>
      <w:pPr>
        <w:spacing w:before="160" w:after="40" w:line="240" w:lineRule="auto"/>
      </w:pPr>
      <w:r>
        <w:rPr>
          <w:b/>
        </w:rPr>
        <w:t xml:space="preserve">[429] </w:t>
      </w:r>
      <w:hyperlink r:id="rId928">
        <w:r>
          <w:rPr>
            <w:color w:val="1155CC"/>
            <w:u w:val="single"/>
          </w:rPr>
          <w:t>Flower‐Shaped Supramolecular Polymer Enabling Biofilm Eradication, Improved Foliar Affinity, and Bacterial Disease Management</w:t>
        </w:r>
      </w:hyperlink>
    </w:p>
    <w:p>
      <w:pPr>
        <w:spacing w:before="0" w:after="120"/>
      </w:pPr>
      <w:r>
        <w:rPr>
          <w:b/>
        </w:rPr>
        <w:t xml:space="preserve">Source: </w:t>
      </w:r>
      <w:r>
        <w:t>Wiley: Angewandte Chemie International Edition: Table of Contents</w:t>
      </w:r>
      <w:r>
        <w:t xml:space="preserve">    </w:t>
      </w:r>
      <w:r>
        <w:rPr>
          <w:b/>
        </w:rPr>
        <w:t xml:space="preserve">Pub date: </w:t>
      </w:r>
      <w:r>
        <w:t>2026-02-27 11:17:37+00:00</w:t>
      </w:r>
      <w:r>
        <w:t xml:space="preserve">    </w:t>
      </w:r>
      <w:r>
        <w:rPr>
          <w:b/>
        </w:rPr>
        <w:t xml:space="preserve">DOI: </w:t>
      </w:r>
      <w:hyperlink r:id="rId929">
        <w:r>
          <w:rPr>
            <w:color w:val="1155CC"/>
            <w:u w:val="single"/>
          </w:rPr>
          <w:t>10.1002/anie.202525538</w:t>
        </w:r>
      </w:hyperlink>
    </w:p>
    <w:p>
      <w:pPr>
        <w:spacing w:before="0" w:after="80" w:lineRule="auto" w:line="276"/>
      </w:pPr>
      <w:r>
        <w:rPr>
          <w:b/>
        </w:rPr>
        <w:t xml:space="preserve">摘要（ZH）: </w:t>
      </w:r>
      <w:r>
        <w:t>(empty)</w:t>
      </w:r>
    </w:p>
    <w:p>
      <w:pPr>
        <w:spacing w:before="0" w:after="200" w:lineRule="auto" w:line="276"/>
      </w:pPr>
      <w:r>
        <w:rPr>
          <w:b/>
        </w:rPr>
        <w:t xml:space="preserve">Abstract (EN): </w:t>
      </w:r>
      <w:r>
        <w:t>The management of bacterial plant diseases is impeded by biofilm fortifications and the poor foliar affinity of conventional antimicrobials. Supramolecular assemblies have recently emerged as promising biofilm-eradicating agents with enhanced surface adhesion. Yet, supramolecular polymers, although endowed with comparable or even greater potential, remain largely untapped in this arena. Herein, we introduce NOP@CB[8], a flower-like supramolecular polymer self-assembled in water from a de novo designed cationic pyridinium salt (NOP) and cucurbit[8]uril (CB[8]). Acting as a multifunctional agent, NOP@CB[8] disrupts bacterial membranes, perturbs redox equilibrium, disintegrates biofilms, and concurrently enhances foliar affinity. These combined attributes endow NOP@CB[8] with potent in vivo efficacy, exhibiting protective and curative efficacies of 56.1% and 51.2%, respectively, at 200 µg mL-1 against rice bacterial leaf blight, thereby surpassing both free NOP (47.9%/43.1%) and thiodiazole copper (TC, 36.2%/33.7%). Remarkably, NOP@CB[8] delivers high control efficacy with uncompromised safety toward both target and non‑target organisms, even demonstrates enhanced safety in zebrafish relative to free NOP. Extending its scope to citrus and kiwifruit cankers, NOP@CB[8] achieves approximately 80% protective and over 60% curative efficacy, consistently outperforming NOP and TC. Together, this study delineates a green alternative for crop protection and a conceptual framework for next-generation functional supramolecular polymers.</w:t>
      </w:r>
    </w:p>
    <w:p>
      <w:pPr>
        <w:spacing w:before="120" w:after="120"/>
      </w:pPr>
      <w:r>
        <w:rPr>
          <w:sz w:val="18"/>
        </w:rPr>
        <w:t>——————————————————————————————————————————————————————————————————————</w:t>
      </w:r>
    </w:p>
    <w:p>
      <w:pPr>
        <w:spacing w:before="160" w:after="40" w:line="240" w:lineRule="auto"/>
      </w:pPr>
      <w:r>
        <w:rPr>
          <w:b/>
        </w:rPr>
        <w:t xml:space="preserve">[430] </w:t>
      </w:r>
      <w:hyperlink r:id="rId930">
        <w:r>
          <w:rPr>
            <w:color w:val="1155CC"/>
            <w:u w:val="single"/>
          </w:rPr>
          <w:t>Covalent Bond Locking in Semiconducting Oligomers Boosts Ultrabright NIR‐II Luminescence for Deep Brain Theranostics</w:t>
        </w:r>
      </w:hyperlink>
    </w:p>
    <w:p>
      <w:pPr>
        <w:spacing w:before="0" w:after="120"/>
      </w:pPr>
      <w:r>
        <w:rPr>
          <w:b/>
        </w:rPr>
        <w:t xml:space="preserve">Source: </w:t>
      </w:r>
      <w:r>
        <w:t>Wiley: Angewandte Chemie International Edition: Table of Contents</w:t>
      </w:r>
      <w:r>
        <w:t xml:space="preserve">    </w:t>
      </w:r>
      <w:r>
        <w:rPr>
          <w:b/>
        </w:rPr>
        <w:t xml:space="preserve">Pub date: </w:t>
      </w:r>
      <w:r>
        <w:t>2026-02-27 11:27:30+00:00</w:t>
      </w:r>
      <w:r>
        <w:t xml:space="preserve">    </w:t>
      </w:r>
      <w:r>
        <w:rPr>
          <w:b/>
        </w:rPr>
        <w:t xml:space="preserve">DOI: </w:t>
      </w:r>
      <w:hyperlink r:id="rId931">
        <w:r>
          <w:rPr>
            <w:color w:val="1155CC"/>
            <w:u w:val="single"/>
          </w:rPr>
          <w:t>10.1002/anie.7337664</w:t>
        </w:r>
      </w:hyperlink>
    </w:p>
    <w:p>
      <w:pPr>
        <w:spacing w:before="0" w:after="80" w:lineRule="auto" w:line="276"/>
      </w:pPr>
      <w:r>
        <w:rPr>
          <w:b/>
        </w:rPr>
        <w:t xml:space="preserve">摘要（ZH）: </w:t>
      </w:r>
      <w:r>
        <w:t>(empty)</w:t>
      </w:r>
    </w:p>
    <w:p>
      <w:pPr>
        <w:spacing w:before="0" w:after="200" w:lineRule="auto" w:line="276"/>
      </w:pPr>
      <w:r>
        <w:rPr>
          <w:b/>
        </w:rPr>
        <w:t xml:space="preserve">Abstract (EN): </w:t>
      </w:r>
      <w:r>
        <w:t>Near-infrared (NIR)-II fluorescence imaging at 1000-1700 nm is widely used for deep-tissue visualisation and disease theranostics in the brain, with NIR-II theranostics greatly improving imaging resolution, imaging depth, and therapeutic efficacy. However, the extreme lack of molecular design in NIR-II fluorophores has slowed the discovery of bright candidates and restricted their efficacious application in brain theranostics. Here, we develop a covalent bond locking (CBL) strategy that enables the feasible design of bright NIR-II fluorophores by effectively restricting the twisted intramolecular charge transfer state. These spirofluorophores incorporate terminally spiro-donor groups, which leads to a higher molar extinction coefficient and improved quantum yield than non-spirofluorophores do. With bright and stable NIR-II fluorescence advantages, we demonstrate that CBL nanoparticles (NPs) of spirofluorophores achieve multiscale high-resolution NIR-II angiography via one-photon fluorescence and two-photon fluorescence bioimaging simultaneously. With apolipoprotein E (ApoE) modification, CBL@ApoE NPs achieve enhanced blood-brain barrier permeability, facilitating superior brain glioma theranostics. This work proposes a CBL strategy to engineer highly bright NIR-II fluorescent fluorophores, providing a reliable nanoplatform for deep brain theranostics that can be effectively delivered across biological barriers to target brain tumors.</w:t>
      </w:r>
    </w:p>
    <w:p>
      <w:pPr>
        <w:spacing w:before="120" w:after="120"/>
      </w:pPr>
      <w:r>
        <w:rPr>
          <w:sz w:val="18"/>
        </w:rPr>
        <w:t>——————————————————————————————————————————————————————————————————————</w:t>
      </w:r>
    </w:p>
    <w:p>
      <w:pPr>
        <w:spacing w:before="160" w:after="40" w:line="240" w:lineRule="auto"/>
      </w:pPr>
      <w:r>
        <w:rPr>
          <w:b/>
        </w:rPr>
        <w:t xml:space="preserve">[431] </w:t>
      </w:r>
      <w:hyperlink r:id="rId932">
        <w:r>
          <w:rPr>
            <w:color w:val="1155CC"/>
            <w:u w:val="single"/>
          </w:rPr>
          <w:t>T‐Shaped Stannyliumylidene Ion: Synthesis, Reactivity, and Redox Catalysis</w:t>
        </w:r>
      </w:hyperlink>
    </w:p>
    <w:p>
      <w:pPr>
        <w:spacing w:before="0" w:after="120"/>
      </w:pPr>
      <w:r>
        <w:rPr>
          <w:b/>
        </w:rPr>
        <w:t xml:space="preserve">Source: </w:t>
      </w:r>
      <w:r>
        <w:t>Wiley: Angewandte Chemie International Edition: Table of Contents</w:t>
      </w:r>
      <w:r>
        <w:t xml:space="preserve">    </w:t>
      </w:r>
      <w:r>
        <w:rPr>
          <w:b/>
        </w:rPr>
        <w:t xml:space="preserve">Pub date: </w:t>
      </w:r>
      <w:r>
        <w:t>2026-02-27 11:43:06+00:00</w:t>
      </w:r>
      <w:r>
        <w:t xml:space="preserve">    </w:t>
      </w:r>
      <w:r>
        <w:rPr>
          <w:b/>
        </w:rPr>
        <w:t xml:space="preserve">DOI: </w:t>
      </w:r>
      <w:hyperlink r:id="rId933">
        <w:r>
          <w:rPr>
            <w:color w:val="1155CC"/>
            <w:u w:val="single"/>
          </w:rPr>
          <w:t>10.1002/anie.7786614</w:t>
        </w:r>
      </w:hyperlink>
    </w:p>
    <w:p>
      <w:pPr>
        <w:spacing w:before="0" w:after="80" w:lineRule="auto" w:line="276"/>
      </w:pPr>
      <w:r>
        <w:rPr>
          <w:b/>
        </w:rPr>
        <w:t xml:space="preserve">摘要（ZH）: </w:t>
      </w:r>
      <w:r>
        <w:t>(empty)</w:t>
      </w:r>
    </w:p>
    <w:p>
      <w:pPr>
        <w:spacing w:before="0" w:after="200" w:lineRule="auto" w:line="276"/>
      </w:pPr>
      <w:r>
        <w:rPr>
          <w:b/>
        </w:rPr>
        <w:t xml:space="preserve">Abstract (EN): </w:t>
      </w:r>
      <w:r>
        <w:t>We report the synthesis and characterization of a T-shaped, 8-electron stannyliumylidene ion bearing a rigid acridane-based pincer ligand. This cationic Sn(II) complex exhibits pronounced ambiphilic reactivity, participating in electrophilic, nucleophilic, and σ-bond activation reactions. All derived compounds were characterized by nuclear magnetic resonance spectroscopy, single crystal x-ray diffraction analysis, and high-resolution mass spectrometry. Density functional theory calculations reveal the coexistence of a lone pair of electrons and a vacant 5p-orbital at the tin center, which rationalizes the experimentally observed dual reactivity. Remarkably, the transition metal-like electronic structure enables this organotin(II) species to act as an efficient catalyst for transfer hydrogenation of azoarenes and imines using NH3BH3 as hydrogen source. Combined experimental and computational mechanistic studies reveal a distinct catalytic platform based on Sn(II)/Sn(IV) redox cycle at a single tin(II) center. This work demonstrates the first Sn(II)/Sn(IV) catalyzed reduction of unsaturated bonds, offering a paradigm for mimicking transition metal reactivity through rationally designed main group systems in mediating diverse chemical transformations.</w:t>
      </w:r>
    </w:p>
    <w:p>
      <w:pPr>
        <w:spacing w:before="120" w:after="120"/>
      </w:pPr>
      <w:r>
        <w:rPr>
          <w:sz w:val="18"/>
        </w:rPr>
        <w:t>——————————————————————————————————————————————————————————————————————</w:t>
      </w:r>
    </w:p>
    <w:p>
      <w:pPr>
        <w:spacing w:before="160" w:after="40" w:line="240" w:lineRule="auto"/>
      </w:pPr>
      <w:r>
        <w:rPr>
          <w:b/>
        </w:rPr>
        <w:t xml:space="preserve">[432] </w:t>
      </w:r>
      <w:hyperlink r:id="rId934">
        <w:r>
          <w:rPr>
            <w:color w:val="1155CC"/>
            <w:u w:val="single"/>
          </w:rPr>
          <w:t>Chiral Supramolecular Hydrogen Bonding Networks for Enantio‐Selective Catalysis Against Neuroinflammation</w:t>
        </w:r>
      </w:hyperlink>
    </w:p>
    <w:p>
      <w:pPr>
        <w:spacing w:before="0" w:after="120"/>
      </w:pPr>
      <w:r>
        <w:rPr>
          <w:b/>
        </w:rPr>
        <w:t xml:space="preserve">Source: </w:t>
      </w:r>
      <w:r>
        <w:t>Wiley: Angewandte Chemie International Edition: Table of Contents</w:t>
      </w:r>
      <w:r>
        <w:t xml:space="preserve">    </w:t>
      </w:r>
      <w:r>
        <w:rPr>
          <w:b/>
        </w:rPr>
        <w:t xml:space="preserve">Pub date: </w:t>
      </w:r>
      <w:r>
        <w:t>2026-02-27 11:48:22+00:00</w:t>
      </w:r>
      <w:r>
        <w:t xml:space="preserve">    </w:t>
      </w:r>
      <w:r>
        <w:rPr>
          <w:b/>
        </w:rPr>
        <w:t xml:space="preserve">DOI: </w:t>
      </w:r>
      <w:hyperlink r:id="rId935">
        <w:r>
          <w:rPr>
            <w:color w:val="1155CC"/>
            <w:u w:val="single"/>
          </w:rPr>
          <w:t>10.1002/anie.4720702</w:t>
        </w:r>
      </w:hyperlink>
    </w:p>
    <w:p>
      <w:pPr>
        <w:spacing w:before="0" w:after="80" w:lineRule="auto" w:line="276"/>
      </w:pPr>
      <w:r>
        <w:rPr>
          <w:b/>
        </w:rPr>
        <w:t xml:space="preserve">摘要（ZH）: </w:t>
      </w:r>
      <w:r>
        <w:t>(empty)</w:t>
      </w:r>
    </w:p>
    <w:p>
      <w:pPr>
        <w:spacing w:before="0" w:after="200" w:lineRule="auto" w:line="276"/>
      </w:pPr>
      <w:r>
        <w:rPr>
          <w:b/>
        </w:rPr>
        <w:t xml:space="preserve">Abstract (EN): </w:t>
      </w:r>
      <w:r>
        <w:t>Non-covalent interactions are critical for regulating protein stability, reshaping catalytic active sites, and facilitating enzymatic reactions. Introducing these interactions into reticular materials offers a new approach to constructing artificial enzymes and more closely mimicking the catalytic microenvironment. Herein, a pair of chiral hydrogen-bonded organic frameworks (LHOF and DHOF) has been constructed, and their unique crystal structures have been determined. These porous chiral HOFs act as substrate enrichment pockets, active cavities, and possess aldolase-like activity, which can catalyze the asymmetric synthesis of the enantiomeric bioactive molecule, 3-hydroxy-1,5-diphenyl-1-pehtanone. Compared to the right-handed enantiomer, the left-handed compound shows superior reactive oxygen species (ROS) scavenging capability in an LPS-induced inflammatory model. Further studies demonstrate that the anti-neuroinflammatory effect of this chiral product can reverse microglia phenotype, thereby enhancing their Aβ phagocytosis and alleviating Alzheimer's disease symptoms in the 3×Tg-AD mouse model. Thus, introduction of non-covalent interactions into reticular materials enhances enzyme-mimicking technology and offers new insights into enantioselective in vivo catalysis. This work provides a new paradigm for developing bioinspired materials chemistry and exploring their applications in enantioselective biomimetic catalysis.</w:t>
      </w:r>
    </w:p>
    <w:p>
      <w:pPr>
        <w:spacing w:before="120" w:after="120"/>
      </w:pPr>
      <w:r>
        <w:rPr>
          <w:sz w:val="18"/>
        </w:rPr>
        <w:t>——————————————————————————————————————————————————————————————————————</w:t>
      </w:r>
    </w:p>
    <w:p>
      <w:pPr>
        <w:spacing w:before="160" w:after="40" w:line="240" w:lineRule="auto"/>
      </w:pPr>
      <w:r>
        <w:rPr>
          <w:b/>
        </w:rPr>
        <w:t xml:space="preserve">[433] </w:t>
      </w:r>
      <w:hyperlink r:id="rId936">
        <w:r>
          <w:rPr>
            <w:color w:val="1155CC"/>
            <w:u w:val="single"/>
          </w:rPr>
          <w:t>Rational Construction and Modulation of Built‐In Electric Field for High‐Efficiency Alkali Metal‐Based Batteries</w:t>
        </w:r>
      </w:hyperlink>
    </w:p>
    <w:p>
      <w:pPr>
        <w:spacing w:before="0" w:after="120"/>
      </w:pPr>
      <w:r>
        <w:rPr>
          <w:b/>
        </w:rPr>
        <w:t xml:space="preserve">Source: </w:t>
      </w:r>
      <w:r>
        <w:t>Wiley: Angewandte Chemie International Edition: Table of Contents</w:t>
      </w:r>
      <w:r>
        <w:t xml:space="preserve">    </w:t>
      </w:r>
      <w:r>
        <w:rPr>
          <w:b/>
        </w:rPr>
        <w:t xml:space="preserve">Pub date: </w:t>
      </w:r>
      <w:r>
        <w:t>2026-02-27 11:55:49+00:00</w:t>
      </w:r>
      <w:r>
        <w:t xml:space="preserve">    </w:t>
      </w:r>
      <w:r>
        <w:rPr>
          <w:b/>
        </w:rPr>
        <w:t xml:space="preserve">DOI: </w:t>
      </w:r>
      <w:hyperlink r:id="rId937">
        <w:r>
          <w:rPr>
            <w:color w:val="1155CC"/>
            <w:u w:val="single"/>
          </w:rPr>
          <w:t>10.1002/anie.6795880</w:t>
        </w:r>
      </w:hyperlink>
    </w:p>
    <w:p>
      <w:pPr>
        <w:spacing w:before="0" w:after="80" w:lineRule="auto" w:line="276"/>
      </w:pPr>
      <w:r>
        <w:rPr>
          <w:b/>
        </w:rPr>
        <w:t xml:space="preserve">摘要（ZH）: </w:t>
      </w:r>
      <w:r>
        <w:t>(empty)</w:t>
      </w:r>
    </w:p>
    <w:p>
      <w:pPr>
        <w:spacing w:before="0" w:after="200" w:lineRule="auto" w:line="276"/>
      </w:pPr>
      <w:r>
        <w:rPr>
          <w:b/>
        </w:rPr>
        <w:t xml:space="preserve">Abstract (EN): </w:t>
      </w:r>
      <w:r>
        <w:t>With the large-scale adoption of electric vehicles and the ongoing integration of renewable energy into the grid, the development of high-performance alkali metal-based batteries (AMBs) has become increasingly important. However, AMBs still face several challenges, such as limited energy density, insufficient rate capability, and short cycle life, which mainly stem from sluggish ionic diffusion kinetics and unstable electrode structural evolution. In recent years, built-in electric field (BIEF) engineering has attracted extensive attention as an effective strategy to enhance battery energy storage performance by regulating the microstructure of materials. This review begins with the key challenges currently faced by AMBs, systematically analyzes the potential of BIEF in addressing these issues, and elaborates on the fundamental principles, evaluation methods, and construction strategies of BIEF. Furthermore, the latest research progress on BIEF engineering for improving the electrochemical activity, reaction kinetics, and cycling stability of AMBs is summarized. Finally, future research directions in BIEF engineering are discussed, providing new insights for designing high-performance AMBs with tunable built-in electric fields.</w:t>
      </w:r>
    </w:p>
    <w:p>
      <w:pPr>
        <w:spacing w:before="120" w:after="120"/>
      </w:pPr>
      <w:r>
        <w:rPr>
          <w:sz w:val="18"/>
        </w:rPr>
        <w:t>——————————————————————————————————————————————————————————————————————</w:t>
      </w:r>
    </w:p>
    <w:p>
      <w:pPr>
        <w:spacing w:before="160" w:after="40" w:line="240" w:lineRule="auto"/>
      </w:pPr>
      <w:r>
        <w:rPr>
          <w:b/>
        </w:rPr>
        <w:t xml:space="preserve">[434] </w:t>
      </w:r>
      <w:hyperlink r:id="rId938">
        <w:r>
          <w:rPr>
            <w:color w:val="1155CC"/>
            <w:u w:val="single"/>
          </w:rPr>
          <w:t>Machine Learning‐Informed Nano Co‐Assembly Inhibits Fibroblast Activation Protein and Improves Drug Delivery in Fibrotic Tissue</w:t>
        </w:r>
      </w:hyperlink>
    </w:p>
    <w:p>
      <w:pPr>
        <w:spacing w:before="0" w:after="120"/>
      </w:pPr>
      <w:r>
        <w:rPr>
          <w:b/>
        </w:rPr>
        <w:t xml:space="preserve">Source: </w:t>
      </w:r>
      <w:r>
        <w:t>Wiley: Advanced Materials: Table of Contents</w:t>
      </w:r>
      <w:r>
        <w:t xml:space="preserve">    </w:t>
      </w:r>
      <w:r>
        <w:rPr>
          <w:b/>
        </w:rPr>
        <w:t xml:space="preserve">Pub date: </w:t>
      </w:r>
      <w:r>
        <w:t>2026-02-27 12:00:13+00:00</w:t>
      </w:r>
      <w:r>
        <w:t xml:space="preserve">    </w:t>
      </w:r>
      <w:r>
        <w:rPr>
          <w:b/>
        </w:rPr>
        <w:t xml:space="preserve">DOI: </w:t>
      </w:r>
      <w:hyperlink r:id="rId939">
        <w:r>
          <w:rPr>
            <w:color w:val="1155CC"/>
            <w:u w:val="single"/>
          </w:rPr>
          <w:t>10.1002/adma.202519805</w:t>
        </w:r>
      </w:hyperlink>
    </w:p>
    <w:p>
      <w:pPr>
        <w:spacing w:before="0" w:after="80" w:lineRule="auto" w:line="276"/>
      </w:pPr>
      <w:r>
        <w:rPr>
          <w:b/>
        </w:rPr>
        <w:t xml:space="preserve">摘要（ZH）: </w:t>
      </w:r>
      <w:r>
        <w:t>(empty)</w:t>
      </w:r>
    </w:p>
    <w:p>
      <w:pPr>
        <w:spacing w:before="0" w:after="200" w:lineRule="auto" w:line="276"/>
      </w:pPr>
      <w:r>
        <w:rPr>
          <w:b/>
        </w:rPr>
        <w:t xml:space="preserve">Abstract (EN): </w:t>
      </w:r>
      <w:r>
        <w:t>Nanoparticle-based drug delivery faces persistent challenges, including complex fabrication processes and limited lesional accumulation. Here we introduce SP-13786 (SP), a precise small-molecule inhibitor of fibroblast activation protein (FAP), as a universal and effective excipient enabling facile co-precipitation into stable nanoparticles (SCAN) with diverse hydrophobic drugs. Screening of 861 compounds revealed a broadly enhanced colloidal stability and drug loading by SP. Corresponding simulations and explainable machine learning (XML) showed SCAN assembly hinges on balanced aromaticity, rigidity, and nitrogen-mediated interaction, offering interpretable framework for co-assembly nanomedicine. Biological assessment demonstrate that SCAN enhances drug delivery and therapeutic efficacy in FAP-positive cells, therefore attentuate the fibrosis-induced drug penetration barriers, increasing drug accumulation within the fibrotic tissue. The improved bioavailability correlate with superior therapeutic outcomes in multiple disease models with progressive fibrosis. Overall, we establish SP as a versatile nanotherapeutic platform combining simplicity in preparation, mechanistic insights provided by XML, and broad applicability for diseases characterized by pathological fibrosis and impaired drug delivery.</w:t>
      </w:r>
    </w:p>
    <w:p>
      <w:pPr>
        <w:spacing w:before="120" w:after="120"/>
      </w:pPr>
      <w:r>
        <w:rPr>
          <w:sz w:val="18"/>
        </w:rPr>
        <w:t>——————————————————————————————————————————————————————————————————————</w:t>
      </w:r>
    </w:p>
    <w:p>
      <w:pPr>
        <w:spacing w:before="160" w:after="40" w:line="240" w:lineRule="auto"/>
      </w:pPr>
      <w:r>
        <w:rPr>
          <w:b/>
        </w:rPr>
        <w:t xml:space="preserve">[435] </w:t>
      </w:r>
      <w:hyperlink r:id="rId940">
        <w:r>
          <w:rPr>
            <w:color w:val="1155CC"/>
            <w:u w:val="single"/>
          </w:rPr>
          <w:t>[ASAP] Vicinal Dicarbonyl Reprogramming via Molybdenum-Catalyzed Formal C(O)–C(O) Bond Cleavage</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12:13:12+00:00</w:t>
      </w:r>
      <w:r>
        <w:t xml:space="preserve">    </w:t>
      </w:r>
      <w:r>
        <w:rPr>
          <w:b/>
        </w:rPr>
        <w:t xml:space="preserve">DOI: </w:t>
      </w:r>
      <w:hyperlink r:id="rId941">
        <w:r>
          <w:rPr>
            <w:color w:val="1155CC"/>
            <w:u w:val="single"/>
          </w:rPr>
          <w:t>10.1021/jacs.6c00571</w:t>
        </w:r>
      </w:hyperlink>
    </w:p>
    <w:p>
      <w:pPr>
        <w:spacing w:before="0" w:after="80" w:lineRule="auto" w:line="276"/>
      </w:pPr>
      <w:r>
        <w:rPr>
          <w:b/>
        </w:rPr>
        <w:t xml:space="preserve">摘要（ZH）: </w:t>
      </w:r>
      <w:r>
        <w:t>(empty)</w:t>
      </w:r>
    </w:p>
    <w:p>
      <w:pPr>
        <w:spacing w:before="0" w:after="200" w:lineRule="auto" w:line="276"/>
      </w:pPr>
      <w:r>
        <w:rPr>
          <w:b/>
        </w:rPr>
        <w:t xml:space="preserve">Abstract (EN): </w:t>
      </w:r>
      <w:r>
        <w:t>Efficient C-C bond activation and transformation methods provide powerful strategies for constructing organic molecular frameworks. However, the development of general and efficient transition-metal-catalyzed C-C bond activation strategies remains a significant challenge. Herein, we report a molybdenum catalytic strategy for efficient and enantioselective formal C(O)-C(O) bond cleavage and recombination, thus reprogramming vicinal dicarbonyls to 1,4-dicarbonyls. Enabled by a powerful Mo-catalytic platform, the reactions proceeded with generally good yields, good regioselectivity, and excellent diastereoselectivity. Mechanistic studies suggested that a Mo-catalyzed stepwise radical [2 + 2] cycloaddition pathway was plausibly involved in the intramolecular formal C(O)-C(O) bond cleavage reaction. Furthermore, an array of chiral 1,4-dicarbonyl products was obtained with good enantioselectivity and excellent diastereoselectivity when a simple chiral salan-Mo catalyst was used as the chiral catalyst. This strategy not only offers an efficient catalytic platform for vicinal dicarbonyl reprogramming but also opens new avenues for the applications of chiral salan-Mo complexes in asymmetric catalysis.</w:t>
      </w:r>
    </w:p>
    <w:p>
      <w:pPr>
        <w:spacing w:before="120" w:after="120"/>
      </w:pPr>
      <w:r>
        <w:rPr>
          <w:sz w:val="18"/>
        </w:rPr>
        <w:t>——————————————————————————————————————————————————————————————————————</w:t>
      </w:r>
    </w:p>
    <w:p>
      <w:pPr>
        <w:spacing w:before="160" w:after="40" w:line="240" w:lineRule="auto"/>
      </w:pPr>
      <w:r>
        <w:rPr>
          <w:b/>
        </w:rPr>
        <w:t xml:space="preserve">[436] </w:t>
      </w:r>
      <w:hyperlink r:id="rId942">
        <w:r>
          <w:rPr>
            <w:color w:val="1155CC"/>
            <w:u w:val="single"/>
          </w:rPr>
          <w:t>Functional Polymer Synthesis From CO, CO2, and Butadiene</w:t>
        </w:r>
      </w:hyperlink>
    </w:p>
    <w:p>
      <w:pPr>
        <w:spacing w:before="0" w:after="120"/>
      </w:pPr>
      <w:r>
        <w:rPr>
          <w:b/>
        </w:rPr>
        <w:t xml:space="preserve">Source: </w:t>
      </w:r>
      <w:r>
        <w:t>Wiley: Angewandte Chemie International Edition: Table of Contents</w:t>
      </w:r>
      <w:r>
        <w:t xml:space="preserve">    </w:t>
      </w:r>
      <w:r>
        <w:rPr>
          <w:b/>
        </w:rPr>
        <w:t xml:space="preserve">Pub date: </w:t>
      </w:r>
      <w:r>
        <w:t>2026-02-27 12:18:00+00:00</w:t>
      </w:r>
      <w:r>
        <w:t xml:space="preserve">    </w:t>
      </w:r>
      <w:r>
        <w:rPr>
          <w:b/>
        </w:rPr>
        <w:t xml:space="preserve">DOI: </w:t>
      </w:r>
      <w:hyperlink r:id="rId943">
        <w:r>
          <w:rPr>
            <w:color w:val="1155CC"/>
            <w:u w:val="single"/>
          </w:rPr>
          <w:t>10.1002/anie.6906738</w:t>
        </w:r>
      </w:hyperlink>
    </w:p>
    <w:p>
      <w:pPr>
        <w:spacing w:before="0" w:after="80" w:lineRule="auto" w:line="276"/>
      </w:pPr>
      <w:r>
        <w:rPr>
          <w:b/>
        </w:rPr>
        <w:t xml:space="preserve">摘要（ZH）: </w:t>
      </w:r>
      <w:r>
        <w:t>(empty)</w:t>
      </w:r>
    </w:p>
    <w:p>
      <w:pPr>
        <w:spacing w:before="0" w:after="200" w:lineRule="auto" w:line="276"/>
      </w:pPr>
      <w:r>
        <w:rPr>
          <w:b/>
        </w:rPr>
        <w:t xml:space="preserve">Abstract (EN): </w:t>
      </w:r>
      <w:r>
        <w:t>Carbon dioxide (CO2) and carbon monoxide (CO) are among the most abundant, renewable C1 building blocks that have been widely used to synthesize sustainable polymers. However, their markedly different thermodynamic profiles have precluded their simultaneous incorporation into a single polymer. Here we report a novel reaction strategy for the selective construction of formal CO/CO2/butadiene terpolymers in a 1:1:2 molar ratio. This protocol involves the Pd-catalyzed telomerization of CO2 with butadiene to form a lactone-based intermediate (EVP), followed by its catalytic alternating copolymerization with CO, affording functional polyketones bearing pendent unsaturated lactone side groups in high yields. Notably, both the ketone and lactone functionalities within the functional polymers can be quantitatively reduced to hydroxyl groups using sodium borohydride (NaBH4) at room temperature. The obtained multi-hydroxy functionalized polymer exhibits strong adhesion to common substrates (adhesion strength up to 10.13 MPa on wood) together with desirable oxidative degradability.</w:t>
      </w:r>
    </w:p>
    <w:p>
      <w:pPr>
        <w:spacing w:before="120" w:after="120"/>
      </w:pPr>
      <w:r>
        <w:rPr>
          <w:sz w:val="18"/>
        </w:rPr>
        <w:t>——————————————————————————————————————————————————————————————————————</w:t>
      </w:r>
    </w:p>
    <w:p>
      <w:pPr>
        <w:spacing w:before="160" w:after="40" w:line="240" w:lineRule="auto"/>
      </w:pPr>
      <w:r>
        <w:rPr>
          <w:b/>
        </w:rPr>
        <w:t xml:space="preserve">[437] </w:t>
      </w:r>
      <w:hyperlink r:id="rId944">
        <w:r>
          <w:rPr>
            <w:color w:val="1155CC"/>
            <w:u w:val="single"/>
          </w:rPr>
          <w:t>[ASAP] Co-Translational Incorporation of (R)- and (S)-β2-Hydroxyacids In Vivo: Directed Evolution of Efficient Aminoacyl-tRNA Synthetases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12:23:14+00:00</w:t>
      </w:r>
      <w:r>
        <w:t xml:space="preserve">    </w:t>
      </w:r>
      <w:r>
        <w:rPr>
          <w:b/>
        </w:rPr>
        <w:t xml:space="preserve">DOI: </w:t>
      </w:r>
      <w:hyperlink r:id="rId945">
        <w:r>
          <w:rPr>
            <w:color w:val="1155CC"/>
            <w:u w:val="single"/>
          </w:rPr>
          <w:t>10.1021/jacs.5c18595</w:t>
        </w:r>
      </w:hyperlink>
    </w:p>
    <w:p>
      <w:pPr>
        <w:spacing w:before="0" w:after="80" w:lineRule="auto" w:line="276"/>
      </w:pPr>
      <w:r>
        <w:rPr>
          <w:b/>
        </w:rPr>
        <w:t xml:space="preserve">摘要（ZH）: </w:t>
      </w:r>
      <w:r>
        <w:t>(empty)</w:t>
      </w:r>
    </w:p>
    <w:p>
      <w:pPr>
        <w:spacing w:before="0" w:after="200" w:lineRule="auto" w:line="276"/>
      </w:pPr>
      <w:r>
        <w:rPr>
          <w:b/>
        </w:rPr>
        <w:t xml:space="preserve">Abstract (EN): </w:t>
      </w:r>
      <w:r>
        <w:t>Expanding the genetic code of living cells with noncanonical monomers (ncMs) relies on engineered aminoacyl-tRNA synthetases (aaRS) and their cognate tRNAs. Conventional aaRS engineering strategies rely on translation-dependent selection systems, limiting their utility for ncMs that are poorly accommodated by the native translational machinery. To address this limitation, we recently developed START, a translation-independent platform that selects Methanomethylophilus alvus pyrrolysyl-synthetase (MaPylRS) mutants based on their ability to acylate cognate tRNAMaPyl. START uses barcoded tRNAs to encode the identity of distinct aaRS mutants in a library. Acylation by active aaRS mutants protects the corresponding tRNAs from periodate oxidation, and their identity is retrieved subsequently through sequencing. START was previously applied to genetically encode noncanonical α-amino acids. Here, we successfully applied START to engineer MaPylRS mutants capable of acylating tRNAMaPyl with diverse non-α-amino acid substrates with good efficiency and fidelity, including (R) and (S) enantiomers of a β2-hydroxy acid, a β2-amino acids, and a malonate. Several mutants exhibit notable polyspecificity across noncanonical backbones while maintaining selectivity against their α-amino acid counterparts. Using these novel enzymes, we demonstrate the ribosomal incorporation of both (R)- and (S)-β2-hydroxy acids into a luciferase reporter protein expressed in Escherichia coli with good efficiency and fidelity. These results imply that highly active engineered aaRS/tRNA pairs can overcome the recently established limitations of EF-Tu with respect to non-α-amino acid substrates. The engineered MaPylRS mutants also enabled the successful incorporation of both (R)- and (S)-β2-hydroxy acids into a protein expressed in mammalian cells, demonstrating for the first time that eukaryotic translation can accommodate non-α-backbones.</w:t>
      </w:r>
    </w:p>
    <w:p>
      <w:pPr>
        <w:spacing w:before="120" w:after="120"/>
      </w:pPr>
      <w:r>
        <w:rPr>
          <w:sz w:val="18"/>
        </w:rPr>
        <w:t>——————————————————————————————————————————————————————————————————————</w:t>
      </w:r>
    </w:p>
    <w:p>
      <w:pPr>
        <w:spacing w:before="160" w:after="40" w:line="240" w:lineRule="auto"/>
      </w:pPr>
      <w:r>
        <w:rPr>
          <w:b/>
        </w:rPr>
        <w:t xml:space="preserve">[438] </w:t>
      </w:r>
      <w:hyperlink r:id="rId946">
        <w:r>
          <w:rPr>
            <w:color w:val="1155CC"/>
            <w:u w:val="single"/>
          </w:rPr>
          <w:t>[ASAP] Co-Translational Incorporation of (R)- and (S)-β2-Hydroxy Acids In Vitro: A Structural and Biochemical Study on the E. coli Ribosome</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12:23:50+00:00</w:t>
      </w:r>
      <w:r>
        <w:t xml:space="preserve">    </w:t>
      </w:r>
      <w:r>
        <w:rPr>
          <w:b/>
        </w:rPr>
        <w:t xml:space="preserve">DOI: </w:t>
      </w:r>
      <w:hyperlink r:id="rId947">
        <w:r>
          <w:rPr>
            <w:color w:val="1155CC"/>
            <w:u w:val="single"/>
          </w:rPr>
          <w:t>10.1021/jacs.5c18603</w:t>
        </w:r>
      </w:hyperlink>
    </w:p>
    <w:p>
      <w:pPr>
        <w:spacing w:before="0" w:after="80" w:lineRule="auto" w:line="276"/>
      </w:pPr>
      <w:r>
        <w:rPr>
          <w:b/>
        </w:rPr>
        <w:t xml:space="preserve">摘要（ZH）: </w:t>
      </w:r>
      <w:r>
        <w:t>(empty)</w:t>
      </w:r>
    </w:p>
    <w:p>
      <w:pPr>
        <w:spacing w:before="0" w:after="200" w:lineRule="auto" w:line="276"/>
      </w:pPr>
      <w:r>
        <w:rPr>
          <w:b/>
        </w:rPr>
        <w:t xml:space="preserve">Abstract (EN): </w:t>
      </w:r>
      <w:r>
        <w:t>Engineering the translation apparatus to accept backbone-modified amino acid analogues would enable the programmed synthesis of sequence-defined biopolymers with tunable properties. β-Hydroxy acids are of particular interest because they could support the programmed biosynthesis of both biocompatible polyester materials as well as natural product-like depsipeptides. Previous work has reported that both enantiomers of β2-hydroxy-Nε-Boc-lysine (β2-OH-BocK) are in vitro substrates for the orthogonal M. alvi pyrrolysyl-tRNA synthetase (PylRS)/tRNA pair, but only one enantiomer is introduced into protein in vivo. Here we make use of high-resolution cryogenic electron microscopy (cryo-EM) to determine the structural basis for this observation. These structures reveal both β2-OH-BocK isomers equally well-positioned within the ribosomal A site regardless of stereochemistry. Consistent with this observation, in vitro translation reactions charged with tRNAs acylated with (R)- or (S)-β2-OH-BocK produced roughly equal amounts of translated product when quantified on the basis of either mass spectrometry or luminescence. Together, these experiments imply that the substantial preferential in vivo incorporation of one enantiomer over the other observed previously results primarily from deficiencies in the steps that precede bond formation by the E. coli ribosome. Indeed, as predicted by this work and demonstrated in an accompanying paper (Soni, C. Co-Translational Incorporation of (R)- and (S)-β2-Hydroxyacids In Vivo: Directed Evolution of Efficient Aminoacyl-tRNA Synthetases. J. Am. Chem. Soc. 2026, 148, 10.1021/jacs.5c18595), when cells are provided with an active and orthogonal aminoacyl-tRNA synthetase/tRNA pair that accepts both (R)- and (S)-β2-OH-BocK as substrates, both monomers are introduced into protein in good yield and with high fidelity.</w:t>
      </w:r>
    </w:p>
    <w:p>
      <w:pPr>
        <w:spacing w:before="120" w:after="120"/>
      </w:pPr>
      <w:r>
        <w:rPr>
          <w:sz w:val="18"/>
        </w:rPr>
        <w:t>——————————————————————————————————————————————————————————————————————</w:t>
      </w:r>
    </w:p>
    <w:p>
      <w:pPr>
        <w:spacing w:before="160" w:after="40" w:line="240" w:lineRule="auto"/>
      </w:pPr>
      <w:r>
        <w:rPr>
          <w:b/>
        </w:rPr>
        <w:t xml:space="preserve">[439] </w:t>
      </w:r>
      <w:hyperlink r:id="rId948">
        <w:r>
          <w:rPr>
            <w:color w:val="1155CC"/>
            <w:u w:val="single"/>
          </w:rPr>
          <w:t>[ASAP] Divergent Asymmetric Synthesis of Four Pentacyclic Homoproaporphine Alkaloids via C–H Elaboration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12:24:13+00:00</w:t>
      </w:r>
      <w:r>
        <w:t xml:space="preserve">    </w:t>
      </w:r>
      <w:r>
        <w:rPr>
          <w:b/>
        </w:rPr>
        <w:t xml:space="preserve">DOI: </w:t>
      </w:r>
      <w:hyperlink r:id="rId949">
        <w:r>
          <w:rPr>
            <w:color w:val="1155CC"/>
            <w:u w:val="single"/>
          </w:rPr>
          <w:t>10.1021/jacs.6c00213</w:t>
        </w:r>
      </w:hyperlink>
    </w:p>
    <w:p>
      <w:pPr>
        <w:spacing w:before="0" w:after="80" w:lineRule="auto" w:line="276"/>
      </w:pPr>
      <w:r>
        <w:rPr>
          <w:b/>
        </w:rPr>
        <w:t xml:space="preserve">摘要（ZH）: </w:t>
      </w:r>
      <w:r>
        <w:t>(empty)</w:t>
      </w:r>
    </w:p>
    <w:p>
      <w:pPr>
        <w:spacing w:before="0" w:after="200" w:lineRule="auto" w:line="276"/>
      </w:pPr>
      <w:r>
        <w:rPr>
          <w:b/>
        </w:rPr>
        <w:t xml:space="preserve">Abstract (EN): </w:t>
      </w:r>
      <w:r>
        <w:t>Pentacyclic homoproaporphine alkaloids, which contain a [6/6/6/6/6]-spiro-bridged framework and multiple stereocenters, present synthetic challenges. Here, we report a divergent synthesis of four pentacyclic homoproaporphine alkaloids, (-)-robustamine, (-)-robustamine cis-N-oxide, (+)-regelinine, and (+)-regeline, through sequential C-H elaboration that proceeds via a two-stage cyclization-functionalization strategy. The first stage of the synthetic strategy is the efficient construction of the [6/6/6/6]-tetracyclic core framework via two sequential Csp2-H cyclizations. The second stage is precise regulation of the backbone stereochemical diversity through a series of Csp3-H functionalization steps, including a locally desymmetrizing spirocarbocyclic ketone transposition, tunable Csp3-H oxidation at C11, and stereoselective Csp3-H epimerization at C6a. This work establishes a practical C-H elaboration platform that enables concise access to structurally complex natural product architectures.</w:t>
      </w:r>
    </w:p>
    <w:p>
      <w:pPr>
        <w:spacing w:before="120" w:after="120"/>
      </w:pPr>
      <w:r>
        <w:rPr>
          <w:sz w:val="18"/>
        </w:rPr>
        <w:t>——————————————————————————————————————————————————————————————————————</w:t>
      </w:r>
    </w:p>
    <w:p>
      <w:pPr>
        <w:spacing w:before="160" w:after="40" w:line="240" w:lineRule="auto"/>
      </w:pPr>
      <w:r>
        <w:rPr>
          <w:b/>
        </w:rPr>
        <w:t xml:space="preserve">[440] </w:t>
      </w:r>
      <w:hyperlink r:id="rId950">
        <w:r>
          <w:rPr>
            <w:color w:val="1155CC"/>
            <w:u w:val="single"/>
          </w:rPr>
          <w:t>Exsolved Alloy‐Perovskite Heterostructure Enables Efficient and Robust CH4‐CO2 Solid Oxide Fuel Cells</w:t>
        </w:r>
      </w:hyperlink>
    </w:p>
    <w:p>
      <w:pPr>
        <w:spacing w:before="0" w:after="120"/>
      </w:pPr>
      <w:r>
        <w:rPr>
          <w:b/>
        </w:rPr>
        <w:t xml:space="preserve">Source: </w:t>
      </w:r>
      <w:r>
        <w:t>Wiley: Advanced Energy Materials: Table of Contents</w:t>
      </w:r>
      <w:r>
        <w:t xml:space="preserve">    </w:t>
      </w:r>
      <w:r>
        <w:rPr>
          <w:b/>
        </w:rPr>
        <w:t xml:space="preserve">Pub date: </w:t>
      </w:r>
      <w:r>
        <w:t>2026-02-27 12:29:56+00:00</w:t>
      </w:r>
      <w:r>
        <w:t xml:space="preserve">    </w:t>
      </w:r>
      <w:r>
        <w:rPr>
          <w:b/>
        </w:rPr>
        <w:t xml:space="preserve">DOI: </w:t>
      </w:r>
      <w:hyperlink r:id="rId951">
        <w:r>
          <w:rPr>
            <w:color w:val="1155CC"/>
            <w:u w:val="single"/>
          </w:rPr>
          <w:t>10.1002/aenm.202505267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[441] </w:t>
      </w:r>
      <w:hyperlink r:id="rId952">
        <w:r>
          <w:rPr>
            <w:color w:val="1155CC"/>
            <w:u w:val="single"/>
          </w:rPr>
          <w:t>[ASAP] Direct Readout of Excited-State Lifetimes in Chlorin Chromophores under Electronic Strong Coupling</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12:31:05+00:00</w:t>
      </w:r>
      <w:r>
        <w:t xml:space="preserve">    </w:t>
      </w:r>
      <w:r>
        <w:rPr>
          <w:b/>
        </w:rPr>
        <w:t xml:space="preserve">DOI: </w:t>
      </w:r>
      <w:hyperlink r:id="rId953">
        <w:r>
          <w:rPr>
            <w:color w:val="1155CC"/>
            <w:u w:val="single"/>
          </w:rPr>
          <w:t>10.1021/jacs.5c21433</w:t>
        </w:r>
      </w:hyperlink>
    </w:p>
    <w:p>
      <w:pPr>
        <w:spacing w:before="0" w:after="80" w:lineRule="auto" w:line="276"/>
      </w:pPr>
      <w:r>
        <w:rPr>
          <w:b/>
        </w:rPr>
        <w:t xml:space="preserve">摘要（ZH）: </w:t>
      </w:r>
      <w:r>
        <w:t>(empty)</w:t>
      </w:r>
    </w:p>
    <w:p>
      <w:pPr>
        <w:spacing w:before="0" w:after="200" w:lineRule="auto" w:line="276"/>
      </w:pPr>
      <w:r>
        <w:rPr>
          <w:b/>
        </w:rPr>
        <w:t xml:space="preserve">Abstract (EN): </w:t>
      </w:r>
      <w:r>
        <w:t>The mechanisms governing molecular photophysics under electronic strong coupling (ESC) remain elusive to date. Here, we use ultrafast pump-probe spectroscopy to study the excited-state relaxation dynamics of chlorin e6 trimethyl ester (Ce6T) under strong coupling of its transition from the electronic ground state to the Qy band. Ce6T is a compelling testbed with which to address open questions about excited-state lifetimes under ESC given prior reports of cavity-altered behavior in chlorins. We use dichroic Fabry-Pérot cavities to provide a transparent spectral window in which we can directly track the excited-state population following the optical pumping of either the strongly-coupled Qy band or the higher-lying B band. This scheme circumvents many of the optical artifacts inherent in ultrafast cavity measurements and allows for facile comparison of strongly-coupled measurements with extracavity controls. We observe no significant changes in excited-state lifetimes for any optical pumping schemes or cavity-coupling conditions considered herein. These results suggest that Ce6T exhibits identical photophysics under ESC and in free space, presenting a new data point for benchmarking emerging theories for cavity photochemistry.</w:t>
      </w:r>
    </w:p>
    <w:p>
      <w:pPr>
        <w:spacing w:before="120" w:after="120"/>
      </w:pPr>
      <w:r>
        <w:rPr>
          <w:sz w:val="18"/>
        </w:rPr>
        <w:t>——————————————————————————————————————————————————————————————————————</w:t>
      </w:r>
    </w:p>
    <w:p>
      <w:pPr>
        <w:spacing w:before="160" w:after="40" w:line="240" w:lineRule="auto"/>
      </w:pPr>
      <w:r>
        <w:rPr>
          <w:b/>
        </w:rPr>
        <w:t xml:space="preserve">[442] </w:t>
      </w:r>
      <w:hyperlink r:id="rId954">
        <w:r>
          <w:rPr>
            <w:color w:val="1155CC"/>
            <w:u w:val="single"/>
          </w:rPr>
          <w:t>[ASAP] Adsorption-Driven Symmetry Lowering in Single Molecules Revealed by Ångstrom-Scale Tip-Enhanced Raman Imaging</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12:40:09+00:00</w:t>
      </w:r>
      <w:r>
        <w:t xml:space="preserve">    </w:t>
      </w:r>
      <w:r>
        <w:rPr>
          <w:b/>
        </w:rPr>
        <w:t xml:space="preserve">DOI: </w:t>
      </w:r>
      <w:hyperlink r:id="rId955">
        <w:r>
          <w:rPr>
            <w:color w:val="1155CC"/>
            <w:u w:val="single"/>
          </w:rPr>
          <w:t>10.1021/jacs.5c18593</w:t>
        </w:r>
      </w:hyperlink>
    </w:p>
    <w:p>
      <w:pPr>
        <w:spacing w:before="0" w:after="80" w:lineRule="auto" w:line="276"/>
      </w:pPr>
      <w:r>
        <w:rPr>
          <w:b/>
        </w:rPr>
        <w:t xml:space="preserve">摘要（ZH）: </w:t>
      </w:r>
      <w:r>
        <w:t>(empty)</w:t>
      </w:r>
    </w:p>
    <w:p>
      <w:pPr>
        <w:spacing w:before="0" w:after="200" w:lineRule="auto" w:line="276"/>
      </w:pPr>
      <w:r>
        <w:rPr>
          <w:b/>
        </w:rPr>
        <w:t xml:space="preserve">Abstract (EN): </w:t>
      </w:r>
      <w:r>
        <w:t>The vibrational landscape of adsorbed molecules is central to understanding surface interactions at the atomic scale, influencing phenomena from catalysis to molecular electronics. Recent advances in atomic-scale tip-enhanced Raman spectroscopy (TERS) have enabled vibrational mapping of single molecules with subnanometer spatial resolution, providing unprecedented insights into molecule-surface interactions by confining light in plasmonic picocavities. Here, we exploit TERS in a cryogenic scanning tunneling microscope junction to perform Raman hyperspectral mapping of single iron phthalocyanine (FePc) molecules in three nonequivalent adsorption configurations on Ag surfaces. We explore the changes in the vibrational modes of FePc molecules adsorbed on two distinct silver crystal terminations with differing symmetry, Ag(111) and Ag(110), revealing how subtle variations in the adsorption geometry due to substrate anisotropy can strongly influence molecular vibrations, lifting the degeneracy of individual normal modes. Our findings not only demonstrate the first use of subnanometer TERS mapping across different symmetry configurations but also provide a deeper understanding of how site-specific vibrational properties are intimately linked to local atomic environments. This capability paves the way for precisely tailoring surface interactions and controlling chemical reactions on the atomic scale.</w:t>
      </w:r>
    </w:p>
    <w:p>
      <w:pPr>
        <w:spacing w:before="120" w:after="120"/>
      </w:pPr>
      <w:r>
        <w:rPr>
          <w:sz w:val="18"/>
        </w:rPr>
        <w:t>——————————————————————————————————————————————————————————————————————</w:t>
      </w:r>
    </w:p>
    <w:p>
      <w:pPr>
        <w:spacing w:before="160" w:after="40" w:line="240" w:lineRule="auto"/>
      </w:pPr>
      <w:r>
        <w:rPr>
          <w:b/>
        </w:rPr>
        <w:t xml:space="preserve">[443] </w:t>
      </w:r>
      <w:hyperlink r:id="rId956">
        <w:r>
          <w:rPr>
            <w:color w:val="1155CC"/>
            <w:u w:val="single"/>
          </w:rPr>
          <w:t>[ASAP] Orthogonal Biosynthesis of Pyrrolamides through Dehydration by a Pathway-Specific Glycoside Hydrolase-Like Enzyme in Gram-Positive Bacteria</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13:53:22+00:00</w:t>
      </w:r>
      <w:r>
        <w:t xml:space="preserve">    </w:t>
      </w:r>
      <w:r>
        <w:rPr>
          <w:b/>
        </w:rPr>
        <w:t xml:space="preserve">DOI: </w:t>
      </w:r>
      <w:hyperlink r:id="rId957">
        <w:r>
          <w:rPr>
            <w:color w:val="1155CC"/>
            <w:u w:val="single"/>
          </w:rPr>
          <w:t>10.1021/jacs.5c23027</w:t>
        </w:r>
      </w:hyperlink>
    </w:p>
    <w:p>
      <w:pPr>
        <w:spacing w:before="0" w:after="80" w:lineRule="auto" w:line="276"/>
      </w:pPr>
      <w:r>
        <w:rPr>
          <w:b/>
        </w:rPr>
        <w:t xml:space="preserve">摘要（ZH）: </w:t>
      </w:r>
      <w:r>
        <w:t>(empty)</w:t>
      </w:r>
    </w:p>
    <w:p>
      <w:pPr>
        <w:spacing w:before="0" w:after="200" w:lineRule="auto" w:line="276"/>
      </w:pPr>
      <w:r>
        <w:rPr>
          <w:b/>
        </w:rPr>
        <w:t xml:space="preserve">Abstract (EN): </w:t>
      </w:r>
      <w:r>
        <w:t>Pyrrolamides, defined by a pyrrole-2-carboxamide core, represent a family of natural products produced by &lt;i&gt;Streptomyces&lt;/i&gt; species. They exhibit potent yet promiscuous bioactivities, including antimicrobial, antifungal, antiviral, and anticancer effects. The characteristic pyrrole moiety is derived from 4-acetamidopyrrole-2-carboxylate, which was previously proposed to originate most likely from &lt;i&gt;N&lt;/i&gt;-acetylglucosamine-1-phosphate. This unusual transformation of a primary metabolite sugar into an aromatic peptide building block is of interest mechanistically; however, the pathway preceding pyrrole formation remains unclear. We herein report the discovery of manlipyrrolamides A-F from &lt;i&gt;Bacillus manliponensis&lt;/i&gt;, a new class of pyrrolamides with distinctive structural features. Gene disruption and in vitro assays allowed us to identify the functions of key enzymes in the pyrrole formation pathway. Man17, a nucleotidyltransferase, functions as a gatekeeper that activates the precursor &lt;i&gt;N&lt;/i&gt;-acetylglucosamine-1-phosphate, through guanosine diphosphate (GDP) derivatization for subsequent modifications. Man18, a glycosyltransferase-like enzyme, and Man15, a glycoside hydrolase-like enzyme, function as a hydrolase and dehydratase, respectively, forming a pyrrole from a mature GDP-linked sugar. After pyrrole formation, a xanthine dehydrogenase-like enzyme complex is utilized in oxidation to produce carboxylate, distinct from the previously proposed &lt;i&gt;Streptomyces&lt;/i&gt; pathway. The pathway-specific enzyme Man15, which is widely distributed in Gram-positive bacteria, is encoded in diverse biosynthetic gene clusters, indicating that this unprecedented transformation is utilized for unknown classes of pyrrolamides. The use of a GDP derivative suggests an orthogonal strategy distinct from that of the canonical UDP-linked sugar pathway. The present study reveals novel sugar skeletal conversion in secondary metabolism, which provides novel insights into bacterial metabolic strategies.</w:t>
      </w:r>
    </w:p>
    <w:p>
      <w:pPr>
        <w:spacing w:before="120" w:after="120"/>
      </w:pPr>
      <w:r>
        <w:rPr>
          <w:sz w:val="18"/>
        </w:rPr>
        <w:t>——————————————————————————————————————————————————————————————————————</w:t>
      </w:r>
    </w:p>
    <w:p>
      <w:pPr>
        <w:spacing w:before="160" w:after="40" w:line="240" w:lineRule="auto"/>
      </w:pPr>
      <w:r>
        <w:rPr>
          <w:b/>
        </w:rPr>
        <w:t xml:space="preserve">[444] </w:t>
      </w:r>
      <w:hyperlink r:id="rId958">
        <w:r>
          <w:rPr>
            <w:color w:val="1155CC"/>
            <w:u w:val="single"/>
          </w:rPr>
          <w:t>[ASAP] Homocentric Chirality and Magnetism Enable Strong NIR Magneto-Optical Activity in a Chiral DyFe3 Cluster</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14:43:21+00:00</w:t>
      </w:r>
      <w:r>
        <w:t xml:space="preserve">    </w:t>
      </w:r>
      <w:r>
        <w:rPr>
          <w:b/>
        </w:rPr>
        <w:t xml:space="preserve">DOI: </w:t>
      </w:r>
      <w:hyperlink r:id="rId959">
        <w:r>
          <w:rPr>
            <w:color w:val="1155CC"/>
            <w:u w:val="single"/>
          </w:rPr>
          <w:t>10.1021/jacs.5c22065</w:t>
        </w:r>
      </w:hyperlink>
    </w:p>
    <w:p>
      <w:pPr>
        <w:spacing w:before="0" w:after="80" w:lineRule="auto" w:line="276"/>
      </w:pPr>
      <w:r>
        <w:rPr>
          <w:b/>
        </w:rPr>
        <w:t xml:space="preserve">摘要（ZH）: </w:t>
      </w:r>
      <w:r>
        <w:t>(empty)</w:t>
      </w:r>
    </w:p>
    <w:p>
      <w:pPr>
        <w:spacing w:before="0" w:after="200" w:lineRule="auto" w:line="276"/>
      </w:pPr>
      <w:r>
        <w:rPr>
          <w:b/>
        </w:rPr>
        <w:t xml:space="preserve">Abstract (EN): </w:t>
      </w:r>
      <w:r>
        <w:t>A single metal center that supports both the chirality and magnetism is a crucial design factor expected to achieve strong magneto-optical response, as it maximizes the coupling between magnetic and optical degrees of freedom. However, achieving such integration in molecular systems remains highly challenging. Here, we report a pair of chiral clusters, &lt;i&gt;&lt;b&gt;R&lt;/b&gt;&lt;/i&gt;&lt;b&gt;/&lt;/b&gt;&lt;i&gt;&lt;b&gt;S&lt;/b&gt;&lt;/i&gt;&lt;b&gt;-DyFe&lt;/b&gt;&lt;sub&gt;&lt;b&gt;3&lt;/b&gt;&lt;/sub&gt;, in which the magnetic Dy&lt;sup&gt;III&lt;/sup&gt; ion simultaneously acts as the chiral and magnetic center within a propeller-like framework. Magneto-optical measurements reveal pronounced and fully reversible magnetic modulation circular dichroism (CD) signal of the NIR f-f transitions, with strong enhancement and clear signal inversion under ±1.6 T. Particularly, the field-dependent CD intensity corresponding to the &lt;sup&gt;6&lt;/sup&gt;H&lt;sub&gt;15/2&lt;/sub&gt; → &lt;sup&gt;6&lt;/sup&gt;F&lt;sub&gt;11/2&lt;/sub&gt; hypersensitive transition increases by approximately 40 times under an applied magnetic field compared to zero field. The exceptional responsiveness arises from Zeeman splitting and magnetic-field-induced mixing of 4f sublevels, which markedly amplify the magnetic circular dichroism (MCD) contribution within the overall CD signal. These findings provide the first chiral molecular demonstration of magnetic-field-controlled CD signal in a chiral cluster with structural centers that support both chirality and magnetism, offering crucial insights into designing chiroptical materials with magnetic field modulation.</w:t>
      </w:r>
    </w:p>
    <w:p>
      <w:pPr>
        <w:spacing w:before="120" w:after="120"/>
      </w:pPr>
      <w:r>
        <w:rPr>
          <w:sz w:val="18"/>
        </w:rPr>
        <w:t>——————————————————————————————————————————————————————————————————————</w:t>
      </w:r>
    </w:p>
    <w:p>
      <w:pPr>
        <w:spacing w:before="160" w:after="40" w:line="240" w:lineRule="auto"/>
      </w:pPr>
      <w:r>
        <w:rPr>
          <w:b/>
        </w:rPr>
        <w:t xml:space="preserve">[445] </w:t>
      </w:r>
      <w:hyperlink r:id="rId960">
        <w:r>
          <w:rPr>
            <w:color w:val="1155CC"/>
            <w:u w:val="single"/>
          </w:rPr>
          <w:t>[ASAP] Total Synthesis of the Glycoside Antibiotic Paulomycin A</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15:39:42+00:00</w:t>
      </w:r>
      <w:r>
        <w:t xml:space="preserve">    </w:t>
      </w:r>
      <w:r>
        <w:rPr>
          <w:b/>
        </w:rPr>
        <w:t xml:space="preserve">DOI: </w:t>
      </w:r>
      <w:hyperlink r:id="rId961">
        <w:r>
          <w:rPr>
            <w:color w:val="1155CC"/>
            <w:u w:val="single"/>
          </w:rPr>
          <w:t>10.1021/jacs.6c00331</w:t>
        </w:r>
      </w:hyperlink>
    </w:p>
    <w:p>
      <w:pPr>
        <w:spacing w:before="0" w:after="80" w:lineRule="auto" w:line="276"/>
      </w:pPr>
      <w:r>
        <w:rPr>
          <w:b/>
        </w:rPr>
        <w:t xml:space="preserve">摘要（ZH）: </w:t>
      </w:r>
      <w:r>
        <w:t>(empty)</w:t>
      </w:r>
    </w:p>
    <w:p>
      <w:pPr>
        <w:spacing w:before="0" w:after="200" w:lineRule="auto" w:line="276"/>
      </w:pPr>
      <w:r>
        <w:rPr>
          <w:b/>
        </w:rPr>
        <w:t xml:space="preserve">Abstract (EN): </w:t>
      </w:r>
      <w:r>
        <w:t>Paulomycin A is a structurally distinctive glycoside antibiotic that displays potent activity against Gram-positive pathogens, yet its intrinsic chemical instability and high structural complexity have long prevented both drug development and synthetic exploration. Here, we describe the first total synthesis of paulomycin A, accomplished through a sequence of highly selective transformations tailored to its unusual reactivity profile. Key features of the synthesis include an aryl &lt;i&gt;C&lt;/i&gt;-glycosylation via Wan glycosylation that provides efficient access to aniline-containing aryl &lt;i&gt;C&lt;/i&gt;-glycosides, solvent-controlled anomeric stereocontrol in a gold-catalyzed Yu &lt;i&gt;O&lt;/i&gt;-glycosylation, and a late-stage site-selective esterification/[3,3]-sigmatropic rearrangement used to install the pharmacologically essential paulic acid fragment.</w:t>
      </w:r>
    </w:p>
    <w:p>
      <w:pPr>
        <w:spacing w:before="120" w:after="120"/>
      </w:pPr>
      <w:r>
        <w:rPr>
          <w:sz w:val="18"/>
        </w:rPr>
        <w:t>——————————————————————————————————————————————————————————————————————</w:t>
      </w:r>
    </w:p>
    <w:p>
      <w:pPr>
        <w:spacing w:before="160" w:after="40" w:line="240" w:lineRule="auto"/>
      </w:pPr>
      <w:r>
        <w:rPr>
          <w:b/>
        </w:rPr>
        <w:t xml:space="preserve">[446] </w:t>
      </w:r>
      <w:hyperlink r:id="rId962">
        <w:r>
          <w:rPr>
            <w:color w:val="1155CC"/>
            <w:u w:val="single"/>
          </w:rPr>
          <w:t>[ASAP] A Mixed-Valent and High-Spin Vanadium Phosphide</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15:52:35+00:00</w:t>
      </w:r>
      <w:r>
        <w:t xml:space="preserve">    </w:t>
      </w:r>
      <w:r>
        <w:rPr>
          <w:b/>
        </w:rPr>
        <w:t xml:space="preserve">DOI: </w:t>
      </w:r>
      <w:hyperlink r:id="rId963">
        <w:r>
          <w:rPr>
            <w:color w:val="1155CC"/>
            <w:u w:val="single"/>
          </w:rPr>
          <w:t>10.1021/jacs.5c20647</w:t>
        </w:r>
      </w:hyperlink>
    </w:p>
    <w:p>
      <w:pPr>
        <w:spacing w:before="0" w:after="80" w:lineRule="auto" w:line="276"/>
      </w:pPr>
      <w:r>
        <w:rPr>
          <w:b/>
        </w:rPr>
        <w:t xml:space="preserve">摘要（ZH）: </w:t>
      </w:r>
      <w:r>
        <w:t>(empty)</w:t>
      </w:r>
    </w:p>
    <w:p>
      <w:pPr>
        <w:spacing w:before="0" w:after="200" w:lineRule="auto" w:line="276"/>
      </w:pPr>
      <w:r>
        <w:rPr>
          <w:b/>
        </w:rPr>
        <w:t xml:space="preserve">Abstract (EN): </w:t>
      </w:r>
      <w:r>
        <w:t>Accessing high-spin configurations of transition metal phosphides defines a dividing line that prevents common properties of solid-state materials from being replicated within multiple-bonded molecular analogs. Here, we report the synthesis of a V&lt;sup&gt;III&lt;/sup&gt; phosphaethynolate complex, [(pyrNdipp)&lt;sub&gt;2&lt;/sub&gt;V(PCO)] (&lt;b&gt;2&lt;/b&gt;) in a halide metathesis with Na(OCP). Exposure of &lt;b&gt;2&lt;/b&gt; to Lewis-basic ligands induces a one-electron reductive elimination of the PCO&lt;sup&gt;-&lt;/sup&gt; moiety, generating V&lt;sup&gt;II&lt;/sup&gt; complexes [(pyrNdipp)&lt;sub&gt;2&lt;/sub&gt;V(L)&lt;sub&gt;2&lt;/sub&gt;] (L = THF, DMAP; &lt;b&gt;3&lt;/b&gt;&lt;sup&gt;&lt;b&gt;THF&lt;/b&gt;&lt;/sup&gt;, &lt;b&gt;3&lt;/b&gt;&lt;sup&gt;&lt;b&gt;DMAP&lt;/b&gt;&lt;/sup&gt;). When &lt;b&gt;2&lt;/b&gt; is instead photolyzed, a cascade of reduction, decarbonylation, and multiple-bond formation steps affords a high-spin and mixed-valent vanadium phosphide, [(pyrNdipp)&lt;sub&gt;2&lt;/sub&gt;V═P═V(pyrNdipp)&lt;sub&gt;2&lt;/sub&gt;] (&lt;b&gt;4&lt;/b&gt;) comprising formal [V&lt;sub&gt;2&lt;/sub&gt;&lt;sup&gt;III, IV&lt;/sup&gt;] nodes. Structural characterization coupled with vibrational, UV-visible, and X-ray spectroscopic studies reveals an &lt;i&gt;S&lt;/i&gt;&lt;sub&gt;4&lt;/sub&gt; symmetrical [V═P═V] centered architecture conforming to a fully delocalized, mixed-valency description. Theoretical studies demonstrate that &lt;b&gt;4&lt;/b&gt; evades spin-pairing by leveraging the weak ligand-field splitting at the vanadium nodes, leading to a high-spin, &lt;i&gt;S&lt;/i&gt;&lt;sub&gt;T&lt;/sub&gt; = 3/2 ground state of this multiple-bonded, weakly Jahn-Teller distorted system.</w:t>
      </w:r>
    </w:p>
    <w:p>
      <w:pPr>
        <w:spacing w:before="120" w:after="120"/>
      </w:pPr>
      <w:r>
        <w:rPr>
          <w:sz w:val="18"/>
        </w:rPr>
        <w:t>——————————————————————————————————————————————————————————————————————</w:t>
      </w:r>
    </w:p>
    <w:p>
      <w:pPr>
        <w:spacing w:before="160" w:after="40" w:line="240" w:lineRule="auto"/>
      </w:pPr>
      <w:r>
        <w:rPr>
          <w:b/>
        </w:rPr>
        <w:t xml:space="preserve">[447] </w:t>
      </w:r>
      <w:hyperlink r:id="rId964">
        <w:r>
          <w:rPr>
            <w:color w:val="1155CC"/>
            <w:u w:val="single"/>
          </w:rPr>
          <w:t>[ASAP] Dynamic Covalent Boronate Chemistry for In Situ Formation, Interfacial Stabilization, and Cytomimetic Optimization of Coacervates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16:05:38+00:00</w:t>
      </w:r>
      <w:r>
        <w:t xml:space="preserve">    </w:t>
      </w:r>
      <w:r>
        <w:rPr>
          <w:b/>
        </w:rPr>
        <w:t xml:space="preserve">DOI: </w:t>
      </w:r>
      <w:hyperlink r:id="rId965">
        <w:r>
          <w:rPr>
            <w:color w:val="1155CC"/>
            <w:u w:val="single"/>
          </w:rPr>
          <w:t>10.1021/jacs.5c17688</w:t>
        </w:r>
      </w:hyperlink>
    </w:p>
    <w:p>
      <w:pPr>
        <w:spacing w:before="0" w:after="80" w:lineRule="auto" w:line="276"/>
      </w:pPr>
      <w:r>
        <w:rPr>
          <w:b/>
        </w:rPr>
        <w:t xml:space="preserve">摘要（ZH）: </w:t>
      </w:r>
      <w:r>
        <w:t>(empty)</w:t>
      </w:r>
    </w:p>
    <w:p>
      <w:pPr>
        <w:spacing w:before="0" w:after="200" w:lineRule="auto" w:line="276"/>
      </w:pPr>
      <w:r>
        <w:rPr>
          <w:b/>
        </w:rPr>
        <w:t xml:space="preserve">Abstract (EN): </w:t>
      </w:r>
      <w:r>
        <w:t>Bioinspired synthetic cells are rapidly transforming the way we interrogate the principles of cellular life and the development of bioengineering and medical applications. However, despite significant progress in modeling cell-like behavior, material engineering remains a time-consuming and often behind-the-scenes endeavor when optimizing cytomimetic functions. Here, we describe how dynamic covalent chemistry can be used to bypass this bottleneck using membranized coacervate microdroplets (MCM) as synthetic cell models. Specifically, the potential of dynamic covalent boronate chemistry for the &lt;i&gt;in situ&lt;/i&gt; formation, interfacial stabilization, and adaptive cytomimetic optimization of MCM is presented. Simultaneous addition of cationic and anionic catechols to a polymeric boronic acid (BA) generates dynamic zwitterionic polyboronates that spontaneously phase separate into microdroplets, which can then be interfacially stabilized as MCM with a BA-functionalized block copolymer. The cytomimetic properties, membranization, internal dynamics, and enzymatic activity within the MCM can be modulated &lt;i&gt;in situ&lt;/i&gt; using dynamic covalent libraries to fine-tune material properties (either by adjusting the charge ratio between oppositely charged catechols, varying the catechol-to-BA ratio, or introducing auxiliary catechol dopants) without the need to synthesize, isolate, purify, and characterize new polymeric materials. Application of this technology to other catechols, multivalent BA, and synthetic cell architectures holds promise for optimizing diverse biomimetic functions and providing programmable synthetic cells with emerging properties.</w:t>
      </w:r>
    </w:p>
    <w:p>
      <w:pPr>
        <w:spacing w:before="120" w:after="120"/>
      </w:pPr>
      <w:r>
        <w:rPr>
          <w:sz w:val="18"/>
        </w:rPr>
        <w:t>——————————————————————————————————————————————————————————————————————</w:t>
      </w:r>
    </w:p>
    <w:p>
      <w:pPr>
        <w:spacing w:before="160" w:after="40" w:line="240" w:lineRule="auto"/>
      </w:pPr>
      <w:r>
        <w:rPr>
          <w:b/>
        </w:rPr>
        <w:t xml:space="preserve">[448] </w:t>
      </w:r>
      <w:hyperlink r:id="rId966">
        <w:r>
          <w:rPr>
            <w:color w:val="1155CC"/>
            <w:u w:val="single"/>
          </w:rPr>
          <w:t>[ASAP] Scintillon–Mimicking Mechanoluminescence for Theranostic Applications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17:44:36+00:00</w:t>
      </w:r>
      <w:r>
        <w:t xml:space="preserve">    </w:t>
      </w:r>
      <w:r>
        <w:rPr>
          <w:b/>
        </w:rPr>
        <w:t xml:space="preserve">DOI: </w:t>
      </w:r>
      <w:hyperlink r:id="rId967">
        <w:r>
          <w:rPr>
            <w:color w:val="1155CC"/>
            <w:u w:val="single"/>
          </w:rPr>
          <w:t>10.1021/jacs.5c21878</w:t>
        </w:r>
      </w:hyperlink>
    </w:p>
    <w:p>
      <w:pPr>
        <w:spacing w:before="0" w:after="80" w:lineRule="auto" w:line="276"/>
      </w:pPr>
      <w:r>
        <w:rPr>
          <w:b/>
        </w:rPr>
        <w:t xml:space="preserve">摘要（ZH）: </w:t>
      </w:r>
      <w:r>
        <w:t>(empty)</w:t>
      </w:r>
    </w:p>
    <w:p>
      <w:pPr>
        <w:spacing w:before="0" w:after="200" w:lineRule="auto" w:line="276"/>
      </w:pPr>
      <w:r>
        <w:rPr>
          <w:b/>
        </w:rPr>
        <w:t xml:space="preserve">Abstract (EN): </w:t>
      </w:r>
      <w:r>
        <w:t>Mechanoluminescence offers unique advantages over traditional photoluminescence, including deeper tissue penetration and minimal autofluorescence. However, mechanoluminescent materials typically lack the sensitivity and reusability of their biological counterparts. Inspired by the mechanoregulation of luciferase in dinoflagellate scintillons, we develop a scintillon-mimetic mechanoluminescent nanoreactor (sMLN) by integrating mechanoresponsive ferrocene (Fc) moieties into a flexible organic silica vesicle. Under ultrasound (US) irradiation, acoustic shear forces stretch and twist the Fc moiety, increasing the Fe center electron density and reducing steric hindrance, thereby facilitating substrate binding and activating a Fenton-like reaction that triggers luminol-based luminescence. Unlike conventional mechanoluminescent materials, sMLNs exhibit repeatable and long-lasting luminescence with a half-life of approximately 5.73 min, leading to a ∼2.2 × 10&lt;sup&gt;3&lt;/sup&gt;-fold enhancement in intensity compared to H&lt;sub&gt;2&lt;/sub&gt;O sonoluminescence. This US-induced mechanoluminescence functions as an "internal light source" to excite the chromophore for bioimaging and photodynamic therapy, overcoming the limitations of light penetration depth. This high-performance platform enables intense and ultrasensitive mechanoluminescence, providing a powerful mechanochemical tool for advanced theranostic applications.</w:t>
      </w:r>
    </w:p>
    <w:p>
      <w:pPr>
        <w:spacing w:before="120" w:after="120"/>
      </w:pPr>
      <w:r>
        <w:rPr>
          <w:sz w:val="18"/>
        </w:rPr>
        <w:t>——————————————————————————————————————————————————————————————————————</w:t>
      </w:r>
    </w:p>
    <w:p>
      <w:pPr>
        <w:spacing w:before="160" w:after="40" w:line="240" w:lineRule="auto"/>
      </w:pPr>
      <w:r>
        <w:rPr>
          <w:b/>
        </w:rPr>
        <w:t xml:space="preserve">[449] </w:t>
      </w:r>
      <w:hyperlink r:id="rId968">
        <w:r>
          <w:rPr>
            <w:color w:val="1155CC"/>
            <w:u w:val="single"/>
          </w:rPr>
          <w:t>[ASAP] Surface Polarons for Synergistic Kinetic and Thermodynamic C–H Bond Oxidation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18:19:48+00:00</w:t>
      </w:r>
      <w:r>
        <w:t xml:space="preserve">    </w:t>
      </w:r>
      <w:r>
        <w:rPr>
          <w:b/>
        </w:rPr>
        <w:t xml:space="preserve">DOI: </w:t>
      </w:r>
      <w:hyperlink r:id="rId969">
        <w:r>
          <w:rPr>
            <w:color w:val="1155CC"/>
            <w:u w:val="single"/>
          </w:rPr>
          <w:t>10.1021/jacs.5c21530</w:t>
        </w:r>
      </w:hyperlink>
    </w:p>
    <w:p>
      <w:pPr>
        <w:spacing w:before="0" w:after="80" w:lineRule="auto" w:line="276"/>
      </w:pPr>
      <w:r>
        <w:rPr>
          <w:b/>
        </w:rPr>
        <w:t xml:space="preserve">摘要（ZH）: </w:t>
      </w:r>
      <w:r>
        <w:t>(empty)</w:t>
      </w:r>
    </w:p>
    <w:p>
      <w:pPr>
        <w:spacing w:before="0" w:after="200" w:lineRule="auto" w:line="276"/>
      </w:pPr>
      <w:r>
        <w:rPr>
          <w:b/>
        </w:rPr>
        <w:t xml:space="preserve">Abstract (EN): </w:t>
      </w:r>
      <w:r>
        <w:t>The photocatalytic oxidation of the inert C-H bond remains a paramount challenge, plagued by both rapid carrier recombination in kinetics and slow surface reactions in thermodynamics. Herein, we present a conceptually distinct strategy to simultaneously resolve both core challenges by tailoring surface polarons on photocatalysts via anchoring atomically dispersed Mn sites onto a low-crystallinity SnO&lt;sub&gt;2&lt;/sub&gt; support. These atomic sites induce localized lattice distortions via strong electron-phonon coupling, generating surface small polarons that serve a dual function. Kinetically, these polarons trap photogenerated electrons within picoseconds, suppressing bulk recombination and establishing a dominant, long-lived interfacial charge transfer channel (∼65 ps) directly to the reactants, as revealed by femtosecond transient absorption spectroscopy (fs-TAS). Thermodynamically, the polaronic field strengthens toluene adsorption (adsorption energy strengthened from -0.49 to -0.91 eV) and polarizes the C-H bond, significantly lowering the activation barrier, as confirmed by density functional theory (DFT) calculations and in situ DRIFTS. Consequently, the Mn&lt;sub&gt;1&lt;/sub&gt;/SnO&lt;sub&gt;2&lt;/sub&gt; catalyst achieved about 100% efficiency in the challenging toluene oxidation with a high weight hourly space velocity (WHSV) of 60,000 mL·g&lt;sub&gt;cat&lt;/sub&gt;&lt;sup&gt;-1&lt;/sup&gt;·h&lt;sup&gt;-1&lt;/sup&gt; under a continuous flow system. Additionally, the Mn&lt;sub&gt;1&lt;/sub&gt;/SnO&lt;sub&gt;2&lt;/sub&gt; catalyst exhibited exceptional stability over 600 min and resistance to relative humidity (RH) ranging from 5% to 90%. This work elucidated the fundamental role of surface polarons in harmonizing charge dynamics with surface catalysis, offering a powerful strategy for designing highly efficient and robust photocatalysts for challenging chemical transformations.</w:t>
      </w:r>
    </w:p>
    <w:p>
      <w:pPr>
        <w:spacing w:before="120" w:after="120"/>
      </w:pPr>
      <w:r>
        <w:rPr>
          <w:sz w:val="18"/>
        </w:rPr>
        <w:t>——————————————————————————————————————————————————————————————————————</w:t>
      </w:r>
    </w:p>
    <w:p>
      <w:pPr>
        <w:spacing w:before="160" w:after="40" w:line="240" w:lineRule="auto"/>
      </w:pPr>
      <w:r>
        <w:rPr>
          <w:b/>
        </w:rPr>
        <w:t xml:space="preserve">[450] </w:t>
      </w:r>
      <w:hyperlink r:id="rId970">
        <w:r>
          <w:rPr>
            <w:color w:val="1155CC"/>
            <w:u w:val="single"/>
          </w:rPr>
          <w:t>[ASAP] Structural Colors of Cyclic Diblock Copolymers Enabled by Topology-Driven Structural Ordering and Tuned by Blending with Constituent Cyclic Polymers</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2026-02-27 18:43:39+00:00</w:t>
      </w:r>
      <w:r>
        <w:t xml:space="preserve">    </w:t>
      </w:r>
      <w:r>
        <w:rPr>
          <w:b/>
        </w:rPr>
        <w:t xml:space="preserve">DOI: </w:t>
      </w:r>
      <w:hyperlink r:id="rId971">
        <w:r>
          <w:rPr>
            <w:color w:val="1155CC"/>
            <w:u w:val="single"/>
          </w:rPr>
          <w:t>10.1021/jacs.5c21376</w:t>
        </w:r>
      </w:hyperlink>
    </w:p>
    <w:p>
      <w:pPr>
        <w:spacing w:before="0" w:after="80" w:lineRule="auto" w:line="276"/>
      </w:pPr>
      <w:r>
        <w:rPr>
          <w:b/>
        </w:rPr>
        <w:t xml:space="preserve">摘要（ZH）: </w:t>
      </w:r>
      <w:r>
        <w:t>(empty)</w:t>
      </w:r>
    </w:p>
    <w:p>
      <w:pPr>
        <w:spacing w:before="0" w:after="200" w:lineRule="auto" w:line="276"/>
      </w:pPr>
      <w:r>
        <w:rPr>
          <w:b/>
        </w:rPr>
        <w:t xml:space="preserve">Abstract (EN): </w:t>
      </w:r>
      <w:r>
        <w:t>Controlling structural colors of high-molecular-weight (HMW) block copolymers is challenging due to their pronounced chain entanglements, often limiting accessible polymeric architectures required for self-assembly into photonic crystals. Here, we demonstrate tunable structural colors in photonic films induced by the self-assembly of simple cyclic diblock copolymers (CDCs). Thanks to the unique compounded sequence and spatiotemporal topology controls of Lewis pair polymerization, one-pot copolymerization of (meth)acrylic monomer mixtures furnishes the precision synthesis of well-defined CDCs with a HMW (862.4 kDa) at scale (20 g). The resulting CDC spontaneously self-assembles into a well-ordered lamellar structure, producing a vivid blue structural color. In situ small-angle X-ray scattering measurements reveal that the self-assembly of the HMW CDC occurs at a much faster rate than that of its linear counterpart, leading to long-range ordering with improved lamellar domain purity and avoiding a kinetically trapped morphology. Blending the CDC with the linear counterpart disrupts this coloration, coinciding with a loss of lamellar structural ordering. Owing to the cyclic topology-driven structural ordering, blending the CDC with cyclic polymer additives swells the lamellae up to 123% of the initial spacing, allowing for controlling the reflected wavelength spanning from 467 to 608 nm and accordingly producing blue to orange colors.</w:t>
      </w:r>
    </w:p>
    <w:p>
      <w:pPr>
        <w:spacing w:before="120" w:after="120"/>
      </w:pPr>
      <w:r>
        <w:rPr>
          <w:sz w:val="18"/>
        </w:rPr>
        <w:t>——————————————————————————————————————————————————————————————————————</w:t>
      </w:r>
    </w:p>
    <w:p>
      <w:pPr>
        <w:spacing w:before="160" w:after="40" w:line="240" w:lineRule="auto"/>
      </w:pPr>
      <w:r>
        <w:rPr>
          <w:b/>
        </w:rPr>
        <w:t xml:space="preserve">[451] </w:t>
      </w:r>
      <w:hyperlink r:id="rId972">
        <w:r>
          <w:rPr>
            <w:color w:val="1155CC"/>
            <w:u w:val="single"/>
          </w:rPr>
          <w:t>SOD1 lactylation impair its enzymatic activity by conformational change to aggravate intervertebral disc degeneration</w:t>
        </w:r>
      </w:hyperlink>
    </w:p>
    <w:p>
      <w:pPr>
        <w:spacing w:before="0" w:after="120"/>
      </w:pPr>
      <w:r>
        <w:rPr>
          <w:b/>
        </w:rPr>
        <w:t xml:space="preserve">Source: </w:t>
      </w:r>
      <w:r>
        <w:t>Nature Communications</w:t>
      </w:r>
      <w:r>
        <w:t xml:space="preserve">    </w:t>
      </w:r>
      <w:r>
        <w:rPr>
          <w:b/>
        </w:rPr>
        <w:t xml:space="preserve">Pub date: </w:t>
      </w:r>
      <w:r>
        <w:t>2026-02-28 00:00:00+00:00</w:t>
      </w:r>
      <w:r>
        <w:t xml:space="preserve">    </w:t>
      </w:r>
      <w:r>
        <w:rPr>
          <w:b/>
        </w:rPr>
        <w:t xml:space="preserve">DOI: </w:t>
      </w:r>
      <w:hyperlink r:id="rId973">
        <w:r>
          <w:rPr>
            <w:color w:val="1155CC"/>
            <w:u w:val="single"/>
          </w:rPr>
          <w:t>10.1038/s41467-026-69127-3</w:t>
        </w:r>
      </w:hyperlink>
    </w:p>
    <w:p>
      <w:pPr>
        <w:spacing w:before="0" w:after="80" w:lineRule="auto" w:line="276"/>
      </w:pPr>
      <w:r>
        <w:rPr>
          <w:b/>
        </w:rPr>
        <w:t xml:space="preserve">摘要（ZH）: </w:t>
      </w:r>
      <w:r>
        <w:t>(empty)</w:t>
      </w:r>
    </w:p>
    <w:p>
      <w:pPr>
        <w:spacing w:before="0" w:after="200" w:lineRule="auto" w:line="276"/>
      </w:pPr>
      <w:r>
        <w:rPr>
          <w:b/>
        </w:rPr>
        <w:t xml:space="preserve">Abstract (EN): </w:t>
      </w:r>
      <w:r>
        <w:t>Lactate accumulation is a hallmark and contributing factor of intervertebral disc degeneration (IVDD), while the role of protein lactylation caused by lactate accumulation in IVDD remains unclear. Via metabolomics, single-cell RNA-sequencing analysis, and lactylation proteomics, we reveal the lactylome landscape in IVDD and identified superoxide dismutase 1 (SOD1) lactylation at lysine 123 (SOD1K123la) as crucial for IVDD aggravation. Using in vitro site-directed mutagenesis, in vivo generation of SOD1K123R mutant male rats, and in silico molecular dynamics simulations, we find that SOD1K123la alters SOD1 conformation and impairs its enzymatic activity, and induces oxidative damage, and activates p53 pathway in nucleus pulposus cells (NPCs). Notably, we identify a small molecule ZL-01 that inhibits SOD1K123la. NPC-targeted delivery of ZL-01 via collagen type II-targeted peptide-modified extracellular vesicles alleviated IVDD in male rats. Together, these findings clarify the mechanism by which SOD1K123la promotes IVDD aggravation and provide a promising therapeutic strategy for IVDD.</w:t>
      </w:r>
    </w:p>
    <w:p>
      <w:pPr>
        <w:spacing w:before="120" w:after="120"/>
      </w:pPr>
      <w:r>
        <w:rPr>
          <w:sz w:val="18"/>
        </w:rPr>
        <w:t>——————————————————————————————————————————————————————————————————————</w:t>
      </w:r>
    </w:p>
    <w:p>
      <w:pPr>
        <w:spacing w:before="160" w:after="40" w:line="240" w:lineRule="auto"/>
      </w:pPr>
      <w:r>
        <w:rPr>
          <w:b/>
        </w:rPr>
        <w:t xml:space="preserve">[452] </w:t>
      </w:r>
      <w:hyperlink r:id="rId974">
        <w:r>
          <w:rPr>
            <w:color w:val="1155CC"/>
            <w:u w:val="single"/>
          </w:rPr>
          <w:t>Resilient preventive strategies for offshore wind-integrated power systems against typhoons under decision-dependent uncertainty</w:t>
        </w:r>
      </w:hyperlink>
    </w:p>
    <w:p>
      <w:pPr>
        <w:spacing w:before="0" w:after="120"/>
      </w:pPr>
      <w:r>
        <w:rPr>
          <w:b/>
        </w:rPr>
        <w:t xml:space="preserve">Source: </w:t>
      </w:r>
      <w:r>
        <w:t>ScienceDirect Publication: Applied Energy</w:t>
      </w:r>
      <w:r>
        <w:t xml:space="preserve">    </w:t>
      </w:r>
      <w:r>
        <w:rPr>
          <w:b/>
        </w:rPr>
        <w:t xml:space="preserve">Pub date: </w:t>
      </w:r>
      <w:r>
        <w:t>2026-02-28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[453] </w:t>
      </w:r>
      <w:hyperlink r:id="rId975">
        <w:r>
          <w:rPr>
            <w:color w:val="1155CC"/>
            <w:u w:val="single"/>
          </w:rPr>
          <w:t>Physical echo state network based on the nonlinearity and dynamic response of ambipolar heterostructure transistors</w:t>
        </w:r>
      </w:hyperlink>
    </w:p>
    <w:p>
      <w:pPr>
        <w:spacing w:before="0" w:after="120"/>
      </w:pPr>
      <w:r>
        <w:rPr>
          <w:b/>
        </w:rPr>
        <w:t xml:space="preserve">Source: </w:t>
      </w:r>
      <w:r>
        <w:t>Nature Communications</w:t>
      </w:r>
      <w:r>
        <w:t xml:space="preserve">    </w:t>
      </w:r>
      <w:r>
        <w:rPr>
          <w:b/>
        </w:rPr>
        <w:t xml:space="preserve">Pub date: </w:t>
      </w:r>
      <w:r>
        <w:t>2026-02-28 00:00:00+00:00</w:t>
      </w:r>
      <w:r>
        <w:t xml:space="preserve">    </w:t>
      </w:r>
      <w:r>
        <w:rPr>
          <w:b/>
        </w:rPr>
        <w:t xml:space="preserve">DOI: </w:t>
      </w:r>
      <w:hyperlink r:id="rId976">
        <w:r>
          <w:rPr>
            <w:color w:val="1155CC"/>
            <w:u w:val="single"/>
          </w:rPr>
          <w:t>10.1038/s41467-026-70171-2</w:t>
        </w:r>
      </w:hyperlink>
    </w:p>
    <w:p>
      <w:pPr>
        <w:spacing w:before="0" w:after="80" w:lineRule="auto" w:line="276"/>
      </w:pPr>
      <w:r>
        <w:rPr>
          <w:b/>
        </w:rPr>
        <w:t xml:space="preserve">摘要（ZH）: </w:t>
      </w:r>
      <w:r>
        <w:t>(empty)</w:t>
      </w:r>
    </w:p>
    <w:p>
      <w:pPr>
        <w:spacing w:before="0" w:after="200" w:lineRule="auto" w:line="276"/>
      </w:pPr>
      <w:r>
        <w:rPr>
          <w:b/>
        </w:rPr>
        <w:t xml:space="preserve">Abstract (EN): </w:t>
      </w:r>
      <w:r>
        <w:t>In the field of neuromorphic computing, time-series prediction poses a significant challenge to recurrent neural network architectures, often requiring task-specific customization that limits the development of general-purpose computing platforms. In this work, we implement a physical echo-state network (ESN) using ambipolar organic–inorganic heterostructure transistors to form its reservoir layer. Leveraging the ambipolar nature of the transistor, its variable-resistance region enables sparse matrix operations, while the saturation region provides tanh-like nonlinearity, making it well-suited for implementing both synaptic weighting and neuronal activation in an ESN. Additionally, its dynamic response naturally introduces temporal attributes. Thus, it can serve as a neuromorphic computing model for time-series tasks. Without the involvement of dynamic mechanisms, it is capable of performing image recognition, time-series prediction, and multimodal recognition tasks. When dynamic mechanisms are incorporated, the model achieves an accuracy of 96.98% on the MNIST handwritten digit dataset and 86.67% on the Fashion-MNIST dataset. This work offers a neuromorphic computing architecture, providing insights for tasks such as nonlinear mapping and time-series prediction.</w:t>
      </w:r>
    </w:p>
    <w:p>
      <w:pPr>
        <w:spacing w:before="120" w:after="120"/>
      </w:pPr>
      <w:r>
        <w:rPr>
          <w:sz w:val="18"/>
        </w:rPr>
        <w:t>——————————————————————————————————————————————————————————————————————</w:t>
      </w:r>
    </w:p>
    <w:p>
      <w:pPr>
        <w:spacing w:before="160" w:after="40" w:line="240" w:lineRule="auto"/>
      </w:pPr>
      <w:r>
        <w:rPr>
          <w:b/>
        </w:rPr>
        <w:t xml:space="preserve">[454] </w:t>
      </w:r>
      <w:hyperlink r:id="rId977">
        <w:r>
          <w:rPr>
            <w:color w:val="1155CC"/>
            <w:u w:val="single"/>
          </w:rPr>
          <w:t>Mixture-of-experts based multi-critic deep reinforcement learning for sustainable management of data center microgrids</w:t>
        </w:r>
      </w:hyperlink>
    </w:p>
    <w:p>
      <w:pPr>
        <w:spacing w:before="0" w:after="120"/>
      </w:pPr>
      <w:r>
        <w:rPr>
          <w:b/>
        </w:rPr>
        <w:t xml:space="preserve">Source: </w:t>
      </w:r>
      <w:r>
        <w:t>ScienceDirect Publication: Applied Energy</w:t>
      </w:r>
      <w:r>
        <w:t xml:space="preserve">    </w:t>
      </w:r>
      <w:r>
        <w:rPr>
          <w:b/>
        </w:rPr>
        <w:t xml:space="preserve">Pub date: </w:t>
      </w:r>
      <w:r>
        <w:t>2026-02-28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[455] </w:t>
      </w:r>
      <w:hyperlink r:id="rId978">
        <w:r>
          <w:rPr>
            <w:color w:val="1155CC"/>
            <w:u w:val="single"/>
          </w:rPr>
          <w:t>Nanoporosity-driven deformation of additively manufactured nano-architected metals</w:t>
        </w:r>
      </w:hyperlink>
    </w:p>
    <w:p>
      <w:pPr>
        <w:spacing w:before="0" w:after="120"/>
      </w:pPr>
      <w:r>
        <w:rPr>
          <w:b/>
        </w:rPr>
        <w:t xml:space="preserve">Source: </w:t>
      </w:r>
      <w:r>
        <w:t>Nature Communications</w:t>
      </w:r>
      <w:r>
        <w:t xml:space="preserve">    </w:t>
      </w:r>
      <w:r>
        <w:rPr>
          <w:b/>
        </w:rPr>
        <w:t xml:space="preserve">Pub date: </w:t>
      </w:r>
      <w:r>
        <w:t>2026-02-28 00:00:00+00:00</w:t>
      </w:r>
      <w:r>
        <w:t xml:space="preserve">    </w:t>
      </w:r>
      <w:r>
        <w:rPr>
          <w:b/>
        </w:rPr>
        <w:t xml:space="preserve">DOI: </w:t>
      </w:r>
      <w:hyperlink r:id="rId979">
        <w:r>
          <w:rPr>
            <w:color w:val="1155CC"/>
            <w:u w:val="single"/>
          </w:rPr>
          <w:t>10.1038/s41467-026-69845-8</w:t>
        </w:r>
      </w:hyperlink>
    </w:p>
    <w:p>
      <w:pPr>
        <w:spacing w:before="0" w:after="80" w:lineRule="auto" w:line="276"/>
      </w:pPr>
      <w:r>
        <w:rPr>
          <w:b/>
        </w:rPr>
        <w:t xml:space="preserve">摘要（ZH）: </w:t>
      </w:r>
      <w:r>
        <w:t>(empty)</w:t>
      </w:r>
    </w:p>
    <w:p>
      <w:pPr>
        <w:spacing w:before="0" w:after="200" w:lineRule="auto" w:line="276"/>
      </w:pPr>
      <w:r>
        <w:rPr>
          <w:b/>
        </w:rPr>
        <w:t xml:space="preserve">Abstract (EN): </w:t>
      </w:r>
      <w:r>
        <w:t>3D printing methods for small-scale metals enable a unique 10–100 nm dimensional niche where functional feature sizes, critical microstructural detail and atomic-level defects converge, challenging conventional hierarchical relationships and carrying significant nanomechanical implications. We introduce a metal nano-printing system combining two-photon lithography, hydrogel infusion-based additive manufacturing and in situ mechanical experiments on 3D nano-architected Ni, achieving ~100 nm critical dimensions, ~10 nm surface roughness, and a broad range of geometries (periodic vs. non-periodic; beam-based vs. shell-based) with superior specific strengths of ~100 MPa·g − 1·cm3 enabled by an unambiguous smaller is stronger size effect. Experiments identify concentrated-porosity regions as primary deformation-initiation sources and quantify their distribution as input for physics-informed, multiscale finite-element simulations that accurately predict size-dependent mechanical properties governed by nanoporosity-driven deformation. This work integrates experimental and computational approaches for the fabrication, characterization, and evaluation of nano- and micro-architected metals for nanotechnology and nanoscale manufacturing systems.</w:t>
      </w:r>
    </w:p>
    <w:p>
      <w:pPr>
        <w:spacing w:before="120" w:after="120"/>
      </w:pPr>
      <w:r>
        <w:rPr>
          <w:sz w:val="18"/>
        </w:rPr>
        <w:t>——————————————————————————————————————————————————————————————————————</w:t>
      </w:r>
    </w:p>
    <w:p>
      <w:pPr>
        <w:spacing w:before="160" w:after="40" w:line="240" w:lineRule="auto"/>
      </w:pPr>
      <w:r>
        <w:rPr>
          <w:b/>
        </w:rPr>
        <w:t xml:space="preserve">[456] </w:t>
      </w:r>
      <w:hyperlink r:id="rId980">
        <w:r>
          <w:rPr>
            <w:color w:val="1155CC"/>
            <w:u w:val="single"/>
          </w:rPr>
          <w:t>Vertical nanodiamond dominated sheets possessing both high capacitance and high n-type Hall mobility</w:t>
        </w:r>
      </w:hyperlink>
    </w:p>
    <w:p>
      <w:pPr>
        <w:spacing w:before="0" w:after="120"/>
      </w:pPr>
      <w:r>
        <w:rPr>
          <w:b/>
        </w:rPr>
        <w:t xml:space="preserve">Source: </w:t>
      </w:r>
      <w:r>
        <w:t>Nature Communications</w:t>
      </w:r>
      <w:r>
        <w:t xml:space="preserve">    </w:t>
      </w:r>
      <w:r>
        <w:rPr>
          <w:b/>
        </w:rPr>
        <w:t xml:space="preserve">Pub date: </w:t>
      </w:r>
      <w:r>
        <w:t>2026-02-28 00:00:00+00:00</w:t>
      </w:r>
      <w:r>
        <w:t xml:space="preserve">    </w:t>
      </w:r>
      <w:r>
        <w:rPr>
          <w:b/>
        </w:rPr>
        <w:t xml:space="preserve">DOI: </w:t>
      </w:r>
      <w:hyperlink r:id="rId981">
        <w:r>
          <w:rPr>
            <w:color w:val="1155CC"/>
            <w:u w:val="single"/>
          </w:rPr>
          <w:t>10.1038/s41467-026-70089-9</w:t>
        </w:r>
      </w:hyperlink>
    </w:p>
    <w:p>
      <w:pPr>
        <w:spacing w:before="0" w:after="80" w:lineRule="auto" w:line="276"/>
      </w:pPr>
      <w:r>
        <w:rPr>
          <w:b/>
        </w:rPr>
        <w:t xml:space="preserve">摘要（ZH）: </w:t>
      </w:r>
      <w:r>
        <w:t>(empty)</w:t>
      </w:r>
    </w:p>
    <w:p>
      <w:pPr>
        <w:spacing w:before="0" w:after="200" w:lineRule="auto" w:line="276"/>
      </w:pPr>
      <w:r>
        <w:rPr>
          <w:b/>
        </w:rPr>
        <w:t xml:space="preserve">Abstract (EN): </w:t>
      </w:r>
      <w:r>
        <w:t>It is very difficult to prepare vertical nanodiamond (VND) dominated sheets compared with vertical graphene (VG) sheets. Here, we describe the preparation of VNDs by phase transformation from Ta-loaded VGs via argon/oxygen plasma treatment with varied oxygen percentage. As the oxygen percentage increases to 5%, the height of VGs decreases, accompanied by high capacitance and low Hall mobility. When the oxygen percentage increases to 10%, the VGs transform to nanocrystalline diamond (NCD) grains with trans-polyacetylene (TPA) contents in grain boundaries increasing significantly. These VNDs exhibit both high capacitance (1452 μF cm−2) and n-type Hall mobility (846 cm2 V−1s−1). With the oxygen percentage increasing to 20%, NCD grains grow larger and the TPA content reduces, while the capacitance decreases considerably, but Hall mobility remaining high, suggesting that the performance improvement results from the synergistic effect of NCDs and TPA. These exhibit significant applications of VNDs in energy storage, high performance sensors, high-frequency and high-power electronic devices.</w:t>
      </w:r>
    </w:p>
    <w:p>
      <w:pPr>
        <w:spacing w:before="120" w:after="120"/>
      </w:pPr>
      <w:r>
        <w:rPr>
          <w:sz w:val="18"/>
        </w:rPr>
        <w:t>——————————————————————————————————————————————————————————————————————</w:t>
      </w:r>
    </w:p>
    <w:p>
      <w:pPr>
        <w:spacing w:before="160" w:after="40" w:line="240" w:lineRule="auto"/>
      </w:pPr>
      <w:r>
        <w:rPr>
          <w:b/>
        </w:rPr>
        <w:t xml:space="preserve">[457] </w:t>
      </w:r>
      <w:hyperlink r:id="rId982">
        <w:r>
          <w:rPr>
            <w:color w:val="1155CC"/>
            <w:u w:val="single"/>
          </w:rPr>
          <w:t>Volatility modeling in energy commodity markets: A review of responses to shocks and the path towards resiliency and sustainability</w:t>
        </w:r>
      </w:hyperlink>
    </w:p>
    <w:p>
      <w:pPr>
        <w:spacing w:before="0" w:after="120"/>
      </w:pPr>
      <w:r>
        <w:rPr>
          <w:b/>
        </w:rPr>
        <w:t xml:space="preserve">Source: </w:t>
      </w:r>
      <w:r>
        <w:t>ScienceDirect Publication: Applied Energy</w:t>
      </w:r>
      <w:r>
        <w:t xml:space="preserve">    </w:t>
      </w:r>
      <w:r>
        <w:rPr>
          <w:b/>
        </w:rPr>
        <w:t xml:space="preserve">Pub date: </w:t>
      </w:r>
      <w:r>
        <w:t>2026-02-28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[458] </w:t>
      </w:r>
      <w:hyperlink r:id="rId983">
        <w:r>
          <w:rPr>
            <w:color w:val="1155CC"/>
            <w:u w:val="single"/>
          </w:rPr>
          <w:t>Strong optical anisotropy in one-dimensional phosphorus wavy tubes</w:t>
        </w:r>
      </w:hyperlink>
    </w:p>
    <w:p>
      <w:pPr>
        <w:spacing w:before="0" w:after="120"/>
      </w:pPr>
      <w:r>
        <w:rPr>
          <w:b/>
        </w:rPr>
        <w:t xml:space="preserve">Source: </w:t>
      </w:r>
      <w:r>
        <w:t>Nature Communications</w:t>
      </w:r>
      <w:r>
        <w:t xml:space="preserve">    </w:t>
      </w:r>
      <w:r>
        <w:rPr>
          <w:b/>
        </w:rPr>
        <w:t xml:space="preserve">Pub date: </w:t>
      </w:r>
      <w:r>
        <w:t>2026-02-28 00:00:00+00:00</w:t>
      </w:r>
      <w:r>
        <w:t xml:space="preserve">    </w:t>
      </w:r>
      <w:r>
        <w:rPr>
          <w:b/>
        </w:rPr>
        <w:t xml:space="preserve">DOI: </w:t>
      </w:r>
      <w:hyperlink r:id="rId984">
        <w:r>
          <w:rPr>
            <w:color w:val="1155CC"/>
            <w:u w:val="single"/>
          </w:rPr>
          <w:t>10.1038/s41467-026-70129-4</w:t>
        </w:r>
      </w:hyperlink>
    </w:p>
    <w:p>
      <w:pPr>
        <w:spacing w:before="0" w:after="80" w:lineRule="auto" w:line="276"/>
      </w:pPr>
      <w:r>
        <w:rPr>
          <w:b/>
        </w:rPr>
        <w:t xml:space="preserve">摘要（ZH）: </w:t>
      </w:r>
      <w:r>
        <w:t>(empty)</w:t>
      </w:r>
    </w:p>
    <w:p>
      <w:pPr>
        <w:spacing w:before="0" w:after="200" w:lineRule="auto" w:line="276"/>
      </w:pPr>
      <w:r>
        <w:rPr>
          <w:b/>
        </w:rPr>
        <w:t xml:space="preserve">Abstract (EN): </w:t>
      </w:r>
      <w:r>
        <w:t>Anisotropic materials with intrinsic one-dimensional architectures, where chains or tubes align along a crystallographic axis, exhibit direction-dependent optical responses and serve as ideal building blocks for polarization-sensitive optoelectronics. While progress exists in engineered compounds, discovering elemental crystals with naturally ordered one-dimensional building blocks exhibiting giant optical anisotropy remains challenging. Here, we report the synthesis of a direct-bandgap semiconducting one-dimensional phosphorus single crystal composed of unique wavy polygonal tubes. The monoclinic lattice structure is revealed by single-crystal X-ray diffraction and advanced transmission electron microscopy. The crystal exhibits giant birefringence in the visible and near-infrared regions, stemming from electron localization and anisotropic transitions of the phosphorus 3p orbital along the tube axis. The low-symmetry structure endows remarkable linear and nonlinear optical anisotropies, including orientation-dependent photoluminescence, Raman scattering, and second-harmonic generation. This study establishes a paradigm for designing giant optical anisotropies, opening avenues for on-chip polarization devices and nonlinear photonic circuits.</w:t>
      </w:r>
    </w:p>
    <w:p>
      <w:pPr>
        <w:spacing w:before="120" w:after="120"/>
      </w:pPr>
      <w:r>
        <w:rPr>
          <w:sz w:val="18"/>
        </w:rPr>
        <w:t>——————————————————————————————————————————————————————————————————————</w:t>
      </w:r>
    </w:p>
    <w:p>
      <w:pPr>
        <w:spacing w:before="160" w:after="40" w:line="240" w:lineRule="auto"/>
      </w:pPr>
      <w:r>
        <w:rPr>
          <w:b/>
        </w:rPr>
        <w:t xml:space="preserve">[459] </w:t>
      </w:r>
      <w:hyperlink r:id="rId985">
        <w:r>
          <w:rPr>
            <w:color w:val="1155CC"/>
            <w:u w:val="single"/>
          </w:rPr>
          <w:t>Attention-related modulation in the superior colliculus encodes perceptual sensitivity, but not perceptual choice</w:t>
        </w:r>
      </w:hyperlink>
    </w:p>
    <w:p>
      <w:pPr>
        <w:spacing w:before="0" w:after="120"/>
      </w:pPr>
      <w:r>
        <w:rPr>
          <w:b/>
        </w:rPr>
        <w:t xml:space="preserve">Source: </w:t>
      </w:r>
      <w:r>
        <w:t>Nature Communications</w:t>
      </w:r>
      <w:r>
        <w:t xml:space="preserve">    </w:t>
      </w:r>
      <w:r>
        <w:rPr>
          <w:b/>
        </w:rPr>
        <w:t xml:space="preserve">Pub date: </w:t>
      </w:r>
      <w:r>
        <w:t>2026-02-28 00:00:00+00:00</w:t>
      </w:r>
      <w:r>
        <w:t xml:space="preserve">    </w:t>
      </w:r>
      <w:r>
        <w:rPr>
          <w:b/>
        </w:rPr>
        <w:t xml:space="preserve">DOI: </w:t>
      </w:r>
      <w:hyperlink r:id="rId986">
        <w:r>
          <w:rPr>
            <w:color w:val="1155CC"/>
            <w:u w:val="single"/>
          </w:rPr>
          <w:t>10.1038/s41467-026-69954-4</w:t>
        </w:r>
      </w:hyperlink>
    </w:p>
    <w:p>
      <w:pPr>
        <w:spacing w:before="0" w:after="80" w:lineRule="auto" w:line="276"/>
      </w:pPr>
      <w:r>
        <w:rPr>
          <w:b/>
        </w:rPr>
        <w:t xml:space="preserve">摘要（ZH）: </w:t>
      </w:r>
      <w:r>
        <w:t>(empty)</w:t>
      </w:r>
    </w:p>
    <w:p>
      <w:pPr>
        <w:spacing w:before="0" w:after="200" w:lineRule="auto" w:line="276"/>
      </w:pPr>
      <w:r>
        <w:rPr>
          <w:b/>
        </w:rPr>
        <w:t xml:space="preserve">Abstract (EN): </w:t>
      </w:r>
      <w:r>
        <w:t>Neurons in the superior colliculus (SC), like those in cortex, are modulated by shifts in attention but contribute differently from visual cortex neurons. It remains debated whether SC attention-related activity represents enhanced perceptual sensitivity, decision criterion shifts, or motor bias linked to saccade planning at neurons’ response fields. We dissociated these components by independently controlling behavioral sensitivity, perceptual decision criterion, and motor response criterion in a visual spatial attention task in two male rhesus monkeys. SC activity correlated strongly with behavioral sensitivity and motor criterion for selecting a saccade target within the response field, independent of saccade execution. In contrast, SC responses remained unchanged despite large shifts in decision criterion when motor bias was excluded. Notably, SC activity did not predict trial-by-trial choice accuracy. These results demonstrate that the SC specifically supports components of attention related to heightened perceptual sensitivity and response selection, while being largely independent of internal perceptual decision criterion and trial outcome.</w:t>
      </w:r>
    </w:p>
    <w:p>
      <w:pPr>
        <w:spacing w:before="120" w:after="120"/>
      </w:pPr>
      <w:r>
        <w:rPr>
          <w:sz w:val="18"/>
        </w:rPr>
        <w:t>——————————————————————————————————————————————————————————————————————</w:t>
      </w:r>
    </w:p>
    <w:p>
      <w:pPr>
        <w:spacing w:before="160" w:after="40" w:line="240" w:lineRule="auto"/>
      </w:pPr>
      <w:r>
        <w:rPr>
          <w:b/>
        </w:rPr>
        <w:t xml:space="preserve">[460] </w:t>
      </w:r>
      <w:hyperlink r:id="rId987">
        <w:r>
          <w:rPr>
            <w:color w:val="1155CC"/>
            <w:u w:val="single"/>
          </w:rPr>
          <w:t>System-level insights into flow-pressure-saturation coupling for safe and efficient methane hydrate production</w:t>
        </w:r>
      </w:hyperlink>
    </w:p>
    <w:p>
      <w:pPr>
        <w:spacing w:before="0" w:after="120"/>
      </w:pPr>
      <w:r>
        <w:rPr>
          <w:b/>
        </w:rPr>
        <w:t xml:space="preserve">Source: </w:t>
      </w:r>
      <w:r>
        <w:t>ScienceDirect Publication: Applied Energy</w:t>
      </w:r>
      <w:r>
        <w:t xml:space="preserve">    </w:t>
      </w:r>
      <w:r>
        <w:rPr>
          <w:b/>
        </w:rPr>
        <w:t xml:space="preserve">Pub date: </w:t>
      </w:r>
      <w:r>
        <w:t>2026-02-28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[461] </w:t>
      </w:r>
      <w:hyperlink r:id="rId988">
        <w:r>
          <w:rPr>
            <w:color w:val="1155CC"/>
            <w:u w:val="single"/>
          </w:rPr>
          <w:t>Free‐Form Flexible Metasurfaces Robustly Generating Microwave Skyrmions</w:t>
        </w:r>
      </w:hyperlink>
    </w:p>
    <w:p>
      <w:pPr>
        <w:spacing w:before="0" w:after="120"/>
      </w:pPr>
      <w:r>
        <w:rPr>
          <w:b/>
        </w:rPr>
        <w:t xml:space="preserve">Source: </w:t>
      </w:r>
      <w:r>
        <w:t>Wiley: Advanced Materials: Table of Contents</w:t>
      </w:r>
      <w:r>
        <w:t xml:space="preserve">    </w:t>
      </w:r>
      <w:r>
        <w:rPr>
          <w:b/>
        </w:rPr>
        <w:t xml:space="preserve">Pub date: </w:t>
      </w:r>
      <w:r>
        <w:t>2026-02-28 07:15:56+00:00</w:t>
      </w:r>
      <w:r>
        <w:t xml:space="preserve">    </w:t>
      </w:r>
      <w:r>
        <w:rPr>
          <w:b/>
        </w:rPr>
        <w:t xml:space="preserve">DOI: </w:t>
      </w:r>
      <w:hyperlink r:id="rId989">
        <w:r>
          <w:rPr>
            <w:color w:val="1155CC"/>
            <w:u w:val="single"/>
          </w:rPr>
          <w:t>10.1002/adma.202518268</w:t>
        </w:r>
      </w:hyperlink>
    </w:p>
    <w:p>
      <w:pPr>
        <w:spacing w:before="0" w:after="80" w:lineRule="auto" w:line="276"/>
      </w:pPr>
      <w:r>
        <w:rPr>
          <w:b/>
        </w:rPr>
        <w:t xml:space="preserve">摘要（ZH）: </w:t>
      </w:r>
      <w:r>
        <w:t>(empty)</w:t>
      </w:r>
    </w:p>
    <w:p>
      <w:pPr>
        <w:spacing w:before="0" w:after="200" w:lineRule="auto" w:line="276"/>
      </w:pPr>
      <w:r>
        <w:rPr>
          <w:b/>
        </w:rPr>
        <w:t xml:space="preserve">Abstract (EN): </w:t>
      </w:r>
      <w:r>
        <w:t>Skyrmions are topologically stable vector textures as potential information carriers for high-density data storage and communications, especially boosted by the recently emerging meta-generators of skyrmions in electromagnetic fields. However, these implementations always rely on planar, rigid designs with stringent fabrication requirements. Here, we propose the free-form flexible metasurface generating skyrmions toward future wearable and flexible devices for topologically resilient light fields. Furthermore, we experimentally tested the outstanding topological robustness of the skyrmion number under different disorder degrees on the metasurface. The intrinsic topological protection of skyrmions naturally matches the deformability of flexible metasurfaces, enabling a robustness unattainable with conventional carriers. The microwave band can directly be relevant to practical telecommunication systems, also motivate future extension to THz and optical frequency flexible skyrmion platforms. Overall, our results position free-form flexible metasurfaces as a compact and inherently robust framework for skyrmion-based information transfer and next-generation robust free-space communication networks.</w:t>
      </w:r>
    </w:p>
    <w:p>
      <w:pPr>
        <w:spacing w:before="120" w:after="120"/>
      </w:pPr>
      <w:r>
        <w:rPr>
          <w:sz w:val="18"/>
        </w:rPr>
        <w:t>——————————————————————————————————————————————————————————————————————</w:t>
      </w:r>
    </w:p>
    <w:p>
      <w:pPr>
        <w:spacing w:before="160" w:after="40" w:line="240" w:lineRule="auto"/>
      </w:pPr>
      <w:r>
        <w:rPr>
          <w:b/>
        </w:rPr>
        <w:t xml:space="preserve">[462] </w:t>
      </w:r>
      <w:hyperlink r:id="rId990">
        <w:r>
          <w:rPr>
            <w:color w:val="1155CC"/>
            <w:u w:val="single"/>
          </w:rPr>
          <w:t>Tetraphenylsilane‐Engineered MR‐TADF Emitters for Pure‐Green OLEDs with High‐Efficiency, Long Lifetime, and Gamut Close to BT.2020 Standard</w:t>
        </w:r>
      </w:hyperlink>
    </w:p>
    <w:p>
      <w:pPr>
        <w:spacing w:before="0" w:after="120"/>
      </w:pPr>
      <w:r>
        <w:rPr>
          <w:b/>
        </w:rPr>
        <w:t xml:space="preserve">Source: </w:t>
      </w:r>
      <w:r>
        <w:t>Wiley: Advanced Materials: Table of Contents</w:t>
      </w:r>
      <w:r>
        <w:t xml:space="preserve">    </w:t>
      </w:r>
      <w:r>
        <w:rPr>
          <w:b/>
        </w:rPr>
        <w:t xml:space="preserve">Pub date: </w:t>
      </w:r>
      <w:r>
        <w:t>2026-02-28 07:24:19+00:00</w:t>
      </w:r>
      <w:r>
        <w:t xml:space="preserve">    </w:t>
      </w:r>
      <w:r>
        <w:rPr>
          <w:b/>
        </w:rPr>
        <w:t xml:space="preserve">DOI: </w:t>
      </w:r>
      <w:hyperlink r:id="rId991">
        <w:r>
          <w:rPr>
            <w:color w:val="1155CC"/>
            <w:u w:val="single"/>
          </w:rPr>
          <w:t>10.1002/adma.72684</w:t>
        </w:r>
      </w:hyperlink>
    </w:p>
    <w:p>
      <w:pPr>
        <w:spacing w:before="0" w:after="80" w:lineRule="auto" w:line="276"/>
      </w:pPr>
      <w:r>
        <w:rPr>
          <w:b/>
        </w:rPr>
        <w:t xml:space="preserve">摘要（ZH）: </w:t>
      </w:r>
      <w:r>
        <w:t>(empty)</w:t>
      </w:r>
    </w:p>
    <w:p>
      <w:pPr>
        <w:spacing w:before="0" w:after="200" w:lineRule="auto" w:line="276"/>
      </w:pPr>
      <w:r>
        <w:rPr>
          <w:b/>
        </w:rPr>
        <w:t xml:space="preserve">Abstract (EN): </w:t>
      </w:r>
      <w:r>
        <w:t>Achieving the concurrent combination of superior color purity, high efficiency, and long operational durability remains a formidable challenge for organic light-emitting diodes (OLEDs), which are indispensable for realizing ultra-high-definition (UHD) displays. Herein, we propose a rational molecular design strategy that peripherally functionalizes the multi-resonance thermally activated delayed fluorescence (MR-TADF) skeleton with tetraphenylsilane (TPS) and deuterated TPS groups to address these challenges. The resulting emitters, p-DBFSi, m-DBFSi, and m-DBFSi-d, exhibit sharp green emission (515-517 nm) with ultra-narrow full-widths at half-maximum (FWHMs) below 0.070 eV, ranking among the narrowest green MR-TADF materials reported. OLEDs employing m-DBFSi and m-DBFSi-d as emitters deliver the purest green electroluminescence (CIEy = 0.76), extraordinary maximum external quantum efficiencies (EQEmax) of 40.1% and 41.9%, and maximum power efficiency (PEmax) approaching 200 lm W-1, without employing an additional sensitizer, positioning them among the state-of-the-art narrowband pure-green OLEDs. Furthermore, the m-DBFSi-d-based device exhibits remarkably enhanced operational stability with operational lifetime (LT80) of 2491 h at initial luminance of 1000 cd m-2. Collectively, this work establishes a TPS- and deuteration-engineered MR-TADF strategy that enables OLEDs to combine ultra-narrowband emission, outstanding efficiency, and exceptional durability, paving the way for next-generation UHD displays.</w:t>
      </w:r>
    </w:p>
    <w:p>
      <w:pPr>
        <w:spacing w:before="120" w:after="120"/>
      </w:pPr>
      <w:r>
        <w:rPr>
          <w:sz w:val="18"/>
        </w:rPr>
        <w:t>——————————————————————————————————————————————————————————————————————</w:t>
      </w:r>
    </w:p>
    <w:p>
      <w:pPr>
        <w:spacing w:before="160" w:after="40" w:line="240" w:lineRule="auto"/>
      </w:pPr>
      <w:r>
        <w:rPr>
          <w:b/>
        </w:rPr>
        <w:t xml:space="preserve">[463] </w:t>
      </w:r>
      <w:hyperlink r:id="rId992">
        <w:r>
          <w:rPr>
            <w:color w:val="1155CC"/>
            <w:u w:val="single"/>
          </w:rPr>
          <w:t>Mapping the Reactivity of the C═C Bond of Cyclic Enol Ether Derivatives of Sugars: Nucleophilicity Parameters of Glycals</w:t>
        </w:r>
      </w:hyperlink>
    </w:p>
    <w:p>
      <w:pPr>
        <w:spacing w:before="0" w:after="120"/>
      </w:pPr>
      <w:r>
        <w:rPr>
          <w:b/>
        </w:rPr>
        <w:t xml:space="preserve">Source: </w:t>
      </w:r>
      <w:r>
        <w:t>Wiley: Angewandte Chemie International Edition: Table of Contents</w:t>
      </w:r>
      <w:r>
        <w:t xml:space="preserve">    </w:t>
      </w:r>
      <w:r>
        <w:rPr>
          <w:b/>
        </w:rPr>
        <w:t xml:space="preserve">Pub date: </w:t>
      </w:r>
      <w:r>
        <w:t>2026-02-28 08:21:40+00:00</w:t>
      </w:r>
      <w:r>
        <w:t xml:space="preserve">    </w:t>
      </w:r>
      <w:r>
        <w:rPr>
          <w:b/>
        </w:rPr>
        <w:t xml:space="preserve">DOI: </w:t>
      </w:r>
      <w:hyperlink r:id="rId993">
        <w:r>
          <w:rPr>
            <w:color w:val="1155CC"/>
            <w:u w:val="single"/>
          </w:rPr>
          <w:t>10.1002/anie.202524329</w:t>
        </w:r>
      </w:hyperlink>
    </w:p>
    <w:p>
      <w:pPr>
        <w:spacing w:before="0" w:after="80" w:lineRule="auto" w:line="276"/>
      </w:pPr>
      <w:r>
        <w:rPr>
          <w:b/>
        </w:rPr>
        <w:t xml:space="preserve">摘要（ZH）: </w:t>
      </w:r>
      <w:r>
        <w:t>(empty)</w:t>
      </w:r>
    </w:p>
    <w:p>
      <w:pPr>
        <w:spacing w:before="0" w:after="200" w:lineRule="auto" w:line="276"/>
      </w:pPr>
      <w:r>
        <w:rPr>
          <w:b/>
        </w:rPr>
        <w:t xml:space="preserve">Abstract (EN): </w:t>
      </w:r>
      <w:r>
        <w:t>Glycals are unsaturated sugar derivatives constituting a large family of polyhydroxylated synthons which are widely exploited as synthetic intermediates in the synthesis of natural products and as final molecules for biochemical applications. We report the first investigation in the understudied area of structure-reactivity relationship and quantitative mapping of reactivity in endo- and exo-glycals compounds. For quantifying the nucleophilicity of the C═C double bond of a series of endo- and exo-glycals, we performed kinetic investigations of their C─C bond formation with reference electrophiles of known electrophilicity parameters. Fast spectroscopic techniques experiments (stopped-flow and laser-flash photolysis) enabled us to determine the rate constant of hundreds of reactions, which allows the first comprehensive mapping and structure-reactivity analysis of the nucleophilic reactivity of this wide family of cyclic enol ethers. Quantum-chemical calculations corroborate with kinetic investigations and highlight the crucial role of ring strain variations to explain the relative nucleophilicity of endo- and exo-glycals. We examined also the influence of substitution and showed that alkoxy substituents decrease nucleophilicity through inductive effects and hyperconjugation.</w:t>
      </w:r>
    </w:p>
    <w:p>
      <w:pPr>
        <w:spacing w:before="120" w:after="120"/>
      </w:pPr>
      <w:r>
        <w:rPr>
          <w:sz w:val="18"/>
        </w:rPr>
        <w:t>——————————————————————————————————————————————————————————————————————</w:t>
      </w:r>
    </w:p>
    <w:p>
      <w:pPr>
        <w:spacing w:before="160" w:after="40" w:line="240" w:lineRule="auto"/>
      </w:pPr>
      <w:r>
        <w:rPr>
          <w:b/>
        </w:rPr>
        <w:t xml:space="preserve">[464] </w:t>
      </w:r>
      <w:hyperlink r:id="rId994">
        <w:r>
          <w:rPr>
            <w:color w:val="1155CC"/>
            <w:u w:val="single"/>
          </w:rPr>
          <w:t>Photomediated Controlled Radical Homopolymerization of Sulfonated α‐Olefins and Vinyl Ethers with Propagating Sulfonyl Radicals</w:t>
        </w:r>
      </w:hyperlink>
    </w:p>
    <w:p>
      <w:pPr>
        <w:spacing w:before="0" w:after="120"/>
      </w:pPr>
      <w:r>
        <w:rPr>
          <w:b/>
        </w:rPr>
        <w:t xml:space="preserve">Source: </w:t>
      </w:r>
      <w:r>
        <w:t>Wiley: Angewandte Chemie International Edition: Table of Contents</w:t>
      </w:r>
      <w:r>
        <w:t xml:space="preserve">    </w:t>
      </w:r>
      <w:r>
        <w:rPr>
          <w:b/>
        </w:rPr>
        <w:t xml:space="preserve">Pub date: </w:t>
      </w:r>
      <w:r>
        <w:t>2026-02-28 08:26:26+00:00</w:t>
      </w:r>
      <w:r>
        <w:t xml:space="preserve">    </w:t>
      </w:r>
      <w:r>
        <w:rPr>
          <w:b/>
        </w:rPr>
        <w:t xml:space="preserve">DOI: </w:t>
      </w:r>
      <w:hyperlink r:id="rId995">
        <w:r>
          <w:rPr>
            <w:color w:val="1155CC"/>
            <w:u w:val="single"/>
          </w:rPr>
          <w:t>10.1002/anie.202523751</w:t>
        </w:r>
      </w:hyperlink>
    </w:p>
    <w:p>
      <w:pPr>
        <w:spacing w:before="0" w:after="80" w:lineRule="auto" w:line="276"/>
      </w:pPr>
      <w:r>
        <w:rPr>
          <w:b/>
        </w:rPr>
        <w:t xml:space="preserve">摘要（ZH）: </w:t>
      </w:r>
      <w:r>
        <w:t>(empty)</w:t>
      </w:r>
    </w:p>
    <w:p>
      <w:pPr>
        <w:spacing w:before="0" w:after="200" w:lineRule="auto" w:line="276"/>
      </w:pPr>
      <w:r>
        <w:rPr>
          <w:b/>
        </w:rPr>
        <w:t xml:space="preserve">Abstract (EN): </w:t>
      </w:r>
      <w:r>
        <w:t>Herein, we present the photomediated controlled radical homopolymerization of sulfonyl-functionalized α-olefin and vinyl ether monomers, yielding sequence-controlled polysulfones. This unique radical polymerization process is facilitated by sulfonyl radicals regulated through photoinduced electron transfer-controlled radical polymerization (PET-CRP). The resultant ternary sequence-controlled polysulfones exhibit notably enhanced thermal stability compared to conventional alternating binary polysulfones. This study presents the first demonstration of radical polymerization mediated by propagating heteroatom-centered radicals, regulated by PET-CRP. This photo-mediated controlled radical polymerization offers novel approaches for synthesizing polymers with precise main chain sequences, structures, and controlled molecular weights, presenting promising candidates for advanced polymeric materials.</w:t>
      </w:r>
    </w:p>
    <w:p>
      <w:pPr>
        <w:spacing w:before="120" w:after="120"/>
      </w:pPr>
      <w:r>
        <w:rPr>
          <w:sz w:val="18"/>
        </w:rPr>
        <w:t>——————————————————————————————————————————————————————————————————————</w:t>
      </w:r>
    </w:p>
    <w:p>
      <w:pPr>
        <w:spacing w:before="160" w:after="40" w:line="240" w:lineRule="auto"/>
      </w:pPr>
      <w:r>
        <w:rPr>
          <w:b/>
        </w:rPr>
        <w:t xml:space="preserve">[465] </w:t>
      </w:r>
      <w:hyperlink r:id="rId996">
        <w:r>
          <w:rPr>
            <w:color w:val="1155CC"/>
            <w:u w:val="single"/>
          </w:rPr>
          <w:t>Viologen Covalent Organic Frameworks Integrating Synergistic Singlet and Triplet Excitation for Efficient Photosynthesis of Benzazole Pharmaceuticals</w:t>
        </w:r>
      </w:hyperlink>
    </w:p>
    <w:p>
      <w:pPr>
        <w:spacing w:before="0" w:after="120"/>
      </w:pPr>
      <w:r>
        <w:rPr>
          <w:b/>
        </w:rPr>
        <w:t xml:space="preserve">Source: </w:t>
      </w:r>
      <w:r>
        <w:t>Wiley: Angewandte Chemie International Edition: Table of Contents</w:t>
      </w:r>
      <w:r>
        <w:t xml:space="preserve">    </w:t>
      </w:r>
      <w:r>
        <w:rPr>
          <w:b/>
        </w:rPr>
        <w:t xml:space="preserve">Pub date: </w:t>
      </w:r>
      <w:r>
        <w:t>2026-02-28 08:29:08+00:00</w:t>
      </w:r>
      <w:r>
        <w:t xml:space="preserve">    </w:t>
      </w:r>
      <w:r>
        <w:rPr>
          <w:b/>
        </w:rPr>
        <w:t xml:space="preserve">DOI: </w:t>
      </w:r>
      <w:hyperlink r:id="rId997">
        <w:r>
          <w:rPr>
            <w:color w:val="1155CC"/>
            <w:u w:val="single"/>
          </w:rPr>
          <w:t>10.1002/anie.3751232</w:t>
        </w:r>
      </w:hyperlink>
    </w:p>
    <w:p>
      <w:pPr>
        <w:spacing w:before="0" w:after="80" w:lineRule="auto" w:line="276"/>
      </w:pPr>
      <w:r>
        <w:rPr>
          <w:b/>
        </w:rPr>
        <w:t xml:space="preserve">摘要（ZH）: </w:t>
      </w:r>
      <w:r>
        <w:t>(empty)</w:t>
      </w:r>
    </w:p>
    <w:p>
      <w:pPr>
        <w:spacing w:before="0" w:after="200" w:lineRule="auto" w:line="276"/>
      </w:pPr>
      <w:r>
        <w:rPr>
          <w:b/>
        </w:rPr>
        <w:t xml:space="preserve">Abstract (EN): </w:t>
      </w:r>
      <w:r>
        <w:t>Viologen and its derivatives serve as an ideal platform for constructing radical-type photocatalysts, but their reductive nature often causes stacking-induced quenching and over-reduction to the neutral state, substantially suppressing their photocatalytic performance. Herein, we intentionally introduced a 3,3'-viologen skeleton in covalent organic frameworks via a facile cyclization ionization strategy, and the resulting PyBpy-3,3'-ion features unique cationic and diradical characteristics in its neutral state, thereby promoting the simultaneous generation of superoxide radical and singlet oxygen through synergistic singlet (S1) or triplet (T1) excitation. Meanwhile, the diradicals in the catalyst exhibit a strong repulsive interaction toward oxygen, ensuring its long-term stability and activity under aerobic conditions. As a result, PyBpy-3,3'-ion exhibits exceptional photocatalytic efficiency (&gt;90%, 1 h) for the synthesis of benzimidazole-[thiazole/oxazole] (up to 40 examples) under ambient conditions, outperforming most of the state-of-the-art catalytic systems. More impressively, PyBpy-3,3'-ion serves as an outstanding photocatalyst for the facile and highly efficient syntheses of over 10 key benzazole pharmaceuticals, such as Ridinilazole, PMX-610, Tafamidis, and so on, as well as the gram-scale preparation of Thiabendazole and Pimobendan under mild conditions. Our work establishes a rational design protocol to achieve the synergistic S1 and T1 excitation in viologen for highly efficient photocatalytic synthesis of high-value pharmaceuticals.</w:t>
      </w:r>
    </w:p>
    <w:p>
      <w:pPr>
        <w:spacing w:before="120" w:after="120"/>
      </w:pPr>
      <w:r>
        <w:rPr>
          <w:sz w:val="18"/>
        </w:rPr>
        <w:t>——————————————————————————————————————————————————————————————————————</w:t>
      </w:r>
    </w:p>
    <w:p>
      <w:pPr>
        <w:spacing w:before="160" w:after="40" w:line="240" w:lineRule="auto"/>
      </w:pPr>
      <w:r>
        <w:rPr>
          <w:b/>
        </w:rPr>
        <w:t xml:space="preserve">[466] </w:t>
      </w:r>
      <w:hyperlink r:id="rId998">
        <w:r>
          <w:rPr>
            <w:color w:val="1155CC"/>
            <w:u w:val="single"/>
          </w:rPr>
          <w:t>The 10–23 DNAzyme in Biosensing and Diagnostics: Applications, Challenges, and Future Directions</w:t>
        </w:r>
      </w:hyperlink>
    </w:p>
    <w:p>
      <w:pPr>
        <w:spacing w:before="0" w:after="120"/>
      </w:pPr>
      <w:r>
        <w:rPr>
          <w:b/>
        </w:rPr>
        <w:t xml:space="preserve">Source: </w:t>
      </w:r>
      <w:r>
        <w:t>Wiley: Angewandte Chemie International Edition: Table of Contents</w:t>
      </w:r>
      <w:r>
        <w:t xml:space="preserve">    </w:t>
      </w:r>
      <w:r>
        <w:rPr>
          <w:b/>
        </w:rPr>
        <w:t xml:space="preserve">Pub date: </w:t>
      </w:r>
      <w:r>
        <w:t>2026-02-28 08:31:20+00:00</w:t>
      </w:r>
      <w:r>
        <w:t xml:space="preserve">    </w:t>
      </w:r>
      <w:r>
        <w:rPr>
          <w:b/>
        </w:rPr>
        <w:t xml:space="preserve">DOI: </w:t>
      </w:r>
      <w:hyperlink r:id="rId999">
        <w:r>
          <w:rPr>
            <w:color w:val="1155CC"/>
            <w:u w:val="single"/>
          </w:rPr>
          <w:t>10.1002/anie.7876181</w:t>
        </w:r>
      </w:hyperlink>
    </w:p>
    <w:p>
      <w:pPr>
        <w:spacing w:before="0" w:after="80" w:lineRule="auto" w:line="276"/>
      </w:pPr>
      <w:r>
        <w:rPr>
          <w:b/>
        </w:rPr>
        <w:t xml:space="preserve">摘要（ZH）: </w:t>
      </w:r>
      <w:r>
        <w:t>(empty)</w:t>
      </w:r>
    </w:p>
    <w:p>
      <w:pPr>
        <w:spacing w:before="0" w:after="200" w:lineRule="auto" w:line="276"/>
      </w:pPr>
      <w:r>
        <w:rPr>
          <w:b/>
        </w:rPr>
        <w:t xml:space="preserve">Abstract (EN): </w:t>
      </w:r>
      <w:r>
        <w:t>Catalytic DNA molecules (DNAzymes) have garnered increasing attention as components of biosensing and diagnostic platforms due to their simplicity, programmability, and cost-effectiveness. Among them, the 10-23 DNAzyme remains the most widely used RNA-cleaving DNAzyme, combining high catalytic efficiency with broad adaptability across diverse sensor architectures. Despite these advantages, its performance can be significantly hindered by suboptimal reaction temperature, low Mg2+ concentrations, nuclease-rich biological matrices, and restricted accessibility to structured RNA targets. Such limitations have impeded its widespread adoption in simple, robust point-of-care formats. This review examines the integration of the 10-23 DNAzyme into contemporary biosensing and diagnostic systems-including colorimetric, fluorescent, electrochemical, electrochemiluminescent, and intracellular sensors-highlighting both direct and regulated activation strategies and the dual role of 10-23 as a molecular recognition element and signal reporter. We also discuss key challenges in catalytic performance, stability, assay workflow, and clinical validation, as well as emerging solutions such as chemical modifications, nanoparticle-based protection, and advanced sensor architectures. Together, these insights outline the current landscape and future opportunities for advancing the 10-23 DNAzyme toward next generation biosensing and diagnostic applications.</w:t>
      </w:r>
    </w:p>
    <w:p>
      <w:pPr>
        <w:spacing w:before="120" w:after="120"/>
      </w:pPr>
      <w:r>
        <w:rPr>
          <w:sz w:val="18"/>
        </w:rPr>
        <w:t>——————————————————————————————————————————————————————————————————————</w:t>
      </w:r>
    </w:p>
    <w:p>
      <w:pPr>
        <w:spacing w:before="160" w:after="40" w:line="240" w:lineRule="auto"/>
      </w:pPr>
      <w:r>
        <w:rPr>
          <w:b/>
        </w:rPr>
        <w:t xml:space="preserve">[467] </w:t>
      </w:r>
      <w:hyperlink r:id="rId1000">
        <w:r>
          <w:rPr>
            <w:color w:val="1155CC"/>
            <w:u w:val="single"/>
          </w:rPr>
          <w:t>Correction to “Magnetic and Peroxidase‐Specific Single‐Atom Nanozyme Through Cu‐Doping Engineering for Ultrasensitive and Visual Tumor Diagnosis”</w:t>
        </w:r>
      </w:hyperlink>
    </w:p>
    <w:p>
      <w:pPr>
        <w:spacing w:before="0" w:after="120"/>
      </w:pPr>
      <w:r>
        <w:rPr>
          <w:b/>
        </w:rPr>
        <w:t xml:space="preserve">Source: </w:t>
      </w:r>
      <w:r>
        <w:t>Wiley: Angewandte Chemie International Edition: Table of Contents</w:t>
      </w:r>
      <w:r>
        <w:t xml:space="preserve">    </w:t>
      </w:r>
      <w:r>
        <w:rPr>
          <w:b/>
        </w:rPr>
        <w:t xml:space="preserve">Pub date: </w:t>
      </w:r>
      <w:r>
        <w:t>2026-02-28 08:34:58+00:00</w:t>
      </w:r>
      <w:r>
        <w:t xml:space="preserve">    </w:t>
      </w:r>
      <w:r>
        <w:rPr>
          <w:b/>
        </w:rPr>
        <w:t xml:space="preserve">DOI: </w:t>
      </w:r>
      <w:hyperlink r:id="rId1001">
        <w:r>
          <w:rPr>
            <w:color w:val="1155CC"/>
            <w:u w:val="single"/>
          </w:rPr>
          <w:t>10.1002/anie.6439677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[468] </w:t>
      </w:r>
      <w:hyperlink r:id="rId1002">
        <w:r>
          <w:rPr>
            <w:color w:val="1155CC"/>
            <w:u w:val="single"/>
          </w:rPr>
          <w:t>Single‐Atom La Promoter Breaks the Activity–Stability Trade‐Off on Al2O3‐Supported Pt Catalysts for Propane Dehydrogenation</w:t>
        </w:r>
      </w:hyperlink>
    </w:p>
    <w:p>
      <w:pPr>
        <w:spacing w:before="0" w:after="120"/>
      </w:pPr>
      <w:r>
        <w:rPr>
          <w:b/>
        </w:rPr>
        <w:t xml:space="preserve">Source: </w:t>
      </w:r>
      <w:r>
        <w:t>Wiley: Angewandte Chemie International Edition: Table of Contents</w:t>
      </w:r>
      <w:r>
        <w:t xml:space="preserve">    </w:t>
      </w:r>
      <w:r>
        <w:rPr>
          <w:b/>
        </w:rPr>
        <w:t xml:space="preserve">Pub date: </w:t>
      </w:r>
      <w:r>
        <w:t>2026-02-28 08:36:34+00:00</w:t>
      </w:r>
      <w:r>
        <w:t xml:space="preserve">    </w:t>
      </w:r>
      <w:r>
        <w:rPr>
          <w:b/>
        </w:rPr>
        <w:t xml:space="preserve">DOI: </w:t>
      </w:r>
      <w:hyperlink r:id="rId1003">
        <w:r>
          <w:rPr>
            <w:color w:val="1155CC"/>
            <w:u w:val="single"/>
          </w:rPr>
          <w:t>10.1002/anie.202526039</w:t>
        </w:r>
      </w:hyperlink>
    </w:p>
    <w:p>
      <w:pPr>
        <w:spacing w:before="0" w:after="80" w:lineRule="auto" w:line="276"/>
      </w:pPr>
      <w:r>
        <w:rPr>
          <w:b/>
        </w:rPr>
        <w:t xml:space="preserve">摘要（ZH）: </w:t>
      </w:r>
      <w:r>
        <w:t>(empty)</w:t>
      </w:r>
    </w:p>
    <w:p>
      <w:pPr>
        <w:spacing w:before="0" w:after="200" w:lineRule="auto" w:line="276"/>
      </w:pPr>
      <w:r>
        <w:rPr>
          <w:b/>
        </w:rPr>
        <w:t xml:space="preserve">Abstract (EN): </w:t>
      </w:r>
      <w:r>
        <w:t>Achieving acceptable propane conversion in the endothermic propane dehydrogenation (PDH) reaction demands high temperatures, which exacerbate the activity-stability trade-off through low propylene selectivity and accelerated coking deactivation. Addressing this, we leverage the essence of Le Chatelier's principle-shifting reaction equilibrium through rapid in situ H2 removal-a strategy conventionally deemed unattainable on Al2O3 supports due to hydrogen spillover limitations. The synergistic sites between the La1-SnOx promoter and Pt enable the redistribution of surface H species away from the Pt active centers. Consequently, the La1-Ptn/SnOx/Al2O3 catalyst achieves propane conversions approaching the thermodynamic equilibrium conversion over 300-600 °C. Moreover, modulation of hydrogen surface diffusion behavior influences unselective C-C(H) scission of propylene and modifies coke structure and secondary cracking propensity, which is associated with the substantially improved durability observed for La1-Ptn/SnOx/Al2O3 compared to the Ptn/SnOx/Al2O3 (commercial mimic) catalyst. This superior performance demonstrates that, the introduction of La1-SnOx not only overcomes the inert hydrogen-trapping nature of Al2O3, but also alleviates the conventional activity-stability trade-off in PDH catalysis, illustrating how atomically dispersed promoters can circumvent intrinsic support limitations and thereby expand the performance boundaries of Al2O3-based dehydrogenation catalysts.</w:t>
      </w:r>
    </w:p>
    <w:p>
      <w:pPr>
        <w:spacing w:before="120" w:after="120"/>
      </w:pPr>
      <w:r>
        <w:rPr>
          <w:sz w:val="18"/>
        </w:rPr>
        <w:t>——————————————————————————————————————————————————————————————————————</w:t>
      </w:r>
    </w:p>
    <w:p>
      <w:pPr>
        <w:spacing w:before="160" w:after="40" w:line="240" w:lineRule="auto"/>
      </w:pPr>
      <w:r>
        <w:rPr>
          <w:b/>
        </w:rPr>
        <w:t xml:space="preserve">[469] </w:t>
      </w:r>
      <w:hyperlink r:id="rId1004">
        <w:r>
          <w:rPr>
            <w:color w:val="1155CC"/>
            <w:u w:val="single"/>
          </w:rPr>
          <w:t>Unraveling Working and Degradation Mechanisms of Energy Storage and Conversion Materials at the Nanoscale Using Synchrotron X‐Ray Characterizations</w:t>
        </w:r>
      </w:hyperlink>
    </w:p>
    <w:p>
      <w:pPr>
        <w:spacing w:before="0" w:after="120"/>
      </w:pPr>
      <w:r>
        <w:rPr>
          <w:b/>
        </w:rPr>
        <w:t xml:space="preserve">Source: </w:t>
      </w:r>
      <w:r>
        <w:t>Wiley: Advanced Materials: Table of Contents</w:t>
      </w:r>
      <w:r>
        <w:t xml:space="preserve">    </w:t>
      </w:r>
      <w:r>
        <w:rPr>
          <w:b/>
        </w:rPr>
        <w:t xml:space="preserve">Pub date: </w:t>
      </w:r>
      <w:r>
        <w:t>2026-02-28 09:47:34+00:00</w:t>
      </w:r>
      <w:r>
        <w:t xml:space="preserve">    </w:t>
      </w:r>
      <w:r>
        <w:rPr>
          <w:b/>
        </w:rPr>
        <w:t xml:space="preserve">DOI: </w:t>
      </w:r>
      <w:hyperlink r:id="rId1005">
        <w:r>
          <w:rPr>
            <w:color w:val="1155CC"/>
            <w:u w:val="single"/>
          </w:rPr>
          <w:t>10.1002/adma.72655</w:t>
        </w:r>
      </w:hyperlink>
    </w:p>
    <w:p>
      <w:pPr>
        <w:spacing w:before="0" w:after="80" w:lineRule="auto" w:line="276"/>
      </w:pPr>
      <w:r>
        <w:rPr>
          <w:b/>
        </w:rPr>
        <w:t xml:space="preserve">摘要（ZH）: </w:t>
      </w:r>
      <w:r>
        <w:t>(empty)</w:t>
      </w:r>
    </w:p>
    <w:p>
      <w:pPr>
        <w:spacing w:before="0" w:after="200" w:lineRule="auto" w:line="276"/>
      </w:pPr>
      <w:r>
        <w:rPr>
          <w:b/>
        </w:rPr>
        <w:t xml:space="preserve">Abstract (EN): </w:t>
      </w:r>
      <w:r>
        <w:t>A comprehensive understanding of working and degradation mechanisms of energy materials is essential for enhancing their performance and tackling contemporary energy and environmental challenges, particularly in the transition from fossil fuels to renewables. Emerging nanoscale X-ray characterization techniques based on synchrotron radiation provide robust, multi-scale, and multi-modal analytical capabilities, making them a suite of powerful tools for revealing operational and failure mechanisms, especially of bulk materials with features ranging from nano to micrometers under realistic operating conditions. This Perspective initially highlights the advantages of X-ray methods based on synchrotron light sources and then summarizes X-ray-matter interactions and corresponding characterization methods. Three pivotal approaches that facilitate nanoscale X-ray imaging are subsequently summarized. Representative examples illustrate the versatility and power of these prominent techniques, including X-ray imaging, scattering/diffraction, and spectroscopy, in probing morphologies, compositions, atomic structures, and electronic properties. Integration of multi-scale and multi-modal X-ray techniques is underscored to achieve synergistic enhancements in analytical depth. It concludes with a discussion of current challenges, emerging opportunities, and future directions, providing insights into potential advancements in this field.</w:t>
      </w:r>
    </w:p>
    <w:p>
      <w:pPr>
        <w:spacing w:before="120" w:after="120"/>
      </w:pPr>
      <w:r>
        <w:rPr>
          <w:sz w:val="18"/>
        </w:rPr>
        <w:t>——————————————————————————————————————————————————————————————————————</w:t>
      </w:r>
    </w:p>
    <w:p>
      <w:pPr>
        <w:spacing w:before="160" w:after="40" w:line="240" w:lineRule="auto"/>
      </w:pPr>
      <w:r>
        <w:rPr>
          <w:b/>
        </w:rPr>
        <w:t xml:space="preserve">[470] </w:t>
      </w:r>
      <w:hyperlink r:id="rId1006">
        <w:r>
          <w:rPr>
            <w:color w:val="1155CC"/>
            <w:u w:val="single"/>
          </w:rPr>
          <w:t>Direct Growth of Wafer‐Scale 2D Semiconductor Transistors via One‐Step PtTe2/2H‐MoTe2 Heterophase Formation</w:t>
        </w:r>
      </w:hyperlink>
    </w:p>
    <w:p>
      <w:pPr>
        <w:spacing w:before="0" w:after="120"/>
      </w:pPr>
      <w:r>
        <w:rPr>
          <w:b/>
        </w:rPr>
        <w:t xml:space="preserve">Source: </w:t>
      </w:r>
      <w:r>
        <w:t>Wiley: Advanced Materials: Table of Contents</w:t>
      </w:r>
      <w:r>
        <w:t xml:space="preserve">    </w:t>
      </w:r>
      <w:r>
        <w:rPr>
          <w:b/>
        </w:rPr>
        <w:t xml:space="preserve">Pub date: </w:t>
      </w:r>
      <w:r>
        <w:t>2026-02-28 11:03:12+00:00</w:t>
      </w:r>
      <w:r>
        <w:t xml:space="preserve">    </w:t>
      </w:r>
      <w:r>
        <w:rPr>
          <w:b/>
        </w:rPr>
        <w:t xml:space="preserve">DOI: </w:t>
      </w:r>
      <w:hyperlink r:id="rId1007">
        <w:r>
          <w:rPr>
            <w:color w:val="1155CC"/>
            <w:u w:val="single"/>
          </w:rPr>
          <w:t>10.1002/adma.202522270</w:t>
        </w:r>
      </w:hyperlink>
    </w:p>
    <w:p>
      <w:pPr>
        <w:spacing w:before="0" w:after="80" w:lineRule="auto" w:line="276"/>
      </w:pPr>
      <w:r>
        <w:rPr>
          <w:b/>
        </w:rPr>
        <w:t xml:space="preserve">摘要（ZH）: </w:t>
      </w:r>
      <w:r>
        <w:t>(empty)</w:t>
      </w:r>
    </w:p>
    <w:p>
      <w:pPr>
        <w:spacing w:before="0" w:after="200" w:lineRule="auto" w:line="276"/>
      </w:pPr>
      <w:r>
        <w:rPr>
          <w:b/>
        </w:rPr>
        <w:t xml:space="preserve">Abstract (EN): </w:t>
      </w:r>
      <w:r>
        <w:t>2D semiconductors offer a promising platform for next-generation integrated circuits and large-scale electronic systems. Realizing high-performance p-type transistors, however, remains challenging due to Fermi-level pinning, high contact resistance, and poorly defined interfaces in conventional stepwise fabrication. Here, we demonstrate a single-step tellurization growth strategy that simultaneously forms PtTe2 contacts on 2H-MoTe2 channels to directly realize 2D semiconductor transistors. This approach forms PtTe2/2H-MoTe2 metal/semiconductor arrays with precise control of the MoTe2 phase at the PtTe2 electrode interface, while providing integrated van der Waals metallic contacts without the need for post-growth of metal contacts. Using this method, we achieve wafer-scale heterophase arrays characterized by uniform patterning and well-controlled 2H/1T' phase transformation dynamics. The heterojunctions display sharp and clean interfaces, as verified by TEM, STEM, and EDS mapping. Transistor arrays fabricated from these heterophase structures show Ohmic contacts with low Schottky barrier heights, delivering on/off ratios up to 5 × 104 and consistent mobility of 5-9 cm2/Vs across 100 devices, ensuring efficient carrier injection. Our results establish a scalable pathway for the direct growth of 2D semiconductor transistors, overcoming conventional multi-step device fabrication bottlenecks and providing a promising platform for large-scale, and reproducible 2D electronics.</w:t>
      </w:r>
    </w:p>
    <w:p>
      <w:pPr>
        <w:spacing w:before="120" w:after="120"/>
      </w:pPr>
      <w:r>
        <w:rPr>
          <w:sz w:val="18"/>
        </w:rPr>
        <w:t>——————————————————————————————————————————————————————————————————————</w:t>
      </w:r>
    </w:p>
    <w:p>
      <w:pPr>
        <w:spacing w:before="160" w:after="40" w:line="240" w:lineRule="auto"/>
      </w:pPr>
      <w:r>
        <w:rPr>
          <w:b/>
        </w:rPr>
        <w:t xml:space="preserve">[471] </w:t>
      </w:r>
      <w:hyperlink r:id="rId1008">
        <w:r>
          <w:rPr>
            <w:color w:val="1155CC"/>
            <w:u w:val="single"/>
          </w:rPr>
          <w:t>Photochemical Fuel Carrier Molecules for Robotic Embodied Energy</w:t>
        </w:r>
      </w:hyperlink>
    </w:p>
    <w:p>
      <w:pPr>
        <w:spacing w:before="0" w:after="120"/>
      </w:pPr>
      <w:r>
        <w:rPr>
          <w:b/>
        </w:rPr>
        <w:t xml:space="preserve">Source: </w:t>
      </w:r>
      <w:r>
        <w:t>Wiley: Advanced Materials: Table of Contents</w:t>
      </w:r>
      <w:r>
        <w:t xml:space="preserve">    </w:t>
      </w:r>
      <w:r>
        <w:rPr>
          <w:b/>
        </w:rPr>
        <w:t xml:space="preserve">Pub date: </w:t>
      </w:r>
      <w:r>
        <w:t>2026-02-28 11:15:51+00:00</w:t>
      </w:r>
      <w:r>
        <w:t xml:space="preserve">    </w:t>
      </w:r>
      <w:r>
        <w:rPr>
          <w:b/>
        </w:rPr>
        <w:t xml:space="preserve">DOI: </w:t>
      </w:r>
      <w:hyperlink r:id="rId1009">
        <w:r>
          <w:rPr>
            <w:color w:val="1155CC"/>
            <w:u w:val="single"/>
          </w:rPr>
          <w:t>10.1002/adma.202520447</w:t>
        </w:r>
      </w:hyperlink>
    </w:p>
    <w:p>
      <w:pPr>
        <w:spacing w:before="0" w:after="80" w:lineRule="auto" w:line="276"/>
      </w:pPr>
      <w:r>
        <w:rPr>
          <w:b/>
        </w:rPr>
        <w:t xml:space="preserve">摘要（ZH）: </w:t>
      </w:r>
      <w:r>
        <w:t>(empty)</w:t>
      </w:r>
    </w:p>
    <w:p>
      <w:pPr>
        <w:spacing w:before="0" w:after="200" w:lineRule="auto" w:line="276"/>
      </w:pPr>
      <w:r>
        <w:rPr>
          <w:b/>
        </w:rPr>
        <w:t xml:space="preserve">Abstract (EN): </w:t>
      </w:r>
      <w:r>
        <w:t>The downsizing of mobile robots faces obstacles in power and control as conventional electromechanical systems do not scale favorably with mass and size. Despite recent advancements in functional materials, enabling efficient energy storage, structural integration, and on-demand energy release in small-scale robots remains a challenge. Inspired by metabolic strategies in animals, we designed a fuel carrier molecule for embodied energy in small-scale swimming robots. We integrated an ultralow surface tension unit into a photolabile o-nitrobenzyl derivative to yield a novel photoresponsive molecule for fuel storage and controlled release. Combining these two properties, carrier molecules undergo bond scission under UV light to release fuel and locally manipulate surface tension to generate Marangoni flows. We incorporated this fuel carrier into an easily processable polymer composite to enable its application as a structural component with embodied energy and control. We implemented this approach in Marangoni micropump systems, surface-tension-active particle transportation, and untethered hybrid microrobots that combine photochemical on-off propulsion with magnetic control. This materials platform serves as a versatile solution to store fuel and energy in structural components and release it on demand with precision, opening new opportunities for embodied energy design in microrobots, soft devices, and active matter systems.</w:t>
      </w:r>
    </w:p>
    <w:p>
      <w:pPr>
        <w:spacing w:before="120" w:after="120"/>
      </w:pPr>
      <w:r>
        <w:rPr>
          <w:sz w:val="18"/>
        </w:rPr>
        <w:t>——————————————————————————————————————————————————————————————————————</w:t>
      </w:r>
    </w:p>
    <w:p>
      <w:pPr>
        <w:spacing w:before="160" w:after="40" w:line="240" w:lineRule="auto"/>
      </w:pPr>
      <w:r>
        <w:rPr>
          <w:b/>
        </w:rPr>
        <w:t xml:space="preserve">[472] </w:t>
      </w:r>
      <w:hyperlink r:id="rId1010">
        <w:r>
          <w:rPr>
            <w:color w:val="1155CC"/>
            <w:u w:val="single"/>
          </w:rPr>
          <w:t>Nanoconfined Multi‐Scale Metal Catalysts: Confinement‐Induced Geometric, Electronic, and Microenvironment Regulation for Selective Multi‑Electron CO2 Reduction</w:t>
        </w:r>
      </w:hyperlink>
    </w:p>
    <w:p>
      <w:pPr>
        <w:spacing w:before="0" w:after="120"/>
      </w:pPr>
      <w:r>
        <w:rPr>
          <w:b/>
        </w:rPr>
        <w:t xml:space="preserve">Source: </w:t>
      </w:r>
      <w:r>
        <w:t>Wiley: Advanced Energy Materials: Table of Contents</w:t>
      </w:r>
      <w:r>
        <w:t xml:space="preserve">    </w:t>
      </w:r>
      <w:r>
        <w:rPr>
          <w:b/>
        </w:rPr>
        <w:t xml:space="preserve">Pub date: </w:t>
      </w:r>
      <w:r>
        <w:t>2026-02-28 12:00:17+00:00</w:t>
      </w:r>
      <w:r>
        <w:t xml:space="preserve">    </w:t>
      </w:r>
      <w:r>
        <w:rPr>
          <w:b/>
        </w:rPr>
        <w:t xml:space="preserve">DOI: </w:t>
      </w:r>
      <w:hyperlink r:id="rId1011">
        <w:r>
          <w:rPr>
            <w:color w:val="1155CC"/>
            <w:u w:val="single"/>
          </w:rPr>
          <w:t>10.1002/aenm.70795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[473] </w:t>
      </w:r>
      <w:hyperlink r:id="rId1012">
        <w:r>
          <w:rPr>
            <w:color w:val="1155CC"/>
            <w:u w:val="single"/>
          </w:rPr>
          <w:t>High‐Performance Ultra‐Narrowband Blue Electroluminescence via Intramolecular Noncovalent Interaction‐Enhanced Multiple Resonance Emitters</w:t>
        </w:r>
      </w:hyperlink>
    </w:p>
    <w:p>
      <w:pPr>
        <w:spacing w:before="0" w:after="120"/>
      </w:pPr>
      <w:r>
        <w:rPr>
          <w:b/>
        </w:rPr>
        <w:t xml:space="preserve">Source: </w:t>
      </w:r>
      <w:r>
        <w:t>Wiley: Angewandte Chemie International Edition: Table of Contents</w:t>
      </w:r>
      <w:r>
        <w:t xml:space="preserve">    </w:t>
      </w:r>
      <w:r>
        <w:rPr>
          <w:b/>
        </w:rPr>
        <w:t xml:space="preserve">Pub date: </w:t>
      </w:r>
      <w:r>
        <w:t>2026-02-28 13:04:52+00:00</w:t>
      </w:r>
      <w:r>
        <w:t xml:space="preserve">    </w:t>
      </w:r>
      <w:r>
        <w:rPr>
          <w:b/>
        </w:rPr>
        <w:t xml:space="preserve">DOI: </w:t>
      </w:r>
      <w:hyperlink r:id="rId1013">
        <w:r>
          <w:rPr>
            <w:color w:val="1155CC"/>
            <w:u w:val="single"/>
          </w:rPr>
          <w:t>10.1002/anie.3968771</w:t>
        </w:r>
      </w:hyperlink>
    </w:p>
    <w:p>
      <w:pPr>
        <w:spacing w:before="0" w:after="80" w:lineRule="auto" w:line="276"/>
      </w:pPr>
      <w:r>
        <w:rPr>
          <w:b/>
        </w:rPr>
        <w:t xml:space="preserve">摘要（ZH）: </w:t>
      </w:r>
      <w:r>
        <w:t>(empty)</w:t>
      </w:r>
    </w:p>
    <w:p>
      <w:pPr>
        <w:spacing w:before="0" w:after="200" w:lineRule="auto" w:line="276"/>
      </w:pPr>
      <w:r>
        <w:rPr>
          <w:b/>
        </w:rPr>
        <w:t xml:space="preserve">Abstract (EN): </w:t>
      </w:r>
      <w:r>
        <w:t>The development of high-performance blue organic light-emitting diodes (OLEDs) is impeded by the scarcity of molecular scaffolds for ultranarrow multiple-resonance thermally activated delayed fluorescence (MR-TADF) emitters and their inherent tendency to suffer from aggregation-induced broadening and quenching in solid films. To intrinsically address these dual challenges, we report a "soft constraints" molecular design strategy that strategically enhances intramolecular noncovalent interactions. By appending tailored donor (carbazole) or acceptor (triazine) units to the MR-TADF core, this architecture not only directly suppresses key high-frequency vibrations (e.g., C─N stretching) to achieve an impressively narrow emission with a full width at half-maximum (FWHM) of 19 nm in solution, but also effectively inhibits detrimental π…π stacking between the emissive cores. The resulting emitters Cz‑TBN and TRZ‑TBN retain ultranarrow emission (FWHM ≈ 23 nm) and high external quantum efficiencies (up to 40.5%) in OLEDs across a broad doping range (1-10 wt%); the TRZ‑TBN device also reaches a record power efficiency (67.9 lm W-1) for blue MR-OLEDs. This work offers a generalizable strategy for the rational design of high-performance blue emitters.</w:t>
      </w:r>
    </w:p>
    <w:p>
      <w:pPr>
        <w:spacing w:before="120" w:after="120"/>
      </w:pPr>
      <w:r>
        <w:rPr>
          <w:sz w:val="18"/>
        </w:rPr>
        <w:t>——————————————————————————————————————————————————————————————————————</w:t>
      </w:r>
    </w:p>
    <w:p>
      <w:pPr>
        <w:spacing w:before="160" w:after="40" w:line="240" w:lineRule="auto"/>
      </w:pPr>
      <w:r>
        <w:rPr>
          <w:b/>
        </w:rPr>
        <w:t xml:space="preserve">[474] </w:t>
      </w:r>
      <w:hyperlink r:id="rId1014">
        <w:r>
          <w:rPr>
            <w:color w:val="1155CC"/>
            <w:u w:val="single"/>
          </w:rPr>
          <w:t>A Dual‐Key Gated Nuclear‐DNA‐Targeted Photogenerator for Amplified Photodynamic Immunotherapy of Breast Cancer</w:t>
        </w:r>
      </w:hyperlink>
    </w:p>
    <w:p>
      <w:pPr>
        <w:spacing w:before="0" w:after="120"/>
      </w:pPr>
      <w:r>
        <w:rPr>
          <w:b/>
        </w:rPr>
        <w:t xml:space="preserve">Source: </w:t>
      </w:r>
      <w:r>
        <w:t>Wiley: Angewandte Chemie International Edition: Table of Contents</w:t>
      </w:r>
      <w:r>
        <w:t xml:space="preserve">    </w:t>
      </w:r>
      <w:r>
        <w:rPr>
          <w:b/>
        </w:rPr>
        <w:t xml:space="preserve">Pub date: </w:t>
      </w:r>
      <w:r>
        <w:t>2026-02-28 13:35:36+00:00</w:t>
      </w:r>
      <w:r>
        <w:t xml:space="preserve">    </w:t>
      </w:r>
      <w:r>
        <w:rPr>
          <w:b/>
        </w:rPr>
        <w:t xml:space="preserve">DOI: </w:t>
      </w:r>
      <w:hyperlink r:id="rId1015">
        <w:r>
          <w:rPr>
            <w:color w:val="1155CC"/>
            <w:u w:val="single"/>
          </w:rPr>
          <w:t>10.1002/anie.202523661</w:t>
        </w:r>
      </w:hyperlink>
    </w:p>
    <w:p>
      <w:pPr>
        <w:spacing w:before="0" w:after="80" w:lineRule="auto" w:line="276"/>
      </w:pPr>
      <w:r>
        <w:rPr>
          <w:b/>
        </w:rPr>
        <w:t xml:space="preserve">摘要（ZH）: </w:t>
      </w:r>
      <w:r>
        <w:t>(empty)</w:t>
      </w:r>
    </w:p>
    <w:p>
      <w:pPr>
        <w:spacing w:before="0" w:after="200" w:lineRule="auto" w:line="276"/>
      </w:pPr>
      <w:r>
        <w:rPr>
          <w:b/>
        </w:rPr>
        <w:t xml:space="preserve">Abstract (EN): </w:t>
      </w:r>
      <w:r>
        <w:t>Developing therapeutic agents that are capable of directly damaging nuclear DNA is critical for curing metastatic breast cancer. Herein, an enzyme-mediated nuclear DNA-targeted photogenerator (P-NO3) was constructed through dual-key gating for amplified photodynamic immunotherapy (PDIT) against breast cancer, which has rarely been reported. Specifically, bilateral pyridinone units were included in the design to interact with overactivated cyclin-dependent kinases 4 and 6 (CDK4/6) within breast cancer cells, which can circumvent the limitation of an impermeable nuclear envelope (the first key). Once inside the nucleus, the equipped dual-positive pyridine groups can further competitively bind with DNA, promoting P-NO3 to precisely anchor and illuminate nuclear DNA (the second key). Upon cascade activation, P-NO3 utilized photogenerated highly toxic hydroxyl radical (·OH) in situ to damage the nucleus even under hypoxia, causing the up-regulated expression of related genes (DDI2, KDM4D, RGCC). Concomitantly, damage-associated high-mobility group box 1 (HMGB1) and calreticulin (CRT) were released, triggering a systemic immune response to further suppress distant tumors, realizing efficient PDIT for breast cancer. This study provides new insight into designing nuclear-DNA-targeted phototherapeutic agents for complete ablation of metastatic tumors.</w:t>
      </w:r>
    </w:p>
    <w:p>
      <w:pPr>
        <w:spacing w:before="120" w:after="120"/>
      </w:pPr>
      <w:r>
        <w:rPr>
          <w:sz w:val="18"/>
        </w:rPr>
        <w:t>——————————————————————————————————————————————————————————————————————</w:t>
      </w:r>
    </w:p>
    <w:p>
      <w:pPr>
        <w:spacing w:before="160" w:after="40" w:line="240" w:lineRule="auto"/>
      </w:pPr>
      <w:r>
        <w:rPr>
          <w:b/>
        </w:rPr>
        <w:t xml:space="preserve">[475] </w:t>
      </w:r>
      <w:hyperlink r:id="rId1016">
        <w:r>
          <w:rPr>
            <w:color w:val="1155CC"/>
            <w:u w:val="single"/>
          </w:rPr>
          <w:t>Component‐Programmed Self‐Assembly for Topological Transformation: From a 2D Network to a Discrete Star of David</w:t>
        </w:r>
      </w:hyperlink>
    </w:p>
    <w:p>
      <w:pPr>
        <w:spacing w:before="0" w:after="120"/>
      </w:pPr>
      <w:r>
        <w:rPr>
          <w:b/>
        </w:rPr>
        <w:t xml:space="preserve">Source: </w:t>
      </w:r>
      <w:r>
        <w:t>Wiley: Angewandte Chemie International Edition: Table of Contents</w:t>
      </w:r>
      <w:r>
        <w:t xml:space="preserve">    </w:t>
      </w:r>
      <w:r>
        <w:rPr>
          <w:b/>
        </w:rPr>
        <w:t xml:space="preserve">Pub date: </w:t>
      </w:r>
      <w:r>
        <w:t>2026-02-28 13:36:19+00:00</w:t>
      </w:r>
      <w:r>
        <w:t xml:space="preserve">    </w:t>
      </w:r>
      <w:r>
        <w:rPr>
          <w:b/>
        </w:rPr>
        <w:t xml:space="preserve">DOI: </w:t>
      </w:r>
      <w:hyperlink r:id="rId1017">
        <w:r>
          <w:rPr>
            <w:color w:val="1155CC"/>
            <w:u w:val="single"/>
          </w:rPr>
          <w:t>10.1002/anie.1762884</w:t>
        </w:r>
      </w:hyperlink>
    </w:p>
    <w:p>
      <w:pPr>
        <w:spacing w:before="0" w:after="80" w:lineRule="auto" w:line="276"/>
      </w:pPr>
      <w:r>
        <w:rPr>
          <w:b/>
        </w:rPr>
        <w:t xml:space="preserve">摘要（ZH）: </w:t>
      </w:r>
      <w:r>
        <w:t>(empty)</w:t>
      </w:r>
    </w:p>
    <w:p>
      <w:pPr>
        <w:spacing w:before="0" w:after="200" w:lineRule="auto" w:line="276"/>
      </w:pPr>
      <w:r>
        <w:rPr>
          <w:b/>
        </w:rPr>
        <w:t xml:space="preserve">Abstract (EN): </w:t>
      </w:r>
      <w:r>
        <w:t>Controllable modifications on dimensionalities and topologies of supramolecules are crucial for tuning their properties. Here, we report a robust component-controlled topological transformation, initiating with a two-dimensional (2D) layered coordination network S2 formed by the self-assembly of a metallo-organic ligand (MOL) LA with Zn(II). The strategic introduction of a V-shaped modulator LB with peripheral arms into the S2 system triggered a remarkable topological transformation, thus affording a discrete zero-dimensional (0D) hexagon-framed Star of David S1. This unprecedented 2D to 0D control facilitates direct comparison of their intrinsic properties, with structures unequivocally confirmed by nuclear magnetic resonance (NMR) spectroscopy, high-resolution electrospray ionization mass spectrometry (ESI-MS), traveling-wave ion mobility mass spectrometry (TWIM-MS), and microscopy. In the aerobic sulfide oxidation, the extended 2D network S2 exhibited significantly improved photocatalytic performance over S1. This enhanced efficiency was attributed to S2's pseudo-heterogeneous nature, which maximizes active site exposure and overcomes typical limitations of heterogeneous catalysts. This work not only establishes a novel strategy for controlling supramolecular architecture but also compellingly demonstrates that for catalytic applications, ensuring active site accessibility through judicious structural design can be a more potent strategy than pursuing isolated structural complexity.</w:t>
      </w:r>
    </w:p>
    <w:p>
      <w:pPr>
        <w:spacing w:before="120" w:after="120"/>
      </w:pPr>
      <w:r>
        <w:rPr>
          <w:sz w:val="18"/>
        </w:rPr>
        <w:t>——————————————————————————————————————————————————————————————————————</w:t>
      </w:r>
    </w:p>
    <w:p>
      <w:pPr>
        <w:spacing w:before="160" w:after="40" w:line="240" w:lineRule="auto"/>
      </w:pPr>
      <w:r>
        <w:rPr>
          <w:b/>
        </w:rPr>
        <w:t xml:space="preserve">[476] </w:t>
      </w:r>
      <w:hyperlink r:id="rId1018">
        <w:r>
          <w:rPr>
            <w:color w:val="1155CC"/>
            <w:u w:val="single"/>
          </w:rPr>
          <w:t>De Novo Synthesis of Covalent Organic Frameworks: A Principle for Topology Selection and Profound π Electronic Effects</w:t>
        </w:r>
      </w:hyperlink>
    </w:p>
    <w:p>
      <w:pPr>
        <w:spacing w:before="0" w:after="120"/>
      </w:pPr>
      <w:r>
        <w:rPr>
          <w:b/>
        </w:rPr>
        <w:t xml:space="preserve">Source: </w:t>
      </w:r>
      <w:r>
        <w:t>Wiley: Angewandte Chemie International Edition: Table of Contents</w:t>
      </w:r>
      <w:r>
        <w:t xml:space="preserve">    </w:t>
      </w:r>
      <w:r>
        <w:rPr>
          <w:b/>
        </w:rPr>
        <w:t xml:space="preserve">Pub date: </w:t>
      </w:r>
      <w:r>
        <w:t>2026-02-28 13:45:25+00:00</w:t>
      </w:r>
      <w:r>
        <w:t xml:space="preserve">    </w:t>
      </w:r>
      <w:r>
        <w:rPr>
          <w:b/>
        </w:rPr>
        <w:t xml:space="preserve">DOI: </w:t>
      </w:r>
      <w:hyperlink r:id="rId1019">
        <w:r>
          <w:rPr>
            <w:color w:val="1155CC"/>
            <w:u w:val="single"/>
          </w:rPr>
          <w:t>10.1002/anie.4157706</w:t>
        </w:r>
      </w:hyperlink>
    </w:p>
    <w:p>
      <w:pPr>
        <w:spacing w:before="0" w:after="80" w:lineRule="auto" w:line="276"/>
      </w:pPr>
      <w:r>
        <w:rPr>
          <w:b/>
        </w:rPr>
        <w:t xml:space="preserve">摘要（ZH）: </w:t>
      </w:r>
      <w:r>
        <w:t>(empty)</w:t>
      </w:r>
    </w:p>
    <w:p>
      <w:pPr>
        <w:spacing w:before="0" w:after="200" w:lineRule="auto" w:line="276"/>
      </w:pPr>
      <w:r>
        <w:rPr>
          <w:b/>
        </w:rPr>
        <w:t xml:space="preserve">Abstract (EN): </w:t>
      </w:r>
      <w:r>
        <w:t>Covalent organic frameworks are a class of crystalline porous polymers with well-defined skeletons and ordered pores, making them attractive for structural design and synthesis. Progress in chemistry over the past two decades has greatly enabled our capability of designed synthesis of framework materials. However, a key fundamental issue that how reaction systems select a specific topology from isomers and what structural parameters determine the formation of the topology remains unclear. Here, we unveil a feasible design strategy for the selective formation of polygonal topology in the framework synthesis. We focused on tetragonal and Kagome topologies as they are the most challenging topology isomers to be selectively synthesized. We observed that electron-deficient monomers form Kagome frameworks and electron-rich units produce tetragonal skeletons. This finding provides the structural guidance for de novo synthesis of Kagome and tetragonal frameworks selectively. Remarkably, the framework topology exerts profound electronic effects on photoconductivity and photocatalytic activity, leading to the finding of exceptional hydrogen evolution systems.</w:t>
      </w:r>
    </w:p>
    <w:p>
      <w:pPr>
        <w:spacing w:before="120" w:after="120"/>
      </w:pPr>
      <w:r>
        <w:rPr>
          <w:sz w:val="18"/>
        </w:rPr>
        <w:t>——————————————————————————————————————————————————————————————————————</w:t>
      </w:r>
    </w:p>
    <w:p>
      <w:pPr>
        <w:spacing w:before="160" w:after="40" w:line="240" w:lineRule="auto"/>
      </w:pPr>
      <w:r>
        <w:rPr>
          <w:b/>
        </w:rPr>
        <w:t xml:space="preserve">[477] </w:t>
      </w:r>
      <w:hyperlink r:id="rId1020">
        <w:r>
          <w:rPr>
            <w:color w:val="1155CC"/>
            <w:u w:val="single"/>
          </w:rPr>
          <w:t>Liquid Transport‐Enhanced Bioinspired Heterogeneous Aerogel Fibers for Flexible Wearable and Outdoor Energy Harvesting System</w:t>
        </w:r>
      </w:hyperlink>
    </w:p>
    <w:p>
      <w:pPr>
        <w:spacing w:before="0" w:after="120"/>
      </w:pPr>
      <w:r>
        <w:rPr>
          <w:b/>
        </w:rPr>
        <w:t xml:space="preserve">Source: </w:t>
      </w:r>
      <w:r>
        <w:t>Wiley: Advanced Materials: Table of Contents</w:t>
      </w:r>
      <w:r>
        <w:t xml:space="preserve">    </w:t>
      </w:r>
      <w:r>
        <w:rPr>
          <w:b/>
        </w:rPr>
        <w:t xml:space="preserve">Pub date: </w:t>
      </w:r>
      <w:r>
        <w:t>2026-02-28 13:51:17+00:00</w:t>
      </w:r>
      <w:r>
        <w:t xml:space="preserve">    </w:t>
      </w:r>
      <w:r>
        <w:rPr>
          <w:b/>
        </w:rPr>
        <w:t xml:space="preserve">DOI: </w:t>
      </w:r>
      <w:hyperlink r:id="rId1021">
        <w:r>
          <w:rPr>
            <w:color w:val="1155CC"/>
            <w:u w:val="single"/>
          </w:rPr>
          <w:t>10.1002/adma.202523239</w:t>
        </w:r>
      </w:hyperlink>
    </w:p>
    <w:p>
      <w:pPr>
        <w:spacing w:before="0" w:after="80" w:lineRule="auto" w:line="276"/>
      </w:pPr>
      <w:r>
        <w:rPr>
          <w:b/>
        </w:rPr>
        <w:t xml:space="preserve">摘要（ZH）: </w:t>
      </w:r>
      <w:r>
        <w:t>(empty)</w:t>
      </w:r>
    </w:p>
    <w:p>
      <w:pPr>
        <w:spacing w:before="0" w:after="200" w:lineRule="auto" w:line="276"/>
      </w:pPr>
      <w:r>
        <w:rPr>
          <w:b/>
        </w:rPr>
        <w:t xml:space="preserve">Abstract (EN): </w:t>
      </w:r>
      <w:r>
        <w:t>Flexible and wearable energy harvesting systems are of great significance for achieving lightweight and comfortable portable electronics. Among them, aerogel fibers, featuring ultralight weight and abundant nanoporous structures, are ideal building blocks for constructing liquid-directed energy harvesting platforms. Herein, inspired by the efficient water transport behavior of plant vascular bundles, we report a liquid transport-enhanced heterogeneous aerogel fiber (HAF) fabricated via microfluidic spinning. The fiber consists of a twisted, surface-charge-enhanced cotton core for rapid liquid transport, sheathed with a regenerated cellulose/carbon black layer that reinforces mechanical strength and enhances hydrovoltaic energy conversion. Optimizing the core twist level increased the liquid transport rate by 1.87-fold, strengthening solid-liquid interfacial interactions and enabling a single 5 cm fiber to stably output an open-circuit voltage of 0.55 V for over 160 h. Furthermore, matrix-type series-parallel integration of multiple aerogel fiber units allows the system to harvest energy from wearable sweat or outdoor rainwater to power GPS devices, outdoor tent lighting, and carbon nanotube-based electrothermal blankets. This work establishes a bioinspired liquid transport-enhanced design strategy for flexible, lightweight, and sustainable aerogel fiber-based self-powered systems.</w:t>
      </w:r>
    </w:p>
    <w:p>
      <w:pPr>
        <w:spacing w:before="120" w:after="120"/>
      </w:pPr>
      <w:r>
        <w:rPr>
          <w:sz w:val="18"/>
        </w:rPr>
        <w:t>——————————————————————————————————————————————————————————————————————</w:t>
      </w:r>
    </w:p>
    <w:p>
      <w:pPr>
        <w:spacing w:before="160" w:after="40" w:line="240" w:lineRule="auto"/>
      </w:pPr>
      <w:r>
        <w:rPr>
          <w:b/>
        </w:rPr>
        <w:t xml:space="preserve">[478] </w:t>
      </w:r>
      <w:hyperlink r:id="rId1022">
        <w:r>
          <w:rPr>
            <w:color w:val="1155CC"/>
            <w:u w:val="single"/>
          </w:rPr>
          <w:t>[ASAP] Stabilizing Radicals in Aggregation-Induced Emission Rotor-Polyoxometalate Crystals for Efficient Photothermal Conversion</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2026-02-28 14:23:19+00:00</w:t>
      </w:r>
      <w:r>
        <w:t xml:space="preserve">    </w:t>
      </w:r>
      <w:r>
        <w:rPr>
          <w:b/>
        </w:rPr>
        <w:t xml:space="preserve">DOI: </w:t>
      </w:r>
      <w:hyperlink r:id="rId1023">
        <w:r>
          <w:rPr>
            <w:color w:val="1155CC"/>
            <w:u w:val="single"/>
          </w:rPr>
          <w:t>10.1021/jacs.6c00335</w:t>
        </w:r>
      </w:hyperlink>
    </w:p>
    <w:p>
      <w:pPr>
        <w:spacing w:before="0" w:after="80" w:lineRule="auto" w:line="276"/>
      </w:pPr>
      <w:r>
        <w:rPr>
          <w:b/>
        </w:rPr>
        <w:t xml:space="preserve">摘要（ZH）: </w:t>
      </w:r>
      <w:r>
        <w:t>(empty)</w:t>
      </w:r>
    </w:p>
    <w:p>
      <w:pPr>
        <w:spacing w:before="0" w:after="200" w:lineRule="auto" w:line="276"/>
      </w:pPr>
      <w:r>
        <w:rPr>
          <w:b/>
        </w:rPr>
        <w:t xml:space="preserve">Abstract (EN): </w:t>
      </w:r>
      <w:r>
        <w:t>The rational design of photothermal materials with well-defined molecular structures and efficient solar energy conversion is crucial for advancing renewable energy technologies, particularly in harnessing the near-infrared region (∼54% of the solar spectrum). Despite significant progress, existing systems often compromise structural precision and fabrication control in pursuit of performance. Achieving the combination of broadband absorption, high conversion efficiency, and precise crystalline structure remains a critical challenge. Here, we report a one-pot synthesis of a crystalline photothermal material, namely APC, formed within minutes through the assembly of polyoxometalates (POMs) clusters with amino-modified tetraphenylethylene, a representative molecular rotor with an aggregation-induced emission (AIE) feature. This represents the first demonstration of AIE rotor-POM assemblies for photothermal conversion. Trace peroxides at ppm levels in the solvent oxidize AIE rotors during assembly, initiating rapid radical formation that is stabilized by the crystalline matrix. The resulting air-stable radicals enable broadband absorption beyond 2000 nm, while the intramolecular motion of AIE rotors efficiently converts absorbed energy into heat, achieving an exceptional photothermal conversion efficiency of 88.7% under 808 nm laser irradiation. Mechanistic studies reveal that strong intermolecular charge transfer between AIE rotors and POMs drives radical generation, stabilized by spatial confinement and partial SOMO-HOMO inversion. Under 1 sun illumination, APC achieves a high solar-to-vapor water evaporation efficiency of 97.5%, highlighting its promise for solar-driven desalination. This study introduces a rational design strategy for crystalline photothermal hybrids and establishes the mechanistic connections among molecular assembly, charge transfer, and radical stabilization.</w:t>
      </w:r>
    </w:p>
    <w:p>
      <w:pPr>
        <w:spacing w:before="120" w:after="120"/>
      </w:pPr>
      <w:r>
        <w:rPr>
          <w:sz w:val="18"/>
        </w:rPr>
        <w:t>——————————————————————————————————————————————————————————————————————</w:t>
      </w:r>
    </w:p>
    <w:p>
      <w:pPr>
        <w:spacing w:before="160" w:after="40" w:line="240" w:lineRule="auto"/>
      </w:pPr>
      <w:r>
        <w:rPr>
          <w:b/>
        </w:rPr>
        <w:t xml:space="preserve">[479] </w:t>
      </w:r>
      <w:hyperlink r:id="rId1024">
        <w:r>
          <w:rPr>
            <w:color w:val="1155CC"/>
            <w:u w:val="single"/>
          </w:rPr>
          <w:t>[ASAP] Aromatic Interactions Select for Homodimeric Assembly in a Quadruply Hydrogen-Bonded DADA 1,2-Azaphosphinine Dimer</w:t>
        </w:r>
      </w:hyperlink>
    </w:p>
    <w:p>
      <w:pPr>
        <w:spacing w:before="0" w:after="120"/>
      </w:pPr>
      <w:r>
        <w:rPr>
          <w:b/>
        </w:rPr>
        <w:t xml:space="preserve">Source: </w:t>
      </w:r>
      <w:r>
        <w:t>Journal of the American Chemical Society: Latest Articles (ACS Publications)</w:t>
      </w:r>
      <w:r>
        <w:t xml:space="preserve">    </w:t>
      </w:r>
      <w:r>
        <w:rPr>
          <w:b/>
        </w:rPr>
        <w:t xml:space="preserve">Pub date: </w:t>
      </w:r>
      <w:r>
        <w:t>2026-02-28 20:00:00+00:00</w:t>
      </w:r>
      <w:r>
        <w:t xml:space="preserve">    </w:t>
      </w:r>
      <w:r>
        <w:rPr>
          <w:b/>
        </w:rPr>
        <w:t xml:space="preserve">DOI: </w:t>
      </w:r>
      <w:hyperlink r:id="rId1025">
        <w:r>
          <w:rPr>
            <w:color w:val="1155CC"/>
            <w:u w:val="single"/>
          </w:rPr>
          <w:t>10.1021/jacs.5c20238</w:t>
        </w:r>
      </w:hyperlink>
    </w:p>
    <w:p>
      <w:pPr>
        <w:spacing w:before="0" w:after="80" w:lineRule="auto" w:line="276"/>
      </w:pPr>
      <w:r>
        <w:rPr>
          <w:b/>
        </w:rPr>
        <w:t xml:space="preserve">摘要（ZH）: </w:t>
      </w:r>
      <w:r>
        <w:t>(empty)</w:t>
      </w:r>
    </w:p>
    <w:p>
      <w:pPr>
        <w:spacing w:before="0" w:after="200" w:lineRule="auto" w:line="276"/>
      </w:pPr>
      <w:r>
        <w:rPr>
          <w:b/>
        </w:rPr>
        <w:t xml:space="preserve">Abstract (EN): </w:t>
      </w:r>
      <w:r>
        <w:t>Inclusion of a fused pyridine ring onto the core motif of an azaphosphinine heterocycle, as well as functionalization with an &lt;i&gt;N&lt;/i&gt;-acetamide group, furnishes a chiral, quadruple hydrogen bonding face that is capable of strong homodimerization. Eleven different azaphosphinine derivatives were prepared with variable electron donor and acceptor functionalization. Contrary to simple DA azaphosphinine dimers, trends from substituent effects showed that the hydrogen bond acceptors (A) were more sensitive to the substituents than the hydrogen bond donors (D). With electron donating groups appended onto the azaphosphinine scaffold, dimerization constants rose to as high as 209 M&lt;sup&gt;-1&lt;/sup&gt; in 10% DMSO-&lt;i&gt;d&lt;/i&gt;&lt;sub&gt;6&lt;/sub&gt; in water-saturated CDCl&lt;sub&gt;3&lt;/sub&gt;. X-ray crystallographic data unexpectedly showed that the quadruply hydrogen bonding system preferred the theoretically less stable donor-acceptor-donor-acceptor (DADA) H-bond orientation despite having the capability to tautomerize to the potentially more stable DDAA structure. Computational analysis revealed that maintaining pyridine aromaticity was more stabilizing than the secondary interactions that would be created from a DDAA dimer. Additionally, these molecules associate as the first examples of &lt;i&gt;R&lt;/i&gt;,&lt;i&gt;R-&lt;/i&gt; and &lt;i&gt;S&lt;/i&gt;,&lt;i&gt;S&lt;/i&gt;-azaphosphinine homodimers, compared to the &lt;i&gt;R&lt;/i&gt;,&lt;i&gt;S-&lt;/i&gt;heterodimers typically found for simple azaphosphinines. This observation was explained by computational analysis, which found a geometric difference between the nitrogen atoms adjacent to the phosphorus chiral center of the &lt;b&gt;Homo&lt;/b&gt; and &lt;b&gt;Hetero&lt;/b&gt; dimer, leading to a stronger hydrogen bonding interaction in the &lt;b&gt;Homo&lt;/b&gt; dimer. Further understanding of this quadruply hydrogen bonding core will allow us to explore further applications that integrate this strongly hydrogen bonding system into larger and more complex supramolecular frameworks such as supramolecular polymers or capsules.</w:t>
      </w:r>
    </w:p>
    <w:p>
      <w:pPr>
        <w:spacing w:before="120" w:after="120"/>
      </w:pPr>
      <w:r>
        <w:rPr>
          <w:sz w:val="18"/>
        </w:rPr>
        <w:t>——————————————————————————————————————————————————————————————————————</w:t>
      </w:r>
    </w:p>
    <w:p>
      <w:pPr>
        <w:spacing w:before="160" w:after="40" w:line="240" w:lineRule="auto"/>
      </w:pPr>
      <w:r>
        <w:rPr>
          <w:b/>
        </w:rPr>
        <w:t xml:space="preserve">[480] </w:t>
      </w:r>
      <w:hyperlink r:id="rId1026">
        <w:r>
          <w:rPr>
            <w:color w:val="1155CC"/>
            <w:u w:val="single"/>
          </w:rPr>
          <w:t>Targeting NAT10 alleviates colonic senescence and elderly-onset colitis by disrupting N4-acetylation of DYRK1A</w:t>
        </w:r>
      </w:hyperlink>
    </w:p>
    <w:p>
      <w:pPr>
        <w:spacing w:before="0" w:after="120"/>
      </w:pPr>
      <w:r>
        <w:rPr>
          <w:b/>
        </w:rPr>
        <w:t xml:space="preserve">Source: </w:t>
      </w:r>
      <w:r>
        <w:t>Nature Communications</w:t>
      </w:r>
      <w:r>
        <w:t xml:space="preserve">    </w:t>
      </w:r>
      <w:r>
        <w:rPr>
          <w:b/>
        </w:rPr>
        <w:t xml:space="preserve">Pub date: </w:t>
      </w:r>
      <w:r>
        <w:t>2026-03-01 00:00:00+00:00</w:t>
      </w:r>
      <w:r>
        <w:t xml:space="preserve">    </w:t>
      </w:r>
      <w:r>
        <w:rPr>
          <w:b/>
        </w:rPr>
        <w:t xml:space="preserve">DOI: </w:t>
      </w:r>
      <w:hyperlink r:id="rId1027">
        <w:r>
          <w:rPr>
            <w:color w:val="1155CC"/>
            <w:u w:val="single"/>
          </w:rPr>
          <w:t>10.1038/s41467-026-70220-w</w:t>
        </w:r>
      </w:hyperlink>
    </w:p>
    <w:p>
      <w:pPr>
        <w:spacing w:before="0" w:after="80" w:lineRule="auto" w:line="276"/>
      </w:pPr>
      <w:r>
        <w:rPr>
          <w:b/>
        </w:rPr>
        <w:t xml:space="preserve">摘要（ZH）: </w:t>
      </w:r>
      <w:r>
        <w:t>(empty)</w:t>
      </w:r>
    </w:p>
    <w:p>
      <w:pPr>
        <w:spacing w:before="0" w:after="200" w:lineRule="auto" w:line="276"/>
      </w:pPr>
      <w:r>
        <w:rPr>
          <w:b/>
        </w:rPr>
        <w:t xml:space="preserve">Abstract (EN): </w:t>
      </w:r>
      <w:r>
        <w:t>Intestinal aging characterized by imbalance between cell senescence and mucosal self-renewal, increases susceptibility to the elderly-onset ulcerative colitis (UC), while the underlying mechanisms remain elusive. Here, we identify mRNA N4-acetylcytidine (ac4C) modification and its specific writer, N-acetyltransferase 10 (NAT10), as critical regulators of human colonic epithelial cell senescence. Knockdown of NAT10 significantly alleviates human colonic epithelial cell senescence in vitro and colonoid and intestinal aging in vivo in aged mice. Using ac4C-modified transcriptome sequencing, we reveal that NAT10 stabilizes DYRK1A mRNA through ac4C modification, thereby driving colon epithelial senescence. Moreover, NAT10 and DYRK1A are markedly upregulated in ulcerative colitis tissues from elderly patients and positively correlate with disease severity. Knockdown of NAT10, treatment with Nat10 or Dyrk1a inhibitor, alleviates colitis in aged mice. Collectively, these findings suggest that modulating NAT10-mediated RNA ac4C modification could rejuvenate intestinal aging and provide a novel therapeutic strategy for elderly-onset colitis.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ciencedirect.com/science/article/pii/S0306261926001388?dgcid=rss_sd_all" TargetMode="External"/><Relationship Id="rId10" Type="http://schemas.openxmlformats.org/officeDocument/2006/relationships/hyperlink" Target="https://www.sciencedirect.com/science/article/pii/S0306261926002187?dgcid=rss_sd_all" TargetMode="External"/><Relationship Id="rId11" Type="http://schemas.openxmlformats.org/officeDocument/2006/relationships/hyperlink" Target="https://www.nature.com/articles/s41560-026-01982-2" TargetMode="External"/><Relationship Id="rId12" Type="http://schemas.openxmlformats.org/officeDocument/2006/relationships/hyperlink" Target="https://advanced.onlinelibrary.wiley.com/doi/10.1002/adma.202520030?af=R" TargetMode="External"/><Relationship Id="rId13" Type="http://schemas.openxmlformats.org/officeDocument/2006/relationships/hyperlink" Target="https://doi.org/10.1002/adma.202520030" TargetMode="External"/><Relationship Id="rId14" Type="http://schemas.openxmlformats.org/officeDocument/2006/relationships/hyperlink" Target="https://advanced.onlinelibrary.wiley.com/doi/10.1002/adma.202522994?af=R" TargetMode="External"/><Relationship Id="rId15" Type="http://schemas.openxmlformats.org/officeDocument/2006/relationships/hyperlink" Target="https://doi.org/10.1002/adma.202522994" TargetMode="External"/><Relationship Id="rId16" Type="http://schemas.openxmlformats.org/officeDocument/2006/relationships/hyperlink" Target="http://dx.doi.org/10.1021/acsenergylett.6c00094" TargetMode="External"/><Relationship Id="rId17" Type="http://schemas.openxmlformats.org/officeDocument/2006/relationships/hyperlink" Target="https://doi.org/10.1021/acsenergylett.6c00094" TargetMode="External"/><Relationship Id="rId18" Type="http://schemas.openxmlformats.org/officeDocument/2006/relationships/hyperlink" Target="http://dx.doi.org/10.1021/acsenergylett.5c03797" TargetMode="External"/><Relationship Id="rId19" Type="http://schemas.openxmlformats.org/officeDocument/2006/relationships/hyperlink" Target="https://doi.org/10.1021/acsenergylett.5c03797" TargetMode="External"/><Relationship Id="rId20" Type="http://schemas.openxmlformats.org/officeDocument/2006/relationships/hyperlink" Target="http://pubs.rsc.org/en/Content/ArticleLanding/2026/EE/D5EE06226H" TargetMode="External"/><Relationship Id="rId21" Type="http://schemas.openxmlformats.org/officeDocument/2006/relationships/hyperlink" Target="http://pubs.rsc.org/en/Content/ArticleLanding/2026/EE/D5EE03704B" TargetMode="External"/><Relationship Id="rId22" Type="http://schemas.openxmlformats.org/officeDocument/2006/relationships/hyperlink" Target="https://www.sciencedirect.com/science/article/pii/S0301421526001278?dgcid=rss_sd_all" TargetMode="External"/><Relationship Id="rId23" Type="http://schemas.openxmlformats.org/officeDocument/2006/relationships/hyperlink" Target="https://www.sciencedirect.com/science/article/pii/S0306261926002242?dgcid=rss_sd_all" TargetMode="External"/><Relationship Id="rId24" Type="http://schemas.openxmlformats.org/officeDocument/2006/relationships/hyperlink" Target="https://www.nature.com/articles/s41560-026-01993-z" TargetMode="External"/><Relationship Id="rId25" Type="http://schemas.openxmlformats.org/officeDocument/2006/relationships/hyperlink" Target="https://www.sciencedirect.com/science/article/pii/S0306261926002072?dgcid=rss_sd_all" TargetMode="External"/><Relationship Id="rId26" Type="http://schemas.openxmlformats.org/officeDocument/2006/relationships/hyperlink" Target="https://www.nature.com/articles/s41560-026-01987-x" TargetMode="External"/><Relationship Id="rId27" Type="http://schemas.openxmlformats.org/officeDocument/2006/relationships/hyperlink" Target="https://advanced.onlinelibrary.wiley.com/doi/10.1002/adma.202521697?af=R" TargetMode="External"/><Relationship Id="rId28" Type="http://schemas.openxmlformats.org/officeDocument/2006/relationships/hyperlink" Target="https://doi.org/10.1002/adma.202521697" TargetMode="External"/><Relationship Id="rId29" Type="http://schemas.openxmlformats.org/officeDocument/2006/relationships/hyperlink" Target="https://www.science.org/doi/abs/10.1126/sciadv.aea6522?af=R" TargetMode="External"/><Relationship Id="rId30" Type="http://schemas.openxmlformats.org/officeDocument/2006/relationships/hyperlink" Target="https://doi.org/10.1126/sciadv.aea6522" TargetMode="External"/><Relationship Id="rId31" Type="http://schemas.openxmlformats.org/officeDocument/2006/relationships/hyperlink" Target="https://advanced.onlinelibrary.wiley.com/doi/10.1002/adma.202522776?af=R" TargetMode="External"/><Relationship Id="rId32" Type="http://schemas.openxmlformats.org/officeDocument/2006/relationships/hyperlink" Target="https://doi.org/10.1002/adma.202522776" TargetMode="External"/><Relationship Id="rId33" Type="http://schemas.openxmlformats.org/officeDocument/2006/relationships/hyperlink" Target="http://dx.doi.org/10.1021/acsenergylett.5c03788" TargetMode="External"/><Relationship Id="rId34" Type="http://schemas.openxmlformats.org/officeDocument/2006/relationships/hyperlink" Target="https://doi.org/10.1021/acsenergylett.5c03788" TargetMode="External"/><Relationship Id="rId35" Type="http://schemas.openxmlformats.org/officeDocument/2006/relationships/hyperlink" Target="http://dx.doi.org/10.1021/acsenergylett.6c00205" TargetMode="External"/><Relationship Id="rId36" Type="http://schemas.openxmlformats.org/officeDocument/2006/relationships/hyperlink" Target="https://doi.org/10.1021/acsenergylett.6c00205" TargetMode="External"/><Relationship Id="rId37" Type="http://schemas.openxmlformats.org/officeDocument/2006/relationships/hyperlink" Target="https://advanced.onlinelibrary.wiley.com/doi/10.1002/adma.72638?af=R" TargetMode="External"/><Relationship Id="rId38" Type="http://schemas.openxmlformats.org/officeDocument/2006/relationships/hyperlink" Target="https://doi.org/10.1002/adma.72638" TargetMode="External"/><Relationship Id="rId39" Type="http://schemas.openxmlformats.org/officeDocument/2006/relationships/hyperlink" Target="https://www.cell.com/joule/fulltext/S2542-4351(25)00485-4?rss=yes" TargetMode="External"/><Relationship Id="rId40" Type="http://schemas.openxmlformats.org/officeDocument/2006/relationships/hyperlink" Target="http://pubs.rsc.org/en/Content/ArticleLanding/2026/EE/D5EE07165H" TargetMode="External"/><Relationship Id="rId41" Type="http://schemas.openxmlformats.org/officeDocument/2006/relationships/hyperlink" Target="https://advanced.onlinelibrary.wiley.com/doi/10.1002/aenm.202506610?af=R" TargetMode="External"/><Relationship Id="rId42" Type="http://schemas.openxmlformats.org/officeDocument/2006/relationships/hyperlink" Target="https://doi.org/10.1002/aenm.202506610" TargetMode="External"/><Relationship Id="rId43" Type="http://schemas.openxmlformats.org/officeDocument/2006/relationships/hyperlink" Target="https://www.science.org/doi/abs/10.1126/science.aea3339?af=R" TargetMode="External"/><Relationship Id="rId44" Type="http://schemas.openxmlformats.org/officeDocument/2006/relationships/hyperlink" Target="https://doi.org/10.1126/science.aea3339" TargetMode="External"/><Relationship Id="rId45" Type="http://schemas.openxmlformats.org/officeDocument/2006/relationships/hyperlink" Target="https://advanced.onlinelibrary.wiley.com/doi/10.1002/adma.202523520?af=R" TargetMode="External"/><Relationship Id="rId46" Type="http://schemas.openxmlformats.org/officeDocument/2006/relationships/hyperlink" Target="https://doi.org/10.1002/adma.202523520" TargetMode="External"/><Relationship Id="rId47" Type="http://schemas.openxmlformats.org/officeDocument/2006/relationships/hyperlink" Target="http://dx.doi.org/10.1021/acs.chemrev.5c00326" TargetMode="External"/><Relationship Id="rId48" Type="http://schemas.openxmlformats.org/officeDocument/2006/relationships/hyperlink" Target="https://doi.org/10.1021/acs.chemrev.5c00326" TargetMode="External"/><Relationship Id="rId49" Type="http://schemas.openxmlformats.org/officeDocument/2006/relationships/hyperlink" Target="http://dx.doi.org/10.1021/acsenergylett.5c04127" TargetMode="External"/><Relationship Id="rId50" Type="http://schemas.openxmlformats.org/officeDocument/2006/relationships/hyperlink" Target="https://doi.org/10.1021/acsenergylett.5c04127" TargetMode="External"/><Relationship Id="rId51" Type="http://schemas.openxmlformats.org/officeDocument/2006/relationships/hyperlink" Target="https://www.cell.com/joule/fulltext/S2542-4351(25)00486-6?rss=yes" TargetMode="External"/><Relationship Id="rId52" Type="http://schemas.openxmlformats.org/officeDocument/2006/relationships/hyperlink" Target="https://doi.org/10.1016/j.joule.2025.102305" TargetMode="External"/><Relationship Id="rId53" Type="http://schemas.openxmlformats.org/officeDocument/2006/relationships/hyperlink" Target="https://www.nature.com/articles/s41563-026-02500-1" TargetMode="External"/><Relationship Id="rId54" Type="http://schemas.openxmlformats.org/officeDocument/2006/relationships/hyperlink" Target="https://doi.org/10.1038/s41563-026-02500-1" TargetMode="External"/><Relationship Id="rId55" Type="http://schemas.openxmlformats.org/officeDocument/2006/relationships/hyperlink" Target="https://www.nature.com/articles/s41563-026-02509-6" TargetMode="External"/><Relationship Id="rId56" Type="http://schemas.openxmlformats.org/officeDocument/2006/relationships/hyperlink" Target="https://doi.org/10.1038/s41563-026-02509-6" TargetMode="External"/><Relationship Id="rId57" Type="http://schemas.openxmlformats.org/officeDocument/2006/relationships/hyperlink" Target="http://dx.doi.org/10.1021/jacs.5c23218" TargetMode="External"/><Relationship Id="rId58" Type="http://schemas.openxmlformats.org/officeDocument/2006/relationships/hyperlink" Target="https://doi.org/10.1021/jacs.5c23218" TargetMode="External"/><Relationship Id="rId59" Type="http://schemas.openxmlformats.org/officeDocument/2006/relationships/hyperlink" Target="https://onlinelibrary.wiley.com/doi/10.1002/anie.1490993?af=R" TargetMode="External"/><Relationship Id="rId60" Type="http://schemas.openxmlformats.org/officeDocument/2006/relationships/hyperlink" Target="https://doi.org/10.1002/anie.1490993" TargetMode="External"/><Relationship Id="rId61" Type="http://schemas.openxmlformats.org/officeDocument/2006/relationships/hyperlink" Target="https://www.sciencedirect.com/science/article/pii/S0306261926001868?dgcid=rss_sd_all" TargetMode="External"/><Relationship Id="rId62" Type="http://schemas.openxmlformats.org/officeDocument/2006/relationships/hyperlink" Target="https://advanced.onlinelibrary.wiley.com/doi/10.1002/adma.202522942?af=R" TargetMode="External"/><Relationship Id="rId63" Type="http://schemas.openxmlformats.org/officeDocument/2006/relationships/hyperlink" Target="https://doi.org/10.1002/adma.202522942" TargetMode="External"/><Relationship Id="rId64" Type="http://schemas.openxmlformats.org/officeDocument/2006/relationships/hyperlink" Target="https://advanced.onlinelibrary.wiley.com/doi/10.1002/adma.202522939?af=R" TargetMode="External"/><Relationship Id="rId65" Type="http://schemas.openxmlformats.org/officeDocument/2006/relationships/hyperlink" Target="https://doi.org/10.1002/adma.202522939" TargetMode="External"/><Relationship Id="rId66" Type="http://schemas.openxmlformats.org/officeDocument/2006/relationships/hyperlink" Target="https://advanced.onlinelibrary.wiley.com/doi/10.1002/adma.202521012?af=R" TargetMode="External"/><Relationship Id="rId67" Type="http://schemas.openxmlformats.org/officeDocument/2006/relationships/hyperlink" Target="https://doi.org/10.1002/adma.202521012" TargetMode="External"/><Relationship Id="rId68" Type="http://schemas.openxmlformats.org/officeDocument/2006/relationships/hyperlink" Target="http://dx.doi.org/10.1021/acsenergylett.5c03154" TargetMode="External"/><Relationship Id="rId69" Type="http://schemas.openxmlformats.org/officeDocument/2006/relationships/hyperlink" Target="https://doi.org/10.1021/acsenergylett.5c03154" TargetMode="External"/><Relationship Id="rId70" Type="http://schemas.openxmlformats.org/officeDocument/2006/relationships/hyperlink" Target="http://pubs.rsc.org/en/Content/ArticleLanding/2026/EE/D5EE05955K" TargetMode="External"/><Relationship Id="rId71" Type="http://schemas.openxmlformats.org/officeDocument/2006/relationships/hyperlink" Target="https://onlinelibrary.wiley.com/doi/10.1002/anie.202526035?af=R" TargetMode="External"/><Relationship Id="rId72" Type="http://schemas.openxmlformats.org/officeDocument/2006/relationships/hyperlink" Target="https://doi.org/10.1002/anie.202526035" TargetMode="External"/><Relationship Id="rId73" Type="http://schemas.openxmlformats.org/officeDocument/2006/relationships/hyperlink" Target="http://dx.doi.org/10.1021/jacs.5c19791" TargetMode="External"/><Relationship Id="rId74" Type="http://schemas.openxmlformats.org/officeDocument/2006/relationships/hyperlink" Target="https://doi.org/10.1021/jacs.5c19791" TargetMode="External"/><Relationship Id="rId75" Type="http://schemas.openxmlformats.org/officeDocument/2006/relationships/hyperlink" Target="http://dx.doi.org/10.1021/jacs.5c18922" TargetMode="External"/><Relationship Id="rId76" Type="http://schemas.openxmlformats.org/officeDocument/2006/relationships/hyperlink" Target="https://doi.org/10.1021/jacs.5c18922" TargetMode="External"/><Relationship Id="rId77" Type="http://schemas.openxmlformats.org/officeDocument/2006/relationships/hyperlink" Target="https://onlinelibrary.wiley.com/doi/10.1002/anie.2788872?af=R" TargetMode="External"/><Relationship Id="rId78" Type="http://schemas.openxmlformats.org/officeDocument/2006/relationships/hyperlink" Target="https://doi.org/10.1002/anie.2788872" TargetMode="External"/><Relationship Id="rId79" Type="http://schemas.openxmlformats.org/officeDocument/2006/relationships/hyperlink" Target="https://onlinelibrary.wiley.com/doi/10.1002/anie.202522507?af=R" TargetMode="External"/><Relationship Id="rId80" Type="http://schemas.openxmlformats.org/officeDocument/2006/relationships/hyperlink" Target="https://doi.org/10.1002/anie.202522507" TargetMode="External"/><Relationship Id="rId81" Type="http://schemas.openxmlformats.org/officeDocument/2006/relationships/hyperlink" Target="https://www.nature.com/articles/s41565-025-02065-1" TargetMode="External"/><Relationship Id="rId82" Type="http://schemas.openxmlformats.org/officeDocument/2006/relationships/hyperlink" Target="http://dx.doi.org/10.1021/jacs.5c19539" TargetMode="External"/><Relationship Id="rId83" Type="http://schemas.openxmlformats.org/officeDocument/2006/relationships/hyperlink" Target="https://doi.org/10.1021/jacs.5c19539" TargetMode="External"/><Relationship Id="rId84" Type="http://schemas.openxmlformats.org/officeDocument/2006/relationships/hyperlink" Target="http://dx.doi.org/10.1021/acsenergylett.6c00122" TargetMode="External"/><Relationship Id="rId85" Type="http://schemas.openxmlformats.org/officeDocument/2006/relationships/hyperlink" Target="https://doi.org/10.1021/acsenergylett.6c00122" TargetMode="External"/><Relationship Id="rId86" Type="http://schemas.openxmlformats.org/officeDocument/2006/relationships/hyperlink" Target="https://www.sciencedirect.com/science/article/pii/S0306261926002229?dgcid=rss_sd_all" TargetMode="External"/><Relationship Id="rId87" Type="http://schemas.openxmlformats.org/officeDocument/2006/relationships/hyperlink" Target="https://www.cell.com/joule/fulltext/S2542-4351(25)00483-0?rss=yes" TargetMode="External"/><Relationship Id="rId88" Type="http://schemas.openxmlformats.org/officeDocument/2006/relationships/hyperlink" Target="https://www.sciencedirect.com/science/article/pii/S0306261926002333?dgcid=rss_sd_all" TargetMode="External"/><Relationship Id="rId89" Type="http://schemas.openxmlformats.org/officeDocument/2006/relationships/hyperlink" Target="https://www.sciencedirect.com/science/article/pii/S0306261926001819?dgcid=rss_sd_all" TargetMode="External"/><Relationship Id="rId90" Type="http://schemas.openxmlformats.org/officeDocument/2006/relationships/hyperlink" Target="https://advanced.onlinelibrary.wiley.com/doi/10.1002/aenm.202506750?af=R" TargetMode="External"/><Relationship Id="rId91" Type="http://schemas.openxmlformats.org/officeDocument/2006/relationships/hyperlink" Target="https://doi.org/10.1002/aenm.202506750" TargetMode="External"/><Relationship Id="rId92" Type="http://schemas.openxmlformats.org/officeDocument/2006/relationships/hyperlink" Target="https://advanced.onlinelibrary.wiley.com/doi/10.1002/adma.72465?af=R" TargetMode="External"/><Relationship Id="rId93" Type="http://schemas.openxmlformats.org/officeDocument/2006/relationships/hyperlink" Target="https://doi.org/10.1002/adma.72465" TargetMode="External"/><Relationship Id="rId94" Type="http://schemas.openxmlformats.org/officeDocument/2006/relationships/hyperlink" Target="https://onlinelibrary.wiley.com/doi/10.1002/anie.4054670?af=R" TargetMode="External"/><Relationship Id="rId95" Type="http://schemas.openxmlformats.org/officeDocument/2006/relationships/hyperlink" Target="https://doi.org/10.1002/anie.4054670" TargetMode="External"/><Relationship Id="rId96" Type="http://schemas.openxmlformats.org/officeDocument/2006/relationships/hyperlink" Target="https://www.cell.com/joule/fulltext/S2542-4351(25)00457-X?rss=yes" TargetMode="External"/><Relationship Id="rId97" Type="http://schemas.openxmlformats.org/officeDocument/2006/relationships/hyperlink" Target="https://www.cell.com/chem/fulltext/S2451-9294(25)00502-9?rss=yes" TargetMode="External"/><Relationship Id="rId98" Type="http://schemas.openxmlformats.org/officeDocument/2006/relationships/hyperlink" Target="https://advanced.onlinelibrary.wiley.com/doi/10.1002/aenm.70792?af=R" TargetMode="External"/><Relationship Id="rId99" Type="http://schemas.openxmlformats.org/officeDocument/2006/relationships/hyperlink" Target="https://doi.org/10.1002/aenm.70792" TargetMode="External"/><Relationship Id="rId100" Type="http://schemas.openxmlformats.org/officeDocument/2006/relationships/hyperlink" Target="https://advanced.onlinelibrary.wiley.com/doi/10.1002/aenm.202506549?af=R" TargetMode="External"/><Relationship Id="rId101" Type="http://schemas.openxmlformats.org/officeDocument/2006/relationships/hyperlink" Target="https://doi.org/10.1002/aenm.202506549" TargetMode="External"/><Relationship Id="rId102" Type="http://schemas.openxmlformats.org/officeDocument/2006/relationships/hyperlink" Target="http://dx.doi.org/10.1021/jacs.5c20407" TargetMode="External"/><Relationship Id="rId103" Type="http://schemas.openxmlformats.org/officeDocument/2006/relationships/hyperlink" Target="https://doi.org/10.1021/jacs.5c20407" TargetMode="External"/><Relationship Id="rId104" Type="http://schemas.openxmlformats.org/officeDocument/2006/relationships/hyperlink" Target="https://advanced.onlinelibrary.wiley.com/doi/10.1002/adma.202521479?af=R" TargetMode="External"/><Relationship Id="rId105" Type="http://schemas.openxmlformats.org/officeDocument/2006/relationships/hyperlink" Target="https://doi.org/10.1002/adma.202521479" TargetMode="External"/><Relationship Id="rId106" Type="http://schemas.openxmlformats.org/officeDocument/2006/relationships/hyperlink" Target="https://advanced.onlinelibrary.wiley.com/doi/10.1002/aenm.202506765?af=R" TargetMode="External"/><Relationship Id="rId107" Type="http://schemas.openxmlformats.org/officeDocument/2006/relationships/hyperlink" Target="https://doi.org/10.1002/aenm.202506765" TargetMode="External"/><Relationship Id="rId108" Type="http://schemas.openxmlformats.org/officeDocument/2006/relationships/hyperlink" Target="https://advanced.onlinelibrary.wiley.com/doi/10.1002/adma.202519996?af=R" TargetMode="External"/><Relationship Id="rId109" Type="http://schemas.openxmlformats.org/officeDocument/2006/relationships/hyperlink" Target="https://doi.org/10.1002/adma.202519996" TargetMode="External"/><Relationship Id="rId110" Type="http://schemas.openxmlformats.org/officeDocument/2006/relationships/hyperlink" Target="https://advanced.onlinelibrary.wiley.com/doi/10.1002/aenm.70769?af=R" TargetMode="External"/><Relationship Id="rId111" Type="http://schemas.openxmlformats.org/officeDocument/2006/relationships/hyperlink" Target="https://doi.org/10.1002/aenm.70769" TargetMode="External"/><Relationship Id="rId112" Type="http://schemas.openxmlformats.org/officeDocument/2006/relationships/hyperlink" Target="https://advanced.onlinelibrary.wiley.com/doi/10.1002/aenm.202600009?af=R" TargetMode="External"/><Relationship Id="rId113" Type="http://schemas.openxmlformats.org/officeDocument/2006/relationships/hyperlink" Target="https://doi.org/10.1002/aenm.202600009" TargetMode="External"/><Relationship Id="rId114" Type="http://schemas.openxmlformats.org/officeDocument/2006/relationships/hyperlink" Target="https://advanced.onlinelibrary.wiley.com/doi/10.1002/adma.202520257?af=R" TargetMode="External"/><Relationship Id="rId115" Type="http://schemas.openxmlformats.org/officeDocument/2006/relationships/hyperlink" Target="https://doi.org/10.1002/adma.202520257" TargetMode="External"/><Relationship Id="rId116" Type="http://schemas.openxmlformats.org/officeDocument/2006/relationships/hyperlink" Target="https://academic.oup.com/nsr/advance-article/doi/10.1093/nsr/nwag116/8496058?rss=1" TargetMode="External"/><Relationship Id="rId117" Type="http://schemas.openxmlformats.org/officeDocument/2006/relationships/hyperlink" Target="https://doi.org/10.1093/nsr/nwag116/8496058" TargetMode="External"/><Relationship Id="rId118" Type="http://schemas.openxmlformats.org/officeDocument/2006/relationships/hyperlink" Target="http://dx.doi.org/10.1021/jacs.6c01756" TargetMode="External"/><Relationship Id="rId119" Type="http://schemas.openxmlformats.org/officeDocument/2006/relationships/hyperlink" Target="https://doi.org/10.1021/jacs.6c01756" TargetMode="External"/><Relationship Id="rId120" Type="http://schemas.openxmlformats.org/officeDocument/2006/relationships/hyperlink" Target="http://dx.doi.org/10.1021/jacs.6c01709" TargetMode="External"/><Relationship Id="rId121" Type="http://schemas.openxmlformats.org/officeDocument/2006/relationships/hyperlink" Target="https://doi.org/10.1021/jacs.6c01709" TargetMode="External"/><Relationship Id="rId122" Type="http://schemas.openxmlformats.org/officeDocument/2006/relationships/hyperlink" Target="https://www.nature.com/articles/s41586-026-10175-6" TargetMode="External"/><Relationship Id="rId123" Type="http://schemas.openxmlformats.org/officeDocument/2006/relationships/hyperlink" Target="https://www.nature.com/articles/s41586-026-10210-6" TargetMode="External"/><Relationship Id="rId124" Type="http://schemas.openxmlformats.org/officeDocument/2006/relationships/hyperlink" Target="https://www.sciencedirect.com/science/article/pii/S0306261926002321?dgcid=rss_sd_all" TargetMode="External"/><Relationship Id="rId125" Type="http://schemas.openxmlformats.org/officeDocument/2006/relationships/hyperlink" Target="https://onlinelibrary.wiley.com/doi/10.1002/anie.202525282?af=R" TargetMode="External"/><Relationship Id="rId126" Type="http://schemas.openxmlformats.org/officeDocument/2006/relationships/hyperlink" Target="https://doi.org/10.1002/anie.202525282" TargetMode="External"/><Relationship Id="rId127" Type="http://schemas.openxmlformats.org/officeDocument/2006/relationships/hyperlink" Target="https://onlinelibrary.wiley.com/doi/10.1002/anie.202525047?af=R" TargetMode="External"/><Relationship Id="rId128" Type="http://schemas.openxmlformats.org/officeDocument/2006/relationships/hyperlink" Target="https://doi.org/10.1002/anie.202525047" TargetMode="External"/><Relationship Id="rId129" Type="http://schemas.openxmlformats.org/officeDocument/2006/relationships/hyperlink" Target="http://dx.doi.org/10.1021/jacs.5c19318" TargetMode="External"/><Relationship Id="rId130" Type="http://schemas.openxmlformats.org/officeDocument/2006/relationships/hyperlink" Target="https://doi.org/10.1021/jacs.5c19318" TargetMode="External"/><Relationship Id="rId131" Type="http://schemas.openxmlformats.org/officeDocument/2006/relationships/hyperlink" Target="http://dx.doi.org/10.1021/jacs.5c21368" TargetMode="External"/><Relationship Id="rId132" Type="http://schemas.openxmlformats.org/officeDocument/2006/relationships/hyperlink" Target="https://doi.org/10.1021/jacs.5c21368" TargetMode="External"/><Relationship Id="rId133" Type="http://schemas.openxmlformats.org/officeDocument/2006/relationships/hyperlink" Target="http://dx.doi.org/10.1021/acsenergylett.5c04001" TargetMode="External"/><Relationship Id="rId134" Type="http://schemas.openxmlformats.org/officeDocument/2006/relationships/hyperlink" Target="https://doi.org/10.1021/acsenergylett.5c04001" TargetMode="External"/><Relationship Id="rId135" Type="http://schemas.openxmlformats.org/officeDocument/2006/relationships/hyperlink" Target="http://dx.doi.org/10.1021/jacs.5c22970" TargetMode="External"/><Relationship Id="rId136" Type="http://schemas.openxmlformats.org/officeDocument/2006/relationships/hyperlink" Target="https://doi.org/10.1021/jacs.5c22970" TargetMode="External"/><Relationship Id="rId137" Type="http://schemas.openxmlformats.org/officeDocument/2006/relationships/hyperlink" Target="http://dx.doi.org/10.1021/jacs.5c18752" TargetMode="External"/><Relationship Id="rId138" Type="http://schemas.openxmlformats.org/officeDocument/2006/relationships/hyperlink" Target="https://doi.org/10.1021/jacs.5c18752" TargetMode="External"/><Relationship Id="rId139" Type="http://schemas.openxmlformats.org/officeDocument/2006/relationships/hyperlink" Target="https://www.nature.com/articles/s41467-026-70148-1" TargetMode="External"/><Relationship Id="rId140" Type="http://schemas.openxmlformats.org/officeDocument/2006/relationships/hyperlink" Target="https://advanced.onlinelibrary.wiley.com/doi/10.1002/adma.202523019?af=R" TargetMode="External"/><Relationship Id="rId141" Type="http://schemas.openxmlformats.org/officeDocument/2006/relationships/hyperlink" Target="https://doi.org/10.1002/adma.202523019" TargetMode="External"/><Relationship Id="rId142" Type="http://schemas.openxmlformats.org/officeDocument/2006/relationships/hyperlink" Target="https://onlinelibrary.wiley.com/doi/10.1002/anie.202525056?af=R" TargetMode="External"/><Relationship Id="rId143" Type="http://schemas.openxmlformats.org/officeDocument/2006/relationships/hyperlink" Target="https://doi.org/10.1002/anie.202525056" TargetMode="External"/><Relationship Id="rId144" Type="http://schemas.openxmlformats.org/officeDocument/2006/relationships/hyperlink" Target="https://www.nature.com/articles/s41467-026-69737-x" TargetMode="External"/><Relationship Id="rId145" Type="http://schemas.openxmlformats.org/officeDocument/2006/relationships/hyperlink" Target="https://doi.org/10.1038/s41467-026-69737-x" TargetMode="External"/><Relationship Id="rId146" Type="http://schemas.openxmlformats.org/officeDocument/2006/relationships/hyperlink" Target="https://www.nature.com/articles/s41893-026-01773-3" TargetMode="External"/><Relationship Id="rId147" Type="http://schemas.openxmlformats.org/officeDocument/2006/relationships/hyperlink" Target="http://dx.doi.org/10.1021/acs.chemrev.5c00772" TargetMode="External"/><Relationship Id="rId148" Type="http://schemas.openxmlformats.org/officeDocument/2006/relationships/hyperlink" Target="https://doi.org/10.1021/acs.chemrev.5c00772" TargetMode="External"/><Relationship Id="rId149" Type="http://schemas.openxmlformats.org/officeDocument/2006/relationships/hyperlink" Target="http://dx.doi.org/10.1021/acsenergylett.6c00404" TargetMode="External"/><Relationship Id="rId150" Type="http://schemas.openxmlformats.org/officeDocument/2006/relationships/hyperlink" Target="https://doi.org/10.1021/acsenergylett.6c00404" TargetMode="External"/><Relationship Id="rId151" Type="http://schemas.openxmlformats.org/officeDocument/2006/relationships/hyperlink" Target="https://www.sciencedirect.com/science/article/pii/S0306261926002722?dgcid=rss_sd_all" TargetMode="External"/><Relationship Id="rId152" Type="http://schemas.openxmlformats.org/officeDocument/2006/relationships/hyperlink" Target="https://www.sciencedirect.com/science/article/pii/S0306261926002175?dgcid=rss_sd_all" TargetMode="External"/><Relationship Id="rId153" Type="http://schemas.openxmlformats.org/officeDocument/2006/relationships/hyperlink" Target="https://www.sciencedirect.com/science/article/pii/S030626192600200X?dgcid=rss_sd_all" TargetMode="External"/><Relationship Id="rId154" Type="http://schemas.openxmlformats.org/officeDocument/2006/relationships/hyperlink" Target="http://pubs.rsc.org/en/Content/ArticleLanding/2026/EE/D5EE07166F" TargetMode="External"/><Relationship Id="rId155" Type="http://schemas.openxmlformats.org/officeDocument/2006/relationships/hyperlink" Target="https://www.nature.com/articles/s44359-026-00150-9" TargetMode="External"/><Relationship Id="rId156" Type="http://schemas.openxmlformats.org/officeDocument/2006/relationships/hyperlink" Target="https://www.cell.com/joule/fulltext/S2542-4351(25)00484-2?rss=yes" TargetMode="External"/><Relationship Id="rId157" Type="http://schemas.openxmlformats.org/officeDocument/2006/relationships/hyperlink" Target="https://www.nature.com/articles/s41578-026-00897-4" TargetMode="External"/><Relationship Id="rId158" Type="http://schemas.openxmlformats.org/officeDocument/2006/relationships/hyperlink" Target="https://www.sciencedirect.com/science/article/pii/S030626192600214X?dgcid=rss_sd_all" TargetMode="External"/><Relationship Id="rId159" Type="http://schemas.openxmlformats.org/officeDocument/2006/relationships/hyperlink" Target="https://www.sciencedirect.com/science/article/pii/S0306261926002370?dgcid=rss_sd_all" TargetMode="External"/><Relationship Id="rId160" Type="http://schemas.openxmlformats.org/officeDocument/2006/relationships/hyperlink" Target="https://www.nature.com/articles/s41467-026-69956-2" TargetMode="External"/><Relationship Id="rId161" Type="http://schemas.openxmlformats.org/officeDocument/2006/relationships/hyperlink" Target="https://advanced.onlinelibrary.wiley.com/doi/10.1002/adma.72466?af=R" TargetMode="External"/><Relationship Id="rId162" Type="http://schemas.openxmlformats.org/officeDocument/2006/relationships/hyperlink" Target="https://doi.org/10.1002/adma.72466" TargetMode="External"/><Relationship Id="rId163" Type="http://schemas.openxmlformats.org/officeDocument/2006/relationships/hyperlink" Target="https://www.pnas.org/doi/abs/10.1073/pnas.2531049123?mi=eymic2&amp;af=R&amp;access=on&amp;content=articlesChapters&amp;publication=pnas&amp;sortBy=Earliest&amp;target=default" TargetMode="External"/><Relationship Id="rId164" Type="http://schemas.openxmlformats.org/officeDocument/2006/relationships/hyperlink" Target="https://doi.org/10.1073/pnas.2531049123" TargetMode="External"/><Relationship Id="rId165" Type="http://schemas.openxmlformats.org/officeDocument/2006/relationships/hyperlink" Target="http://dx.doi.org/10.1021/jacs.6c00040" TargetMode="External"/><Relationship Id="rId166" Type="http://schemas.openxmlformats.org/officeDocument/2006/relationships/hyperlink" Target="https://doi.org/10.1021/jacs.6c00040" TargetMode="External"/><Relationship Id="rId167" Type="http://schemas.openxmlformats.org/officeDocument/2006/relationships/hyperlink" Target="https://www.nature.com/articles/d41586-026-00562-4" TargetMode="External"/><Relationship Id="rId168" Type="http://schemas.openxmlformats.org/officeDocument/2006/relationships/hyperlink" Target="https://www.nature.com/articles/d41586-026-00561-5" TargetMode="External"/><Relationship Id="rId169" Type="http://schemas.openxmlformats.org/officeDocument/2006/relationships/hyperlink" Target="https://www.science.org/doi/abs/10.1126/science.aeg7162?af=R" TargetMode="External"/><Relationship Id="rId170" Type="http://schemas.openxmlformats.org/officeDocument/2006/relationships/hyperlink" Target="https://doi.org/10.1126/science.aeg7162" TargetMode="External"/><Relationship Id="rId171" Type="http://schemas.openxmlformats.org/officeDocument/2006/relationships/hyperlink" Target="http://pubs.rsc.org/en/Content/ArticleLanding/2026/EE/D5EE07819A" TargetMode="External"/><Relationship Id="rId172" Type="http://schemas.openxmlformats.org/officeDocument/2006/relationships/hyperlink" Target="https://www.sciencedirect.com/science/article/pii/S0306261926001996?dgcid=rss_sd_all" TargetMode="External"/><Relationship Id="rId173" Type="http://schemas.openxmlformats.org/officeDocument/2006/relationships/hyperlink" Target="https://advanced.onlinelibrary.wiley.com/doi/10.1002/adma.202522703?af=R" TargetMode="External"/><Relationship Id="rId174" Type="http://schemas.openxmlformats.org/officeDocument/2006/relationships/hyperlink" Target="https://doi.org/10.1002/adma.202522703" TargetMode="External"/><Relationship Id="rId175" Type="http://schemas.openxmlformats.org/officeDocument/2006/relationships/hyperlink" Target="http://dx.doi.org/10.1021/jacs.6c00523" TargetMode="External"/><Relationship Id="rId176" Type="http://schemas.openxmlformats.org/officeDocument/2006/relationships/hyperlink" Target="https://doi.org/10.1021/jacs.6c00523" TargetMode="External"/><Relationship Id="rId177" Type="http://schemas.openxmlformats.org/officeDocument/2006/relationships/hyperlink" Target="https://www.nature.com/articles/d41586-026-00560-6" TargetMode="External"/><Relationship Id="rId178" Type="http://schemas.openxmlformats.org/officeDocument/2006/relationships/hyperlink" Target="https://www.sciencedirect.com/science/article/pii/S0306261926002151?dgcid=rss_sd_all" TargetMode="External"/><Relationship Id="rId179" Type="http://schemas.openxmlformats.org/officeDocument/2006/relationships/hyperlink" Target="https://www.sciencedirect.com/science/article/pii/S0301421526001138?dgcid=rss_sd_all" TargetMode="External"/><Relationship Id="rId180" Type="http://schemas.openxmlformats.org/officeDocument/2006/relationships/hyperlink" Target="https://www.sciencedirect.com/science/article/pii/S030626192600231X?dgcid=rss_sd_all" TargetMode="External"/><Relationship Id="rId181" Type="http://schemas.openxmlformats.org/officeDocument/2006/relationships/hyperlink" Target="https://www.sciencedirect.com/science/article/pii/S0306261926002503?dgcid=rss_sd_all" TargetMode="External"/><Relationship Id="rId182" Type="http://schemas.openxmlformats.org/officeDocument/2006/relationships/hyperlink" Target="https://www.cell.com/matter/fulltext/S2590-2385(25)00666-6?rss=yes" TargetMode="External"/><Relationship Id="rId183" Type="http://schemas.openxmlformats.org/officeDocument/2006/relationships/hyperlink" Target="https://www.science.org/doi/abs/10.1126/sciadv.aea8247?af=R" TargetMode="External"/><Relationship Id="rId184" Type="http://schemas.openxmlformats.org/officeDocument/2006/relationships/hyperlink" Target="https://doi.org/10.1126/sciadv.aea8247" TargetMode="External"/><Relationship Id="rId185" Type="http://schemas.openxmlformats.org/officeDocument/2006/relationships/hyperlink" Target="https://advanced.onlinelibrary.wiley.com/doi/10.1002/adma.202521163?af=R" TargetMode="External"/><Relationship Id="rId186" Type="http://schemas.openxmlformats.org/officeDocument/2006/relationships/hyperlink" Target="https://doi.org/10.1002/adma.202521163" TargetMode="External"/><Relationship Id="rId187" Type="http://schemas.openxmlformats.org/officeDocument/2006/relationships/hyperlink" Target="https://www.nature.com/articles/s44286-026-00362-7" TargetMode="External"/><Relationship Id="rId188" Type="http://schemas.openxmlformats.org/officeDocument/2006/relationships/hyperlink" Target="https://www.pnas.org/doi/abs/10.1073/pnas.2533803123?mi=eymic2&amp;af=R&amp;access=on&amp;content=articlesChapters&amp;publication=pnas&amp;sortBy=Earliest&amp;target=default" TargetMode="External"/><Relationship Id="rId189" Type="http://schemas.openxmlformats.org/officeDocument/2006/relationships/hyperlink" Target="https://doi.org/10.1073/pnas.2533803123" TargetMode="External"/><Relationship Id="rId190" Type="http://schemas.openxmlformats.org/officeDocument/2006/relationships/hyperlink" Target="https://www.sciencedirect.com/science/article/pii/S0306261926002485?dgcid=rss_sd_all" TargetMode="External"/><Relationship Id="rId191" Type="http://schemas.openxmlformats.org/officeDocument/2006/relationships/hyperlink" Target="https://www.nature.com/articles/s41565-026-02136-x" TargetMode="External"/><Relationship Id="rId192" Type="http://schemas.openxmlformats.org/officeDocument/2006/relationships/hyperlink" Target="https://doi.org/10.1038/s41565-026-02136-x" TargetMode="External"/><Relationship Id="rId193" Type="http://schemas.openxmlformats.org/officeDocument/2006/relationships/hyperlink" Target="http://pubs.rsc.org/en/Content/ArticleLanding/2026/EE/D6EE00643D" TargetMode="External"/><Relationship Id="rId194" Type="http://schemas.openxmlformats.org/officeDocument/2006/relationships/hyperlink" Target="https://www.sciencedirect.com/science/article/pii/S0306261926002369?dgcid=rss_sd_all" TargetMode="External"/><Relationship Id="rId195" Type="http://schemas.openxmlformats.org/officeDocument/2006/relationships/hyperlink" Target="https://www.science.org/doi/abs/10.1126/sciadv.ady6378?af=R" TargetMode="External"/><Relationship Id="rId196" Type="http://schemas.openxmlformats.org/officeDocument/2006/relationships/hyperlink" Target="https://doi.org/10.1126/sciadv.ady6378" TargetMode="External"/><Relationship Id="rId197" Type="http://schemas.openxmlformats.org/officeDocument/2006/relationships/hyperlink" Target="http://dx.doi.org/10.1021/jacs.5c19692" TargetMode="External"/><Relationship Id="rId198" Type="http://schemas.openxmlformats.org/officeDocument/2006/relationships/hyperlink" Target="https://doi.org/10.1021/jacs.5c19692" TargetMode="External"/><Relationship Id="rId199" Type="http://schemas.openxmlformats.org/officeDocument/2006/relationships/hyperlink" Target="https://advanced.onlinelibrary.wiley.com/doi/10.1002/adma.72644?af=R" TargetMode="External"/><Relationship Id="rId200" Type="http://schemas.openxmlformats.org/officeDocument/2006/relationships/hyperlink" Target="https://doi.org/10.1002/adma.72644" TargetMode="External"/><Relationship Id="rId201" Type="http://schemas.openxmlformats.org/officeDocument/2006/relationships/hyperlink" Target="https://advanced.onlinelibrary.wiley.com/doi/10.1002/adma.72666?af=R" TargetMode="External"/><Relationship Id="rId202" Type="http://schemas.openxmlformats.org/officeDocument/2006/relationships/hyperlink" Target="https://doi.org/10.1002/adma.72666" TargetMode="External"/><Relationship Id="rId203" Type="http://schemas.openxmlformats.org/officeDocument/2006/relationships/hyperlink" Target="https://www.sciencedirect.com/science/article/pii/S0306261926002655?dgcid=rss_sd_all" TargetMode="External"/><Relationship Id="rId204" Type="http://schemas.openxmlformats.org/officeDocument/2006/relationships/hyperlink" Target="https://www.sciencedirect.com/science/article/pii/S0306261926002710?dgcid=rss_sd_all" TargetMode="External"/><Relationship Id="rId205" Type="http://schemas.openxmlformats.org/officeDocument/2006/relationships/hyperlink" Target="https://www.sciencedirect.com/science/article/pii/S0301421526000844?dgcid=rss_sd_all" TargetMode="External"/><Relationship Id="rId206" Type="http://schemas.openxmlformats.org/officeDocument/2006/relationships/hyperlink" Target="https://www.sciencedirect.com/science/article/pii/S0301421526001266?dgcid=rss_sd_all" TargetMode="External"/><Relationship Id="rId207" Type="http://schemas.openxmlformats.org/officeDocument/2006/relationships/hyperlink" Target="https://www.nature.com/articles/d41586-026-00544-6" TargetMode="External"/><Relationship Id="rId208" Type="http://schemas.openxmlformats.org/officeDocument/2006/relationships/hyperlink" Target="https://www.nature.com/articles/s41560-026-02002-z" TargetMode="External"/><Relationship Id="rId209" Type="http://schemas.openxmlformats.org/officeDocument/2006/relationships/hyperlink" Target="https://www.sciencedirect.com/science/article/pii/S0306261926002199?dgcid=rss_sd_all" TargetMode="External"/><Relationship Id="rId210" Type="http://schemas.openxmlformats.org/officeDocument/2006/relationships/hyperlink" Target="https://www.nature.com/articles/s41467-026-70049-3" TargetMode="External"/><Relationship Id="rId211" Type="http://schemas.openxmlformats.org/officeDocument/2006/relationships/hyperlink" Target="https://onlinelibrary.wiley.com/doi/10.1002/anie.3633333?af=R" TargetMode="External"/><Relationship Id="rId212" Type="http://schemas.openxmlformats.org/officeDocument/2006/relationships/hyperlink" Target="https://doi.org/10.1002/anie.3633333" TargetMode="External"/><Relationship Id="rId213" Type="http://schemas.openxmlformats.org/officeDocument/2006/relationships/hyperlink" Target="https://www.pnas.org/doi/abs/10.1073/pnas.2526802123?mi=eymic2&amp;af=R&amp;access=on&amp;content=articlesChapters&amp;publication=pnas&amp;sortBy=Earliest&amp;target=default" TargetMode="External"/><Relationship Id="rId214" Type="http://schemas.openxmlformats.org/officeDocument/2006/relationships/hyperlink" Target="https://doi.org/10.1073/pnas.2526802123" TargetMode="External"/><Relationship Id="rId215" Type="http://schemas.openxmlformats.org/officeDocument/2006/relationships/hyperlink" Target="https://www.pnas.org/doi/abs/10.1073/pnas.2533459123?mi=eymic2&amp;af=R&amp;access=on&amp;content=articlesChapters&amp;publication=pnas&amp;sortBy=Earliest&amp;target=default" TargetMode="External"/><Relationship Id="rId216" Type="http://schemas.openxmlformats.org/officeDocument/2006/relationships/hyperlink" Target="https://doi.org/10.1073/pnas.2533459123" TargetMode="External"/><Relationship Id="rId217" Type="http://schemas.openxmlformats.org/officeDocument/2006/relationships/hyperlink" Target="https://www.sciencedirect.com/science/article/pii/S0301421526001485?dgcid=rss_sd_all" TargetMode="External"/><Relationship Id="rId218" Type="http://schemas.openxmlformats.org/officeDocument/2006/relationships/hyperlink" Target="https://www.cell.com/chem/fulltext/S2451-9294(25)00501-7?rss=yes" TargetMode="External"/><Relationship Id="rId219" Type="http://schemas.openxmlformats.org/officeDocument/2006/relationships/hyperlink" Target="https://www.nature.com/articles/s44286-026-00366-3" TargetMode="External"/><Relationship Id="rId220" Type="http://schemas.openxmlformats.org/officeDocument/2006/relationships/hyperlink" Target="https://www.sciencedirect.com/science/article/pii/S0306261926002102?dgcid=rss_sd_all" TargetMode="External"/><Relationship Id="rId221" Type="http://schemas.openxmlformats.org/officeDocument/2006/relationships/hyperlink" Target="http://dx.doi.org/10.1021/jacs.5c21287" TargetMode="External"/><Relationship Id="rId222" Type="http://schemas.openxmlformats.org/officeDocument/2006/relationships/hyperlink" Target="https://doi.org/10.1021/jacs.5c21287" TargetMode="External"/><Relationship Id="rId223" Type="http://schemas.openxmlformats.org/officeDocument/2006/relationships/hyperlink" Target="http://dx.doi.org/10.1021/jacs.5c20976" TargetMode="External"/><Relationship Id="rId224" Type="http://schemas.openxmlformats.org/officeDocument/2006/relationships/hyperlink" Target="https://doi.org/10.1021/jacs.5c20976" TargetMode="External"/><Relationship Id="rId225" Type="http://schemas.openxmlformats.org/officeDocument/2006/relationships/hyperlink" Target="https://www.sciencedirect.com/science/article/pii/S0306261926002357?dgcid=rss_sd_all" TargetMode="External"/><Relationship Id="rId226" Type="http://schemas.openxmlformats.org/officeDocument/2006/relationships/hyperlink" Target="https://www.cell.com/chem/fulltext/S2451-9294(26)00024-0?rss=yes" TargetMode="External"/><Relationship Id="rId227" Type="http://schemas.openxmlformats.org/officeDocument/2006/relationships/hyperlink" Target="https://www.cell.com/chem/fulltext/S2451-9294(25)00509-1?rss=yes" TargetMode="External"/><Relationship Id="rId228" Type="http://schemas.openxmlformats.org/officeDocument/2006/relationships/hyperlink" Target="https://doi.org/10.1016/j.chempr.2025.102918" TargetMode="External"/><Relationship Id="rId229" Type="http://schemas.openxmlformats.org/officeDocument/2006/relationships/hyperlink" Target="https://www.science.org/doi/abs/10.1126/sciadv.adw5226?af=R" TargetMode="External"/><Relationship Id="rId230" Type="http://schemas.openxmlformats.org/officeDocument/2006/relationships/hyperlink" Target="https://doi.org/10.1126/sciadv.adw5226" TargetMode="External"/><Relationship Id="rId231" Type="http://schemas.openxmlformats.org/officeDocument/2006/relationships/hyperlink" Target="https://www.pnas.org/doi/abs/10.1073/pnas.2528655123?mi=eymic2&amp;af=R&amp;access=on&amp;content=articlesChapters&amp;publication=pnas&amp;sortBy=Earliest&amp;target=default" TargetMode="External"/><Relationship Id="rId232" Type="http://schemas.openxmlformats.org/officeDocument/2006/relationships/hyperlink" Target="https://doi.org/10.1073/pnas.2528655123" TargetMode="External"/><Relationship Id="rId233" Type="http://schemas.openxmlformats.org/officeDocument/2006/relationships/hyperlink" Target="https://www.sciencedirect.com/science/article/pii/S0306261926002308?dgcid=rss_sd_all" TargetMode="External"/><Relationship Id="rId234" Type="http://schemas.openxmlformats.org/officeDocument/2006/relationships/hyperlink" Target="https://www.nature.com/articles/s44359-026-00155-4" TargetMode="External"/><Relationship Id="rId235" Type="http://schemas.openxmlformats.org/officeDocument/2006/relationships/hyperlink" Target="http://dx.doi.org/10.1021/jacs.6c01318" TargetMode="External"/><Relationship Id="rId236" Type="http://schemas.openxmlformats.org/officeDocument/2006/relationships/hyperlink" Target="https://doi.org/10.1021/jacs.6c01318" TargetMode="External"/><Relationship Id="rId237" Type="http://schemas.openxmlformats.org/officeDocument/2006/relationships/hyperlink" Target="https://www.nature.com/articles/s41578-026-00904-8" TargetMode="External"/><Relationship Id="rId238" Type="http://schemas.openxmlformats.org/officeDocument/2006/relationships/hyperlink" Target="https://www.nature.com/articles/s41467-026-69815-0" TargetMode="External"/><Relationship Id="rId239" Type="http://schemas.openxmlformats.org/officeDocument/2006/relationships/hyperlink" Target="https://www.sciencedirect.com/science/article/pii/S0306261926001637?dgcid=rss_sd_all" TargetMode="External"/><Relationship Id="rId240" Type="http://schemas.openxmlformats.org/officeDocument/2006/relationships/hyperlink" Target="https://www.sciencedirect.com/science/article/pii/S0306261926002126?dgcid=rss_sd_all" TargetMode="External"/><Relationship Id="rId241" Type="http://schemas.openxmlformats.org/officeDocument/2006/relationships/hyperlink" Target="https://www.nature.com/articles/d41586-026-00564-2" TargetMode="External"/><Relationship Id="rId242" Type="http://schemas.openxmlformats.org/officeDocument/2006/relationships/hyperlink" Target="https://www.nature.com/articles/d41586-026-00530-y" TargetMode="External"/><Relationship Id="rId243" Type="http://schemas.openxmlformats.org/officeDocument/2006/relationships/hyperlink" Target="https://www.nature.com/articles/d41586-026-00593-x" TargetMode="External"/><Relationship Id="rId244" Type="http://schemas.openxmlformats.org/officeDocument/2006/relationships/hyperlink" Target="https://www.nature.com/articles/d41586-026-00517-9" TargetMode="External"/><Relationship Id="rId245" Type="http://schemas.openxmlformats.org/officeDocument/2006/relationships/hyperlink" Target="https://www.nature.com/articles/d41586-026-00590-0" TargetMode="External"/><Relationship Id="rId246" Type="http://schemas.openxmlformats.org/officeDocument/2006/relationships/hyperlink" Target="https://www.nature.com/articles/d41586-026-00592-y" TargetMode="External"/><Relationship Id="rId247" Type="http://schemas.openxmlformats.org/officeDocument/2006/relationships/hyperlink" Target="https://www.nature.com/articles/d41586-026-00298-1" TargetMode="External"/><Relationship Id="rId248" Type="http://schemas.openxmlformats.org/officeDocument/2006/relationships/hyperlink" Target="https://www.nature.com/articles/d41586-026-00514-y" TargetMode="External"/><Relationship Id="rId249" Type="http://schemas.openxmlformats.org/officeDocument/2006/relationships/hyperlink" Target="https://www.nature.com/articles/d41586-026-00591-z" TargetMode="External"/><Relationship Id="rId250" Type="http://schemas.openxmlformats.org/officeDocument/2006/relationships/hyperlink" Target="https://www.nature.com/articles/s41586-026-10298-w" TargetMode="External"/><Relationship Id="rId251" Type="http://schemas.openxmlformats.org/officeDocument/2006/relationships/hyperlink" Target="https://www.nature.com/articles/s41586-026-10294-0" TargetMode="External"/><Relationship Id="rId252" Type="http://schemas.openxmlformats.org/officeDocument/2006/relationships/hyperlink" Target="https://www.cell.com/chem/fulltext/S2451-9294(25)00503-0?rss=yes" TargetMode="External"/><Relationship Id="rId253" Type="http://schemas.openxmlformats.org/officeDocument/2006/relationships/hyperlink" Target="https://www.sciencedirect.com/science/article/pii/S0306261926002084?dgcid=rss_sd_all" TargetMode="External"/><Relationship Id="rId254" Type="http://schemas.openxmlformats.org/officeDocument/2006/relationships/hyperlink" Target="https://www.sciencedirect.com/science/article/pii/S0306261926001893?dgcid=rss_sd_all" TargetMode="External"/><Relationship Id="rId255" Type="http://schemas.openxmlformats.org/officeDocument/2006/relationships/hyperlink" Target="https://www.sciencedirect.com/science/article/pii/S0306261926002205?dgcid=rss_sd_all" TargetMode="External"/><Relationship Id="rId256" Type="http://schemas.openxmlformats.org/officeDocument/2006/relationships/hyperlink" Target="http://pubs.rsc.org/en/Content/ArticleLanding/2026/CS/D5CS01550B" TargetMode="External"/><Relationship Id="rId257" Type="http://schemas.openxmlformats.org/officeDocument/2006/relationships/hyperlink" Target="https://www.nature.com/articles/d41586-026-00609-6" TargetMode="External"/><Relationship Id="rId258" Type="http://schemas.openxmlformats.org/officeDocument/2006/relationships/hyperlink" Target="https://www.sciencedirect.com/science/article/pii/S0301421526001308?dgcid=rss_sd_all" TargetMode="External"/><Relationship Id="rId259" Type="http://schemas.openxmlformats.org/officeDocument/2006/relationships/hyperlink" Target="https://www.nature.com/articles/s41467-026-69975-z" TargetMode="External"/><Relationship Id="rId260" Type="http://schemas.openxmlformats.org/officeDocument/2006/relationships/hyperlink" Target="https://www.nature.com/articles/s41467-026-69973-1" TargetMode="External"/><Relationship Id="rId261" Type="http://schemas.openxmlformats.org/officeDocument/2006/relationships/hyperlink" Target="https://www.nature.com/articles/s41893-026-01788-w" TargetMode="External"/><Relationship Id="rId262" Type="http://schemas.openxmlformats.org/officeDocument/2006/relationships/hyperlink" Target="https://www.sciencedirect.com/science/article/pii/S0306261926002011?dgcid=rss_sd_all" TargetMode="External"/><Relationship Id="rId263" Type="http://schemas.openxmlformats.org/officeDocument/2006/relationships/hyperlink" Target="https://www.sciencedirect.com/science/article/pii/S0301421526000881?dgcid=rss_sd_all" TargetMode="External"/><Relationship Id="rId264" Type="http://schemas.openxmlformats.org/officeDocument/2006/relationships/hyperlink" Target="https://www.nature.com/articles/s44286-026-00358-3" TargetMode="External"/><Relationship Id="rId265" Type="http://schemas.openxmlformats.org/officeDocument/2006/relationships/hyperlink" Target="http://pubs.rsc.org/en/Content/ArticleLanding/2026/CS/D5CS00923E" TargetMode="External"/><Relationship Id="rId266" Type="http://schemas.openxmlformats.org/officeDocument/2006/relationships/hyperlink" Target="https://www.nature.com/articles/s41893-026-01777-z" TargetMode="External"/><Relationship Id="rId267" Type="http://schemas.openxmlformats.org/officeDocument/2006/relationships/hyperlink" Target="https://www.nature.com/articles/s41893-026-01786-y" TargetMode="External"/><Relationship Id="rId268" Type="http://schemas.openxmlformats.org/officeDocument/2006/relationships/hyperlink" Target="https://www.nature.com/articles/s41467-026-69791-5" TargetMode="External"/><Relationship Id="rId269" Type="http://schemas.openxmlformats.org/officeDocument/2006/relationships/hyperlink" Target="https://www.nature.com/articles/s41467-026-69996-8" TargetMode="External"/><Relationship Id="rId270" Type="http://schemas.openxmlformats.org/officeDocument/2006/relationships/hyperlink" Target="https://www.nature.com/articles/s41467-026-69784-4" TargetMode="External"/><Relationship Id="rId271" Type="http://schemas.openxmlformats.org/officeDocument/2006/relationships/hyperlink" Target="https://www.nature.com/articles/s41893-026-01774-2" TargetMode="External"/><Relationship Id="rId272" Type="http://schemas.openxmlformats.org/officeDocument/2006/relationships/hyperlink" Target="https://www.sciencedirect.com/science/article/pii/S0306261926002163?dgcid=rss_sd_all" TargetMode="External"/><Relationship Id="rId273" Type="http://schemas.openxmlformats.org/officeDocument/2006/relationships/hyperlink" Target="https://www.nature.com/articles/s41467-026-70025-x" TargetMode="External"/><Relationship Id="rId274" Type="http://schemas.openxmlformats.org/officeDocument/2006/relationships/hyperlink" Target="https://www.nature.com/articles/s41467-026-69904-0" TargetMode="External"/><Relationship Id="rId275" Type="http://schemas.openxmlformats.org/officeDocument/2006/relationships/hyperlink" Target="https://www.sciencedirect.com/science/article/pii/S0306261926002382?dgcid=rss_sd_all" TargetMode="External"/><Relationship Id="rId276" Type="http://schemas.openxmlformats.org/officeDocument/2006/relationships/hyperlink" Target="https://www.sciencedirect.com/science/article/pii/S0306261926002278?dgcid=rss_sd_all" TargetMode="External"/><Relationship Id="rId277" Type="http://schemas.openxmlformats.org/officeDocument/2006/relationships/hyperlink" Target="https://www.sciencedirect.com/science/article/pii/S0306261926001510?dgcid=rss_sd_all" TargetMode="External"/><Relationship Id="rId278" Type="http://schemas.openxmlformats.org/officeDocument/2006/relationships/hyperlink" Target="https://www.cell.com/matter/fulltext/S2590-2385(25)00664-2?rss=yes" TargetMode="External"/><Relationship Id="rId279" Type="http://schemas.openxmlformats.org/officeDocument/2006/relationships/hyperlink" Target="http://pubs.rsc.org/en/Content/ArticleLanding/2026/EE/D5EE06797A" TargetMode="External"/><Relationship Id="rId280" Type="http://schemas.openxmlformats.org/officeDocument/2006/relationships/hyperlink" Target="https://www.pnas.org/doi/abs/10.1073/pnas.2510334123?mi=eymic2&amp;af=R&amp;access=on&amp;content=articlesChapters&amp;publication=pnas&amp;sortBy=Earliest&amp;target=default" TargetMode="External"/><Relationship Id="rId281" Type="http://schemas.openxmlformats.org/officeDocument/2006/relationships/hyperlink" Target="https://doi.org/10.1073/pnas.2510334123" TargetMode="External"/><Relationship Id="rId282" Type="http://schemas.openxmlformats.org/officeDocument/2006/relationships/hyperlink" Target="https://www.pnas.org/doi/abs/10.1073/iti0826123?mi=eymic2&amp;af=R&amp;access=on&amp;content=articlesChapters&amp;publication=pnas&amp;sortBy=Earliest&amp;target=default" TargetMode="External"/><Relationship Id="rId283" Type="http://schemas.openxmlformats.org/officeDocument/2006/relationships/hyperlink" Target="https://doi.org/10.1073/iti0826123" TargetMode="External"/><Relationship Id="rId284" Type="http://schemas.openxmlformats.org/officeDocument/2006/relationships/hyperlink" Target="https://www.pnas.org/doi/abs/10.1073/pnas.2514343123?mi=eymic2&amp;af=R&amp;access=on&amp;content=articlesChapters&amp;publication=pnas&amp;sortBy=Earliest&amp;target=default" TargetMode="External"/><Relationship Id="rId285" Type="http://schemas.openxmlformats.org/officeDocument/2006/relationships/hyperlink" Target="https://doi.org/10.1073/pnas.2514343123" TargetMode="External"/><Relationship Id="rId286" Type="http://schemas.openxmlformats.org/officeDocument/2006/relationships/hyperlink" Target="https://www.pnas.org/doi/abs/10.1073/pnas.2522313123?mi=eymic2&amp;af=R&amp;access=on&amp;content=articlesChapters&amp;publication=pnas&amp;sortBy=Earliest&amp;target=default" TargetMode="External"/><Relationship Id="rId287" Type="http://schemas.openxmlformats.org/officeDocument/2006/relationships/hyperlink" Target="https://doi.org/10.1073/pnas.2522313123" TargetMode="External"/><Relationship Id="rId288" Type="http://schemas.openxmlformats.org/officeDocument/2006/relationships/hyperlink" Target="https://www.pnas.org/doi/abs/10.1073/pnas.2526734123?mi=eymic2&amp;af=R&amp;access=on&amp;content=articlesChapters&amp;publication=pnas&amp;sortBy=Earliest&amp;target=default" TargetMode="External"/><Relationship Id="rId289" Type="http://schemas.openxmlformats.org/officeDocument/2006/relationships/hyperlink" Target="https://doi.org/10.1073/pnas.2526734123" TargetMode="External"/><Relationship Id="rId290" Type="http://schemas.openxmlformats.org/officeDocument/2006/relationships/hyperlink" Target="https://www.pnas.org/doi/abs/10.1073/pnas.2524463123?mi=eymic2&amp;af=R&amp;access=on&amp;content=articlesChapters&amp;publication=pnas&amp;sortBy=Earliest&amp;target=default" TargetMode="External"/><Relationship Id="rId291" Type="http://schemas.openxmlformats.org/officeDocument/2006/relationships/hyperlink" Target="https://doi.org/10.1073/pnas.2524463123" TargetMode="External"/><Relationship Id="rId292" Type="http://schemas.openxmlformats.org/officeDocument/2006/relationships/hyperlink" Target="https://www.pnas.org/doi/abs/10.1073/pnas.2527567123?mi=eymic2&amp;af=R&amp;access=on&amp;content=articlesChapters&amp;publication=pnas&amp;sortBy=Earliest&amp;target=default" TargetMode="External"/><Relationship Id="rId293" Type="http://schemas.openxmlformats.org/officeDocument/2006/relationships/hyperlink" Target="https://doi.org/10.1073/pnas.2527567123" TargetMode="External"/><Relationship Id="rId294" Type="http://schemas.openxmlformats.org/officeDocument/2006/relationships/hyperlink" Target="https://www.pnas.org/doi/abs/10.1073/pnas.2532817123?mi=eymic2&amp;af=R&amp;access=on&amp;content=articlesChapters&amp;publication=pnas&amp;sortBy=Earliest&amp;target=default" TargetMode="External"/><Relationship Id="rId295" Type="http://schemas.openxmlformats.org/officeDocument/2006/relationships/hyperlink" Target="https://doi.org/10.1073/pnas.2532817123" TargetMode="External"/><Relationship Id="rId296" Type="http://schemas.openxmlformats.org/officeDocument/2006/relationships/hyperlink" Target="https://www.pnas.org/doi/abs/10.1073/pnas.2535073123?mi=eymic2&amp;af=R&amp;access=on&amp;content=articlesChapters&amp;publication=pnas&amp;sortBy=Earliest&amp;target=default" TargetMode="External"/><Relationship Id="rId297" Type="http://schemas.openxmlformats.org/officeDocument/2006/relationships/hyperlink" Target="https://doi.org/10.1073/pnas.2535073123" TargetMode="External"/><Relationship Id="rId298" Type="http://schemas.openxmlformats.org/officeDocument/2006/relationships/hyperlink" Target="https://www.pnas.org/doi/abs/10.1073/pnas.2503721123?mi=eymic2&amp;af=R&amp;access=on&amp;content=articlesChapters&amp;publication=pnas&amp;sortBy=Earliest&amp;target=default" TargetMode="External"/><Relationship Id="rId299" Type="http://schemas.openxmlformats.org/officeDocument/2006/relationships/hyperlink" Target="https://doi.org/10.1073/pnas.2503721123" TargetMode="External"/><Relationship Id="rId300" Type="http://schemas.openxmlformats.org/officeDocument/2006/relationships/hyperlink" Target="https://www.pnas.org/doi/abs/10.1073/pnas.2522764123?mi=eymic2&amp;af=R&amp;access=on&amp;content=articlesChapters&amp;publication=pnas&amp;sortBy=Earliest&amp;target=default" TargetMode="External"/><Relationship Id="rId301" Type="http://schemas.openxmlformats.org/officeDocument/2006/relationships/hyperlink" Target="https://doi.org/10.1073/pnas.2522764123" TargetMode="External"/><Relationship Id="rId302" Type="http://schemas.openxmlformats.org/officeDocument/2006/relationships/hyperlink" Target="http://dx.doi.org/10.1021/jacs.6c00769" TargetMode="External"/><Relationship Id="rId303" Type="http://schemas.openxmlformats.org/officeDocument/2006/relationships/hyperlink" Target="https://doi.org/10.1021/jacs.6c00769" TargetMode="External"/><Relationship Id="rId304" Type="http://schemas.openxmlformats.org/officeDocument/2006/relationships/hyperlink" Target="https://advanced.onlinelibrary.wiley.com/doi/10.1002/adma.202518572?af=R" TargetMode="External"/><Relationship Id="rId305" Type="http://schemas.openxmlformats.org/officeDocument/2006/relationships/hyperlink" Target="https://doi.org/10.1002/adma.202518572" TargetMode="External"/><Relationship Id="rId306" Type="http://schemas.openxmlformats.org/officeDocument/2006/relationships/hyperlink" Target="http://dx.doi.org/10.1021/jacs.5c22150" TargetMode="External"/><Relationship Id="rId307" Type="http://schemas.openxmlformats.org/officeDocument/2006/relationships/hyperlink" Target="https://doi.org/10.1021/jacs.5c22150" TargetMode="External"/><Relationship Id="rId308" Type="http://schemas.openxmlformats.org/officeDocument/2006/relationships/hyperlink" Target="http://dx.doi.org/10.1021/jacs.5c13802" TargetMode="External"/><Relationship Id="rId309" Type="http://schemas.openxmlformats.org/officeDocument/2006/relationships/hyperlink" Target="https://doi.org/10.1021/jacs.5c13802" TargetMode="External"/><Relationship Id="rId310" Type="http://schemas.openxmlformats.org/officeDocument/2006/relationships/hyperlink" Target="https://onlinelibrary.wiley.com/doi/10.1002/anie.9929509?af=R" TargetMode="External"/><Relationship Id="rId311" Type="http://schemas.openxmlformats.org/officeDocument/2006/relationships/hyperlink" Target="https://doi.org/10.1002/anie.9929509" TargetMode="External"/><Relationship Id="rId312" Type="http://schemas.openxmlformats.org/officeDocument/2006/relationships/hyperlink" Target="https://advanced.onlinelibrary.wiley.com/doi/10.1002/adma.202517594?af=R" TargetMode="External"/><Relationship Id="rId313" Type="http://schemas.openxmlformats.org/officeDocument/2006/relationships/hyperlink" Target="https://doi.org/10.1002/adma.202517594" TargetMode="External"/><Relationship Id="rId314" Type="http://schemas.openxmlformats.org/officeDocument/2006/relationships/hyperlink" Target="https://onlinelibrary.wiley.com/doi/10.1002/anie.202525558?af=R" TargetMode="External"/><Relationship Id="rId315" Type="http://schemas.openxmlformats.org/officeDocument/2006/relationships/hyperlink" Target="https://doi.org/10.1002/anie.202525558" TargetMode="External"/><Relationship Id="rId316" Type="http://schemas.openxmlformats.org/officeDocument/2006/relationships/hyperlink" Target="https://advanced.onlinelibrary.wiley.com/doi/10.1002/adma.202521475?af=R" TargetMode="External"/><Relationship Id="rId317" Type="http://schemas.openxmlformats.org/officeDocument/2006/relationships/hyperlink" Target="https://doi.org/10.1002/adma.202521475" TargetMode="External"/><Relationship Id="rId318" Type="http://schemas.openxmlformats.org/officeDocument/2006/relationships/hyperlink" Target="https://onlinelibrary.wiley.com/doi/10.1002/anie.202524232?af=R" TargetMode="External"/><Relationship Id="rId319" Type="http://schemas.openxmlformats.org/officeDocument/2006/relationships/hyperlink" Target="https://doi.org/10.1002/anie.202524232" TargetMode="External"/><Relationship Id="rId320" Type="http://schemas.openxmlformats.org/officeDocument/2006/relationships/hyperlink" Target="https://onlinelibrary.wiley.com/doi/10.1002/anie.202525769?af=R" TargetMode="External"/><Relationship Id="rId321" Type="http://schemas.openxmlformats.org/officeDocument/2006/relationships/hyperlink" Target="https://doi.org/10.1002/anie.202525769" TargetMode="External"/><Relationship Id="rId322" Type="http://schemas.openxmlformats.org/officeDocument/2006/relationships/hyperlink" Target="http://dx.doi.org/10.1021/jacs.6c02114" TargetMode="External"/><Relationship Id="rId323" Type="http://schemas.openxmlformats.org/officeDocument/2006/relationships/hyperlink" Target="https://doi.org/10.1021/jacs.6c02114" TargetMode="External"/><Relationship Id="rId324" Type="http://schemas.openxmlformats.org/officeDocument/2006/relationships/hyperlink" Target="http://dx.doi.org/10.1021/jacs.6c01503" TargetMode="External"/><Relationship Id="rId325" Type="http://schemas.openxmlformats.org/officeDocument/2006/relationships/hyperlink" Target="https://doi.org/10.1021/jacs.6c01503" TargetMode="External"/><Relationship Id="rId326" Type="http://schemas.openxmlformats.org/officeDocument/2006/relationships/hyperlink" Target="http://dx.doi.org/10.1021/jacs.6c01708" TargetMode="External"/><Relationship Id="rId327" Type="http://schemas.openxmlformats.org/officeDocument/2006/relationships/hyperlink" Target="https://doi.org/10.1021/jacs.6c01708" TargetMode="External"/><Relationship Id="rId328" Type="http://schemas.openxmlformats.org/officeDocument/2006/relationships/hyperlink" Target="http://dx.doi.org/10.1021/acs.chemrev.6c00071" TargetMode="External"/><Relationship Id="rId329" Type="http://schemas.openxmlformats.org/officeDocument/2006/relationships/hyperlink" Target="https://doi.org/10.1021/acs.chemrev.6c00071" TargetMode="External"/><Relationship Id="rId330" Type="http://schemas.openxmlformats.org/officeDocument/2006/relationships/hyperlink" Target="http://dx.doi.org/10.1021/jacs.5c21300" TargetMode="External"/><Relationship Id="rId331" Type="http://schemas.openxmlformats.org/officeDocument/2006/relationships/hyperlink" Target="https://doi.org/10.1021/jacs.5c21300" TargetMode="External"/><Relationship Id="rId332" Type="http://schemas.openxmlformats.org/officeDocument/2006/relationships/hyperlink" Target="http://dx.doi.org/10.1021/acs.chemrev.5c00527" TargetMode="External"/><Relationship Id="rId333" Type="http://schemas.openxmlformats.org/officeDocument/2006/relationships/hyperlink" Target="https://doi.org/10.1021/acs.chemrev.5c00527" TargetMode="External"/><Relationship Id="rId334" Type="http://schemas.openxmlformats.org/officeDocument/2006/relationships/hyperlink" Target="http://dx.doi.org/10.1021/acsenergylett.6c00100" TargetMode="External"/><Relationship Id="rId335" Type="http://schemas.openxmlformats.org/officeDocument/2006/relationships/hyperlink" Target="https://doi.org/10.1021/acsenergylett.6c00100" TargetMode="External"/><Relationship Id="rId336" Type="http://schemas.openxmlformats.org/officeDocument/2006/relationships/hyperlink" Target="http://dx.doi.org/10.1021/jacs.5c20533" TargetMode="External"/><Relationship Id="rId337" Type="http://schemas.openxmlformats.org/officeDocument/2006/relationships/hyperlink" Target="https://doi.org/10.1021/jacs.5c20533" TargetMode="External"/><Relationship Id="rId338" Type="http://schemas.openxmlformats.org/officeDocument/2006/relationships/hyperlink" Target="http://dx.doi.org/10.1021/jacs.6c01667" TargetMode="External"/><Relationship Id="rId339" Type="http://schemas.openxmlformats.org/officeDocument/2006/relationships/hyperlink" Target="https://doi.org/10.1021/jacs.6c01667" TargetMode="External"/><Relationship Id="rId340" Type="http://schemas.openxmlformats.org/officeDocument/2006/relationships/hyperlink" Target="http://dx.doi.org/10.1021/jacs.5c19650" TargetMode="External"/><Relationship Id="rId341" Type="http://schemas.openxmlformats.org/officeDocument/2006/relationships/hyperlink" Target="https://doi.org/10.1021/jacs.5c19650" TargetMode="External"/><Relationship Id="rId342" Type="http://schemas.openxmlformats.org/officeDocument/2006/relationships/hyperlink" Target="https://www.nature.com/articles/d41586-026-00554-4" TargetMode="External"/><Relationship Id="rId343" Type="http://schemas.openxmlformats.org/officeDocument/2006/relationships/hyperlink" Target="https://www.nature.com/articles/s41586-025-10062-6" TargetMode="External"/><Relationship Id="rId344" Type="http://schemas.openxmlformats.org/officeDocument/2006/relationships/hyperlink" Target="https://www.nature.com/articles/d41586-025-04161-7" TargetMode="External"/><Relationship Id="rId345" Type="http://schemas.openxmlformats.org/officeDocument/2006/relationships/hyperlink" Target="https://www.nature.com/articles/s41586-026-10163-w" TargetMode="External"/><Relationship Id="rId346" Type="http://schemas.openxmlformats.org/officeDocument/2006/relationships/hyperlink" Target="https://www.nature.com/articles/s41586-026-10149-8" TargetMode="External"/><Relationship Id="rId347" Type="http://schemas.openxmlformats.org/officeDocument/2006/relationships/hyperlink" Target="https://www.nature.com/articles/s41586-026-10187-2" TargetMode="External"/><Relationship Id="rId348" Type="http://schemas.openxmlformats.org/officeDocument/2006/relationships/hyperlink" Target="https://www.nature.com/articles/s41586-026-10142-1" TargetMode="External"/><Relationship Id="rId349" Type="http://schemas.openxmlformats.org/officeDocument/2006/relationships/hyperlink" Target="https://www.nature.com/articles/s41586-026-10194-3" TargetMode="External"/><Relationship Id="rId350" Type="http://schemas.openxmlformats.org/officeDocument/2006/relationships/hyperlink" Target="https://www.nature.com/articles/s41586-026-10159-6" TargetMode="External"/><Relationship Id="rId351" Type="http://schemas.openxmlformats.org/officeDocument/2006/relationships/hyperlink" Target="https://www.nature.com/articles/d41586-026-00573-1" TargetMode="External"/><Relationship Id="rId352" Type="http://schemas.openxmlformats.org/officeDocument/2006/relationships/hyperlink" Target="https://www.nature.com/articles/s41467-026-70001-5" TargetMode="External"/><Relationship Id="rId353" Type="http://schemas.openxmlformats.org/officeDocument/2006/relationships/hyperlink" Target="https://www.nature.com/articles/s41586-025-10064-4" TargetMode="External"/><Relationship Id="rId354" Type="http://schemas.openxmlformats.org/officeDocument/2006/relationships/hyperlink" Target="https://www.nature.com/articles/s41586-026-10121-6" TargetMode="External"/><Relationship Id="rId355" Type="http://schemas.openxmlformats.org/officeDocument/2006/relationships/hyperlink" Target="https://www.nature.com/articles/s41586-026-10169-4" TargetMode="External"/><Relationship Id="rId356" Type="http://schemas.openxmlformats.org/officeDocument/2006/relationships/hyperlink" Target="https://www.nature.com/articles/s41586-026-10171-w" TargetMode="External"/><Relationship Id="rId357" Type="http://schemas.openxmlformats.org/officeDocument/2006/relationships/hyperlink" Target="https://www.nature.com/articles/d41586-026-00584-y" TargetMode="External"/><Relationship Id="rId358" Type="http://schemas.openxmlformats.org/officeDocument/2006/relationships/hyperlink" Target="https://www.nature.com/articles/d41586-026-00563-3" TargetMode="External"/><Relationship Id="rId359" Type="http://schemas.openxmlformats.org/officeDocument/2006/relationships/hyperlink" Target="https://www.nature.com/articles/d41586-026-00570-4" TargetMode="External"/><Relationship Id="rId360" Type="http://schemas.openxmlformats.org/officeDocument/2006/relationships/hyperlink" Target="https://www.nature.com/articles/d41586-026-00292-7" TargetMode="External"/><Relationship Id="rId361" Type="http://schemas.openxmlformats.org/officeDocument/2006/relationships/hyperlink" Target="https://www.nature.com/articles/d41586-026-00599-5" TargetMode="External"/><Relationship Id="rId362" Type="http://schemas.openxmlformats.org/officeDocument/2006/relationships/hyperlink" Target="https://www.nature.com/articles/d41586-026-00040-x" TargetMode="External"/><Relationship Id="rId363" Type="http://schemas.openxmlformats.org/officeDocument/2006/relationships/hyperlink" Target="https://www.nature.com/articles/s41586-026-10161-y" TargetMode="External"/><Relationship Id="rId364" Type="http://schemas.openxmlformats.org/officeDocument/2006/relationships/hyperlink" Target="https://www.nature.com/articles/d41586-026-00293-6" TargetMode="External"/><Relationship Id="rId365" Type="http://schemas.openxmlformats.org/officeDocument/2006/relationships/hyperlink" Target="https://www.nature.com/articles/s41557-026-02079-9" TargetMode="External"/><Relationship Id="rId366" Type="http://schemas.openxmlformats.org/officeDocument/2006/relationships/hyperlink" Target="https://www.nature.com/articles/d41586-026-00295-4" TargetMode="External"/><Relationship Id="rId367" Type="http://schemas.openxmlformats.org/officeDocument/2006/relationships/hyperlink" Target="https://www.nature.com/articles/s41928-026-01577-5" TargetMode="External"/><Relationship Id="rId368" Type="http://schemas.openxmlformats.org/officeDocument/2006/relationships/hyperlink" Target="https://www.nature.com/articles/d41586-026-00623-8" TargetMode="External"/><Relationship Id="rId369" Type="http://schemas.openxmlformats.org/officeDocument/2006/relationships/hyperlink" Target="https://www.nature.com/articles/d41586-026-00296-3" TargetMode="External"/><Relationship Id="rId370" Type="http://schemas.openxmlformats.org/officeDocument/2006/relationships/hyperlink" Target="https://www.nature.com/articles/d41586-026-00374-6" TargetMode="External"/><Relationship Id="rId371" Type="http://schemas.openxmlformats.org/officeDocument/2006/relationships/hyperlink" Target="https://www.nature.com/articles/d41586-026-00294-5" TargetMode="External"/><Relationship Id="rId372" Type="http://schemas.openxmlformats.org/officeDocument/2006/relationships/hyperlink" Target="https://www.nature.com/articles/s41586-026-10132-3" TargetMode="External"/><Relationship Id="rId373" Type="http://schemas.openxmlformats.org/officeDocument/2006/relationships/hyperlink" Target="https://www.nature.com/articles/s41557-026-02072-2" TargetMode="External"/><Relationship Id="rId374" Type="http://schemas.openxmlformats.org/officeDocument/2006/relationships/hyperlink" Target="https://www.nature.com/articles/s41586-026-10158-7" TargetMode="External"/><Relationship Id="rId375" Type="http://schemas.openxmlformats.org/officeDocument/2006/relationships/hyperlink" Target="https://www.nature.com/articles/s41578-026-00898-3" TargetMode="External"/><Relationship Id="rId376" Type="http://schemas.openxmlformats.org/officeDocument/2006/relationships/hyperlink" Target="https://www.nature.com/articles/s41586-026-10162-x" TargetMode="External"/><Relationship Id="rId377" Type="http://schemas.openxmlformats.org/officeDocument/2006/relationships/hyperlink" Target="https://academic.oup.com/nsr/advance-article/doi/10.1093/nsr/nwag115/8497412?rss=1" TargetMode="External"/><Relationship Id="rId378" Type="http://schemas.openxmlformats.org/officeDocument/2006/relationships/hyperlink" Target="https://doi.org/10.1093/nsr/nwag115/8497412" TargetMode="External"/><Relationship Id="rId379" Type="http://schemas.openxmlformats.org/officeDocument/2006/relationships/hyperlink" Target="https://www.nature.com/articles/s41560-026-02000-1" TargetMode="External"/><Relationship Id="rId380" Type="http://schemas.openxmlformats.org/officeDocument/2006/relationships/hyperlink" Target="https://academic.oup.com/nsr/advance-article/doi/10.1093/nsr/nwag117/8497410?rss=1" TargetMode="External"/><Relationship Id="rId381" Type="http://schemas.openxmlformats.org/officeDocument/2006/relationships/hyperlink" Target="https://doi.org/10.1093/nsr/nwag117/8497410" TargetMode="External"/><Relationship Id="rId382" Type="http://schemas.openxmlformats.org/officeDocument/2006/relationships/hyperlink" Target="https://www.nature.com/articles/s41557-026-02074-0" TargetMode="External"/><Relationship Id="rId383" Type="http://schemas.openxmlformats.org/officeDocument/2006/relationships/hyperlink" Target="https://www.nature.com/articles/d41586-026-00569-x" TargetMode="External"/><Relationship Id="rId384" Type="http://schemas.openxmlformats.org/officeDocument/2006/relationships/hyperlink" Target="https://www.nature.com/articles/s41586-026-10207-1" TargetMode="External"/><Relationship Id="rId385" Type="http://schemas.openxmlformats.org/officeDocument/2006/relationships/hyperlink" Target="https://www.nature.com/articles/s41586-026-10164-9" TargetMode="External"/><Relationship Id="rId386" Type="http://schemas.openxmlformats.org/officeDocument/2006/relationships/hyperlink" Target="https://www.nature.com/articles/s41565-026-02127-y" TargetMode="External"/><Relationship Id="rId387" Type="http://schemas.openxmlformats.org/officeDocument/2006/relationships/hyperlink" Target="https://www.nature.com/articles/s41586-026-10150-1" TargetMode="External"/><Relationship Id="rId388" Type="http://schemas.openxmlformats.org/officeDocument/2006/relationships/hyperlink" Target="https://www.nature.com/articles/s41560-026-02003-y" TargetMode="External"/><Relationship Id="rId389" Type="http://schemas.openxmlformats.org/officeDocument/2006/relationships/hyperlink" Target="https://www.nature.com/articles/s41560-026-02001-0" TargetMode="External"/><Relationship Id="rId390" Type="http://schemas.openxmlformats.org/officeDocument/2006/relationships/hyperlink" Target="https://www.nature.com/articles/s41586-026-10190-7" TargetMode="External"/><Relationship Id="rId391" Type="http://schemas.openxmlformats.org/officeDocument/2006/relationships/hyperlink" Target="https://www.nature.com/articles/d41586-026-00132-8" TargetMode="External"/><Relationship Id="rId392" Type="http://schemas.openxmlformats.org/officeDocument/2006/relationships/hyperlink" Target="https://www.nature.com/articles/d41586-026-00580-2" TargetMode="External"/><Relationship Id="rId393" Type="http://schemas.openxmlformats.org/officeDocument/2006/relationships/hyperlink" Target="http://pubs.rsc.org/en/Content/ArticleLanding/2026/CS/D5CS01522G" TargetMode="External"/><Relationship Id="rId394" Type="http://schemas.openxmlformats.org/officeDocument/2006/relationships/hyperlink" Target="https://www.nature.com/articles/d41586-026-00515-x" TargetMode="External"/><Relationship Id="rId395" Type="http://schemas.openxmlformats.org/officeDocument/2006/relationships/hyperlink" Target="https://www.nature.com/articles/d41586-026-00620-x" TargetMode="External"/><Relationship Id="rId396" Type="http://schemas.openxmlformats.org/officeDocument/2006/relationships/hyperlink" Target="https://www.nature.com/articles/s41586-026-10127-0" TargetMode="External"/><Relationship Id="rId397" Type="http://schemas.openxmlformats.org/officeDocument/2006/relationships/hyperlink" Target="https://www.cell.com/chem/fulltext/S2451-9294(25)00467-X?rss=yes" TargetMode="External"/><Relationship Id="rId398" Type="http://schemas.openxmlformats.org/officeDocument/2006/relationships/hyperlink" Target="https://www.cell.com/chem/fulltext/S2451-9294(25)00505-4?rss=yes" TargetMode="External"/><Relationship Id="rId399" Type="http://schemas.openxmlformats.org/officeDocument/2006/relationships/hyperlink" Target="https://www.cell.com/chem/fulltext/S2451-9294(25)00508-X?rss=yes" TargetMode="External"/><Relationship Id="rId400" Type="http://schemas.openxmlformats.org/officeDocument/2006/relationships/hyperlink" Target="https://www.cell.com/chem/fulltext/S2451-9294(25)00513-3?rss=yes" TargetMode="External"/><Relationship Id="rId401" Type="http://schemas.openxmlformats.org/officeDocument/2006/relationships/hyperlink" Target="https://www.cell.com/chem/fulltext/S2451-9294(26)00060-4?rss=yes" TargetMode="External"/><Relationship Id="rId402" Type="http://schemas.openxmlformats.org/officeDocument/2006/relationships/hyperlink" Target="https://www.nature.com/articles/s41560-026-01998-8" TargetMode="External"/><Relationship Id="rId403" Type="http://schemas.openxmlformats.org/officeDocument/2006/relationships/hyperlink" Target="https://www.nature.com/articles/s41586-026-10137-y" TargetMode="External"/><Relationship Id="rId404" Type="http://schemas.openxmlformats.org/officeDocument/2006/relationships/hyperlink" Target="https://www.nature.com/articles/s41563-026-02513-w" TargetMode="External"/><Relationship Id="rId405" Type="http://schemas.openxmlformats.org/officeDocument/2006/relationships/hyperlink" Target="https://www.sciencedirect.com/science/article/pii/S0301421526001291?dgcid=rss_sd_all" TargetMode="External"/><Relationship Id="rId406" Type="http://schemas.openxmlformats.org/officeDocument/2006/relationships/hyperlink" Target="https://www.sciencedirect.com/science/article/pii/S0306261926001662?dgcid=rss_sd_all" TargetMode="External"/><Relationship Id="rId407" Type="http://schemas.openxmlformats.org/officeDocument/2006/relationships/hyperlink" Target="https://www.sciencedirect.com/science/article/pii/S0301421526001357?dgcid=rss_sd_all" TargetMode="External"/><Relationship Id="rId408" Type="http://schemas.openxmlformats.org/officeDocument/2006/relationships/hyperlink" Target="https://www.sciencedirect.com/science/article/pii/S0301421525005300?dgcid=rss_sd_all" TargetMode="External"/><Relationship Id="rId409" Type="http://schemas.openxmlformats.org/officeDocument/2006/relationships/hyperlink" Target="https://www.nature.com/articles/s41586-026-10217-z" TargetMode="External"/><Relationship Id="rId410" Type="http://schemas.openxmlformats.org/officeDocument/2006/relationships/hyperlink" Target="https://www.nature.com/articles/d41586-026-00578-w" TargetMode="External"/><Relationship Id="rId411" Type="http://schemas.openxmlformats.org/officeDocument/2006/relationships/hyperlink" Target="https://www.sciencedirect.com/science/article/pii/S030142152600131X?dgcid=rss_sd_all" TargetMode="External"/><Relationship Id="rId412" Type="http://schemas.openxmlformats.org/officeDocument/2006/relationships/hyperlink" Target="https://www.nature.com/articles/s41563-026-02493-x" TargetMode="External"/><Relationship Id="rId413" Type="http://schemas.openxmlformats.org/officeDocument/2006/relationships/hyperlink" Target="https://www.nature.com/articles/s41560-026-02005-w" TargetMode="External"/><Relationship Id="rId414" Type="http://schemas.openxmlformats.org/officeDocument/2006/relationships/hyperlink" Target="https://www.nature.com/articles/s41467-026-69916-w" TargetMode="External"/><Relationship Id="rId415" Type="http://schemas.openxmlformats.org/officeDocument/2006/relationships/hyperlink" Target="https://www.nature.com/articles/d41586-026-00619-4" TargetMode="External"/><Relationship Id="rId416" Type="http://schemas.openxmlformats.org/officeDocument/2006/relationships/hyperlink" Target="https://www.nature.com/articles/s41586-026-10126-1" TargetMode="External"/><Relationship Id="rId417" Type="http://schemas.openxmlformats.org/officeDocument/2006/relationships/hyperlink" Target="https://www.sciencedirect.com/science/article/pii/S0306261926002345?dgcid=rss_sd_all" TargetMode="External"/><Relationship Id="rId418" Type="http://schemas.openxmlformats.org/officeDocument/2006/relationships/hyperlink" Target="https://www.nature.com/articles/s41467-026-70053-7" TargetMode="External"/><Relationship Id="rId419" Type="http://schemas.openxmlformats.org/officeDocument/2006/relationships/hyperlink" Target="https://www.sciencedirect.com/science/article/pii/S0306261926001613?dgcid=rss_sd_all" TargetMode="External"/><Relationship Id="rId420" Type="http://schemas.openxmlformats.org/officeDocument/2006/relationships/hyperlink" Target="https://www.nature.com/articles/d41586-026-00446-7" TargetMode="External"/><Relationship Id="rId421" Type="http://schemas.openxmlformats.org/officeDocument/2006/relationships/hyperlink" Target="https://www.cell.com/matter/fulltext/S2590-2385(25)00667-8?rss=yes" TargetMode="External"/><Relationship Id="rId422" Type="http://schemas.openxmlformats.org/officeDocument/2006/relationships/hyperlink" Target="https://www.cell.com/matter/fulltext/S2590-2385(25)00669-1?rss=yes" TargetMode="External"/><Relationship Id="rId423" Type="http://schemas.openxmlformats.org/officeDocument/2006/relationships/hyperlink" Target="https://www.cell.com/matter/fulltext/S2590-2385(25)00671-X?rss=yes" TargetMode="External"/><Relationship Id="rId424" Type="http://schemas.openxmlformats.org/officeDocument/2006/relationships/hyperlink" Target="https://www.nature.com/articles/s41467-026-68511-3" TargetMode="External"/><Relationship Id="rId425" Type="http://schemas.openxmlformats.org/officeDocument/2006/relationships/hyperlink" Target="https://www.nature.com/articles/s41467-026-70024-y" TargetMode="External"/><Relationship Id="rId426" Type="http://schemas.openxmlformats.org/officeDocument/2006/relationships/hyperlink" Target="https://www.nature.com/articles/s41563-026-02490-0" TargetMode="External"/><Relationship Id="rId427" Type="http://schemas.openxmlformats.org/officeDocument/2006/relationships/hyperlink" Target="https://www.nature.com/articles/s41467-026-69963-3" TargetMode="External"/><Relationship Id="rId428" Type="http://schemas.openxmlformats.org/officeDocument/2006/relationships/hyperlink" Target="https://advanced.onlinelibrary.wiley.com/doi/10.1002/adma.202515400?af=R" TargetMode="External"/><Relationship Id="rId429" Type="http://schemas.openxmlformats.org/officeDocument/2006/relationships/hyperlink" Target="https://doi.org/10.1002/adma.202515400" TargetMode="External"/><Relationship Id="rId430" Type="http://schemas.openxmlformats.org/officeDocument/2006/relationships/hyperlink" Target="https://advanced.onlinelibrary.wiley.com/doi/10.1002/adma.202519568?af=R" TargetMode="External"/><Relationship Id="rId431" Type="http://schemas.openxmlformats.org/officeDocument/2006/relationships/hyperlink" Target="https://doi.org/10.1002/adma.202519568" TargetMode="External"/><Relationship Id="rId432" Type="http://schemas.openxmlformats.org/officeDocument/2006/relationships/hyperlink" Target="https://advanced.onlinelibrary.wiley.com/doi/10.1002/adma.202521736?af=R" TargetMode="External"/><Relationship Id="rId433" Type="http://schemas.openxmlformats.org/officeDocument/2006/relationships/hyperlink" Target="https://doi.org/10.1002/adma.202521736" TargetMode="External"/><Relationship Id="rId434" Type="http://schemas.openxmlformats.org/officeDocument/2006/relationships/hyperlink" Target="https://onlinelibrary.wiley.com/doi/10.1002/anie.202525355?af=R" TargetMode="External"/><Relationship Id="rId435" Type="http://schemas.openxmlformats.org/officeDocument/2006/relationships/hyperlink" Target="https://doi.org/10.1002/anie.202525355" TargetMode="External"/><Relationship Id="rId436" Type="http://schemas.openxmlformats.org/officeDocument/2006/relationships/hyperlink" Target="https://advanced.onlinelibrary.wiley.com/doi/10.1002/aenm.202505903?af=R" TargetMode="External"/><Relationship Id="rId437" Type="http://schemas.openxmlformats.org/officeDocument/2006/relationships/hyperlink" Target="https://doi.org/10.1002/aenm.202505903" TargetMode="External"/><Relationship Id="rId438" Type="http://schemas.openxmlformats.org/officeDocument/2006/relationships/hyperlink" Target="https://advanced.onlinelibrary.wiley.com/doi/10.1002/adma.72467?af=R" TargetMode="External"/><Relationship Id="rId439" Type="http://schemas.openxmlformats.org/officeDocument/2006/relationships/hyperlink" Target="https://doi.org/10.1002/adma.72467" TargetMode="External"/><Relationship Id="rId440" Type="http://schemas.openxmlformats.org/officeDocument/2006/relationships/hyperlink" Target="https://advanced.onlinelibrary.wiley.com/doi/10.1002/adma.72464?af=R" TargetMode="External"/><Relationship Id="rId441" Type="http://schemas.openxmlformats.org/officeDocument/2006/relationships/hyperlink" Target="https://doi.org/10.1002/adma.72464" TargetMode="External"/><Relationship Id="rId442" Type="http://schemas.openxmlformats.org/officeDocument/2006/relationships/hyperlink" Target="https://www.science.org/doi/abs/10.1126/sciadv.aea8560?af=R" TargetMode="External"/><Relationship Id="rId443" Type="http://schemas.openxmlformats.org/officeDocument/2006/relationships/hyperlink" Target="https://doi.org/10.1126/sciadv.aea8560" TargetMode="External"/><Relationship Id="rId444" Type="http://schemas.openxmlformats.org/officeDocument/2006/relationships/hyperlink" Target="https://www.science.org/doi/abs/10.1126/sciadv.aeb5612?af=R" TargetMode="External"/><Relationship Id="rId445" Type="http://schemas.openxmlformats.org/officeDocument/2006/relationships/hyperlink" Target="https://doi.org/10.1126/sciadv.aeb5612" TargetMode="External"/><Relationship Id="rId446" Type="http://schemas.openxmlformats.org/officeDocument/2006/relationships/hyperlink" Target="https://www.science.org/doi/abs/10.1126/sciadv.aeb3338?af=R" TargetMode="External"/><Relationship Id="rId447" Type="http://schemas.openxmlformats.org/officeDocument/2006/relationships/hyperlink" Target="https://doi.org/10.1126/sciadv.aeb3338" TargetMode="External"/><Relationship Id="rId448" Type="http://schemas.openxmlformats.org/officeDocument/2006/relationships/hyperlink" Target="https://www.science.org/doi/abs/10.1126/sciadv.aeb0049?af=R" TargetMode="External"/><Relationship Id="rId449" Type="http://schemas.openxmlformats.org/officeDocument/2006/relationships/hyperlink" Target="https://doi.org/10.1126/sciadv.aeb0049" TargetMode="External"/><Relationship Id="rId450" Type="http://schemas.openxmlformats.org/officeDocument/2006/relationships/hyperlink" Target="https://www.science.org/doi/abs/10.1126/sciadv.aec3641?af=R" TargetMode="External"/><Relationship Id="rId451" Type="http://schemas.openxmlformats.org/officeDocument/2006/relationships/hyperlink" Target="https://doi.org/10.1126/sciadv.aec3641" TargetMode="External"/><Relationship Id="rId452" Type="http://schemas.openxmlformats.org/officeDocument/2006/relationships/hyperlink" Target="https://www.science.org/doi/abs/10.1126/sciadv.aec7443?af=R" TargetMode="External"/><Relationship Id="rId453" Type="http://schemas.openxmlformats.org/officeDocument/2006/relationships/hyperlink" Target="https://doi.org/10.1126/sciadv.aec7443" TargetMode="External"/><Relationship Id="rId454" Type="http://schemas.openxmlformats.org/officeDocument/2006/relationships/hyperlink" Target="https://www.pnas.org/doi/abs/10.1073/pnas.2513642123?mi=eymic2&amp;af=R&amp;access=on&amp;content=articlesChapters&amp;publication=pnas&amp;sortBy=Earliest&amp;target=default" TargetMode="External"/><Relationship Id="rId455" Type="http://schemas.openxmlformats.org/officeDocument/2006/relationships/hyperlink" Target="https://doi.org/10.1073/pnas.2513642123" TargetMode="External"/><Relationship Id="rId456" Type="http://schemas.openxmlformats.org/officeDocument/2006/relationships/hyperlink" Target="https://www.pnas.org/doi/abs/10.1073/pnas.2520991123?mi=eymic2&amp;af=R&amp;access=on&amp;content=articlesChapters&amp;publication=pnas&amp;sortBy=Earliest&amp;target=default" TargetMode="External"/><Relationship Id="rId457" Type="http://schemas.openxmlformats.org/officeDocument/2006/relationships/hyperlink" Target="https://doi.org/10.1073/pnas.2520991123" TargetMode="External"/><Relationship Id="rId458" Type="http://schemas.openxmlformats.org/officeDocument/2006/relationships/hyperlink" Target="https://www.pnas.org/doi/abs/10.1073/pnas.2532868123?mi=eymic2&amp;af=R&amp;access=on&amp;content=articlesChapters&amp;publication=pnas&amp;sortBy=Earliest&amp;target=default" TargetMode="External"/><Relationship Id="rId459" Type="http://schemas.openxmlformats.org/officeDocument/2006/relationships/hyperlink" Target="https://doi.org/10.1073/pnas.2532868123" TargetMode="External"/><Relationship Id="rId460" Type="http://schemas.openxmlformats.org/officeDocument/2006/relationships/hyperlink" Target="https://www.pnas.org/doi/abs/10.1073/pnas.2531477123?mi=eymic2&amp;af=R&amp;access=on&amp;content=articlesChapters&amp;publication=pnas&amp;sortBy=Earliest&amp;target=default" TargetMode="External"/><Relationship Id="rId461" Type="http://schemas.openxmlformats.org/officeDocument/2006/relationships/hyperlink" Target="https://doi.org/10.1073/pnas.2531477123" TargetMode="External"/><Relationship Id="rId462" Type="http://schemas.openxmlformats.org/officeDocument/2006/relationships/hyperlink" Target="https://www.pnas.org/doi/abs/10.1073/pnas.2535298123?mi=eymic2&amp;af=R&amp;access=on&amp;content=articlesChapters&amp;publication=pnas&amp;sortBy=Earliest&amp;target=default" TargetMode="External"/><Relationship Id="rId463" Type="http://schemas.openxmlformats.org/officeDocument/2006/relationships/hyperlink" Target="https://doi.org/10.1073/pnas.2535298123" TargetMode="External"/><Relationship Id="rId464" Type="http://schemas.openxmlformats.org/officeDocument/2006/relationships/hyperlink" Target="https://www.pnas.org/doi/abs/10.1073/pnas.2513242123?mi=eymic2&amp;af=R&amp;access=on&amp;content=articlesChapters&amp;publication=pnas&amp;sortBy=Earliest&amp;target=default" TargetMode="External"/><Relationship Id="rId465" Type="http://schemas.openxmlformats.org/officeDocument/2006/relationships/hyperlink" Target="https://doi.org/10.1073/pnas.2513242123" TargetMode="External"/><Relationship Id="rId466" Type="http://schemas.openxmlformats.org/officeDocument/2006/relationships/hyperlink" Target="https://www.pnas.org/doi/abs/10.1073/pnas.2420493123?mi=eymic2&amp;af=R&amp;access=on&amp;content=articlesChapters&amp;publication=pnas&amp;sortBy=Earliest&amp;target=default" TargetMode="External"/><Relationship Id="rId467" Type="http://schemas.openxmlformats.org/officeDocument/2006/relationships/hyperlink" Target="https://doi.org/10.1073/pnas.2420493123" TargetMode="External"/><Relationship Id="rId468" Type="http://schemas.openxmlformats.org/officeDocument/2006/relationships/hyperlink" Target="https://www.pnas.org/doi/abs/10.1073/pnas.2535701123?mi=eymic2&amp;af=R&amp;access=on&amp;content=articlesChapters&amp;publication=pnas&amp;sortBy=Earliest&amp;target=default" TargetMode="External"/><Relationship Id="rId469" Type="http://schemas.openxmlformats.org/officeDocument/2006/relationships/hyperlink" Target="https://doi.org/10.1073/pnas.2535701123" TargetMode="External"/><Relationship Id="rId470" Type="http://schemas.openxmlformats.org/officeDocument/2006/relationships/hyperlink" Target="https://www.pnas.org/doi/abs/10.1073/pnas.2518816123?mi=eymic2&amp;af=R&amp;access=on&amp;content=articlesChapters&amp;publication=pnas&amp;sortBy=Earliest&amp;target=default" TargetMode="External"/><Relationship Id="rId471" Type="http://schemas.openxmlformats.org/officeDocument/2006/relationships/hyperlink" Target="https://doi.org/10.1073/pnas.2518816123" TargetMode="External"/><Relationship Id="rId472" Type="http://schemas.openxmlformats.org/officeDocument/2006/relationships/hyperlink" Target="https://www.pnas.org/doi/abs/10.1073/pnas.2515503123?mi=eymic2&amp;af=R&amp;access=on&amp;content=articlesChapters&amp;publication=pnas&amp;sortBy=Earliest&amp;target=default" TargetMode="External"/><Relationship Id="rId473" Type="http://schemas.openxmlformats.org/officeDocument/2006/relationships/hyperlink" Target="https://doi.org/10.1073/pnas.2515503123" TargetMode="External"/><Relationship Id="rId474" Type="http://schemas.openxmlformats.org/officeDocument/2006/relationships/hyperlink" Target="https://www.pnas.org/doi/abs/10.1073/pnas.2521210123?mi=eymic2&amp;af=R&amp;access=on&amp;content=articlesChapters&amp;publication=pnas&amp;sortBy=Earliest&amp;target=default" TargetMode="External"/><Relationship Id="rId475" Type="http://schemas.openxmlformats.org/officeDocument/2006/relationships/hyperlink" Target="https://doi.org/10.1073/pnas.2521210123" TargetMode="External"/><Relationship Id="rId476" Type="http://schemas.openxmlformats.org/officeDocument/2006/relationships/hyperlink" Target="https://www.pnas.org/doi/abs/10.1073/pnas.2527981123?mi=eymic2&amp;af=R&amp;access=on&amp;content=articlesChapters&amp;publication=pnas&amp;sortBy=Earliest&amp;target=default" TargetMode="External"/><Relationship Id="rId477" Type="http://schemas.openxmlformats.org/officeDocument/2006/relationships/hyperlink" Target="https://doi.org/10.1073/pnas.2527981123" TargetMode="External"/><Relationship Id="rId478" Type="http://schemas.openxmlformats.org/officeDocument/2006/relationships/hyperlink" Target="https://www.science.org/doi/abs/10.1126/sciadv.aea3355?af=R" TargetMode="External"/><Relationship Id="rId479" Type="http://schemas.openxmlformats.org/officeDocument/2006/relationships/hyperlink" Target="https://doi.org/10.1126/sciadv.aea3355" TargetMode="External"/><Relationship Id="rId480" Type="http://schemas.openxmlformats.org/officeDocument/2006/relationships/hyperlink" Target="https://www.science.org/doi/abs/10.1126/sciadv.adz0425?af=R" TargetMode="External"/><Relationship Id="rId481" Type="http://schemas.openxmlformats.org/officeDocument/2006/relationships/hyperlink" Target="https://doi.org/10.1126/sciadv.adz0425" TargetMode="External"/><Relationship Id="rId482" Type="http://schemas.openxmlformats.org/officeDocument/2006/relationships/hyperlink" Target="https://www.science.org/doi/abs/10.1126/sciadv.adz4967?af=R" TargetMode="External"/><Relationship Id="rId483" Type="http://schemas.openxmlformats.org/officeDocument/2006/relationships/hyperlink" Target="https://doi.org/10.1126/sciadv.adz4967" TargetMode="External"/><Relationship Id="rId484" Type="http://schemas.openxmlformats.org/officeDocument/2006/relationships/hyperlink" Target="https://www.science.org/doi/abs/10.1126/sciadv.ady0883?af=R" TargetMode="External"/><Relationship Id="rId485" Type="http://schemas.openxmlformats.org/officeDocument/2006/relationships/hyperlink" Target="https://doi.org/10.1126/sciadv.ady0883" TargetMode="External"/><Relationship Id="rId486" Type="http://schemas.openxmlformats.org/officeDocument/2006/relationships/hyperlink" Target="https://www.science.org/doi/abs/10.1126/sciadv.aed1319?af=R" TargetMode="External"/><Relationship Id="rId487" Type="http://schemas.openxmlformats.org/officeDocument/2006/relationships/hyperlink" Target="https://doi.org/10.1126/sciadv.aed1319" TargetMode="External"/><Relationship Id="rId488" Type="http://schemas.openxmlformats.org/officeDocument/2006/relationships/hyperlink" Target="https://www.science.org/doi/abs/10.1126/sciadv.aec2376?af=R" TargetMode="External"/><Relationship Id="rId489" Type="http://schemas.openxmlformats.org/officeDocument/2006/relationships/hyperlink" Target="https://doi.org/10.1126/sciadv.aec2376" TargetMode="External"/><Relationship Id="rId490" Type="http://schemas.openxmlformats.org/officeDocument/2006/relationships/hyperlink" Target="https://www.science.org/doi/abs/10.1126/sciadv.adz6964?af=R" TargetMode="External"/><Relationship Id="rId491" Type="http://schemas.openxmlformats.org/officeDocument/2006/relationships/hyperlink" Target="https://doi.org/10.1126/sciadv.adz6964" TargetMode="External"/><Relationship Id="rId492" Type="http://schemas.openxmlformats.org/officeDocument/2006/relationships/hyperlink" Target="https://www.science.org/doi/abs/10.1126/sciadv.aec1018?af=R" TargetMode="External"/><Relationship Id="rId493" Type="http://schemas.openxmlformats.org/officeDocument/2006/relationships/hyperlink" Target="https://doi.org/10.1126/sciadv.aec1018" TargetMode="External"/><Relationship Id="rId494" Type="http://schemas.openxmlformats.org/officeDocument/2006/relationships/hyperlink" Target="https://www.science.org/doi/abs/10.1126/sciadv.aea8116?af=R" TargetMode="External"/><Relationship Id="rId495" Type="http://schemas.openxmlformats.org/officeDocument/2006/relationships/hyperlink" Target="https://doi.org/10.1126/sciadv.aea8116" TargetMode="External"/><Relationship Id="rId496" Type="http://schemas.openxmlformats.org/officeDocument/2006/relationships/hyperlink" Target="https://www.science.org/doi/abs/10.1126/sciadv.aeb3756?af=R" TargetMode="External"/><Relationship Id="rId497" Type="http://schemas.openxmlformats.org/officeDocument/2006/relationships/hyperlink" Target="https://doi.org/10.1126/sciadv.aeb3756" TargetMode="External"/><Relationship Id="rId498" Type="http://schemas.openxmlformats.org/officeDocument/2006/relationships/hyperlink" Target="https://www.science.org/doi/abs/10.1126/sciadv.adw9320?af=R" TargetMode="External"/><Relationship Id="rId499" Type="http://schemas.openxmlformats.org/officeDocument/2006/relationships/hyperlink" Target="https://doi.org/10.1126/sciadv.adw9320" TargetMode="External"/><Relationship Id="rId500" Type="http://schemas.openxmlformats.org/officeDocument/2006/relationships/hyperlink" Target="https://www.science.org/doi/abs/10.1126/sciadv.ady0441?af=R" TargetMode="External"/><Relationship Id="rId501" Type="http://schemas.openxmlformats.org/officeDocument/2006/relationships/hyperlink" Target="https://doi.org/10.1126/sciadv.ady0441" TargetMode="External"/><Relationship Id="rId502" Type="http://schemas.openxmlformats.org/officeDocument/2006/relationships/hyperlink" Target="https://www.science.org/doi/abs/10.1126/sciadv.ady8018?af=R" TargetMode="External"/><Relationship Id="rId503" Type="http://schemas.openxmlformats.org/officeDocument/2006/relationships/hyperlink" Target="https://doi.org/10.1126/sciadv.ady8018" TargetMode="External"/><Relationship Id="rId504" Type="http://schemas.openxmlformats.org/officeDocument/2006/relationships/hyperlink" Target="https://www.science.org/doi/abs/10.1126/sciadv.adw1599?af=R" TargetMode="External"/><Relationship Id="rId505" Type="http://schemas.openxmlformats.org/officeDocument/2006/relationships/hyperlink" Target="https://doi.org/10.1126/sciadv.adw1599" TargetMode="External"/><Relationship Id="rId506" Type="http://schemas.openxmlformats.org/officeDocument/2006/relationships/hyperlink" Target="https://www.science.org/doi/abs/10.1126/sciadv.ady9407?af=R" TargetMode="External"/><Relationship Id="rId507" Type="http://schemas.openxmlformats.org/officeDocument/2006/relationships/hyperlink" Target="https://doi.org/10.1126/sciadv.ady9407" TargetMode="External"/><Relationship Id="rId508" Type="http://schemas.openxmlformats.org/officeDocument/2006/relationships/hyperlink" Target="https://www.science.org/doi/abs/10.1126/sciadv.aee6950?af=R" TargetMode="External"/><Relationship Id="rId509" Type="http://schemas.openxmlformats.org/officeDocument/2006/relationships/hyperlink" Target="https://doi.org/10.1126/sciadv.aee6950" TargetMode="External"/><Relationship Id="rId510" Type="http://schemas.openxmlformats.org/officeDocument/2006/relationships/hyperlink" Target="https://www.science.org/doi/abs/10.1126/sciadv.aea9947?af=R" TargetMode="External"/><Relationship Id="rId511" Type="http://schemas.openxmlformats.org/officeDocument/2006/relationships/hyperlink" Target="https://doi.org/10.1126/sciadv.aea9947" TargetMode="External"/><Relationship Id="rId512" Type="http://schemas.openxmlformats.org/officeDocument/2006/relationships/hyperlink" Target="https://www.science.org/doi/abs/10.1126/sciadv.aea0326?af=R" TargetMode="External"/><Relationship Id="rId513" Type="http://schemas.openxmlformats.org/officeDocument/2006/relationships/hyperlink" Target="https://doi.org/10.1126/sciadv.aea0326" TargetMode="External"/><Relationship Id="rId514" Type="http://schemas.openxmlformats.org/officeDocument/2006/relationships/hyperlink" Target="https://www.science.org/doi/abs/10.1126/sciadv.aec9991?af=R" TargetMode="External"/><Relationship Id="rId515" Type="http://schemas.openxmlformats.org/officeDocument/2006/relationships/hyperlink" Target="https://doi.org/10.1126/sciadv.aec9991" TargetMode="External"/><Relationship Id="rId516" Type="http://schemas.openxmlformats.org/officeDocument/2006/relationships/hyperlink" Target="https://www.science.org/doi/abs/10.1126/sciadv.aea0109?af=R" TargetMode="External"/><Relationship Id="rId517" Type="http://schemas.openxmlformats.org/officeDocument/2006/relationships/hyperlink" Target="https://doi.org/10.1126/sciadv.aea0109" TargetMode="External"/><Relationship Id="rId518" Type="http://schemas.openxmlformats.org/officeDocument/2006/relationships/hyperlink" Target="https://www.science.org/doi/abs/10.1126/sciadv.aea9091?af=R" TargetMode="External"/><Relationship Id="rId519" Type="http://schemas.openxmlformats.org/officeDocument/2006/relationships/hyperlink" Target="https://doi.org/10.1126/sciadv.aea9091" TargetMode="External"/><Relationship Id="rId520" Type="http://schemas.openxmlformats.org/officeDocument/2006/relationships/hyperlink" Target="https://onlinelibrary.wiley.com/doi/10.1002/anie.7602426?af=R" TargetMode="External"/><Relationship Id="rId521" Type="http://schemas.openxmlformats.org/officeDocument/2006/relationships/hyperlink" Target="https://doi.org/10.1002/anie.7602426" TargetMode="External"/><Relationship Id="rId522" Type="http://schemas.openxmlformats.org/officeDocument/2006/relationships/hyperlink" Target="https://onlinelibrary.wiley.com/doi/10.1002/anie.9692519?af=R" TargetMode="External"/><Relationship Id="rId523" Type="http://schemas.openxmlformats.org/officeDocument/2006/relationships/hyperlink" Target="https://doi.org/10.1002/anie.9692519" TargetMode="External"/><Relationship Id="rId524" Type="http://schemas.openxmlformats.org/officeDocument/2006/relationships/hyperlink" Target="https://onlinelibrary.wiley.com/doi/10.1002/anie.202525892?af=R" TargetMode="External"/><Relationship Id="rId525" Type="http://schemas.openxmlformats.org/officeDocument/2006/relationships/hyperlink" Target="https://doi.org/10.1002/anie.202525892" TargetMode="External"/><Relationship Id="rId526" Type="http://schemas.openxmlformats.org/officeDocument/2006/relationships/hyperlink" Target="https://onlinelibrary.wiley.com/doi/10.1002/anie.8742316?af=R" TargetMode="External"/><Relationship Id="rId527" Type="http://schemas.openxmlformats.org/officeDocument/2006/relationships/hyperlink" Target="https://doi.org/10.1002/anie.8742316" TargetMode="External"/><Relationship Id="rId528" Type="http://schemas.openxmlformats.org/officeDocument/2006/relationships/hyperlink" Target="https://onlinelibrary.wiley.com/doi/10.1002/anie.5033273?af=R" TargetMode="External"/><Relationship Id="rId529" Type="http://schemas.openxmlformats.org/officeDocument/2006/relationships/hyperlink" Target="https://doi.org/10.1002/anie.5033273" TargetMode="External"/><Relationship Id="rId530" Type="http://schemas.openxmlformats.org/officeDocument/2006/relationships/hyperlink" Target="https://onlinelibrary.wiley.com/doi/10.1002/anie.202524246?af=R" TargetMode="External"/><Relationship Id="rId531" Type="http://schemas.openxmlformats.org/officeDocument/2006/relationships/hyperlink" Target="https://doi.org/10.1002/anie.202524246" TargetMode="External"/><Relationship Id="rId532" Type="http://schemas.openxmlformats.org/officeDocument/2006/relationships/hyperlink" Target="https://onlinelibrary.wiley.com/doi/10.1002/anie.5390746?af=R" TargetMode="External"/><Relationship Id="rId533" Type="http://schemas.openxmlformats.org/officeDocument/2006/relationships/hyperlink" Target="https://doi.org/10.1002/anie.5390746" TargetMode="External"/><Relationship Id="rId534" Type="http://schemas.openxmlformats.org/officeDocument/2006/relationships/hyperlink" Target="http://dx.doi.org/10.1021/jacs.6c00478" TargetMode="External"/><Relationship Id="rId535" Type="http://schemas.openxmlformats.org/officeDocument/2006/relationships/hyperlink" Target="https://doi.org/10.1021/jacs.6c00478" TargetMode="External"/><Relationship Id="rId536" Type="http://schemas.openxmlformats.org/officeDocument/2006/relationships/hyperlink" Target="http://dx.doi.org/10.1021/acsenergylett.6c00073" TargetMode="External"/><Relationship Id="rId537" Type="http://schemas.openxmlformats.org/officeDocument/2006/relationships/hyperlink" Target="https://doi.org/10.1021/acsenergylett.6c00073" TargetMode="External"/><Relationship Id="rId538" Type="http://schemas.openxmlformats.org/officeDocument/2006/relationships/hyperlink" Target="http://dx.doi.org/10.1021/jacs.6c00844" TargetMode="External"/><Relationship Id="rId539" Type="http://schemas.openxmlformats.org/officeDocument/2006/relationships/hyperlink" Target="https://doi.org/10.1021/jacs.6c00844" TargetMode="External"/><Relationship Id="rId540" Type="http://schemas.openxmlformats.org/officeDocument/2006/relationships/hyperlink" Target="http://dx.doi.org/10.1021/jacs.5c20339" TargetMode="External"/><Relationship Id="rId541" Type="http://schemas.openxmlformats.org/officeDocument/2006/relationships/hyperlink" Target="https://doi.org/10.1021/jacs.5c20339" TargetMode="External"/><Relationship Id="rId542" Type="http://schemas.openxmlformats.org/officeDocument/2006/relationships/hyperlink" Target="https://onlinelibrary.wiley.com/doi/10.1002/anie.202525900?af=R" TargetMode="External"/><Relationship Id="rId543" Type="http://schemas.openxmlformats.org/officeDocument/2006/relationships/hyperlink" Target="https://doi.org/10.1002/anie.202525900" TargetMode="External"/><Relationship Id="rId544" Type="http://schemas.openxmlformats.org/officeDocument/2006/relationships/hyperlink" Target="https://onlinelibrary.wiley.com/doi/10.1002/anie.202524255?af=R" TargetMode="External"/><Relationship Id="rId545" Type="http://schemas.openxmlformats.org/officeDocument/2006/relationships/hyperlink" Target="https://doi.org/10.1002/anie.202524255" TargetMode="External"/><Relationship Id="rId546" Type="http://schemas.openxmlformats.org/officeDocument/2006/relationships/hyperlink" Target="https://advanced.onlinelibrary.wiley.com/doi/10.1002/adma.202520519?af=R" TargetMode="External"/><Relationship Id="rId547" Type="http://schemas.openxmlformats.org/officeDocument/2006/relationships/hyperlink" Target="https://doi.org/10.1002/adma.202520519" TargetMode="External"/><Relationship Id="rId548" Type="http://schemas.openxmlformats.org/officeDocument/2006/relationships/hyperlink" Target="https://advanced.onlinelibrary.wiley.com/doi/10.1002/adma.202520184?af=R" TargetMode="External"/><Relationship Id="rId549" Type="http://schemas.openxmlformats.org/officeDocument/2006/relationships/hyperlink" Target="https://doi.org/10.1002/adma.202520184" TargetMode="External"/><Relationship Id="rId550" Type="http://schemas.openxmlformats.org/officeDocument/2006/relationships/hyperlink" Target="http://dx.doi.org/10.1021/jacs.5c22620" TargetMode="External"/><Relationship Id="rId551" Type="http://schemas.openxmlformats.org/officeDocument/2006/relationships/hyperlink" Target="https://doi.org/10.1021/jacs.5c22620" TargetMode="External"/><Relationship Id="rId552" Type="http://schemas.openxmlformats.org/officeDocument/2006/relationships/hyperlink" Target="http://dx.doi.org/10.1021/jacs.6c01168" TargetMode="External"/><Relationship Id="rId553" Type="http://schemas.openxmlformats.org/officeDocument/2006/relationships/hyperlink" Target="https://doi.org/10.1021/jacs.6c01168" TargetMode="External"/><Relationship Id="rId554" Type="http://schemas.openxmlformats.org/officeDocument/2006/relationships/hyperlink" Target="https://onlinelibrary.wiley.com/doi/10.1002/anie.3278432?af=R" TargetMode="External"/><Relationship Id="rId555" Type="http://schemas.openxmlformats.org/officeDocument/2006/relationships/hyperlink" Target="https://doi.org/10.1002/anie.3278432" TargetMode="External"/><Relationship Id="rId556" Type="http://schemas.openxmlformats.org/officeDocument/2006/relationships/hyperlink" Target="https://advanced.onlinelibrary.wiley.com/doi/10.1002/adma.202522938?af=R" TargetMode="External"/><Relationship Id="rId557" Type="http://schemas.openxmlformats.org/officeDocument/2006/relationships/hyperlink" Target="https://doi.org/10.1002/adma.202522938" TargetMode="External"/><Relationship Id="rId558" Type="http://schemas.openxmlformats.org/officeDocument/2006/relationships/hyperlink" Target="https://advanced.onlinelibrary.wiley.com/doi/10.1002/adma.202513458?af=R" TargetMode="External"/><Relationship Id="rId559" Type="http://schemas.openxmlformats.org/officeDocument/2006/relationships/hyperlink" Target="https://doi.org/10.1002/adma.202513458" TargetMode="External"/><Relationship Id="rId560" Type="http://schemas.openxmlformats.org/officeDocument/2006/relationships/hyperlink" Target="https://advanced.onlinelibrary.wiley.com/doi/10.1002/adma.202521003?af=R" TargetMode="External"/><Relationship Id="rId561" Type="http://schemas.openxmlformats.org/officeDocument/2006/relationships/hyperlink" Target="https://doi.org/10.1002/adma.202521003" TargetMode="External"/><Relationship Id="rId562" Type="http://schemas.openxmlformats.org/officeDocument/2006/relationships/hyperlink" Target="https://onlinelibrary.wiley.com/doi/10.1002/anie.2935372?af=R" TargetMode="External"/><Relationship Id="rId563" Type="http://schemas.openxmlformats.org/officeDocument/2006/relationships/hyperlink" Target="https://doi.org/10.1002/anie.2935372" TargetMode="External"/><Relationship Id="rId564" Type="http://schemas.openxmlformats.org/officeDocument/2006/relationships/hyperlink" Target="https://advanced.onlinelibrary.wiley.com/doi/10.1002/aenm.70741?af=R" TargetMode="External"/><Relationship Id="rId565" Type="http://schemas.openxmlformats.org/officeDocument/2006/relationships/hyperlink" Target="https://doi.org/10.1002/aenm.70741" TargetMode="External"/><Relationship Id="rId566" Type="http://schemas.openxmlformats.org/officeDocument/2006/relationships/hyperlink" Target="https://advanced.onlinelibrary.wiley.com/doi/10.1002/aenm.70742?af=R" TargetMode="External"/><Relationship Id="rId567" Type="http://schemas.openxmlformats.org/officeDocument/2006/relationships/hyperlink" Target="https://doi.org/10.1002/aenm.70742" TargetMode="External"/><Relationship Id="rId568" Type="http://schemas.openxmlformats.org/officeDocument/2006/relationships/hyperlink" Target="https://advanced.onlinelibrary.wiley.com/doi/10.1002/aenm.70743?af=R" TargetMode="External"/><Relationship Id="rId569" Type="http://schemas.openxmlformats.org/officeDocument/2006/relationships/hyperlink" Target="https://doi.org/10.1002/aenm.70743" TargetMode="External"/><Relationship Id="rId570" Type="http://schemas.openxmlformats.org/officeDocument/2006/relationships/hyperlink" Target="https://advanced.onlinelibrary.wiley.com/doi/10.1002/aenm.70744?af=R" TargetMode="External"/><Relationship Id="rId571" Type="http://schemas.openxmlformats.org/officeDocument/2006/relationships/hyperlink" Target="https://doi.org/10.1002/aenm.70744" TargetMode="External"/><Relationship Id="rId572" Type="http://schemas.openxmlformats.org/officeDocument/2006/relationships/hyperlink" Target="http://dx.doi.org/10.1021/jacs.6c01078" TargetMode="External"/><Relationship Id="rId573" Type="http://schemas.openxmlformats.org/officeDocument/2006/relationships/hyperlink" Target="https://doi.org/10.1021/jacs.6c01078" TargetMode="External"/><Relationship Id="rId574" Type="http://schemas.openxmlformats.org/officeDocument/2006/relationships/hyperlink" Target="http://dx.doi.org/10.1021/jacs.5c22161" TargetMode="External"/><Relationship Id="rId575" Type="http://schemas.openxmlformats.org/officeDocument/2006/relationships/hyperlink" Target="https://doi.org/10.1021/jacs.5c22161" TargetMode="External"/><Relationship Id="rId576" Type="http://schemas.openxmlformats.org/officeDocument/2006/relationships/hyperlink" Target="http://dx.doi.org/10.1021/jacs.6c01162" TargetMode="External"/><Relationship Id="rId577" Type="http://schemas.openxmlformats.org/officeDocument/2006/relationships/hyperlink" Target="https://doi.org/10.1021/jacs.6c01162" TargetMode="External"/><Relationship Id="rId578" Type="http://schemas.openxmlformats.org/officeDocument/2006/relationships/hyperlink" Target="http://dx.doi.org/10.1021/jacs.5c19141" TargetMode="External"/><Relationship Id="rId579" Type="http://schemas.openxmlformats.org/officeDocument/2006/relationships/hyperlink" Target="https://doi.org/10.1021/jacs.5c19141" TargetMode="External"/><Relationship Id="rId580" Type="http://schemas.openxmlformats.org/officeDocument/2006/relationships/hyperlink" Target="http://dx.doi.org/10.1021/jacs.5c19355" TargetMode="External"/><Relationship Id="rId581" Type="http://schemas.openxmlformats.org/officeDocument/2006/relationships/hyperlink" Target="https://doi.org/10.1021/jacs.5c19355" TargetMode="External"/><Relationship Id="rId582" Type="http://schemas.openxmlformats.org/officeDocument/2006/relationships/hyperlink" Target="http://dx.doi.org/10.1021/jacs.5c22210" TargetMode="External"/><Relationship Id="rId583" Type="http://schemas.openxmlformats.org/officeDocument/2006/relationships/hyperlink" Target="https://doi.org/10.1021/jacs.5c22210" TargetMode="External"/><Relationship Id="rId584" Type="http://schemas.openxmlformats.org/officeDocument/2006/relationships/hyperlink" Target="http://dx.doi.org/10.1021/jacs.5c22441" TargetMode="External"/><Relationship Id="rId585" Type="http://schemas.openxmlformats.org/officeDocument/2006/relationships/hyperlink" Target="https://doi.org/10.1021/jacs.5c22441" TargetMode="External"/><Relationship Id="rId586" Type="http://schemas.openxmlformats.org/officeDocument/2006/relationships/hyperlink" Target="http://dx.doi.org/10.1021/jacs.5c21100" TargetMode="External"/><Relationship Id="rId587" Type="http://schemas.openxmlformats.org/officeDocument/2006/relationships/hyperlink" Target="https://doi.org/10.1021/jacs.5c21100" TargetMode="External"/><Relationship Id="rId588" Type="http://schemas.openxmlformats.org/officeDocument/2006/relationships/hyperlink" Target="http://dx.doi.org/10.1021/acs.chemrev.5c00581" TargetMode="External"/><Relationship Id="rId589" Type="http://schemas.openxmlformats.org/officeDocument/2006/relationships/hyperlink" Target="https://doi.org/10.1021/acs.chemrev.5c00581" TargetMode="External"/><Relationship Id="rId590" Type="http://schemas.openxmlformats.org/officeDocument/2006/relationships/hyperlink" Target="http://dx.doi.org/10.1021/jacs.5c13087" TargetMode="External"/><Relationship Id="rId591" Type="http://schemas.openxmlformats.org/officeDocument/2006/relationships/hyperlink" Target="https://doi.org/10.1021/jacs.5c13087" TargetMode="External"/><Relationship Id="rId592" Type="http://schemas.openxmlformats.org/officeDocument/2006/relationships/hyperlink" Target="https://www.nature.com/articles/d41586-026-00602-z" TargetMode="External"/><Relationship Id="rId593" Type="http://schemas.openxmlformats.org/officeDocument/2006/relationships/hyperlink" Target="https://www.cell.com/chem/fulltext/S2451-9294(26)00062-8?rss=yes" TargetMode="External"/><Relationship Id="rId594" Type="http://schemas.openxmlformats.org/officeDocument/2006/relationships/hyperlink" Target="https://www.nature.com/articles/s41578-026-00902-w" TargetMode="External"/><Relationship Id="rId595" Type="http://schemas.openxmlformats.org/officeDocument/2006/relationships/hyperlink" Target="https://www.nature.com/articles/d41586-026-00603-y" TargetMode="External"/><Relationship Id="rId596" Type="http://schemas.openxmlformats.org/officeDocument/2006/relationships/hyperlink" Target="https://www.nature.com/articles/d41586-026-00555-3" TargetMode="External"/><Relationship Id="rId597" Type="http://schemas.openxmlformats.org/officeDocument/2006/relationships/hyperlink" Target="https://www.nature.com/articles/d41586-026-00622-9" TargetMode="External"/><Relationship Id="rId598" Type="http://schemas.openxmlformats.org/officeDocument/2006/relationships/hyperlink" Target="https://www.nature.com/articles/d41586-026-00542-8" TargetMode="External"/><Relationship Id="rId599" Type="http://schemas.openxmlformats.org/officeDocument/2006/relationships/hyperlink" Target="https://www.nature.com/articles/s41578-026-00905-7" TargetMode="External"/><Relationship Id="rId600" Type="http://schemas.openxmlformats.org/officeDocument/2006/relationships/hyperlink" Target="https://www.nature.com/articles/d41586-026-00583-z" TargetMode="External"/><Relationship Id="rId601" Type="http://schemas.openxmlformats.org/officeDocument/2006/relationships/hyperlink" Target="https://www.nature.com/articles/s41586-026-10283-3" TargetMode="External"/><Relationship Id="rId602" Type="http://schemas.openxmlformats.org/officeDocument/2006/relationships/hyperlink" Target="https://www.sciencedirect.com/science/article/pii/S0306261926002515?dgcid=rss_sd_all" TargetMode="External"/><Relationship Id="rId603" Type="http://schemas.openxmlformats.org/officeDocument/2006/relationships/hyperlink" Target="https://www.nature.com/articles/d41586-026-00672-z" TargetMode="External"/><Relationship Id="rId604" Type="http://schemas.openxmlformats.org/officeDocument/2006/relationships/hyperlink" Target="http://pubs.rsc.org/en/Content/ArticleLanding/2026/CS/D5CS00647C" TargetMode="External"/><Relationship Id="rId605" Type="http://schemas.openxmlformats.org/officeDocument/2006/relationships/hyperlink" Target="https://www.nature.com/articles/d41586-026-00158-y" TargetMode="External"/><Relationship Id="rId606" Type="http://schemas.openxmlformats.org/officeDocument/2006/relationships/hyperlink" Target="https://www.nature.com/articles/s41563-026-02514-9" TargetMode="External"/><Relationship Id="rId607" Type="http://schemas.openxmlformats.org/officeDocument/2006/relationships/hyperlink" Target="https://www.nature.com/articles/s41467-026-69638-z" TargetMode="External"/><Relationship Id="rId608" Type="http://schemas.openxmlformats.org/officeDocument/2006/relationships/hyperlink" Target="https://www.nature.com/articles/s41467-026-69913-z" TargetMode="External"/><Relationship Id="rId609" Type="http://schemas.openxmlformats.org/officeDocument/2006/relationships/hyperlink" Target="https://www.nature.com/articles/s41928-026-01567-7" TargetMode="External"/><Relationship Id="rId610" Type="http://schemas.openxmlformats.org/officeDocument/2006/relationships/hyperlink" Target="https://www.sciencedirect.com/science/article/pii/S0306261926002023?dgcid=rss_sd_all" TargetMode="External"/><Relationship Id="rId611" Type="http://schemas.openxmlformats.org/officeDocument/2006/relationships/hyperlink" Target="https://www.nature.com/articles/s41467-026-69925-9" TargetMode="External"/><Relationship Id="rId612" Type="http://schemas.openxmlformats.org/officeDocument/2006/relationships/hyperlink" Target="https://www.sciencedirect.com/science/article/pii/S030626192600187X?dgcid=rss_sd_all" TargetMode="External"/><Relationship Id="rId613" Type="http://schemas.openxmlformats.org/officeDocument/2006/relationships/hyperlink" Target="https://www.nature.com/articles/s41467-026-70096-w" TargetMode="External"/><Relationship Id="rId614" Type="http://schemas.openxmlformats.org/officeDocument/2006/relationships/hyperlink" Target="https://www.sciencedirect.com/science/article/pii/S0306261926002631?dgcid=rss_sd_all" TargetMode="External"/><Relationship Id="rId615" Type="http://schemas.openxmlformats.org/officeDocument/2006/relationships/hyperlink" Target="https://www.nature.com/articles/s41560-026-01996-w" TargetMode="External"/><Relationship Id="rId616" Type="http://schemas.openxmlformats.org/officeDocument/2006/relationships/hyperlink" Target="https://www.nature.com/articles/s41467-026-69932-w" TargetMode="External"/><Relationship Id="rId617" Type="http://schemas.openxmlformats.org/officeDocument/2006/relationships/hyperlink" Target="https://www.nature.com/articles/s41928-026-01573-9" TargetMode="External"/><Relationship Id="rId618" Type="http://schemas.openxmlformats.org/officeDocument/2006/relationships/hyperlink" Target="https://www.nature.com/articles/s41467-026-70009-x" TargetMode="External"/><Relationship Id="rId619" Type="http://schemas.openxmlformats.org/officeDocument/2006/relationships/hyperlink" Target="https://www.nature.com/articles/s41565-025-02116-7" TargetMode="External"/><Relationship Id="rId620" Type="http://schemas.openxmlformats.org/officeDocument/2006/relationships/hyperlink" Target="https://www.nature.com/articles/s41578-026-00903-9" TargetMode="External"/><Relationship Id="rId621" Type="http://schemas.openxmlformats.org/officeDocument/2006/relationships/hyperlink" Target="http://pubs.rsc.org/en/Content/ArticleLanding/2026/EE/D5EE07705B" TargetMode="External"/><Relationship Id="rId622" Type="http://schemas.openxmlformats.org/officeDocument/2006/relationships/hyperlink" Target="https://www.sciencedirect.com/science/article/pii/S0306261926002643?dgcid=rss_sd_all" TargetMode="External"/><Relationship Id="rId623" Type="http://schemas.openxmlformats.org/officeDocument/2006/relationships/hyperlink" Target="https://advanced.onlinelibrary.wiley.com/doi/10.1002/adma.202521410?af=R" TargetMode="External"/><Relationship Id="rId624" Type="http://schemas.openxmlformats.org/officeDocument/2006/relationships/hyperlink" Target="https://doi.org/10.1002/adma.202521410" TargetMode="External"/><Relationship Id="rId625" Type="http://schemas.openxmlformats.org/officeDocument/2006/relationships/hyperlink" Target="https://onlinelibrary.wiley.com/doi/10.1002/anie.4039681?af=R" TargetMode="External"/><Relationship Id="rId626" Type="http://schemas.openxmlformats.org/officeDocument/2006/relationships/hyperlink" Target="https://doi.org/10.1002/anie.4039681" TargetMode="External"/><Relationship Id="rId627" Type="http://schemas.openxmlformats.org/officeDocument/2006/relationships/hyperlink" Target="https://onlinelibrary.wiley.com/doi/10.1002/anie.202523307?af=R" TargetMode="External"/><Relationship Id="rId628" Type="http://schemas.openxmlformats.org/officeDocument/2006/relationships/hyperlink" Target="https://doi.org/10.1002/anie.202523307" TargetMode="External"/><Relationship Id="rId629" Type="http://schemas.openxmlformats.org/officeDocument/2006/relationships/hyperlink" Target="https://onlinelibrary.wiley.com/doi/10.1002/anie.202522726?af=R" TargetMode="External"/><Relationship Id="rId630" Type="http://schemas.openxmlformats.org/officeDocument/2006/relationships/hyperlink" Target="https://doi.org/10.1002/anie.202522726" TargetMode="External"/><Relationship Id="rId631" Type="http://schemas.openxmlformats.org/officeDocument/2006/relationships/hyperlink" Target="https://onlinelibrary.wiley.com/doi/10.1002/anie.7328455?af=R" TargetMode="External"/><Relationship Id="rId632" Type="http://schemas.openxmlformats.org/officeDocument/2006/relationships/hyperlink" Target="https://doi.org/10.1002/anie.7328455" TargetMode="External"/><Relationship Id="rId633" Type="http://schemas.openxmlformats.org/officeDocument/2006/relationships/hyperlink" Target="https://www.science.org/doi/abs/10.1126/science.aeg7168?af=R" TargetMode="External"/><Relationship Id="rId634" Type="http://schemas.openxmlformats.org/officeDocument/2006/relationships/hyperlink" Target="https://doi.org/10.1126/science.aeg7168" TargetMode="External"/><Relationship Id="rId635" Type="http://schemas.openxmlformats.org/officeDocument/2006/relationships/hyperlink" Target="https://www.science.org/doi/abs/10.1126/science.aeg6836?af=R" TargetMode="External"/><Relationship Id="rId636" Type="http://schemas.openxmlformats.org/officeDocument/2006/relationships/hyperlink" Target="https://doi.org/10.1126/science.aeg6836" TargetMode="External"/><Relationship Id="rId637" Type="http://schemas.openxmlformats.org/officeDocument/2006/relationships/hyperlink" Target="https://www.science.org/doi/abs/10.1126/science.adv7378?af=R" TargetMode="External"/><Relationship Id="rId638" Type="http://schemas.openxmlformats.org/officeDocument/2006/relationships/hyperlink" Target="https://doi.org/10.1126/science.adv7378" TargetMode="External"/><Relationship Id="rId639" Type="http://schemas.openxmlformats.org/officeDocument/2006/relationships/hyperlink" Target="https://www.science.org/doi/abs/10.1126/science.aeg6834?af=R" TargetMode="External"/><Relationship Id="rId640" Type="http://schemas.openxmlformats.org/officeDocument/2006/relationships/hyperlink" Target="https://doi.org/10.1126/science.aeg6834" TargetMode="External"/><Relationship Id="rId641" Type="http://schemas.openxmlformats.org/officeDocument/2006/relationships/hyperlink" Target="https://www.science.org/doi/abs/10.1126/science.aeg6310?af=R" TargetMode="External"/><Relationship Id="rId642" Type="http://schemas.openxmlformats.org/officeDocument/2006/relationships/hyperlink" Target="https://doi.org/10.1126/science.aeg6310" TargetMode="External"/><Relationship Id="rId643" Type="http://schemas.openxmlformats.org/officeDocument/2006/relationships/hyperlink" Target="https://www.science.org/doi/abs/10.1126/science.aee7957?af=R" TargetMode="External"/><Relationship Id="rId644" Type="http://schemas.openxmlformats.org/officeDocument/2006/relationships/hyperlink" Target="https://doi.org/10.1126/science.aee7957" TargetMode="External"/><Relationship Id="rId645" Type="http://schemas.openxmlformats.org/officeDocument/2006/relationships/hyperlink" Target="https://www.science.org/doi/abs/10.1126/science.aee2317?af=R" TargetMode="External"/><Relationship Id="rId646" Type="http://schemas.openxmlformats.org/officeDocument/2006/relationships/hyperlink" Target="https://doi.org/10.1126/science.aee2317" TargetMode="External"/><Relationship Id="rId647" Type="http://schemas.openxmlformats.org/officeDocument/2006/relationships/hyperlink" Target="https://www.science.org/doi/abs/10.1126/science.aef5647?af=R" TargetMode="External"/><Relationship Id="rId648" Type="http://schemas.openxmlformats.org/officeDocument/2006/relationships/hyperlink" Target="https://doi.org/10.1126/science.aef5647" TargetMode="External"/><Relationship Id="rId649" Type="http://schemas.openxmlformats.org/officeDocument/2006/relationships/hyperlink" Target="https://www.science.org/doi/abs/10.1126/science.aeg7163?af=R" TargetMode="External"/><Relationship Id="rId650" Type="http://schemas.openxmlformats.org/officeDocument/2006/relationships/hyperlink" Target="https://doi.org/10.1126/science.aeg7163" TargetMode="External"/><Relationship Id="rId651" Type="http://schemas.openxmlformats.org/officeDocument/2006/relationships/hyperlink" Target="https://www.science.org/doi/abs/10.1126/science.aeg7166?af=R" TargetMode="External"/><Relationship Id="rId652" Type="http://schemas.openxmlformats.org/officeDocument/2006/relationships/hyperlink" Target="https://doi.org/10.1126/science.aeg7166" TargetMode="External"/><Relationship Id="rId653" Type="http://schemas.openxmlformats.org/officeDocument/2006/relationships/hyperlink" Target="https://www.science.org/doi/abs/10.1126/science.aef5650?af=R" TargetMode="External"/><Relationship Id="rId654" Type="http://schemas.openxmlformats.org/officeDocument/2006/relationships/hyperlink" Target="https://doi.org/10.1126/science.aef5650" TargetMode="External"/><Relationship Id="rId655" Type="http://schemas.openxmlformats.org/officeDocument/2006/relationships/hyperlink" Target="https://www.science.org/doi/abs/10.1126/science.aeg7164?af=R" TargetMode="External"/><Relationship Id="rId656" Type="http://schemas.openxmlformats.org/officeDocument/2006/relationships/hyperlink" Target="https://doi.org/10.1126/science.aeg7164" TargetMode="External"/><Relationship Id="rId657" Type="http://schemas.openxmlformats.org/officeDocument/2006/relationships/hyperlink" Target="https://www.science.org/doi/abs/10.1126/science.aeg6835?af=R" TargetMode="External"/><Relationship Id="rId658" Type="http://schemas.openxmlformats.org/officeDocument/2006/relationships/hyperlink" Target="https://doi.org/10.1126/science.aeg6835" TargetMode="External"/><Relationship Id="rId659" Type="http://schemas.openxmlformats.org/officeDocument/2006/relationships/hyperlink" Target="https://www.science.org/doi/abs/10.1126/science.aef9576?af=R" TargetMode="External"/><Relationship Id="rId660" Type="http://schemas.openxmlformats.org/officeDocument/2006/relationships/hyperlink" Target="https://doi.org/10.1126/science.aef9576" TargetMode="External"/><Relationship Id="rId661" Type="http://schemas.openxmlformats.org/officeDocument/2006/relationships/hyperlink" Target="https://www.science.org/doi/abs/10.1126/science.aef2220?af=R" TargetMode="External"/><Relationship Id="rId662" Type="http://schemas.openxmlformats.org/officeDocument/2006/relationships/hyperlink" Target="https://doi.org/10.1126/science.aef2220" TargetMode="External"/><Relationship Id="rId663" Type="http://schemas.openxmlformats.org/officeDocument/2006/relationships/hyperlink" Target="https://www.science.org/doi/abs/10.1126/science.aec8992?af=R" TargetMode="External"/><Relationship Id="rId664" Type="http://schemas.openxmlformats.org/officeDocument/2006/relationships/hyperlink" Target="https://doi.org/10.1126/science.aec8992" TargetMode="External"/><Relationship Id="rId665" Type="http://schemas.openxmlformats.org/officeDocument/2006/relationships/hyperlink" Target="https://www.science.org/doi/abs/10.1126/science.aeb8384?af=R" TargetMode="External"/><Relationship Id="rId666" Type="http://schemas.openxmlformats.org/officeDocument/2006/relationships/hyperlink" Target="https://doi.org/10.1126/science.aeb8384" TargetMode="External"/><Relationship Id="rId667" Type="http://schemas.openxmlformats.org/officeDocument/2006/relationships/hyperlink" Target="https://www.science.org/doi/abs/10.1126/science.aef2227?af=R" TargetMode="External"/><Relationship Id="rId668" Type="http://schemas.openxmlformats.org/officeDocument/2006/relationships/hyperlink" Target="https://doi.org/10.1126/science.aef2227" TargetMode="External"/><Relationship Id="rId669" Type="http://schemas.openxmlformats.org/officeDocument/2006/relationships/hyperlink" Target="https://www.science.org/doi/abs/10.1126/science.aee2603?af=R" TargetMode="External"/><Relationship Id="rId670" Type="http://schemas.openxmlformats.org/officeDocument/2006/relationships/hyperlink" Target="https://doi.org/10.1126/science.aee2603" TargetMode="External"/><Relationship Id="rId671" Type="http://schemas.openxmlformats.org/officeDocument/2006/relationships/hyperlink" Target="https://www.science.org/doi/abs/10.1126/science.ady1729?af=R" TargetMode="External"/><Relationship Id="rId672" Type="http://schemas.openxmlformats.org/officeDocument/2006/relationships/hyperlink" Target="https://doi.org/10.1126/science.ady1729" TargetMode="External"/><Relationship Id="rId673" Type="http://schemas.openxmlformats.org/officeDocument/2006/relationships/hyperlink" Target="https://www.science.org/doi/abs/10.1126/science.aee7241?af=R" TargetMode="External"/><Relationship Id="rId674" Type="http://schemas.openxmlformats.org/officeDocument/2006/relationships/hyperlink" Target="https://doi.org/10.1126/science.aee7241" TargetMode="External"/><Relationship Id="rId675" Type="http://schemas.openxmlformats.org/officeDocument/2006/relationships/hyperlink" Target="https://www.science.org/doi/abs/10.1126/science.aea6774?af=R" TargetMode="External"/><Relationship Id="rId676" Type="http://schemas.openxmlformats.org/officeDocument/2006/relationships/hyperlink" Target="https://doi.org/10.1126/science.aea6774" TargetMode="External"/><Relationship Id="rId677" Type="http://schemas.openxmlformats.org/officeDocument/2006/relationships/hyperlink" Target="https://www.science.org/doi/abs/10.1126/science.aeg6833?af=R" TargetMode="External"/><Relationship Id="rId678" Type="http://schemas.openxmlformats.org/officeDocument/2006/relationships/hyperlink" Target="https://doi.org/10.1126/science.aeg6833" TargetMode="External"/><Relationship Id="rId679" Type="http://schemas.openxmlformats.org/officeDocument/2006/relationships/hyperlink" Target="https://www.science.org/doi/abs/10.1126/science.aeb4867?af=R" TargetMode="External"/><Relationship Id="rId680" Type="http://schemas.openxmlformats.org/officeDocument/2006/relationships/hyperlink" Target="https://doi.org/10.1126/science.aeb4867" TargetMode="External"/><Relationship Id="rId681" Type="http://schemas.openxmlformats.org/officeDocument/2006/relationships/hyperlink" Target="https://www.science.org/doi/abs/10.1126/science.aef5612?af=R" TargetMode="External"/><Relationship Id="rId682" Type="http://schemas.openxmlformats.org/officeDocument/2006/relationships/hyperlink" Target="https://doi.org/10.1126/science.aef5612" TargetMode="External"/><Relationship Id="rId683" Type="http://schemas.openxmlformats.org/officeDocument/2006/relationships/hyperlink" Target="https://www.science.org/doi/abs/10.1126/science.ads0871?af=R" TargetMode="External"/><Relationship Id="rId684" Type="http://schemas.openxmlformats.org/officeDocument/2006/relationships/hyperlink" Target="https://doi.org/10.1126/science.ads0871" TargetMode="External"/><Relationship Id="rId685" Type="http://schemas.openxmlformats.org/officeDocument/2006/relationships/hyperlink" Target="https://www.science.org/doi/abs/10.1126/science.aef2236?af=R" TargetMode="External"/><Relationship Id="rId686" Type="http://schemas.openxmlformats.org/officeDocument/2006/relationships/hyperlink" Target="https://doi.org/10.1126/science.aef2236" TargetMode="External"/><Relationship Id="rId687" Type="http://schemas.openxmlformats.org/officeDocument/2006/relationships/hyperlink" Target="https://onlinelibrary.wiley.com/doi/10.1002/anie.202518530?af=R" TargetMode="External"/><Relationship Id="rId688" Type="http://schemas.openxmlformats.org/officeDocument/2006/relationships/hyperlink" Target="https://doi.org/10.1002/anie.202518530" TargetMode="External"/><Relationship Id="rId689" Type="http://schemas.openxmlformats.org/officeDocument/2006/relationships/hyperlink" Target="https://onlinelibrary.wiley.com/doi/10.1002/anie.2644336?af=R" TargetMode="External"/><Relationship Id="rId690" Type="http://schemas.openxmlformats.org/officeDocument/2006/relationships/hyperlink" Target="https://doi.org/10.1002/anie.2644336" TargetMode="External"/><Relationship Id="rId691" Type="http://schemas.openxmlformats.org/officeDocument/2006/relationships/hyperlink" Target="https://onlinelibrary.wiley.com/doi/10.1002/anie.4703576?af=R" TargetMode="External"/><Relationship Id="rId692" Type="http://schemas.openxmlformats.org/officeDocument/2006/relationships/hyperlink" Target="https://doi.org/10.1002/anie.4703576" TargetMode="External"/><Relationship Id="rId693" Type="http://schemas.openxmlformats.org/officeDocument/2006/relationships/hyperlink" Target="https://onlinelibrary.wiley.com/doi/10.1002/anie.7982319?af=R" TargetMode="External"/><Relationship Id="rId694" Type="http://schemas.openxmlformats.org/officeDocument/2006/relationships/hyperlink" Target="https://doi.org/10.1002/anie.7982319" TargetMode="External"/><Relationship Id="rId695" Type="http://schemas.openxmlformats.org/officeDocument/2006/relationships/hyperlink" Target="https://www.science.org/doi/abs/10.1126/science.adw6273?af=R" TargetMode="External"/><Relationship Id="rId696" Type="http://schemas.openxmlformats.org/officeDocument/2006/relationships/hyperlink" Target="https://doi.org/10.1126/science.adw6273" TargetMode="External"/><Relationship Id="rId697" Type="http://schemas.openxmlformats.org/officeDocument/2006/relationships/hyperlink" Target="https://www.science.org/doi/abs/10.1126/science.aea1546?af=R" TargetMode="External"/><Relationship Id="rId698" Type="http://schemas.openxmlformats.org/officeDocument/2006/relationships/hyperlink" Target="https://doi.org/10.1126/science.aea1546" TargetMode="External"/><Relationship Id="rId699" Type="http://schemas.openxmlformats.org/officeDocument/2006/relationships/hyperlink" Target="https://www.science.org/doi/abs/10.1126/science.aeg5565?af=R" TargetMode="External"/><Relationship Id="rId700" Type="http://schemas.openxmlformats.org/officeDocument/2006/relationships/hyperlink" Target="https://doi.org/10.1126/science.aeg5565" TargetMode="External"/><Relationship Id="rId701" Type="http://schemas.openxmlformats.org/officeDocument/2006/relationships/hyperlink" Target="https://www.pnas.org/doi/abs/10.1073/pnas.2519498123?mi=eymic2&amp;af=R&amp;access=on&amp;content=articlesChapters&amp;publication=pnas&amp;sortBy=Earliest&amp;target=default" TargetMode="External"/><Relationship Id="rId702" Type="http://schemas.openxmlformats.org/officeDocument/2006/relationships/hyperlink" Target="https://doi.org/10.1073/pnas.2519498123" TargetMode="External"/><Relationship Id="rId703" Type="http://schemas.openxmlformats.org/officeDocument/2006/relationships/hyperlink" Target="https://www.science.org/doi/abs/10.1126/science.adt1522?af=R" TargetMode="External"/><Relationship Id="rId704" Type="http://schemas.openxmlformats.org/officeDocument/2006/relationships/hyperlink" Target="https://doi.org/10.1126/science.adt1522" TargetMode="External"/><Relationship Id="rId705" Type="http://schemas.openxmlformats.org/officeDocument/2006/relationships/hyperlink" Target="https://www.science.org/doi/abs/10.1126/science.adz3121?af=R" TargetMode="External"/><Relationship Id="rId706" Type="http://schemas.openxmlformats.org/officeDocument/2006/relationships/hyperlink" Target="https://doi.org/10.1126/science.adz3121" TargetMode="External"/><Relationship Id="rId707" Type="http://schemas.openxmlformats.org/officeDocument/2006/relationships/hyperlink" Target="https://www.science.org/doi/abs/10.1126/science.aef2849?af=R" TargetMode="External"/><Relationship Id="rId708" Type="http://schemas.openxmlformats.org/officeDocument/2006/relationships/hyperlink" Target="https://doi.org/10.1126/science.aef2849" TargetMode="External"/><Relationship Id="rId709" Type="http://schemas.openxmlformats.org/officeDocument/2006/relationships/hyperlink" Target="https://www.science.org/doi/abs/10.1126/science.ady2822?af=R" TargetMode="External"/><Relationship Id="rId710" Type="http://schemas.openxmlformats.org/officeDocument/2006/relationships/hyperlink" Target="https://doi.org/10.1126/science.ady2822" TargetMode="External"/><Relationship Id="rId711" Type="http://schemas.openxmlformats.org/officeDocument/2006/relationships/hyperlink" Target="https://www.pnas.org/doi/abs/10.1073/pnas.2524765123?mi=eymic2&amp;af=R&amp;access=on&amp;content=articlesChapters&amp;publication=pnas&amp;sortBy=Earliest&amp;target=default" TargetMode="External"/><Relationship Id="rId712" Type="http://schemas.openxmlformats.org/officeDocument/2006/relationships/hyperlink" Target="https://doi.org/10.1073/pnas.2524765123" TargetMode="External"/><Relationship Id="rId713" Type="http://schemas.openxmlformats.org/officeDocument/2006/relationships/hyperlink" Target="https://www.pnas.org/doi/abs/10.1073/pnas.2529249123?mi=eymic2&amp;af=R&amp;access=on&amp;content=articlesChapters&amp;publication=pnas&amp;sortBy=Earliest&amp;target=default" TargetMode="External"/><Relationship Id="rId714" Type="http://schemas.openxmlformats.org/officeDocument/2006/relationships/hyperlink" Target="https://doi.org/10.1073/pnas.2529249123" TargetMode="External"/><Relationship Id="rId715" Type="http://schemas.openxmlformats.org/officeDocument/2006/relationships/hyperlink" Target="https://www.science.org/doi/abs/10.1126/sciadv.adz0269?af=R" TargetMode="External"/><Relationship Id="rId716" Type="http://schemas.openxmlformats.org/officeDocument/2006/relationships/hyperlink" Target="https://doi.org/10.1126/sciadv.adz0269" TargetMode="External"/><Relationship Id="rId717" Type="http://schemas.openxmlformats.org/officeDocument/2006/relationships/hyperlink" Target="https://www.pnas.org/doi/abs/10.1073/pnas.2534387123?mi=eymic2&amp;af=R&amp;access=on&amp;content=articlesChapters&amp;publication=pnas&amp;sortBy=Earliest&amp;target=default" TargetMode="External"/><Relationship Id="rId718" Type="http://schemas.openxmlformats.org/officeDocument/2006/relationships/hyperlink" Target="https://doi.org/10.1073/pnas.2534387123" TargetMode="External"/><Relationship Id="rId719" Type="http://schemas.openxmlformats.org/officeDocument/2006/relationships/hyperlink" Target="https://www.pnas.org/doi/abs/10.1073/pnas.2533726123?mi=eymic2&amp;af=R&amp;access=on&amp;content=articlesChapters&amp;publication=pnas&amp;sortBy=Earliest&amp;target=default" TargetMode="External"/><Relationship Id="rId720" Type="http://schemas.openxmlformats.org/officeDocument/2006/relationships/hyperlink" Target="https://doi.org/10.1073/pnas.2533726123" TargetMode="External"/><Relationship Id="rId721" Type="http://schemas.openxmlformats.org/officeDocument/2006/relationships/hyperlink" Target="https://www.pnas.org/doi/abs/10.1073/pnas.2534547123?mi=eymic2&amp;af=R&amp;access=on&amp;content=articlesChapters&amp;publication=pnas&amp;sortBy=Earliest&amp;target=default" TargetMode="External"/><Relationship Id="rId722" Type="http://schemas.openxmlformats.org/officeDocument/2006/relationships/hyperlink" Target="https://doi.org/10.1073/pnas.2534547123" TargetMode="External"/><Relationship Id="rId723" Type="http://schemas.openxmlformats.org/officeDocument/2006/relationships/hyperlink" Target="https://www.science.org/doi/abs/10.1126/science.aea0296?af=R" TargetMode="External"/><Relationship Id="rId724" Type="http://schemas.openxmlformats.org/officeDocument/2006/relationships/hyperlink" Target="https://doi.org/10.1126/science.aea0296" TargetMode="External"/><Relationship Id="rId725" Type="http://schemas.openxmlformats.org/officeDocument/2006/relationships/hyperlink" Target="https://www.science.org/doi/abs/10.1126/science.ads4405?af=R" TargetMode="External"/><Relationship Id="rId726" Type="http://schemas.openxmlformats.org/officeDocument/2006/relationships/hyperlink" Target="https://doi.org/10.1126/science.ads4405" TargetMode="External"/><Relationship Id="rId727" Type="http://schemas.openxmlformats.org/officeDocument/2006/relationships/hyperlink" Target="https://www.pnas.org/doi/abs/10.1073/pnas.2533591123?mi=eymic2&amp;af=R&amp;access=on&amp;content=articlesChapters&amp;publication=pnas&amp;sortBy=Earliest&amp;target=default" TargetMode="External"/><Relationship Id="rId728" Type="http://schemas.openxmlformats.org/officeDocument/2006/relationships/hyperlink" Target="https://doi.org/10.1073/pnas.2533591123" TargetMode="External"/><Relationship Id="rId729" Type="http://schemas.openxmlformats.org/officeDocument/2006/relationships/hyperlink" Target="https://advanced.onlinelibrary.wiley.com/doi/10.1002/adma.202520344?af=R" TargetMode="External"/><Relationship Id="rId730" Type="http://schemas.openxmlformats.org/officeDocument/2006/relationships/hyperlink" Target="https://doi.org/10.1002/adma.202520344" TargetMode="External"/><Relationship Id="rId731" Type="http://schemas.openxmlformats.org/officeDocument/2006/relationships/hyperlink" Target="http://dx.doi.org/10.1021/jacs.5c16910" TargetMode="External"/><Relationship Id="rId732" Type="http://schemas.openxmlformats.org/officeDocument/2006/relationships/hyperlink" Target="https://doi.org/10.1021/jacs.5c16910" TargetMode="External"/><Relationship Id="rId733" Type="http://schemas.openxmlformats.org/officeDocument/2006/relationships/hyperlink" Target="http://dx.doi.org/10.1021/jacs.5c20639" TargetMode="External"/><Relationship Id="rId734" Type="http://schemas.openxmlformats.org/officeDocument/2006/relationships/hyperlink" Target="https://doi.org/10.1021/jacs.5c20639" TargetMode="External"/><Relationship Id="rId735" Type="http://schemas.openxmlformats.org/officeDocument/2006/relationships/hyperlink" Target="https://onlinelibrary.wiley.com/doi/10.1002/anie.4904466?af=R" TargetMode="External"/><Relationship Id="rId736" Type="http://schemas.openxmlformats.org/officeDocument/2006/relationships/hyperlink" Target="https://doi.org/10.1002/anie.4904466" TargetMode="External"/><Relationship Id="rId737" Type="http://schemas.openxmlformats.org/officeDocument/2006/relationships/hyperlink" Target="https://onlinelibrary.wiley.com/doi/10.1002/anie.3631400?af=R" TargetMode="External"/><Relationship Id="rId738" Type="http://schemas.openxmlformats.org/officeDocument/2006/relationships/hyperlink" Target="https://doi.org/10.1002/anie.3631400" TargetMode="External"/><Relationship Id="rId739" Type="http://schemas.openxmlformats.org/officeDocument/2006/relationships/hyperlink" Target="https://advanced.onlinelibrary.wiley.com/doi/10.1002/adma.202519807?af=R" TargetMode="External"/><Relationship Id="rId740" Type="http://schemas.openxmlformats.org/officeDocument/2006/relationships/hyperlink" Target="https://doi.org/10.1002/adma.202519807" TargetMode="External"/><Relationship Id="rId741" Type="http://schemas.openxmlformats.org/officeDocument/2006/relationships/hyperlink" Target="https://onlinelibrary.wiley.com/doi/10.1002/anie.202524614?af=R" TargetMode="External"/><Relationship Id="rId742" Type="http://schemas.openxmlformats.org/officeDocument/2006/relationships/hyperlink" Target="https://doi.org/10.1002/anie.202524614" TargetMode="External"/><Relationship Id="rId743" Type="http://schemas.openxmlformats.org/officeDocument/2006/relationships/hyperlink" Target="https://advanced.onlinelibrary.wiley.com/doi/10.1002/adma.202523620?af=R" TargetMode="External"/><Relationship Id="rId744" Type="http://schemas.openxmlformats.org/officeDocument/2006/relationships/hyperlink" Target="https://doi.org/10.1002/adma.202523620" TargetMode="External"/><Relationship Id="rId745" Type="http://schemas.openxmlformats.org/officeDocument/2006/relationships/hyperlink" Target="https://advanced.onlinelibrary.wiley.com/doi/10.1002/adma.72643?af=R" TargetMode="External"/><Relationship Id="rId746" Type="http://schemas.openxmlformats.org/officeDocument/2006/relationships/hyperlink" Target="https://doi.org/10.1002/adma.72643" TargetMode="External"/><Relationship Id="rId747" Type="http://schemas.openxmlformats.org/officeDocument/2006/relationships/hyperlink" Target="https://onlinelibrary.wiley.com/doi/10.1002/anie.202521577?af=R" TargetMode="External"/><Relationship Id="rId748" Type="http://schemas.openxmlformats.org/officeDocument/2006/relationships/hyperlink" Target="https://doi.org/10.1002/anie.202521577" TargetMode="External"/><Relationship Id="rId749" Type="http://schemas.openxmlformats.org/officeDocument/2006/relationships/hyperlink" Target="https://advanced.onlinelibrary.wiley.com/doi/10.1002/adma.202520928?af=R" TargetMode="External"/><Relationship Id="rId750" Type="http://schemas.openxmlformats.org/officeDocument/2006/relationships/hyperlink" Target="https://doi.org/10.1002/adma.202520928" TargetMode="External"/><Relationship Id="rId751" Type="http://schemas.openxmlformats.org/officeDocument/2006/relationships/hyperlink" Target="https://advanced.onlinelibrary.wiley.com/doi/10.1002/adma.202518212?af=R" TargetMode="External"/><Relationship Id="rId752" Type="http://schemas.openxmlformats.org/officeDocument/2006/relationships/hyperlink" Target="https://doi.org/10.1002/adma.202518212" TargetMode="External"/><Relationship Id="rId753" Type="http://schemas.openxmlformats.org/officeDocument/2006/relationships/hyperlink" Target="http://dx.doi.org/10.1021/jacs.6c01169" TargetMode="External"/><Relationship Id="rId754" Type="http://schemas.openxmlformats.org/officeDocument/2006/relationships/hyperlink" Target="https://doi.org/10.1021/jacs.6c01169" TargetMode="External"/><Relationship Id="rId755" Type="http://schemas.openxmlformats.org/officeDocument/2006/relationships/hyperlink" Target="http://dx.doi.org/10.1021/jacs.5c22605" TargetMode="External"/><Relationship Id="rId756" Type="http://schemas.openxmlformats.org/officeDocument/2006/relationships/hyperlink" Target="https://doi.org/10.1021/jacs.5c22605" TargetMode="External"/><Relationship Id="rId757" Type="http://schemas.openxmlformats.org/officeDocument/2006/relationships/hyperlink" Target="http://dx.doi.org/10.1021/jacs.5c18688" TargetMode="External"/><Relationship Id="rId758" Type="http://schemas.openxmlformats.org/officeDocument/2006/relationships/hyperlink" Target="https://doi.org/10.1021/jacs.5c18688" TargetMode="External"/><Relationship Id="rId759" Type="http://schemas.openxmlformats.org/officeDocument/2006/relationships/hyperlink" Target="http://dx.doi.org/10.1021/jacs.5c20548" TargetMode="External"/><Relationship Id="rId760" Type="http://schemas.openxmlformats.org/officeDocument/2006/relationships/hyperlink" Target="https://doi.org/10.1021/jacs.5c20548" TargetMode="External"/><Relationship Id="rId761" Type="http://schemas.openxmlformats.org/officeDocument/2006/relationships/hyperlink" Target="http://dx.doi.org/10.1021/acsenergylett.5c04073" TargetMode="External"/><Relationship Id="rId762" Type="http://schemas.openxmlformats.org/officeDocument/2006/relationships/hyperlink" Target="https://doi.org/10.1021/acsenergylett.5c04073" TargetMode="External"/><Relationship Id="rId763" Type="http://schemas.openxmlformats.org/officeDocument/2006/relationships/hyperlink" Target="http://dx.doi.org/10.1021/jacs.5c20735" TargetMode="External"/><Relationship Id="rId764" Type="http://schemas.openxmlformats.org/officeDocument/2006/relationships/hyperlink" Target="https://doi.org/10.1021/jacs.5c20735" TargetMode="External"/><Relationship Id="rId765" Type="http://schemas.openxmlformats.org/officeDocument/2006/relationships/hyperlink" Target="http://dx.doi.org/10.1021/jacs.5c21449" TargetMode="External"/><Relationship Id="rId766" Type="http://schemas.openxmlformats.org/officeDocument/2006/relationships/hyperlink" Target="https://doi.org/10.1021/jacs.5c21449" TargetMode="External"/><Relationship Id="rId767" Type="http://schemas.openxmlformats.org/officeDocument/2006/relationships/hyperlink" Target="http://dx.doi.org/10.1021/jacs.5c21927" TargetMode="External"/><Relationship Id="rId768" Type="http://schemas.openxmlformats.org/officeDocument/2006/relationships/hyperlink" Target="https://doi.org/10.1021/jacs.5c21927" TargetMode="External"/><Relationship Id="rId769" Type="http://schemas.openxmlformats.org/officeDocument/2006/relationships/hyperlink" Target="http://dx.doi.org/10.1021/jacs.5c21032" TargetMode="External"/><Relationship Id="rId770" Type="http://schemas.openxmlformats.org/officeDocument/2006/relationships/hyperlink" Target="https://doi.org/10.1021/jacs.5c21032" TargetMode="External"/><Relationship Id="rId771" Type="http://schemas.openxmlformats.org/officeDocument/2006/relationships/hyperlink" Target="http://dx.doi.org/10.1021/jacs.5c22300" TargetMode="External"/><Relationship Id="rId772" Type="http://schemas.openxmlformats.org/officeDocument/2006/relationships/hyperlink" Target="https://doi.org/10.1021/jacs.5c22300" TargetMode="External"/><Relationship Id="rId773" Type="http://schemas.openxmlformats.org/officeDocument/2006/relationships/hyperlink" Target="http://dx.doi.org/10.1021/jacs.5c19399" TargetMode="External"/><Relationship Id="rId774" Type="http://schemas.openxmlformats.org/officeDocument/2006/relationships/hyperlink" Target="https://doi.org/10.1021/jacs.5c19399" TargetMode="External"/><Relationship Id="rId775" Type="http://schemas.openxmlformats.org/officeDocument/2006/relationships/hyperlink" Target="http://dx.doi.org/10.1021/jacs.5c22536" TargetMode="External"/><Relationship Id="rId776" Type="http://schemas.openxmlformats.org/officeDocument/2006/relationships/hyperlink" Target="https://doi.org/10.1021/jacs.5c22536" TargetMode="External"/><Relationship Id="rId777" Type="http://schemas.openxmlformats.org/officeDocument/2006/relationships/hyperlink" Target="https://www.nature.com/articles/s41467-026-70100-3" TargetMode="External"/><Relationship Id="rId778" Type="http://schemas.openxmlformats.org/officeDocument/2006/relationships/hyperlink" Target="https://www.nature.com/articles/s41467-026-70041-x" TargetMode="External"/><Relationship Id="rId779" Type="http://schemas.openxmlformats.org/officeDocument/2006/relationships/hyperlink" Target="https://www.nature.com/articles/s41467-026-70013-1" TargetMode="External"/><Relationship Id="rId780" Type="http://schemas.openxmlformats.org/officeDocument/2006/relationships/hyperlink" Target="https://www.nature.com/articles/s41560-026-01973-3" TargetMode="External"/><Relationship Id="rId781" Type="http://schemas.openxmlformats.org/officeDocument/2006/relationships/hyperlink" Target="https://doi.org/10.1038/s41560-026-01973-3" TargetMode="External"/><Relationship Id="rId782" Type="http://schemas.openxmlformats.org/officeDocument/2006/relationships/hyperlink" Target="https://academic.oup.com/nsr/advance-article/doi/10.1093/nsr/nwag118/8501036?rss=1" TargetMode="External"/><Relationship Id="rId783" Type="http://schemas.openxmlformats.org/officeDocument/2006/relationships/hyperlink" Target="https://doi.org/10.1093/nsr/nwag118/8501036" TargetMode="External"/><Relationship Id="rId784" Type="http://schemas.openxmlformats.org/officeDocument/2006/relationships/hyperlink" Target="https://academic.oup.com/nsr/advance-article/doi/10.1093/nsr/nwag119/8501035?rss=1" TargetMode="External"/><Relationship Id="rId785" Type="http://schemas.openxmlformats.org/officeDocument/2006/relationships/hyperlink" Target="https://doi.org/10.1093/nsr/nwag119/8501035" TargetMode="External"/><Relationship Id="rId786" Type="http://schemas.openxmlformats.org/officeDocument/2006/relationships/hyperlink" Target="https://academic.oup.com/nsr/advance-article/doi/10.1093/nsr/nwag120/8501029?rss=1" TargetMode="External"/><Relationship Id="rId787" Type="http://schemas.openxmlformats.org/officeDocument/2006/relationships/hyperlink" Target="https://doi.org/10.1093/nsr/nwag120/8501029" TargetMode="External"/><Relationship Id="rId788" Type="http://schemas.openxmlformats.org/officeDocument/2006/relationships/hyperlink" Target="https://www.nature.com/articles/s41557-026-02083-z" TargetMode="External"/><Relationship Id="rId789" Type="http://schemas.openxmlformats.org/officeDocument/2006/relationships/hyperlink" Target="https://doi.org/10.1038/s41557-026-02083-z" TargetMode="External"/><Relationship Id="rId790" Type="http://schemas.openxmlformats.org/officeDocument/2006/relationships/hyperlink" Target="https://www.nature.com/articles/d41586-026-00441-y" TargetMode="External"/><Relationship Id="rId791" Type="http://schemas.openxmlformats.org/officeDocument/2006/relationships/hyperlink" Target="https://doi.org/10.1038/d41586-026-00441-y" TargetMode="External"/><Relationship Id="rId792" Type="http://schemas.openxmlformats.org/officeDocument/2006/relationships/hyperlink" Target="https://www.nature.com/articles/d41586-026-00538-4" TargetMode="External"/><Relationship Id="rId793" Type="http://schemas.openxmlformats.org/officeDocument/2006/relationships/hyperlink" Target="https://doi.org/10.1038/d41586-026-00538-4" TargetMode="External"/><Relationship Id="rId794" Type="http://schemas.openxmlformats.org/officeDocument/2006/relationships/hyperlink" Target="https://www.sciencedirect.com/science/article/pii/S0306261926002047?dgcid=rss_sd_all" TargetMode="External"/><Relationship Id="rId795" Type="http://schemas.openxmlformats.org/officeDocument/2006/relationships/hyperlink" Target="https://www.sciencedirect.com/science/article/pii/S0306261926002576?dgcid=rss_sd_all" TargetMode="External"/><Relationship Id="rId796" Type="http://schemas.openxmlformats.org/officeDocument/2006/relationships/hyperlink" Target="http://pubs.rsc.org/en/Content/ArticleLanding/2026/EE/D5EE07296D" TargetMode="External"/><Relationship Id="rId797" Type="http://schemas.openxmlformats.org/officeDocument/2006/relationships/hyperlink" Target="https://www.nature.com/articles/s41893-026-01783-1" TargetMode="External"/><Relationship Id="rId798" Type="http://schemas.openxmlformats.org/officeDocument/2006/relationships/hyperlink" Target="https://doi.org/10.1038/s41893-026-01783-1" TargetMode="External"/><Relationship Id="rId799" Type="http://schemas.openxmlformats.org/officeDocument/2006/relationships/hyperlink" Target="https://www.nature.com/articles/d41586-026-00505-z" TargetMode="External"/><Relationship Id="rId800" Type="http://schemas.openxmlformats.org/officeDocument/2006/relationships/hyperlink" Target="https://doi.org/10.1038/d41586-026-00505-z" TargetMode="External"/><Relationship Id="rId801" Type="http://schemas.openxmlformats.org/officeDocument/2006/relationships/hyperlink" Target="https://www.nature.com/articles/s41563-026-02528-3" TargetMode="External"/><Relationship Id="rId802" Type="http://schemas.openxmlformats.org/officeDocument/2006/relationships/hyperlink" Target="https://doi.org/10.1038/s41563-026-02528-3" TargetMode="External"/><Relationship Id="rId803" Type="http://schemas.openxmlformats.org/officeDocument/2006/relationships/hyperlink" Target="http://pubs.rsc.org/en/Content/ArticleLanding/2026/CS/D5CS00747J" TargetMode="External"/><Relationship Id="rId804" Type="http://schemas.openxmlformats.org/officeDocument/2006/relationships/hyperlink" Target="https://www.nature.com/articles/d41586-026-00674-x" TargetMode="External"/><Relationship Id="rId805" Type="http://schemas.openxmlformats.org/officeDocument/2006/relationships/hyperlink" Target="https://doi.org/10.1038/d41586-026-00674-x" TargetMode="External"/><Relationship Id="rId806" Type="http://schemas.openxmlformats.org/officeDocument/2006/relationships/hyperlink" Target="https://www.nature.com/articles/d41586-026-00621-w" TargetMode="External"/><Relationship Id="rId807" Type="http://schemas.openxmlformats.org/officeDocument/2006/relationships/hyperlink" Target="https://doi.org/10.1038/d41586-026-00621-w" TargetMode="External"/><Relationship Id="rId808" Type="http://schemas.openxmlformats.org/officeDocument/2006/relationships/hyperlink" Target="https://www.nature.com/articles/s41928-026-01580-w" TargetMode="External"/><Relationship Id="rId809" Type="http://schemas.openxmlformats.org/officeDocument/2006/relationships/hyperlink" Target="https://doi.org/10.1038/s41928-026-01580-w" TargetMode="External"/><Relationship Id="rId810" Type="http://schemas.openxmlformats.org/officeDocument/2006/relationships/hyperlink" Target="https://www.nature.com/articles/s41563-026-02483-z" TargetMode="External"/><Relationship Id="rId811" Type="http://schemas.openxmlformats.org/officeDocument/2006/relationships/hyperlink" Target="https://doi.org/10.1038/s41563-026-02483-z" TargetMode="External"/><Relationship Id="rId812" Type="http://schemas.openxmlformats.org/officeDocument/2006/relationships/hyperlink" Target="https://www.sciencedirect.com/science/article/pii/S0306261926002552?dgcid=rss_sd_all" TargetMode="External"/><Relationship Id="rId813" Type="http://schemas.openxmlformats.org/officeDocument/2006/relationships/hyperlink" Target="https://www.sciencedirect.com/science/article/pii/S0306261926002473?dgcid=rss_sd_all" TargetMode="External"/><Relationship Id="rId814" Type="http://schemas.openxmlformats.org/officeDocument/2006/relationships/hyperlink" Target="http://pubs.rsc.org/en/Content/ArticleLanding/2026/CS/D5CS01268F" TargetMode="External"/><Relationship Id="rId815" Type="http://schemas.openxmlformats.org/officeDocument/2006/relationships/hyperlink" Target="https://www.nature.com/articles/s41928-026-01574-8" TargetMode="External"/><Relationship Id="rId816" Type="http://schemas.openxmlformats.org/officeDocument/2006/relationships/hyperlink" Target="https://doi.org/10.1038/s41928-026-01574-8" TargetMode="External"/><Relationship Id="rId817" Type="http://schemas.openxmlformats.org/officeDocument/2006/relationships/hyperlink" Target="https://www.nature.com/articles/s41467-026-69796-0" TargetMode="External"/><Relationship Id="rId818" Type="http://schemas.openxmlformats.org/officeDocument/2006/relationships/hyperlink" Target="https://www.cell.com/chem/fulltext/S2451-9294(26)00061-6?rss=yes" TargetMode="External"/><Relationship Id="rId819" Type="http://schemas.openxmlformats.org/officeDocument/2006/relationships/hyperlink" Target="https://doi.org/10.1016/j.chempr.2026.102995" TargetMode="External"/><Relationship Id="rId820" Type="http://schemas.openxmlformats.org/officeDocument/2006/relationships/hyperlink" Target="https://www.nature.com/articles/s41928-026-01587-3" TargetMode="External"/><Relationship Id="rId821" Type="http://schemas.openxmlformats.org/officeDocument/2006/relationships/hyperlink" Target="https://doi.org/10.1038/s41928-026-01587-3" TargetMode="External"/><Relationship Id="rId822" Type="http://schemas.openxmlformats.org/officeDocument/2006/relationships/hyperlink" Target="https://www.nature.com/articles/s41928-026-01575-7" TargetMode="External"/><Relationship Id="rId823" Type="http://schemas.openxmlformats.org/officeDocument/2006/relationships/hyperlink" Target="https://doi.org/10.1038/s41928-026-01575-7" TargetMode="External"/><Relationship Id="rId824" Type="http://schemas.openxmlformats.org/officeDocument/2006/relationships/hyperlink" Target="https://www.nature.com/articles/s41928-026-01581-9" TargetMode="External"/><Relationship Id="rId825" Type="http://schemas.openxmlformats.org/officeDocument/2006/relationships/hyperlink" Target="https://doi.org/10.1038/s41928-026-01581-9" TargetMode="External"/><Relationship Id="rId826" Type="http://schemas.openxmlformats.org/officeDocument/2006/relationships/hyperlink" Target="https://www.nature.com/articles/d41586-026-00601-0" TargetMode="External"/><Relationship Id="rId827" Type="http://schemas.openxmlformats.org/officeDocument/2006/relationships/hyperlink" Target="https://doi.org/10.1038/d41586-026-00601-0" TargetMode="External"/><Relationship Id="rId828" Type="http://schemas.openxmlformats.org/officeDocument/2006/relationships/hyperlink" Target="https://advanced.onlinelibrary.wiley.com/doi/10.1002/adma.202517182?af=R" TargetMode="External"/><Relationship Id="rId829" Type="http://schemas.openxmlformats.org/officeDocument/2006/relationships/hyperlink" Target="https://doi.org/10.1002/adma.202517182" TargetMode="External"/><Relationship Id="rId830" Type="http://schemas.openxmlformats.org/officeDocument/2006/relationships/hyperlink" Target="https://www.science.org/doi/abs/10.1126/sciadv.aeb0828?af=R" TargetMode="External"/><Relationship Id="rId831" Type="http://schemas.openxmlformats.org/officeDocument/2006/relationships/hyperlink" Target="https://doi.org/10.1126/sciadv.aeb0828" TargetMode="External"/><Relationship Id="rId832" Type="http://schemas.openxmlformats.org/officeDocument/2006/relationships/hyperlink" Target="https://www.science.org/doi/abs/10.1126/sciadv.aea7188?af=R" TargetMode="External"/><Relationship Id="rId833" Type="http://schemas.openxmlformats.org/officeDocument/2006/relationships/hyperlink" Target="https://doi.org/10.1126/sciadv.aea7188" TargetMode="External"/><Relationship Id="rId834" Type="http://schemas.openxmlformats.org/officeDocument/2006/relationships/hyperlink" Target="https://www.science.org/doi/abs/10.1126/sciadv.adz7400?af=R" TargetMode="External"/><Relationship Id="rId835" Type="http://schemas.openxmlformats.org/officeDocument/2006/relationships/hyperlink" Target="https://doi.org/10.1126/sciadv.adz7400" TargetMode="External"/><Relationship Id="rId836" Type="http://schemas.openxmlformats.org/officeDocument/2006/relationships/hyperlink" Target="https://www.science.org/doi/abs/10.1126/sciadv.adz7908?af=R" TargetMode="External"/><Relationship Id="rId837" Type="http://schemas.openxmlformats.org/officeDocument/2006/relationships/hyperlink" Target="https://doi.org/10.1126/sciadv.adz7908" TargetMode="External"/><Relationship Id="rId838" Type="http://schemas.openxmlformats.org/officeDocument/2006/relationships/hyperlink" Target="https://www.science.org/doi/abs/10.1126/sciadv.adw3701?af=R" TargetMode="External"/><Relationship Id="rId839" Type="http://schemas.openxmlformats.org/officeDocument/2006/relationships/hyperlink" Target="https://doi.org/10.1126/sciadv.adw3701" TargetMode="External"/><Relationship Id="rId840" Type="http://schemas.openxmlformats.org/officeDocument/2006/relationships/hyperlink" Target="https://www.pnas.org/doi/abs/10.1073/pnas.2525288123?mi=eymic2&amp;af=R&amp;access=on&amp;content=articlesChapters&amp;publication=pnas&amp;sortBy=Earliest&amp;target=default" TargetMode="External"/><Relationship Id="rId841" Type="http://schemas.openxmlformats.org/officeDocument/2006/relationships/hyperlink" Target="https://doi.org/10.1073/pnas.2525288123" TargetMode="External"/><Relationship Id="rId842" Type="http://schemas.openxmlformats.org/officeDocument/2006/relationships/hyperlink" Target="https://www.science.org/doi/abs/10.1126/sciadv.aea9278?af=R" TargetMode="External"/><Relationship Id="rId843" Type="http://schemas.openxmlformats.org/officeDocument/2006/relationships/hyperlink" Target="https://doi.org/10.1126/sciadv.aea9278" TargetMode="External"/><Relationship Id="rId844" Type="http://schemas.openxmlformats.org/officeDocument/2006/relationships/hyperlink" Target="https://www.pnas.org/doi/abs/10.1073/pnas.2513547123?mi=eymic2&amp;af=R&amp;access=on&amp;content=articlesChapters&amp;publication=pnas&amp;sortBy=Earliest&amp;target=default" TargetMode="External"/><Relationship Id="rId845" Type="http://schemas.openxmlformats.org/officeDocument/2006/relationships/hyperlink" Target="https://doi.org/10.1073/pnas.2513547123" TargetMode="External"/><Relationship Id="rId846" Type="http://schemas.openxmlformats.org/officeDocument/2006/relationships/hyperlink" Target="https://www.pnas.org/doi/abs/10.1073/pnas.2536882123?mi=eymic2&amp;af=R&amp;access=on&amp;content=articlesChapters&amp;publication=pnas&amp;sortBy=Earliest&amp;target=default" TargetMode="External"/><Relationship Id="rId847" Type="http://schemas.openxmlformats.org/officeDocument/2006/relationships/hyperlink" Target="https://doi.org/10.1073/pnas.2536882123" TargetMode="External"/><Relationship Id="rId848" Type="http://schemas.openxmlformats.org/officeDocument/2006/relationships/hyperlink" Target="https://www.pnas.org/doi/abs/10.1073/pnas.2527016123?mi=eymic2&amp;af=R&amp;access=on&amp;content=articlesChapters&amp;publication=pnas&amp;sortBy=Earliest&amp;target=default" TargetMode="External"/><Relationship Id="rId849" Type="http://schemas.openxmlformats.org/officeDocument/2006/relationships/hyperlink" Target="https://doi.org/10.1073/pnas.2527016123" TargetMode="External"/><Relationship Id="rId850" Type="http://schemas.openxmlformats.org/officeDocument/2006/relationships/hyperlink" Target="https://www.pnas.org/doi/abs/10.1073/pnas.2521769123?mi=eymic2&amp;af=R&amp;access=on&amp;content=articlesChapters&amp;publication=pnas&amp;sortBy=Earliest&amp;target=default" TargetMode="External"/><Relationship Id="rId851" Type="http://schemas.openxmlformats.org/officeDocument/2006/relationships/hyperlink" Target="https://doi.org/10.1073/pnas.2521769123" TargetMode="External"/><Relationship Id="rId852" Type="http://schemas.openxmlformats.org/officeDocument/2006/relationships/hyperlink" Target="https://www.pnas.org/doi/abs/10.1073/pnas.2519332123?mi=eymic2&amp;af=R&amp;access=on&amp;content=articlesChapters&amp;publication=pnas&amp;sortBy=Earliest&amp;target=default" TargetMode="External"/><Relationship Id="rId853" Type="http://schemas.openxmlformats.org/officeDocument/2006/relationships/hyperlink" Target="https://doi.org/10.1073/pnas.2519332123" TargetMode="External"/><Relationship Id="rId854" Type="http://schemas.openxmlformats.org/officeDocument/2006/relationships/hyperlink" Target="https://www.pnas.org/doi/abs/10.1073/pnas.2518893123?mi=eymic2&amp;af=R&amp;access=on&amp;content=articlesChapters&amp;publication=pnas&amp;sortBy=Earliest&amp;target=default" TargetMode="External"/><Relationship Id="rId855" Type="http://schemas.openxmlformats.org/officeDocument/2006/relationships/hyperlink" Target="https://doi.org/10.1073/pnas.2518893123" TargetMode="External"/><Relationship Id="rId856" Type="http://schemas.openxmlformats.org/officeDocument/2006/relationships/hyperlink" Target="https://www.science.org/doi/abs/10.1126/sciadv.aeb4898?af=R" TargetMode="External"/><Relationship Id="rId857" Type="http://schemas.openxmlformats.org/officeDocument/2006/relationships/hyperlink" Target="https://doi.org/10.1126/sciadv.aeb4898" TargetMode="External"/><Relationship Id="rId858" Type="http://schemas.openxmlformats.org/officeDocument/2006/relationships/hyperlink" Target="https://www.pnas.org/doi/abs/10.1073/pnas.2422539123?mi=eymic2&amp;af=R&amp;access=on&amp;content=articlesChapters&amp;publication=pnas&amp;sortBy=Earliest&amp;target=default" TargetMode="External"/><Relationship Id="rId859" Type="http://schemas.openxmlformats.org/officeDocument/2006/relationships/hyperlink" Target="https://doi.org/10.1073/pnas.2422539123" TargetMode="External"/><Relationship Id="rId860" Type="http://schemas.openxmlformats.org/officeDocument/2006/relationships/hyperlink" Target="https://www.pnas.org/doi/abs/10.1073/pnas.2532235123?mi=eymic2&amp;af=R&amp;access=on&amp;content=articlesChapters&amp;publication=pnas&amp;sortBy=Earliest&amp;target=default" TargetMode="External"/><Relationship Id="rId861" Type="http://schemas.openxmlformats.org/officeDocument/2006/relationships/hyperlink" Target="https://doi.org/10.1073/pnas.2532235123" TargetMode="External"/><Relationship Id="rId862" Type="http://schemas.openxmlformats.org/officeDocument/2006/relationships/hyperlink" Target="https://www.science.org/doi/abs/10.1126/sciadv.aec2190?af=R" TargetMode="External"/><Relationship Id="rId863" Type="http://schemas.openxmlformats.org/officeDocument/2006/relationships/hyperlink" Target="https://doi.org/10.1126/sciadv.aec2190" TargetMode="External"/><Relationship Id="rId864" Type="http://schemas.openxmlformats.org/officeDocument/2006/relationships/hyperlink" Target="https://www.science.org/doi/abs/10.1126/sciadv.aeb4391?af=R" TargetMode="External"/><Relationship Id="rId865" Type="http://schemas.openxmlformats.org/officeDocument/2006/relationships/hyperlink" Target="https://doi.org/10.1126/sciadv.aeb4391" TargetMode="External"/><Relationship Id="rId866" Type="http://schemas.openxmlformats.org/officeDocument/2006/relationships/hyperlink" Target="https://www.science.org/doi/abs/10.1126/sciadv.aea0375?af=R" TargetMode="External"/><Relationship Id="rId867" Type="http://schemas.openxmlformats.org/officeDocument/2006/relationships/hyperlink" Target="https://doi.org/10.1126/sciadv.aea0375" TargetMode="External"/><Relationship Id="rId868" Type="http://schemas.openxmlformats.org/officeDocument/2006/relationships/hyperlink" Target="https://www.science.org/doi/abs/10.1126/sciadv.aea3591?af=R" TargetMode="External"/><Relationship Id="rId869" Type="http://schemas.openxmlformats.org/officeDocument/2006/relationships/hyperlink" Target="https://doi.org/10.1126/sciadv.aea3591" TargetMode="External"/><Relationship Id="rId870" Type="http://schemas.openxmlformats.org/officeDocument/2006/relationships/hyperlink" Target="https://www.science.org/doi/abs/10.1126/sciadv.aeg3111?af=R" TargetMode="External"/><Relationship Id="rId871" Type="http://schemas.openxmlformats.org/officeDocument/2006/relationships/hyperlink" Target="https://doi.org/10.1126/sciadv.aeg3111" TargetMode="External"/><Relationship Id="rId872" Type="http://schemas.openxmlformats.org/officeDocument/2006/relationships/hyperlink" Target="https://www.science.org/doi/abs/10.1126/sciadv.aea6453?af=R" TargetMode="External"/><Relationship Id="rId873" Type="http://schemas.openxmlformats.org/officeDocument/2006/relationships/hyperlink" Target="https://doi.org/10.1126/sciadv.aea6453" TargetMode="External"/><Relationship Id="rId874" Type="http://schemas.openxmlformats.org/officeDocument/2006/relationships/hyperlink" Target="https://www.science.org/doi/abs/10.1126/sciadv.ady4767?af=R" TargetMode="External"/><Relationship Id="rId875" Type="http://schemas.openxmlformats.org/officeDocument/2006/relationships/hyperlink" Target="https://doi.org/10.1126/sciadv.ady4767" TargetMode="External"/><Relationship Id="rId876" Type="http://schemas.openxmlformats.org/officeDocument/2006/relationships/hyperlink" Target="https://www.science.org/doi/abs/10.1126/sciadv.ady7317?af=R" TargetMode="External"/><Relationship Id="rId877" Type="http://schemas.openxmlformats.org/officeDocument/2006/relationships/hyperlink" Target="https://doi.org/10.1126/sciadv.ady7317" TargetMode="External"/><Relationship Id="rId878" Type="http://schemas.openxmlformats.org/officeDocument/2006/relationships/hyperlink" Target="https://www.science.org/doi/abs/10.1126/sciadv.aeb7018?af=R" TargetMode="External"/><Relationship Id="rId879" Type="http://schemas.openxmlformats.org/officeDocument/2006/relationships/hyperlink" Target="https://doi.org/10.1126/sciadv.aeb7018" TargetMode="External"/><Relationship Id="rId880" Type="http://schemas.openxmlformats.org/officeDocument/2006/relationships/hyperlink" Target="https://www.science.org/doi/abs/10.1126/sciadv.ady3909?af=R" TargetMode="External"/><Relationship Id="rId881" Type="http://schemas.openxmlformats.org/officeDocument/2006/relationships/hyperlink" Target="https://doi.org/10.1126/sciadv.ady3909" TargetMode="External"/><Relationship Id="rId882" Type="http://schemas.openxmlformats.org/officeDocument/2006/relationships/hyperlink" Target="https://www.science.org/doi/abs/10.1126/sciadv.adx2953?af=R" TargetMode="External"/><Relationship Id="rId883" Type="http://schemas.openxmlformats.org/officeDocument/2006/relationships/hyperlink" Target="https://doi.org/10.1126/sciadv.adx2953" TargetMode="External"/><Relationship Id="rId884" Type="http://schemas.openxmlformats.org/officeDocument/2006/relationships/hyperlink" Target="https://www.science.org/doi/abs/10.1126/sciadv.aeb6753?af=R" TargetMode="External"/><Relationship Id="rId885" Type="http://schemas.openxmlformats.org/officeDocument/2006/relationships/hyperlink" Target="https://doi.org/10.1126/sciadv.aeb6753" TargetMode="External"/><Relationship Id="rId886" Type="http://schemas.openxmlformats.org/officeDocument/2006/relationships/hyperlink" Target="https://www.science.org/doi/abs/10.1126/sciadv.aef9964?af=R" TargetMode="External"/><Relationship Id="rId887" Type="http://schemas.openxmlformats.org/officeDocument/2006/relationships/hyperlink" Target="https://doi.org/10.1126/sciadv.aef9964" TargetMode="External"/><Relationship Id="rId888" Type="http://schemas.openxmlformats.org/officeDocument/2006/relationships/hyperlink" Target="https://www.science.org/doi/abs/10.1126/sciadv.ado7448?af=R" TargetMode="External"/><Relationship Id="rId889" Type="http://schemas.openxmlformats.org/officeDocument/2006/relationships/hyperlink" Target="https://doi.org/10.1126/sciadv.ado7448" TargetMode="External"/><Relationship Id="rId890" Type="http://schemas.openxmlformats.org/officeDocument/2006/relationships/hyperlink" Target="https://www.science.org/doi/abs/10.1126/sciadv.aeg3112?af=R" TargetMode="External"/><Relationship Id="rId891" Type="http://schemas.openxmlformats.org/officeDocument/2006/relationships/hyperlink" Target="https://doi.org/10.1126/sciadv.aeg3112" TargetMode="External"/><Relationship Id="rId892" Type="http://schemas.openxmlformats.org/officeDocument/2006/relationships/hyperlink" Target="https://www.science.org/doi/abs/10.1126/sciadv.aea3684?af=R" TargetMode="External"/><Relationship Id="rId893" Type="http://schemas.openxmlformats.org/officeDocument/2006/relationships/hyperlink" Target="https://doi.org/10.1126/sciadv.aea3684" TargetMode="External"/><Relationship Id="rId894" Type="http://schemas.openxmlformats.org/officeDocument/2006/relationships/hyperlink" Target="https://www.science.org/doi/abs/10.1126/sciadv.ady7568?af=R" TargetMode="External"/><Relationship Id="rId895" Type="http://schemas.openxmlformats.org/officeDocument/2006/relationships/hyperlink" Target="https://doi.org/10.1126/sciadv.ady7568" TargetMode="External"/><Relationship Id="rId896" Type="http://schemas.openxmlformats.org/officeDocument/2006/relationships/hyperlink" Target="https://www.science.org/doi/abs/10.1126/sciadv.aec4416?af=R" TargetMode="External"/><Relationship Id="rId897" Type="http://schemas.openxmlformats.org/officeDocument/2006/relationships/hyperlink" Target="https://doi.org/10.1126/sciadv.aec4416" TargetMode="External"/><Relationship Id="rId898" Type="http://schemas.openxmlformats.org/officeDocument/2006/relationships/hyperlink" Target="https://www.science.org/doi/abs/10.1126/sciadv.adz9361?af=R" TargetMode="External"/><Relationship Id="rId899" Type="http://schemas.openxmlformats.org/officeDocument/2006/relationships/hyperlink" Target="https://doi.org/10.1126/sciadv.adz9361" TargetMode="External"/><Relationship Id="rId900" Type="http://schemas.openxmlformats.org/officeDocument/2006/relationships/hyperlink" Target="https://www.science.org/doi/abs/10.1126/sciadv.aeb5192?af=R" TargetMode="External"/><Relationship Id="rId901" Type="http://schemas.openxmlformats.org/officeDocument/2006/relationships/hyperlink" Target="https://doi.org/10.1126/sciadv.aeb5192" TargetMode="External"/><Relationship Id="rId902" Type="http://schemas.openxmlformats.org/officeDocument/2006/relationships/hyperlink" Target="http://dx.doi.org/10.1021/acsenergylett.5c04320" TargetMode="External"/><Relationship Id="rId903" Type="http://schemas.openxmlformats.org/officeDocument/2006/relationships/hyperlink" Target="https://doi.org/10.1021/acsenergylett.5c04320" TargetMode="External"/><Relationship Id="rId904" Type="http://schemas.openxmlformats.org/officeDocument/2006/relationships/hyperlink" Target="http://dx.doi.org/10.1021/jacs.5c22504" TargetMode="External"/><Relationship Id="rId905" Type="http://schemas.openxmlformats.org/officeDocument/2006/relationships/hyperlink" Target="https://doi.org/10.1021/jacs.5c22504" TargetMode="External"/><Relationship Id="rId906" Type="http://schemas.openxmlformats.org/officeDocument/2006/relationships/hyperlink" Target="http://dx.doi.org/10.1021/jacs.5c21829" TargetMode="External"/><Relationship Id="rId907" Type="http://schemas.openxmlformats.org/officeDocument/2006/relationships/hyperlink" Target="https://doi.org/10.1021/jacs.5c21829" TargetMode="External"/><Relationship Id="rId908" Type="http://schemas.openxmlformats.org/officeDocument/2006/relationships/hyperlink" Target="http://dx.doi.org/10.1021/jacs.5c14173" TargetMode="External"/><Relationship Id="rId909" Type="http://schemas.openxmlformats.org/officeDocument/2006/relationships/hyperlink" Target="https://doi.org/10.1021/jacs.5c14173" TargetMode="External"/><Relationship Id="rId910" Type="http://schemas.openxmlformats.org/officeDocument/2006/relationships/hyperlink" Target="https://advanced.onlinelibrary.wiley.com/doi/10.1002/adma.202521237?af=R" TargetMode="External"/><Relationship Id="rId911" Type="http://schemas.openxmlformats.org/officeDocument/2006/relationships/hyperlink" Target="https://doi.org/10.1002/adma.202521237" TargetMode="External"/><Relationship Id="rId912" Type="http://schemas.openxmlformats.org/officeDocument/2006/relationships/hyperlink" Target="http://dx.doi.org/10.1021/jacs.5c20519" TargetMode="External"/><Relationship Id="rId913" Type="http://schemas.openxmlformats.org/officeDocument/2006/relationships/hyperlink" Target="https://doi.org/10.1021/jacs.5c20519" TargetMode="External"/><Relationship Id="rId914" Type="http://schemas.openxmlformats.org/officeDocument/2006/relationships/hyperlink" Target="https://advanced.onlinelibrary.wiley.com/doi/10.1002/adma.202515677?af=R" TargetMode="External"/><Relationship Id="rId915" Type="http://schemas.openxmlformats.org/officeDocument/2006/relationships/hyperlink" Target="https://doi.org/10.1002/adma.202515677" TargetMode="External"/><Relationship Id="rId916" Type="http://schemas.openxmlformats.org/officeDocument/2006/relationships/hyperlink" Target="http://dx.doi.org/10.1021/jacs.6c02210" TargetMode="External"/><Relationship Id="rId917" Type="http://schemas.openxmlformats.org/officeDocument/2006/relationships/hyperlink" Target="https://doi.org/10.1021/jacs.6c02210" TargetMode="External"/><Relationship Id="rId918" Type="http://schemas.openxmlformats.org/officeDocument/2006/relationships/hyperlink" Target="https://onlinelibrary.wiley.com/doi/10.1002/anie.202524603?af=R" TargetMode="External"/><Relationship Id="rId919" Type="http://schemas.openxmlformats.org/officeDocument/2006/relationships/hyperlink" Target="https://doi.org/10.1002/anie.202524603" TargetMode="External"/><Relationship Id="rId920" Type="http://schemas.openxmlformats.org/officeDocument/2006/relationships/hyperlink" Target="https://onlinelibrary.wiley.com/doi/10.1002/anie.202525181?af=R" TargetMode="External"/><Relationship Id="rId921" Type="http://schemas.openxmlformats.org/officeDocument/2006/relationships/hyperlink" Target="https://doi.org/10.1002/anie.202525181" TargetMode="External"/><Relationship Id="rId922" Type="http://schemas.openxmlformats.org/officeDocument/2006/relationships/hyperlink" Target="https://onlinelibrary.wiley.com/doi/10.1002/anie.202522703?af=R" TargetMode="External"/><Relationship Id="rId923" Type="http://schemas.openxmlformats.org/officeDocument/2006/relationships/hyperlink" Target="https://doi.org/10.1002/anie.202522703" TargetMode="External"/><Relationship Id="rId924" Type="http://schemas.openxmlformats.org/officeDocument/2006/relationships/hyperlink" Target="https://onlinelibrary.wiley.com/doi/10.1002/anie.5110668?af=R" TargetMode="External"/><Relationship Id="rId925" Type="http://schemas.openxmlformats.org/officeDocument/2006/relationships/hyperlink" Target="https://doi.org/10.1002/anie.5110668" TargetMode="External"/><Relationship Id="rId926" Type="http://schemas.openxmlformats.org/officeDocument/2006/relationships/hyperlink" Target="https://onlinelibrary.wiley.com/doi/10.1002/anie.202526149?af=R" TargetMode="External"/><Relationship Id="rId927" Type="http://schemas.openxmlformats.org/officeDocument/2006/relationships/hyperlink" Target="https://doi.org/10.1002/anie.202526149" TargetMode="External"/><Relationship Id="rId928" Type="http://schemas.openxmlformats.org/officeDocument/2006/relationships/hyperlink" Target="https://onlinelibrary.wiley.com/doi/10.1002/anie.202525538?af=R" TargetMode="External"/><Relationship Id="rId929" Type="http://schemas.openxmlformats.org/officeDocument/2006/relationships/hyperlink" Target="https://doi.org/10.1002/anie.202525538" TargetMode="External"/><Relationship Id="rId930" Type="http://schemas.openxmlformats.org/officeDocument/2006/relationships/hyperlink" Target="https://onlinelibrary.wiley.com/doi/10.1002/anie.7337664?af=R" TargetMode="External"/><Relationship Id="rId931" Type="http://schemas.openxmlformats.org/officeDocument/2006/relationships/hyperlink" Target="https://doi.org/10.1002/anie.7337664" TargetMode="External"/><Relationship Id="rId932" Type="http://schemas.openxmlformats.org/officeDocument/2006/relationships/hyperlink" Target="https://onlinelibrary.wiley.com/doi/10.1002/anie.7786614?af=R" TargetMode="External"/><Relationship Id="rId933" Type="http://schemas.openxmlformats.org/officeDocument/2006/relationships/hyperlink" Target="https://doi.org/10.1002/anie.7786614" TargetMode="External"/><Relationship Id="rId934" Type="http://schemas.openxmlformats.org/officeDocument/2006/relationships/hyperlink" Target="https://onlinelibrary.wiley.com/doi/10.1002/anie.4720702?af=R" TargetMode="External"/><Relationship Id="rId935" Type="http://schemas.openxmlformats.org/officeDocument/2006/relationships/hyperlink" Target="https://doi.org/10.1002/anie.4720702" TargetMode="External"/><Relationship Id="rId936" Type="http://schemas.openxmlformats.org/officeDocument/2006/relationships/hyperlink" Target="https://onlinelibrary.wiley.com/doi/10.1002/anie.6795880?af=R" TargetMode="External"/><Relationship Id="rId937" Type="http://schemas.openxmlformats.org/officeDocument/2006/relationships/hyperlink" Target="https://doi.org/10.1002/anie.6795880" TargetMode="External"/><Relationship Id="rId938" Type="http://schemas.openxmlformats.org/officeDocument/2006/relationships/hyperlink" Target="https://advanced.onlinelibrary.wiley.com/doi/10.1002/adma.202519805?af=R" TargetMode="External"/><Relationship Id="rId939" Type="http://schemas.openxmlformats.org/officeDocument/2006/relationships/hyperlink" Target="https://doi.org/10.1002/adma.202519805" TargetMode="External"/><Relationship Id="rId940" Type="http://schemas.openxmlformats.org/officeDocument/2006/relationships/hyperlink" Target="http://dx.doi.org/10.1021/jacs.6c00571" TargetMode="External"/><Relationship Id="rId941" Type="http://schemas.openxmlformats.org/officeDocument/2006/relationships/hyperlink" Target="https://doi.org/10.1021/jacs.6c00571" TargetMode="External"/><Relationship Id="rId942" Type="http://schemas.openxmlformats.org/officeDocument/2006/relationships/hyperlink" Target="https://onlinelibrary.wiley.com/doi/10.1002/anie.6906738?af=R" TargetMode="External"/><Relationship Id="rId943" Type="http://schemas.openxmlformats.org/officeDocument/2006/relationships/hyperlink" Target="https://doi.org/10.1002/anie.6906738" TargetMode="External"/><Relationship Id="rId944" Type="http://schemas.openxmlformats.org/officeDocument/2006/relationships/hyperlink" Target="http://dx.doi.org/10.1021/jacs.5c18595" TargetMode="External"/><Relationship Id="rId945" Type="http://schemas.openxmlformats.org/officeDocument/2006/relationships/hyperlink" Target="https://doi.org/10.1021/jacs.5c18595" TargetMode="External"/><Relationship Id="rId946" Type="http://schemas.openxmlformats.org/officeDocument/2006/relationships/hyperlink" Target="http://dx.doi.org/10.1021/jacs.5c18603" TargetMode="External"/><Relationship Id="rId947" Type="http://schemas.openxmlformats.org/officeDocument/2006/relationships/hyperlink" Target="https://doi.org/10.1021/jacs.5c18603" TargetMode="External"/><Relationship Id="rId948" Type="http://schemas.openxmlformats.org/officeDocument/2006/relationships/hyperlink" Target="http://dx.doi.org/10.1021/jacs.6c00213" TargetMode="External"/><Relationship Id="rId949" Type="http://schemas.openxmlformats.org/officeDocument/2006/relationships/hyperlink" Target="https://doi.org/10.1021/jacs.6c00213" TargetMode="External"/><Relationship Id="rId950" Type="http://schemas.openxmlformats.org/officeDocument/2006/relationships/hyperlink" Target="https://advanced.onlinelibrary.wiley.com/doi/10.1002/aenm.202505267?af=R" TargetMode="External"/><Relationship Id="rId951" Type="http://schemas.openxmlformats.org/officeDocument/2006/relationships/hyperlink" Target="https://doi.org/10.1002/aenm.202505267" TargetMode="External"/><Relationship Id="rId952" Type="http://schemas.openxmlformats.org/officeDocument/2006/relationships/hyperlink" Target="http://dx.doi.org/10.1021/jacs.5c21433" TargetMode="External"/><Relationship Id="rId953" Type="http://schemas.openxmlformats.org/officeDocument/2006/relationships/hyperlink" Target="https://doi.org/10.1021/jacs.5c21433" TargetMode="External"/><Relationship Id="rId954" Type="http://schemas.openxmlformats.org/officeDocument/2006/relationships/hyperlink" Target="http://dx.doi.org/10.1021/jacs.5c18593" TargetMode="External"/><Relationship Id="rId955" Type="http://schemas.openxmlformats.org/officeDocument/2006/relationships/hyperlink" Target="https://doi.org/10.1021/jacs.5c18593" TargetMode="External"/><Relationship Id="rId956" Type="http://schemas.openxmlformats.org/officeDocument/2006/relationships/hyperlink" Target="http://dx.doi.org/10.1021/jacs.5c23027" TargetMode="External"/><Relationship Id="rId957" Type="http://schemas.openxmlformats.org/officeDocument/2006/relationships/hyperlink" Target="https://doi.org/10.1021/jacs.5c23027" TargetMode="External"/><Relationship Id="rId958" Type="http://schemas.openxmlformats.org/officeDocument/2006/relationships/hyperlink" Target="http://dx.doi.org/10.1021/jacs.5c22065" TargetMode="External"/><Relationship Id="rId959" Type="http://schemas.openxmlformats.org/officeDocument/2006/relationships/hyperlink" Target="https://doi.org/10.1021/jacs.5c22065" TargetMode="External"/><Relationship Id="rId960" Type="http://schemas.openxmlformats.org/officeDocument/2006/relationships/hyperlink" Target="http://dx.doi.org/10.1021/jacs.6c00331" TargetMode="External"/><Relationship Id="rId961" Type="http://schemas.openxmlformats.org/officeDocument/2006/relationships/hyperlink" Target="https://doi.org/10.1021/jacs.6c00331" TargetMode="External"/><Relationship Id="rId962" Type="http://schemas.openxmlformats.org/officeDocument/2006/relationships/hyperlink" Target="http://dx.doi.org/10.1021/jacs.5c20647" TargetMode="External"/><Relationship Id="rId963" Type="http://schemas.openxmlformats.org/officeDocument/2006/relationships/hyperlink" Target="https://doi.org/10.1021/jacs.5c20647" TargetMode="External"/><Relationship Id="rId964" Type="http://schemas.openxmlformats.org/officeDocument/2006/relationships/hyperlink" Target="http://dx.doi.org/10.1021/jacs.5c17688" TargetMode="External"/><Relationship Id="rId965" Type="http://schemas.openxmlformats.org/officeDocument/2006/relationships/hyperlink" Target="https://doi.org/10.1021/jacs.5c17688" TargetMode="External"/><Relationship Id="rId966" Type="http://schemas.openxmlformats.org/officeDocument/2006/relationships/hyperlink" Target="http://dx.doi.org/10.1021/jacs.5c21878" TargetMode="External"/><Relationship Id="rId967" Type="http://schemas.openxmlformats.org/officeDocument/2006/relationships/hyperlink" Target="https://doi.org/10.1021/jacs.5c21878" TargetMode="External"/><Relationship Id="rId968" Type="http://schemas.openxmlformats.org/officeDocument/2006/relationships/hyperlink" Target="http://dx.doi.org/10.1021/jacs.5c21530" TargetMode="External"/><Relationship Id="rId969" Type="http://schemas.openxmlformats.org/officeDocument/2006/relationships/hyperlink" Target="https://doi.org/10.1021/jacs.5c21530" TargetMode="External"/><Relationship Id="rId970" Type="http://schemas.openxmlformats.org/officeDocument/2006/relationships/hyperlink" Target="http://dx.doi.org/10.1021/jacs.5c21376" TargetMode="External"/><Relationship Id="rId971" Type="http://schemas.openxmlformats.org/officeDocument/2006/relationships/hyperlink" Target="https://doi.org/10.1021/jacs.5c21376" TargetMode="External"/><Relationship Id="rId972" Type="http://schemas.openxmlformats.org/officeDocument/2006/relationships/hyperlink" Target="https://www.nature.com/articles/s41467-026-69127-3" TargetMode="External"/><Relationship Id="rId973" Type="http://schemas.openxmlformats.org/officeDocument/2006/relationships/hyperlink" Target="https://doi.org/10.1038/s41467-026-69127-3" TargetMode="External"/><Relationship Id="rId974" Type="http://schemas.openxmlformats.org/officeDocument/2006/relationships/hyperlink" Target="https://www.sciencedirect.com/science/article/pii/S0306261926002606?dgcid=rss_sd_all" TargetMode="External"/><Relationship Id="rId975" Type="http://schemas.openxmlformats.org/officeDocument/2006/relationships/hyperlink" Target="https://www.nature.com/articles/s41467-026-70171-2" TargetMode="External"/><Relationship Id="rId976" Type="http://schemas.openxmlformats.org/officeDocument/2006/relationships/hyperlink" Target="https://doi.org/10.1038/s41467-026-70171-2" TargetMode="External"/><Relationship Id="rId977" Type="http://schemas.openxmlformats.org/officeDocument/2006/relationships/hyperlink" Target="https://www.sciencedirect.com/science/article/pii/S0306261926002138?dgcid=rss_sd_all" TargetMode="External"/><Relationship Id="rId978" Type="http://schemas.openxmlformats.org/officeDocument/2006/relationships/hyperlink" Target="https://www.nature.com/articles/s41467-026-69845-8" TargetMode="External"/><Relationship Id="rId979" Type="http://schemas.openxmlformats.org/officeDocument/2006/relationships/hyperlink" Target="https://doi.org/10.1038/s41467-026-69845-8" TargetMode="External"/><Relationship Id="rId980" Type="http://schemas.openxmlformats.org/officeDocument/2006/relationships/hyperlink" Target="https://www.nature.com/articles/s41467-026-70089-9" TargetMode="External"/><Relationship Id="rId981" Type="http://schemas.openxmlformats.org/officeDocument/2006/relationships/hyperlink" Target="https://doi.org/10.1038/s41467-026-70089-9" TargetMode="External"/><Relationship Id="rId982" Type="http://schemas.openxmlformats.org/officeDocument/2006/relationships/hyperlink" Target="https://www.sciencedirect.com/science/article/pii/S0306261926002114?dgcid=rss_sd_all" TargetMode="External"/><Relationship Id="rId983" Type="http://schemas.openxmlformats.org/officeDocument/2006/relationships/hyperlink" Target="https://www.nature.com/articles/s41467-026-70129-4" TargetMode="External"/><Relationship Id="rId984" Type="http://schemas.openxmlformats.org/officeDocument/2006/relationships/hyperlink" Target="https://doi.org/10.1038/s41467-026-70129-4" TargetMode="External"/><Relationship Id="rId985" Type="http://schemas.openxmlformats.org/officeDocument/2006/relationships/hyperlink" Target="https://www.nature.com/articles/s41467-026-69954-4" TargetMode="External"/><Relationship Id="rId986" Type="http://schemas.openxmlformats.org/officeDocument/2006/relationships/hyperlink" Target="https://doi.org/10.1038/s41467-026-69954-4" TargetMode="External"/><Relationship Id="rId987" Type="http://schemas.openxmlformats.org/officeDocument/2006/relationships/hyperlink" Target="https://www.sciencedirect.com/science/article/pii/S0306261926002758?dgcid=rss_sd_all" TargetMode="External"/><Relationship Id="rId988" Type="http://schemas.openxmlformats.org/officeDocument/2006/relationships/hyperlink" Target="https://advanced.onlinelibrary.wiley.com/doi/10.1002/adma.202518268?af=R" TargetMode="External"/><Relationship Id="rId989" Type="http://schemas.openxmlformats.org/officeDocument/2006/relationships/hyperlink" Target="https://doi.org/10.1002/adma.202518268" TargetMode="External"/><Relationship Id="rId990" Type="http://schemas.openxmlformats.org/officeDocument/2006/relationships/hyperlink" Target="https://advanced.onlinelibrary.wiley.com/doi/10.1002/adma.72684?af=R" TargetMode="External"/><Relationship Id="rId991" Type="http://schemas.openxmlformats.org/officeDocument/2006/relationships/hyperlink" Target="https://doi.org/10.1002/adma.72684" TargetMode="External"/><Relationship Id="rId992" Type="http://schemas.openxmlformats.org/officeDocument/2006/relationships/hyperlink" Target="https://onlinelibrary.wiley.com/doi/10.1002/anie.202524329?af=R" TargetMode="External"/><Relationship Id="rId993" Type="http://schemas.openxmlformats.org/officeDocument/2006/relationships/hyperlink" Target="https://doi.org/10.1002/anie.202524329" TargetMode="External"/><Relationship Id="rId994" Type="http://schemas.openxmlformats.org/officeDocument/2006/relationships/hyperlink" Target="https://onlinelibrary.wiley.com/doi/10.1002/anie.202523751?af=R" TargetMode="External"/><Relationship Id="rId995" Type="http://schemas.openxmlformats.org/officeDocument/2006/relationships/hyperlink" Target="https://doi.org/10.1002/anie.202523751" TargetMode="External"/><Relationship Id="rId996" Type="http://schemas.openxmlformats.org/officeDocument/2006/relationships/hyperlink" Target="https://onlinelibrary.wiley.com/doi/10.1002/anie.3751232?af=R" TargetMode="External"/><Relationship Id="rId997" Type="http://schemas.openxmlformats.org/officeDocument/2006/relationships/hyperlink" Target="https://doi.org/10.1002/anie.3751232" TargetMode="External"/><Relationship Id="rId998" Type="http://schemas.openxmlformats.org/officeDocument/2006/relationships/hyperlink" Target="https://onlinelibrary.wiley.com/doi/10.1002/anie.7876181?af=R" TargetMode="External"/><Relationship Id="rId999" Type="http://schemas.openxmlformats.org/officeDocument/2006/relationships/hyperlink" Target="https://doi.org/10.1002/anie.7876181" TargetMode="External"/><Relationship Id="rId1000" Type="http://schemas.openxmlformats.org/officeDocument/2006/relationships/hyperlink" Target="https://onlinelibrary.wiley.com/doi/10.1002/anie.6439677?af=R" TargetMode="External"/><Relationship Id="rId1001" Type="http://schemas.openxmlformats.org/officeDocument/2006/relationships/hyperlink" Target="https://doi.org/10.1002/anie.6439677" TargetMode="External"/><Relationship Id="rId1002" Type="http://schemas.openxmlformats.org/officeDocument/2006/relationships/hyperlink" Target="https://onlinelibrary.wiley.com/doi/10.1002/anie.202526039?af=R" TargetMode="External"/><Relationship Id="rId1003" Type="http://schemas.openxmlformats.org/officeDocument/2006/relationships/hyperlink" Target="https://doi.org/10.1002/anie.202526039" TargetMode="External"/><Relationship Id="rId1004" Type="http://schemas.openxmlformats.org/officeDocument/2006/relationships/hyperlink" Target="https://advanced.onlinelibrary.wiley.com/doi/10.1002/adma.72655?af=R" TargetMode="External"/><Relationship Id="rId1005" Type="http://schemas.openxmlformats.org/officeDocument/2006/relationships/hyperlink" Target="https://doi.org/10.1002/adma.72655" TargetMode="External"/><Relationship Id="rId1006" Type="http://schemas.openxmlformats.org/officeDocument/2006/relationships/hyperlink" Target="https://advanced.onlinelibrary.wiley.com/doi/10.1002/adma.202522270?af=R" TargetMode="External"/><Relationship Id="rId1007" Type="http://schemas.openxmlformats.org/officeDocument/2006/relationships/hyperlink" Target="https://doi.org/10.1002/adma.202522270" TargetMode="External"/><Relationship Id="rId1008" Type="http://schemas.openxmlformats.org/officeDocument/2006/relationships/hyperlink" Target="https://advanced.onlinelibrary.wiley.com/doi/10.1002/adma.202520447?af=R" TargetMode="External"/><Relationship Id="rId1009" Type="http://schemas.openxmlformats.org/officeDocument/2006/relationships/hyperlink" Target="https://doi.org/10.1002/adma.202520447" TargetMode="External"/><Relationship Id="rId1010" Type="http://schemas.openxmlformats.org/officeDocument/2006/relationships/hyperlink" Target="https://advanced.onlinelibrary.wiley.com/doi/10.1002/aenm.70795?af=R" TargetMode="External"/><Relationship Id="rId1011" Type="http://schemas.openxmlformats.org/officeDocument/2006/relationships/hyperlink" Target="https://doi.org/10.1002/aenm.70795" TargetMode="External"/><Relationship Id="rId1012" Type="http://schemas.openxmlformats.org/officeDocument/2006/relationships/hyperlink" Target="https://onlinelibrary.wiley.com/doi/10.1002/anie.3968771?af=R" TargetMode="External"/><Relationship Id="rId1013" Type="http://schemas.openxmlformats.org/officeDocument/2006/relationships/hyperlink" Target="https://doi.org/10.1002/anie.3968771" TargetMode="External"/><Relationship Id="rId1014" Type="http://schemas.openxmlformats.org/officeDocument/2006/relationships/hyperlink" Target="https://onlinelibrary.wiley.com/doi/10.1002/anie.202523661?af=R" TargetMode="External"/><Relationship Id="rId1015" Type="http://schemas.openxmlformats.org/officeDocument/2006/relationships/hyperlink" Target="https://doi.org/10.1002/anie.202523661" TargetMode="External"/><Relationship Id="rId1016" Type="http://schemas.openxmlformats.org/officeDocument/2006/relationships/hyperlink" Target="https://onlinelibrary.wiley.com/doi/10.1002/anie.1762884?af=R" TargetMode="External"/><Relationship Id="rId1017" Type="http://schemas.openxmlformats.org/officeDocument/2006/relationships/hyperlink" Target="https://doi.org/10.1002/anie.1762884" TargetMode="External"/><Relationship Id="rId1018" Type="http://schemas.openxmlformats.org/officeDocument/2006/relationships/hyperlink" Target="https://onlinelibrary.wiley.com/doi/10.1002/anie.4157706?af=R" TargetMode="External"/><Relationship Id="rId1019" Type="http://schemas.openxmlformats.org/officeDocument/2006/relationships/hyperlink" Target="https://doi.org/10.1002/anie.4157706" TargetMode="External"/><Relationship Id="rId1020" Type="http://schemas.openxmlformats.org/officeDocument/2006/relationships/hyperlink" Target="https://advanced.onlinelibrary.wiley.com/doi/10.1002/adma.202523239?af=R" TargetMode="External"/><Relationship Id="rId1021" Type="http://schemas.openxmlformats.org/officeDocument/2006/relationships/hyperlink" Target="https://doi.org/10.1002/adma.202523239" TargetMode="External"/><Relationship Id="rId1022" Type="http://schemas.openxmlformats.org/officeDocument/2006/relationships/hyperlink" Target="http://dx.doi.org/10.1021/jacs.6c00335" TargetMode="External"/><Relationship Id="rId1023" Type="http://schemas.openxmlformats.org/officeDocument/2006/relationships/hyperlink" Target="https://doi.org/10.1021/jacs.6c00335" TargetMode="External"/><Relationship Id="rId1024" Type="http://schemas.openxmlformats.org/officeDocument/2006/relationships/hyperlink" Target="http://dx.doi.org/10.1021/jacs.5c20238" TargetMode="External"/><Relationship Id="rId1025" Type="http://schemas.openxmlformats.org/officeDocument/2006/relationships/hyperlink" Target="https://doi.org/10.1021/jacs.5c20238" TargetMode="External"/><Relationship Id="rId1026" Type="http://schemas.openxmlformats.org/officeDocument/2006/relationships/hyperlink" Target="https://www.nature.com/articles/s41467-026-70220-w" TargetMode="External"/><Relationship Id="rId1027" Type="http://schemas.openxmlformats.org/officeDocument/2006/relationships/hyperlink" Target="https://doi.org/10.1038/s41467-026-70220-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