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2026-01-23</w:t>
      </w:r>
    </w:p>
    <w:p>
      <w:pPr>
        <w:spacing w:before="160" w:after="40" w:line="240" w:lineRule="auto"/>
      </w:pPr>
      <w:r>
        <w:rPr>
          <w:b/>
        </w:rPr>
        <w:t xml:space="preserve">[1] </w:t>
      </w:r>
      <w:hyperlink r:id="rId9">
        <w:r>
          <w:rPr>
            <w:color w:val="1155CC"/>
            <w:u w:val="single"/>
          </w:rPr>
          <w:t>以添加性金属制成的金属组成非常规的次级谷物结构</w:t>
        </w:r>
      </w:hyperlink>
    </w:p>
    <w:p>
      <w:pPr>
        <w:spacing w:before="0" w:after="80"/>
      </w:pPr>
      <w:r>
        <w:rPr>
          <w:i/>
          <w:sz w:val="20"/>
        </w:rPr>
        <w:t>EN: Unconventional sub-grain structures formed in additively manufactured metals</w:t>
      </w:r>
    </w:p>
    <w:p>
      <w:pPr>
        <w:spacing w:before="0" w:after="120"/>
      </w:pPr>
      <w:r>
        <w:rPr>
          <w:b/>
        </w:rPr>
        <w:t xml:space="preserve">Source: </w:t>
      </w:r>
      <w:r>
        <w:t>ScienceDirect Publication: Materials Today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Coiled-cocil 乙基乙酸二乙二酯以分裂式基底编辑系统为灵活和稳健的核分子酸替代系统提供</w:t>
        </w:r>
      </w:hyperlink>
    </w:p>
    <w:p>
      <w:pPr>
        <w:spacing w:before="0" w:after="80"/>
      </w:pPr>
      <w:r>
        <w:rPr>
          <w:i/>
          <w:sz w:val="20"/>
        </w:rPr>
        <w:t>EN: Coiled-coil heterodimer-mediated split base editing systems enable flexible and robust nucleotide substitutions</w:t>
      </w:r>
    </w:p>
    <w:p>
      <w:pPr>
        <w:spacing w:before="0" w:after="120"/>
      </w:pPr>
      <w:r>
        <w:rPr>
          <w:b/>
        </w:rPr>
        <w:t xml:space="preserve">Source: </w:t>
      </w:r>
      <w:r>
        <w:t>Nature Communications</w:t>
      </w:r>
      <w:r>
        <w:t xml:space="preserve">    </w:t>
      </w:r>
      <w:r>
        <w:rPr>
          <w:b/>
        </w:rPr>
        <w:t xml:space="preserve">Pub date: </w:t>
      </w:r>
      <w:r>
        <w:t>2026-01-17 00:00:00+00:00</w:t>
      </w:r>
    </w:p>
    <w:p>
      <w:pPr>
        <w:spacing w:before="0" w:after="120"/>
      </w:pPr>
      <w:r>
        <w:rPr>
          <w:b/>
        </w:rPr>
        <w:t xml:space="preserve">Notes: </w:t>
      </w:r>
      <w:r>
        <w:t>abstract_source=nature_html</w:t>
      </w:r>
    </w:p>
    <w:p>
      <w:pPr>
        <w:spacing w:before="0" w:after="80" w:lineRule="auto" w:line="276"/>
      </w:pPr>
      <w:r>
        <w:rPr>
          <w:b/>
        </w:rPr>
        <w:t xml:space="preserve">摘要（ZH）: </w:t>
      </w:r>
      <w:r>
        <w:t>基础编辑(BEs)能够进行精确的基准替代,但其规模超过了与乙型病毒(AAV)的包装能力,从而阻碍了体内应用。 我们在这里设计了一个分裂的BE系统,通过凝固的焦化凝固剂混合阳性剂,将消化剂引进Cas9 nickases, 从而导致各种凝固-凝固-凝固剂阳性基编辑(CC-BEs),包括细胞基编辑(CC-CBE)、腺基编辑(CC-ABE)及其衍生物。 我们透露,CC-BEs保持甚至提高各种细胞类型和编辑范围的原未分解的BE的编辑效率,最大限度地提高人类不朽细胞的9.6倍和CC-CBE初级体细胞的12.4倍。 我们利用CC-ABE,验证了细胞编辑效率,并成功实现了A-G共生化。</w:t>
      </w:r>
    </w:p>
    <w:p>
      <w:pPr>
        <w:spacing w:before="0" w:after="200" w:lineRule="auto" w:line="276"/>
      </w:pPr>
      <w:r>
        <w:rPr>
          <w:b/>
        </w:rPr>
        <w:t xml:space="preserve">Abstract (EN): </w:t>
      </w:r>
      <w:r>
        <w:t>Base editors (BEs) enable precise base substitutions, but their size exceeds the packaging capacity of adeno-associated virus (AAV), impeding in vivo applications. Here we design a split BE system that recruits deaminases to Cas9 nickase via coiled-coil heterodimers, resulting in various coiled-coil heterodimers-mediated base editors (CC-BEs), including cytidine base editor (CC-CBE), adenine base editor (CC-ABE), and their derivatives. We reveal that CC-BEs maintain and even improve the editing efficiency of the original unsplit BEs across various cell types and editing scopes, achieving maximum enhancements of 9.6-fold in human immortalized cells and 12.4-fold in primary somatic cells for CC-CBE. Using CC-ABE, we validate in vivo editing efficiency and successfully achieve A-to-G conversion in the Pcsk9 and Dmd genes via dual-AAV vectors in mice. Altogether, we develop a simple and universal strategy to address the challenges posed by the large size of BEs without compromising editing efficiency for base substitutions in vivo.</w:t>
      </w:r>
    </w:p>
    <w:p>
      <w:pPr>
        <w:spacing w:before="120" w:after="120"/>
      </w:pPr>
      <w:r>
        <w:rPr>
          <w:sz w:val="18"/>
        </w:rPr>
        <w:t>——————————————————————————————————————————————————————————————————————</w:t>
      </w:r>
    </w:p>
    <w:p>
      <w:pPr>
        <w:spacing w:before="160" w:after="40" w:line="240" w:lineRule="auto"/>
      </w:pPr>
      <w:r>
        <w:rPr>
          <w:b/>
        </w:rPr>
        <w:t xml:space="preserve">[3] </w:t>
      </w:r>
      <w:hyperlink r:id="rId11">
        <w:r>
          <w:rPr>
            <w:color w:val="1155CC"/>
            <w:u w:val="single"/>
          </w:rPr>
          <w:t>协调发送混合移动电源,以恢复分配网络:动态梯度遮罩多剂嵌入式多剂元加强学习方法</w:t>
        </w:r>
      </w:hyperlink>
    </w:p>
    <w:p>
      <w:pPr>
        <w:spacing w:before="0" w:after="80"/>
      </w:pPr>
      <w:r>
        <w:rPr>
          <w:i/>
          <w:sz w:val="20"/>
        </w:rPr>
        <w:t>EN: Coordinated dispatch of hybrid mobile power sources for distribution network restoration: A dynamic gradient masking embedded multi-agent meta-deep reinforcement learning method</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固定可变速度泵式储存混合系统的协调频率调控:适应性控制框架,结合动态预测和滚动优化</w:t>
        </w:r>
      </w:hyperlink>
    </w:p>
    <w:p>
      <w:pPr>
        <w:spacing w:before="0" w:after="80"/>
      </w:pPr>
      <w:r>
        <w:rPr>
          <w:i/>
          <w:sz w:val="20"/>
        </w:rPr>
        <w:t>EN: Coordinated frequency regulation of fixed-variable speed pumped storage hybrid systems: an adaptive control framework integrating dynamic prediction and rolling optimization</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为综合电力和煤气系统动态能源流量计算而建立物理知情神经网络</w:t>
        </w:r>
      </w:hyperlink>
    </w:p>
    <w:p>
      <w:pPr>
        <w:spacing w:before="0" w:after="80"/>
      </w:pPr>
      <w:r>
        <w:rPr>
          <w:i/>
          <w:sz w:val="20"/>
        </w:rPr>
        <w:t>EN: Physics-informed neural network for dynamic energy flow calculation in integrated electricity and gas systems</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
        <w:r>
          <w:rPr>
            <w:color w:val="1155CC"/>
            <w:u w:val="single"/>
          </w:rPr>
          <w:t>美国西部鸟群接触美国西部鸟类社区,预测大火会发生严重火灾</w:t>
        </w:r>
      </w:hyperlink>
    </w:p>
    <w:p>
      <w:pPr>
        <w:spacing w:before="0" w:after="80"/>
      </w:pPr>
      <w:r>
        <w:rPr>
          <w:i/>
          <w:sz w:val="20"/>
        </w:rPr>
        <w:t>EN: Exposure of western United States bird communities to predicted high severity fire</w:t>
      </w:r>
    </w:p>
    <w:p>
      <w:pPr>
        <w:spacing w:before="0" w:after="120"/>
      </w:pPr>
      <w:r>
        <w:rPr>
          <w:b/>
        </w:rPr>
        <w:t xml:space="preserve">Source: </w:t>
      </w:r>
      <w:r>
        <w:t>Nature Communications</w:t>
      </w:r>
      <w:r>
        <w:t xml:space="preserve">    </w:t>
      </w:r>
      <w:r>
        <w:rPr>
          <w:b/>
        </w:rPr>
        <w:t xml:space="preserve">Pub date: </w:t>
      </w:r>
      <w:r>
        <w:t>2026-01-17 00:00:00+00:00</w:t>
      </w:r>
    </w:p>
    <w:p>
      <w:pPr>
        <w:spacing w:before="0" w:after="120"/>
      </w:pPr>
      <w:r>
        <w:rPr>
          <w:b/>
        </w:rPr>
        <w:t xml:space="preserve">Notes: </w:t>
      </w:r>
      <w:r>
        <w:t>abstract_source=nature_html</w:t>
      </w:r>
    </w:p>
    <w:p>
      <w:pPr>
        <w:spacing w:before="0" w:after="80" w:lineRule="auto" w:line="276"/>
      </w:pPr>
      <w:r>
        <w:rPr>
          <w:b/>
        </w:rPr>
        <w:t xml:space="preserve">摘要（ZH）: </w:t>
      </w:r>
      <w:r>
        <w:t>火灾是影响全球生物多样性的一个普遍的生物地理过程,目前正在经历前所未有的变化。尽管火灾对生物多样性产生了有详细记载的影响,但我们不知道生物多样性在哪些地方最容易受到不断变化的火灾制度的影响。 我们利用最近火灾预测和物种分布模型的进展来评估美国西部鸟类物种丰富性、社区独特性和功能丰富的暴露程度,以评估鸟类物种丰富性、社区独特性和改变火灾制度的功能丰富性。我们发现,55-58%的生物多样性热点被归类为“refugia ”,那里生物多样性高,与预计的低强度燃烧区交错。相比之下,24-30%的生物多样性热点被归类为“关切领域 ”, 高生物多样性与预测的高度严重程度交错。</w:t>
      </w:r>
    </w:p>
    <w:p>
      <w:pPr>
        <w:spacing w:before="0" w:after="200" w:lineRule="auto" w:line="276"/>
      </w:pPr>
      <w:r>
        <w:rPr>
          <w:b/>
        </w:rPr>
        <w:t xml:space="preserve">Abstract (EN): </w:t>
      </w:r>
      <w:r>
        <w:t>Fire is a pervasive biogeographic process that shapes biodiversity globally and is now experiencing unprecedented changes. Despite well documented impacts of fires on biodiversity, we do not know where biodiversity might be most vulnerable to changing fire regimes. We leverage recent advancements in fire forecasting and species distribution modeling to assess the exposure of bird species richness, community uniqueness, and functional richness to altered fire regimes in the western United States. We find that 55-58% of biodiversity hotspots are classified as “refugia”, where high biodiversity intersects with predicted low severity burn areas. In contrast, 24-30% of biodiversity hotspots are classified as “areas of concern”, where high biodiversity intersected with predicted high severity burn areas. Over half (52-60%) of “areas of concern” occur in geographies with historically low-severity fire regimes; a fire regime mismatch indicating a potential threat to biodiversity. We find that species with a preference for high-density vegetation and with shallower beak depth are most likely to be exposed to high severity fire, indicating a potential for habitat losses for species with these traits. Our findings reinforce calls for targeted management to reduce impacts of future fire where it is predicted to be outside the historical range of variation.</w:t>
      </w:r>
    </w:p>
    <w:p>
      <w:pPr>
        <w:spacing w:before="120" w:after="120"/>
      </w:pPr>
      <w:r>
        <w:rPr>
          <w:sz w:val="18"/>
        </w:rPr>
        <w:t>——————————————————————————————————————————————————————————————————————</w:t>
      </w:r>
    </w:p>
    <w:p>
      <w:pPr>
        <w:spacing w:before="160" w:after="40" w:line="240" w:lineRule="auto"/>
      </w:pPr>
      <w:r>
        <w:rPr>
          <w:b/>
        </w:rPr>
        <w:t xml:space="preserve">[7] </w:t>
      </w:r>
      <w:hyperlink r:id="rId15">
        <w:r>
          <w:rPr>
            <w:color w:val="1155CC"/>
            <w:u w:val="single"/>
          </w:rPr>
          <w:t>作者更正: 用于高级直肠癌多式治疗的空管式类似海绵</w:t>
        </w:r>
      </w:hyperlink>
    </w:p>
    <w:p>
      <w:pPr>
        <w:spacing w:before="0" w:after="80"/>
      </w:pPr>
      <w:r>
        <w:rPr>
          <w:i/>
          <w:sz w:val="20"/>
        </w:rPr>
        <w:t>EN: Author Correction: A hollow-tube-like hydrospongel for multimodal therapy of advanced colorectal cancer</w:t>
      </w:r>
    </w:p>
    <w:p>
      <w:pPr>
        <w:spacing w:before="0" w:after="120"/>
      </w:pPr>
      <w:r>
        <w:rPr>
          <w:b/>
        </w:rPr>
        <w:t xml:space="preserve">Source: </w:t>
      </w:r>
      <w:r>
        <w:t>Nature Communications</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考虑将网络-物理-交通与多资源协作连接起来的灾后分配网络的负载恢复战略</w:t>
        </w:r>
      </w:hyperlink>
    </w:p>
    <w:p>
      <w:pPr>
        <w:spacing w:before="0" w:after="80"/>
      </w:pPr>
      <w:r>
        <w:rPr>
          <w:i/>
          <w:sz w:val="20"/>
        </w:rPr>
        <w:t>EN: Load restoration strategy for post-disaster distribution networks considering cyber-physical-traffic coupling with multi-resource collaboration</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基金组织条件条件下的太阳能过渡:巴基斯坦分配正义和能源政策的当务之急</w:t>
        </w:r>
      </w:hyperlink>
    </w:p>
    <w:p>
      <w:pPr>
        <w:spacing w:before="0" w:after="80"/>
      </w:pPr>
      <w:r>
        <w:rPr>
          <w:i/>
          <w:sz w:val="20"/>
        </w:rPr>
        <w:t>EN: Solar energy transition under IMF conditionality: Distributive justice and energy policy imperative in Pakistan</w:t>
      </w:r>
    </w:p>
    <w:p>
      <w:pPr>
        <w:spacing w:before="0" w:after="120"/>
      </w:pPr>
      <w:r>
        <w:rPr>
          <w:b/>
        </w:rPr>
        <w:t xml:space="preserve">Source: </w:t>
      </w:r>
      <w:r>
        <w:t>ScienceDirect Publication: Energy Policy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
        <w:r>
          <w:rPr>
            <w:color w:val="1155CC"/>
            <w:u w:val="single"/>
          </w:rPr>
          <w:t>利用高效的电离液进行可持续太阳能冷却的灵活混合能源热泵</w:t>
        </w:r>
      </w:hyperlink>
    </w:p>
    <w:p>
      <w:pPr>
        <w:spacing w:before="0" w:after="80"/>
      </w:pPr>
      <w:r>
        <w:rPr>
          <w:i/>
          <w:sz w:val="20"/>
        </w:rPr>
        <w:t>EN: A flexible hybrid-energy heat pump using efficient ionic liquids for sustainable solar cooling</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相关不确定因素下社区多能源系统风险反多风险多时间规模的多时间随机集成框架</w:t>
        </w:r>
      </w:hyperlink>
    </w:p>
    <w:p>
      <w:pPr>
        <w:spacing w:before="0" w:after="80"/>
      </w:pPr>
      <w:r>
        <w:rPr>
          <w:i/>
          <w:sz w:val="20"/>
        </w:rPr>
        <w:t>EN: A risk-averse multi-timescale stochastic integration framework for a community multi-energy system under correlated uncertainties</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0">
        <w:r>
          <w:rPr>
            <w:color w:val="1155CC"/>
            <w:u w:val="single"/>
          </w:rPr>
          <w:t>通过有天气意识的安保制约因素加强电网复原力:与有线新闻新闻网-GRU混合结构进行深入强化学习</w:t>
        </w:r>
      </w:hyperlink>
    </w:p>
    <w:p>
      <w:pPr>
        <w:spacing w:before="0" w:after="80"/>
      </w:pPr>
      <w:r>
        <w:rPr>
          <w:i/>
          <w:sz w:val="20"/>
        </w:rPr>
        <w:t>EN: Enhancing power grid resilience through weather-aware security constraints: A deep reinforcement learning approach with hybrid CNN-GRU architecture</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
        <w:r>
          <w:rPr>
            <w:color w:val="1155CC"/>
            <w:u w:val="single"/>
          </w:rPr>
          <w:t>在减少酸电化学CO2减少过程中,用于盐降水管理的无膜无含二氧化碳CO2氢化电解器</w:t>
        </w:r>
      </w:hyperlink>
    </w:p>
    <w:p>
      <w:pPr>
        <w:spacing w:before="0" w:after="80"/>
      </w:pPr>
      <w:r>
        <w:rPr>
          <w:i/>
          <w:sz w:val="20"/>
        </w:rPr>
        <w:t>EN: Membrane-free CO2 hydrogenation electrolyzer for salt precipitation management in acidic electrochemical CO2 reduction</w:t>
      </w:r>
    </w:p>
    <w:p>
      <w:pPr>
        <w:spacing w:before="0" w:after="120"/>
      </w:pPr>
      <w:r>
        <w:rPr>
          <w:b/>
        </w:rPr>
        <w:t xml:space="preserve">Source: </w:t>
      </w:r>
      <w:r>
        <w:t>Nature Communications</w:t>
      </w:r>
      <w:r>
        <w:t xml:space="preserve">    </w:t>
      </w:r>
      <w:r>
        <w:rPr>
          <w:b/>
        </w:rPr>
        <w:t xml:space="preserve">Pub date: </w:t>
      </w:r>
      <w:r>
        <w:t>2026-01-17 00:00:00+00:00</w:t>
      </w:r>
    </w:p>
    <w:p>
      <w:pPr>
        <w:spacing w:before="0" w:after="120"/>
      </w:pPr>
      <w:r>
        <w:rPr>
          <w:b/>
        </w:rPr>
        <w:t xml:space="preserve">Notes: </w:t>
      </w:r>
      <w:r>
        <w:t>abstract_source=nature_html</w:t>
      </w:r>
    </w:p>
    <w:p>
      <w:pPr>
        <w:spacing w:before="0" w:after="80" w:lineRule="auto" w:line="276"/>
      </w:pPr>
      <w:r>
        <w:rPr>
          <w:b/>
        </w:rPr>
        <w:t xml:space="preserve">摘要（ZH）: </w:t>
      </w:r>
      <w:r>
        <w:t>酸电解液中的电化学CO2减少(ECR)最大限度地减少CO2损失和碳酸形成问题,使CO2利用效率高,并显示出良好的实际CO2升级应用潜力,然而,在以膜为基础的电解器中,质子通过膜电解器将效率从阴极向阴极转移,对于酸性ECR中的阴极pH的稳定性至关重要,特别是在高当前密度和长期电解过程中。在这里,我们调查不同酸性ECR电解器中的质子转移效率和盐降水的影响,并提出无膜CO2氢化电解器,将CO2的减少与氢氧化结合起来。这种电解设计在酸性ECR中有效地保持了稳定的电解pH值。</w:t>
      </w:r>
    </w:p>
    <w:p>
      <w:pPr>
        <w:spacing w:before="0" w:after="200" w:lineRule="auto" w:line="276"/>
      </w:pPr>
      <w:r>
        <w:rPr>
          <w:b/>
        </w:rPr>
        <w:t xml:space="preserve">Abstract (EN): </w:t>
      </w:r>
      <w:r>
        <w:t>Electrochemical CO2 reduction (ECR) in acidic electrolytes minimizes CO2 loss and carbonate formation issues, allowing for high CO2 utilization efficiency and showing good potential for practical CO2 upgrading applications. However, in the membrane-based electrolyzer, the proton transfer efficiency across the membrane from the anolyte to the catholyte is crucial for the stability of the catholyte pH in acidic ECR, especially at high current density and during long-term electrolysis. Here, we investigate the effects of proton transfer efficiency and salt precipitation in different acidic ECR electrolyzer and propose a membrane-free CO2 hydrogenation electrolyzer, which couple CO2 reduction and hydrogen oxidation. This electrolyzer design effectively maintains a stable electrolyte pH during long-term electrolysis, and simultaneously achieves high Faradaic efficiency for HCOOH production, high single-pass carbon utilization efficiency, and a lower cell voltage. At a current density of 100 mA cm−2, the system requires only 1.7 V to achieve a 90% HCOOH Faradaic efficiency and demonstrates stable operation for 208 hours.</w:t>
      </w:r>
    </w:p>
    <w:p>
      <w:pPr>
        <w:spacing w:before="120" w:after="120"/>
      </w:pPr>
      <w:r>
        <w:rPr>
          <w:sz w:val="18"/>
        </w:rPr>
        <w:t>——————————————————————————————————————————————————————————————————————</w:t>
      </w:r>
    </w:p>
    <w:p>
      <w:pPr>
        <w:spacing w:before="160" w:after="40" w:line="240" w:lineRule="auto"/>
      </w:pPr>
      <w:r>
        <w:rPr>
          <w:b/>
        </w:rPr>
        <w:t xml:space="preserve">[14] </w:t>
      </w:r>
      <w:hyperlink r:id="rId22">
        <w:r>
          <w:rPr>
            <w:color w:val="1155CC"/>
            <w:u w:val="single"/>
          </w:rPr>
          <w:t>以不同不同的注意力驱动的深入强化学习,用便携交付和时间窗口解决EVRP</w:t>
        </w:r>
      </w:hyperlink>
    </w:p>
    <w:p>
      <w:pPr>
        <w:spacing w:before="0" w:after="80"/>
      </w:pPr>
      <w:r>
        <w:rPr>
          <w:i/>
          <w:sz w:val="20"/>
        </w:rPr>
        <w:t>EN: Heterogeneous attention-driven deep reinforcement learning for solving EVRPs with pickup-delivery and time windows</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3">
        <w:r>
          <w:rPr>
            <w:color w:val="1155CC"/>
            <w:u w:val="single"/>
          </w:rPr>
          <w:t>无人驾驶飞行器应用的轻量和高效管管SOFC设计:多物理学建模和性能优化</w:t>
        </w:r>
      </w:hyperlink>
    </w:p>
    <w:p>
      <w:pPr>
        <w:spacing w:before="0" w:after="80"/>
      </w:pPr>
      <w:r>
        <w:rPr>
          <w:i/>
          <w:sz w:val="20"/>
        </w:rPr>
        <w:t>EN: Lightweight and efficient tubular SOFC design for UAV applications: multi-physics modeling and performance optimization</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
        <w:r>
          <w:rPr>
            <w:color w:val="1155CC"/>
            <w:u w:val="single"/>
          </w:rPr>
          <w:t>能源管理战略如何形成最佳微电网设计:对EV充电站的比较分析</w:t>
        </w:r>
      </w:hyperlink>
    </w:p>
    <w:p>
      <w:pPr>
        <w:spacing w:before="0" w:after="80"/>
      </w:pPr>
      <w:r>
        <w:rPr>
          <w:i/>
          <w:sz w:val="20"/>
        </w:rPr>
        <w:t>EN: How energy management strategy shapes optimal microgrid design: A comparative analysis for EV charging stations</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乙醇对汽油:常规政策和缓慢吸收</w:t>
        </w:r>
      </w:hyperlink>
    </w:p>
    <w:p>
      <w:pPr>
        <w:spacing w:before="0" w:after="80"/>
      </w:pPr>
      <w:r>
        <w:rPr>
          <w:i/>
          <w:sz w:val="20"/>
        </w:rPr>
        <w:t>EN: Ethanol vs. gasoline: conventional policies and the slow uptake</w:t>
      </w:r>
    </w:p>
    <w:p>
      <w:pPr>
        <w:spacing w:before="0" w:after="120"/>
      </w:pPr>
      <w:r>
        <w:rPr>
          <w:b/>
        </w:rPr>
        <w:t xml:space="preserve">Source: </w:t>
      </w:r>
      <w:r>
        <w:t>ScienceDirect Publication: Energy Policy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6">
        <w:r>
          <w:rPr>
            <w:color w:val="1155CC"/>
            <w:u w:val="single"/>
          </w:rPr>
          <w:t>出版商校正: Terahertz 场对二维半导体的影响</w:t>
        </w:r>
      </w:hyperlink>
    </w:p>
    <w:p>
      <w:pPr>
        <w:spacing w:before="0" w:after="80"/>
      </w:pPr>
      <w:r>
        <w:rPr>
          <w:i/>
          <w:sz w:val="20"/>
        </w:rPr>
        <w:t>EN: Publisher Correction: Terahertz field effect in a two-dimensional semiconductor</w:t>
      </w:r>
    </w:p>
    <w:p>
      <w:pPr>
        <w:spacing w:before="0" w:after="120"/>
      </w:pPr>
      <w:r>
        <w:rPr>
          <w:b/>
        </w:rPr>
        <w:t xml:space="preserve">Source: </w:t>
      </w:r>
      <w:r>
        <w:t>Nature Communications</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7">
        <w:r>
          <w:rPr>
            <w:color w:val="1155CC"/>
            <w:u w:val="single"/>
          </w:rPr>
          <w:t>绘制整个电力市场设计的价格动态图:功能数据方法,使STL分解</w:t>
        </w:r>
      </w:hyperlink>
    </w:p>
    <w:p>
      <w:pPr>
        <w:spacing w:before="0" w:after="80"/>
      </w:pPr>
      <w:r>
        <w:rPr>
          <w:i/>
          <w:sz w:val="20"/>
        </w:rPr>
        <w:t>EN: Mapping price dynamics across electricity market designs: A functional data approach with STL decomposition</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8">
        <w:r>
          <w:rPr>
            <w:color w:val="1155CC"/>
            <w:u w:val="single"/>
          </w:rPr>
          <w:t>将绿色氢生产和电力能源储存纳入不确定的能源界</w:t>
        </w:r>
      </w:hyperlink>
    </w:p>
    <w:p>
      <w:pPr>
        <w:spacing w:before="0" w:after="80"/>
      </w:pPr>
      <w:r>
        <w:rPr>
          <w:i/>
          <w:sz w:val="20"/>
        </w:rPr>
        <w:t>EN: Integrating green hydrogen production and electrical energy storage in energy communities under uncertainty</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9">
        <w:r>
          <w:rPr>
            <w:color w:val="1155CC"/>
            <w:u w:val="single"/>
          </w:rPr>
          <w:t>Af-CUT&amp;Tag:使用转基因编码标签和与第5n5号引信的高亲近粘合剂的敏感和抗体无染色体特征分析方法</w:t>
        </w:r>
      </w:hyperlink>
    </w:p>
    <w:p>
      <w:pPr>
        <w:spacing w:before="0" w:after="80"/>
      </w:pPr>
      <w:r>
        <w:rPr>
          <w:i/>
          <w:sz w:val="20"/>
        </w:rPr>
        <w:t>EN: Af-CUT&amp;Tag: a sensitive and antibody-free chromatin profiling method using genetically encoded tags and high-affinity binders fused to Tn5</w:t>
      </w:r>
    </w:p>
    <w:p>
      <w:pPr>
        <w:spacing w:before="0" w:after="120"/>
      </w:pPr>
      <w:r>
        <w:rPr>
          <w:b/>
        </w:rPr>
        <w:t xml:space="preserve">Source: </w:t>
      </w:r>
      <w:r>
        <w:t>Nature Communications</w:t>
      </w:r>
      <w:r>
        <w:t xml:space="preserve">    </w:t>
      </w:r>
      <w:r>
        <w:rPr>
          <w:b/>
        </w:rPr>
        <w:t xml:space="preserve">Pub date: </w:t>
      </w:r>
      <w:r>
        <w:t>2026-01-17 00:00:00+00:00</w:t>
      </w:r>
    </w:p>
    <w:p>
      <w:pPr>
        <w:spacing w:before="0" w:after="120"/>
      </w:pPr>
      <w:r>
        <w:rPr>
          <w:b/>
        </w:rPr>
        <w:t xml:space="preserve">Notes: </w:t>
      </w:r>
      <w:r>
        <w:t>abstract_source=nature_html</w:t>
      </w:r>
    </w:p>
    <w:p>
      <w:pPr>
        <w:spacing w:before="0" w:after="80" w:lineRule="auto" w:line="276"/>
      </w:pPr>
      <w:r>
        <w:rPr>
          <w:b/>
        </w:rPr>
        <w:t xml:space="preserve">摘要（ZH）: </w:t>
      </w:r>
      <w:r>
        <w:t>常规染色体貌相技术往往受到抗体的可用性和性能的限制。 在这里,我们引入了Af-CUT &amp; Tag, 这是一种目标抗体无污染方法,通过使用由工程成像器(LgBit/NbALFAFA)结合成Tn5转容器的CRIPR-集成peptide标签(HiBit/ALFA-tag),克服了这些限制。Af-CUT &amp; Tag 消除了对传统目标抗体的依赖,实现了强健的特性和敏感性,只有500个细胞。它提供了高质量的染色体特征,与传统的抗体对应方相比,信号对噪音的比例和图书馆质量都有所提高,同时还使单细胞分辨率(scAf-CUT &amp; Tag)得以在肝再生期间对Hippo效应器应用Af-CUT&amp;Tag(YAP1/TAZ)显示了动态染色体的模型,</w:t>
      </w:r>
    </w:p>
    <w:p>
      <w:pPr>
        <w:spacing w:before="0" w:after="200" w:lineRule="auto" w:line="276"/>
      </w:pPr>
      <w:r>
        <w:rPr>
          <w:b/>
        </w:rPr>
        <w:t xml:space="preserve">Abstract (EN): </w:t>
      </w:r>
      <w:r>
        <w:t>Conventional chromatin profiling techniques are often limited by antibody availability and performance. Here, we introduce Af-CUT&amp;Tag, a target antibody-free method that overcomes these limitations by using CRISPR-integrated peptide tags (HiBiT/ALFA-tag) recognized by engineered binders (LgBiT/NbALFA) fused to a Tn5 transposase. Af-CUT&amp;Tag eliminates dependence on traditional target antibodies, achieving robust specificity and sensitivity with as few as 500 cells. It provides high-quality chromatin profiles, with improved signal-to-noise ratios and library quality compared with conventional antibody-based counterparts, while also enabling single-cell resolution (scAf-CUT&amp;Tag). Applying Af-CUT&amp;Tag to Hippo effectors (YAP1/TAZ) during liver regeneration reveals dynamic chromatin remodeling, including YAP1/TAZ-mediated control of lipid metabolism (e.g., Lpin1, Fasn) and heme clearance (Hpx, Trf). We further identify miR-122 as a critical regulator of these processes, impacting liver regeneration. The versatility of Af-CUT&amp;Tag in cell lines, bulk tissues, and single nuclei establishes it as a powerful tool for studying gene regulation in development, disease, and regeneration.</w:t>
      </w:r>
    </w:p>
    <w:p>
      <w:pPr>
        <w:spacing w:before="120" w:after="120"/>
      </w:pPr>
      <w:r>
        <w:rPr>
          <w:sz w:val="18"/>
        </w:rPr>
        <w:t>——————————————————————————————————————————————————————————————————————</w:t>
      </w:r>
    </w:p>
    <w:p>
      <w:pPr>
        <w:spacing w:before="160" w:after="40" w:line="240" w:lineRule="auto"/>
      </w:pPr>
      <w:r>
        <w:rPr>
          <w:b/>
        </w:rPr>
        <w:t xml:space="preserve">[22] </w:t>
      </w:r>
      <w:hyperlink r:id="rId30">
        <w:r>
          <w:rPr>
            <w:color w:val="1155CC"/>
            <w:u w:val="single"/>
          </w:rPr>
          <w:t>高温钠硫固定电池的高精度动态模型</w:t>
        </w:r>
      </w:hyperlink>
    </w:p>
    <w:p>
      <w:pPr>
        <w:spacing w:before="0" w:after="80"/>
      </w:pPr>
      <w:r>
        <w:rPr>
          <w:i/>
          <w:sz w:val="20"/>
        </w:rPr>
        <w:t>EN: High-accuracy dynamic model of high-temperature sodium-sulfur stationary battery</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1">
        <w:r>
          <w:rPr>
            <w:color w:val="1155CC"/>
            <w:u w:val="single"/>
          </w:rPr>
          <w:t>为控制住住住以居居中心建筑物而进行强化学习:关于节能、舒适和室内空气质量最佳利用的审查和部署框架</w:t>
        </w:r>
      </w:hyperlink>
    </w:p>
    <w:p>
      <w:pPr>
        <w:spacing w:before="0" w:after="80"/>
      </w:pPr>
      <w:r>
        <w:rPr>
          <w:i/>
          <w:sz w:val="20"/>
        </w:rPr>
        <w:t>EN: Hybrid Reinforcement Learning for occupant-centric building control: A review and deployment framework for co-optimizing energy, comfort, and indoor air quality</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
        <w:r>
          <w:rPr>
            <w:color w:val="1155CC"/>
            <w:u w:val="single"/>
          </w:rPr>
          <w:t>利用基于物理学的经济非线性非经济电离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w:t>
        </w:r>
      </w:hyperlink>
    </w:p>
    <w:p>
      <w:pPr>
        <w:spacing w:before="0" w:after="80"/>
      </w:pPr>
      <w:r>
        <w:rPr>
          <w:i/>
          <w:sz w:val="20"/>
        </w:rPr>
        <w:t>EN: Sequential operation of residential energy hubs using physics-based economic nonlinear MPC</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3">
        <w:r>
          <w:rPr>
            <w:color w:val="1155CC"/>
            <w:u w:val="single"/>
          </w:rPr>
          <w:t>Smc5/6的分子决定因素与DNA连接点有关</w:t>
        </w:r>
      </w:hyperlink>
    </w:p>
    <w:p>
      <w:pPr>
        <w:spacing w:before="0" w:after="80"/>
      </w:pPr>
      <w:r>
        <w:rPr>
          <w:i/>
          <w:sz w:val="20"/>
        </w:rPr>
        <w:t>EN: Molecular determinants of Smc5/6 association with DNA junctions</w:t>
      </w:r>
    </w:p>
    <w:p>
      <w:pPr>
        <w:spacing w:before="0" w:after="120"/>
      </w:pPr>
      <w:r>
        <w:rPr>
          <w:b/>
        </w:rPr>
        <w:t xml:space="preserve">Source: </w:t>
      </w:r>
      <w:r>
        <w:t>Nature Communications</w:t>
      </w:r>
      <w:r>
        <w:t xml:space="preserve">    </w:t>
      </w:r>
      <w:r>
        <w:rPr>
          <w:b/>
        </w:rPr>
        <w:t xml:space="preserve">Pub date: </w:t>
      </w:r>
      <w:r>
        <w:t>2026-01-17 00:00:00+00:00</w:t>
      </w:r>
    </w:p>
    <w:p>
      <w:pPr>
        <w:spacing w:before="0" w:after="120"/>
      </w:pPr>
      <w:r>
        <w:rPr>
          <w:b/>
        </w:rPr>
        <w:t xml:space="preserve">Notes: </w:t>
      </w:r>
      <w:r>
        <w:t>abstract_source=nature_html</w:t>
      </w:r>
    </w:p>
    <w:p>
      <w:pPr>
        <w:spacing w:before="0" w:after="80" w:lineRule="auto" w:line="276"/>
      </w:pPr>
      <w:r>
        <w:rPr>
          <w:b/>
        </w:rPr>
        <w:t xml:space="preserve">摘要（ZH）: </w:t>
      </w:r>
      <w:r>
        <w:t>Smc5/6是一个基本的基因组维护综合体,它与双层(d)DNA、单层(s)DNA和 ss-dsDNA交叉点相互作用。DNA协会是Smc5/6在管理基因组复制和修复过程中生成的中间体方面功能的基础。然而,这一活动的机制还没有得到完全理解。在这里,我们报告了一项单分子研究,检查Smc5/6与含有三、五个交界点的SsDNA基底板的连接点。我们发现,Smc5/6与三、五个交界点都有关联点,但选择了三关点在有sDNA结合的复合RPA面前。此外,Smc5/6的连接点频率和时间由两个非SMC子组合体和DNA结合的Smc6.此外,Smc5/6更倾向于对双交点具有约束力。</w:t>
      </w:r>
    </w:p>
    <w:p>
      <w:pPr>
        <w:spacing w:before="0" w:after="200" w:lineRule="auto" w:line="276"/>
      </w:pPr>
      <w:r>
        <w:rPr>
          <w:b/>
        </w:rPr>
        <w:t xml:space="preserve">Abstract (EN): </w:t>
      </w:r>
      <w:r>
        <w:t>Smc5/6 is an essential genome maintenance complex that interacts with double-stranded (ds) DNA, single-stranded (ss) DNA, and ss-dsDNA junctions. DNA association underlies Smc5/6’s functions in managing intermediates generated during genome replication and repair. However, the mechanisms of this activity are not fully understood. Here, we report a single-molecule study examining Smc5/6 association with a dsDNA substrate containing a ssDNA gap with defined 3’ and 5’ junctions. We found that Smc5/6 associates with both 3’ and 5’ junctions but prefers the 3’ junction in the presence of the ssDNA-binding complex RPA. Further, Smc5/6’s junction association frequency and dwell time are regulated by two non-SMC subcomplexes and DNA binding residues of Smc6. Moreover, Smc5/6 prefers binding to junction sites free of the sliding clamp PCNA over those occupied with it. These results suggest that Smc5/6 utilizes its multiple structural modules to associate with junction sites in coordination with other genome maintenance factors.</w:t>
      </w:r>
    </w:p>
    <w:p>
      <w:pPr>
        <w:spacing w:before="120" w:after="120"/>
      </w:pPr>
      <w:r>
        <w:rPr>
          <w:sz w:val="18"/>
        </w:rPr>
        <w:t>——————————————————————————————————————————————————————————————————————</w:t>
      </w:r>
    </w:p>
    <w:p>
      <w:pPr>
        <w:spacing w:before="160" w:after="40" w:line="240" w:lineRule="auto"/>
      </w:pPr>
      <w:r>
        <w:rPr>
          <w:b/>
        </w:rPr>
        <w:t xml:space="preserve">[26] </w:t>
      </w:r>
      <w:hyperlink r:id="rId34">
        <w:r>
          <w:rPr>
            <w:color w:val="1155CC"/>
            <w:u w:val="single"/>
          </w:rPr>
          <w:t>通过塑料废物的热解转化可持续生产替代航空燃料:技术经济分析和生命周期评估</w:t>
        </w:r>
      </w:hyperlink>
    </w:p>
    <w:p>
      <w:pPr>
        <w:spacing w:before="0" w:after="80"/>
      </w:pPr>
      <w:r>
        <w:rPr>
          <w:i/>
          <w:sz w:val="20"/>
        </w:rPr>
        <w:t>EN: Sustainable production of alternative aviation fuel via thermolytic conversion of plastic waste: techno-economic analysis and life cycle assessment</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5">
        <w:r>
          <w:rPr>
            <w:color w:val="1155CC"/>
            <w:u w:val="single"/>
          </w:rPr>
          <w:t>自然氢技术经济学和估价</w:t>
        </w:r>
      </w:hyperlink>
    </w:p>
    <w:p>
      <w:pPr>
        <w:spacing w:before="0" w:after="80"/>
      </w:pPr>
      <w:r>
        <w:rPr>
          <w:i/>
          <w:sz w:val="20"/>
        </w:rPr>
        <w:t>EN: Natural hydrogen techno-economics and valuation</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6">
        <w:r>
          <w:rPr>
            <w:color w:val="1155CC"/>
            <w:u w:val="single"/>
          </w:rPr>
          <w:t>根据双型模型合用和网上错误更正对光伏发电的适应性预测</w:t>
        </w:r>
      </w:hyperlink>
    </w:p>
    <w:p>
      <w:pPr>
        <w:spacing w:before="0" w:after="80"/>
      </w:pPr>
      <w:r>
        <w:rPr>
          <w:i/>
          <w:sz w:val="20"/>
        </w:rPr>
        <w:t>EN: Adaptive forecasting of photovoltaic power based on dual-type models’ ensemble and online error correction</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37">
        <w:r>
          <w:rPr>
            <w:color w:val="1155CC"/>
            <w:u w:val="single"/>
          </w:rPr>
          <w:t>在超高排放条件下使用物理知情神经网络对锂离电池进行内部温度感测</w:t>
        </w:r>
      </w:hyperlink>
    </w:p>
    <w:p>
      <w:pPr>
        <w:spacing w:before="0" w:after="80"/>
      </w:pPr>
      <w:r>
        <w:rPr>
          <w:i/>
          <w:sz w:val="20"/>
        </w:rPr>
        <w:t>EN: Internal temperature sensing for lithium-ion battery under ultrahigh-rate discharge conditions using physics-informed neural network</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8">
        <w:r>
          <w:rPr>
            <w:color w:val="1155CC"/>
            <w:u w:val="single"/>
          </w:rPr>
          <w:t>优化氢能设计,支持以氢能设备行为模式在不确定条件下倒置为基础的微电网网络能力</w:t>
        </w:r>
      </w:hyperlink>
    </w:p>
    <w:p>
      <w:pPr>
        <w:spacing w:before="0" w:after="80"/>
      </w:pPr>
      <w:r>
        <w:rPr>
          <w:i/>
          <w:sz w:val="20"/>
        </w:rPr>
        <w:t>EN: Optimization design of hydrogen energy supported microgrid network capacity based on hydrogen energy equipment behavior pattern inversion under uncertain conditions</w:t>
      </w:r>
    </w:p>
    <w:p>
      <w:pPr>
        <w:spacing w:before="0" w:after="120"/>
      </w:pPr>
      <w:r>
        <w:rPr>
          <w:b/>
        </w:rPr>
        <w:t xml:space="preserve">Source: </w:t>
      </w:r>
      <w:r>
        <w:t>ScienceDirect Publication: Applied Energy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39">
        <w:r>
          <w:rPr>
            <w:color w:val="1155CC"/>
            <w:u w:val="single"/>
          </w:rPr>
          <w:t>饮食碳水合水合物对脂肪比率对代谢剖面图的重量依赖影响:5个月随机控制喂食试验的次级结果</w:t>
        </w:r>
      </w:hyperlink>
    </w:p>
    <w:p>
      <w:pPr>
        <w:spacing w:before="0" w:after="80"/>
      </w:pPr>
      <w:r>
        <w:rPr>
          <w:i/>
          <w:sz w:val="20"/>
        </w:rPr>
        <w:t>EN: Weight-independent effects of dietary carbohydrate-to-fat ratio on metabolomic profiles: secondary outcomes of a 5-month randomized controlled feeding trial</w:t>
      </w:r>
    </w:p>
    <w:p>
      <w:pPr>
        <w:spacing w:before="0" w:after="120"/>
      </w:pPr>
      <w:r>
        <w:rPr>
          <w:b/>
        </w:rPr>
        <w:t xml:space="preserve">Source: </w:t>
      </w:r>
      <w:r>
        <w:t>Nature Communications</w:t>
      </w:r>
      <w:r>
        <w:t xml:space="preserve">    </w:t>
      </w:r>
      <w:r>
        <w:rPr>
          <w:b/>
        </w:rPr>
        <w:t xml:space="preserve">Pub date: </w:t>
      </w:r>
      <w:r>
        <w:t>2026-01-17 00:00:00+00:00</w:t>
      </w:r>
    </w:p>
    <w:p>
      <w:pPr>
        <w:spacing w:before="0" w:after="120"/>
      </w:pPr>
      <w:r>
        <w:rPr>
          <w:b/>
        </w:rPr>
        <w:t xml:space="preserve">Notes: </w:t>
      </w:r>
      <w:r>
        <w:t>abstract_source=nature_html</w:t>
      </w:r>
    </w:p>
    <w:p>
      <w:pPr>
        <w:spacing w:before="0" w:after="80" w:lineRule="auto" w:line="276"/>
      </w:pPr>
      <w:r>
        <w:rPr>
          <w:b/>
        </w:rPr>
        <w:t xml:space="preserve">摘要（ZH）: </w:t>
      </w:r>
      <w:r>
        <w:t>在Framingham州食品研究[FS]2]为期20周的体重损失维持阶段(n = 57),一个受控的平行喂养试验(Clinicaljudges.gov:NCT0268885),我们利用完成研究的147名参与者的样本(分别为45、48和54个高、中度和低度碳水化合物饮食组),对164名超重或肥胖成人随机分配给高(n=54)、中度(n=53)或低碳水化合物(n=57)饮食的代谢物质进行代谢适应调查。</w:t>
      </w:r>
    </w:p>
    <w:p>
      <w:pPr>
        <w:spacing w:before="0" w:after="200" w:lineRule="auto" w:line="276"/>
      </w:pPr>
      <w:r>
        <w:rPr>
          <w:b/>
        </w:rPr>
        <w:t xml:space="preserve">Abstract (EN): </w:t>
      </w:r>
      <w:r>
        <w:t>Diet plays a crucial role in health, with low-carbohydrate diets often proposed to exert metabolic benefits. We aim to investigate metabolomic adaptations in 164 adults with overweight or obesity who were randomly assigned to high- (n = 54), moderate- (n = 53), or low-carbohydrate (n = 57) diets during a 20-week weight-loss maintenance phase of the Framingham State Food Study [(FS)2], a controlled, parallel feeding trial (ClinicalTrials.gov: NCT02068885). We measure fasting plasma metabolites by liquid chromatography-tandem mass spectrometry using samples from 147 participants who completed the study (n = 45, 48, and 54 in the high-, moderate-, and low-carbohydrate diet groups, respectively). Significant associations (False Discovery Rate</w:t>
      </w:r>
    </w:p>
    <w:p>
      <w:pPr>
        <w:spacing w:before="120" w:after="120"/>
      </w:pPr>
      <w:r>
        <w:rPr>
          <w:sz w:val="18"/>
        </w:rPr>
        <w:t>——————————————————————————————————————————————————————————————————————</w:t>
      </w:r>
    </w:p>
    <w:p>
      <w:pPr>
        <w:spacing w:before="160" w:after="40" w:line="240" w:lineRule="auto"/>
      </w:pPr>
      <w:r>
        <w:rPr>
          <w:b/>
        </w:rPr>
        <w:t xml:space="preserve">[32] </w:t>
      </w:r>
      <w:hyperlink r:id="rId40">
        <w:r>
          <w:rPr>
            <w:color w:val="1155CC"/>
            <w:u w:val="single"/>
          </w:rPr>
          <w:t>美国页岩能源部门在全球经济支离破碎支离破碎的情况下推行国内政策</w:t>
        </w:r>
      </w:hyperlink>
    </w:p>
    <w:p>
      <w:pPr>
        <w:spacing w:before="0" w:after="80"/>
      </w:pPr>
      <w:r>
        <w:rPr>
          <w:i/>
          <w:sz w:val="20"/>
        </w:rPr>
        <w:t>EN: The U.S. shale energy sector navigating domestic policies in a fragmenting global economy</w:t>
      </w:r>
    </w:p>
    <w:p>
      <w:pPr>
        <w:spacing w:before="0" w:after="120"/>
      </w:pPr>
      <w:r>
        <w:rPr>
          <w:b/>
        </w:rPr>
        <w:t xml:space="preserve">Source: </w:t>
      </w:r>
      <w:r>
        <w:t>ScienceDirect Publication: Energy Policy</w:t>
      </w:r>
      <w:r>
        <w:t xml:space="preserve">    </w:t>
      </w:r>
      <w:r>
        <w:rPr>
          <w:b/>
        </w:rPr>
        <w:t xml:space="preserve">Pub date: </w:t>
      </w:r>
      <w:r>
        <w:t>2026-01-17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1">
        <w:r>
          <w:rPr>
            <w:color w:val="1155CC"/>
            <w:u w:val="single"/>
          </w:rPr>
          <w:t>辐射交叉链接产生的电磁电</w:t>
        </w:r>
      </w:hyperlink>
    </w:p>
    <w:p>
      <w:pPr>
        <w:spacing w:before="0" w:after="80"/>
      </w:pPr>
      <w:r>
        <w:rPr>
          <w:i/>
          <w:sz w:val="20"/>
        </w:rPr>
        <w:t>EN: Elastic Ferroelectric by Radiation Crosslinking</w:t>
      </w:r>
    </w:p>
    <w:p>
      <w:pPr>
        <w:spacing w:before="0" w:after="120"/>
      </w:pPr>
      <w:r>
        <w:rPr>
          <w:b/>
        </w:rPr>
        <w:t xml:space="preserve">Source: </w:t>
      </w:r>
      <w:r>
        <w:t>Wiley: Advanced Materials: Table of Contents</w:t>
      </w:r>
      <w:r>
        <w:t xml:space="preserve">    </w:t>
      </w:r>
      <w:r>
        <w:rPr>
          <w:b/>
        </w:rPr>
        <w:t xml:space="preserve">Pub date: </w:t>
      </w:r>
      <w:r>
        <w:t>2026-01-17 04:55:18+00:00</w:t>
      </w:r>
      <w:r>
        <w:t xml:space="preserve">    </w:t>
      </w:r>
      <w:r>
        <w:rPr>
          <w:b/>
        </w:rPr>
        <w:t xml:space="preserve">DOI: </w:t>
      </w:r>
      <w:hyperlink r:id="rId42">
        <w:r>
          <w:rPr>
            <w:color w:val="1155CC"/>
            <w:u w:val="single"/>
          </w:rPr>
          <w:t>10.1002/adma.72165</w:t>
        </w:r>
      </w:hyperlink>
    </w:p>
    <w:p>
      <w:pPr>
        <w:spacing w:before="0" w:after="120"/>
      </w:pPr>
      <w:r>
        <w:rPr>
          <w:b/>
        </w:rPr>
        <w:t xml:space="preserve">Notes: </w:t>
      </w:r>
      <w:r>
        <w:t>abstract_source=crossref</w:t>
      </w:r>
    </w:p>
    <w:p>
      <w:pPr>
        <w:spacing w:before="0" w:after="80" w:lineRule="auto" w:line="276"/>
      </w:pPr>
      <w:r>
        <w:rPr>
          <w:b/>
        </w:rPr>
        <w:t xml:space="preserve">摘要（ZH）: </w:t>
      </w:r>
      <w:r>
        <w:t>随着可磨损电子技术的快速发展,由热和光化学交叉连接制成的弹性铁电在可磨损装置中具有巨大的潜在应用潜力,然而,由于这些交叉反应,例如高交叉温度、长处理时间、发源残留物、穿透深度有限等,挑战来自这些交叉反应,相比之下,高能粒子在室温下引发的辐射交叉联系,由于缺少活跃端组和启动器、快速交叉速度、深度渗透和无害环境等优势而提高了产能材料的特性,如缺乏活跃端组和启动器、快速交叉速度、深度渗透和无害环境。</w:t>
      </w:r>
    </w:p>
    <w:p>
      <w:pPr>
        <w:spacing w:before="0" w:after="200" w:lineRule="auto" w:line="276"/>
      </w:pPr>
      <w:r>
        <w:rPr>
          <w:b/>
        </w:rPr>
        <w:t xml:space="preserve">Abstract (EN): </w:t>
      </w:r>
      <w:r>
        <w:t>With the rapid advancement of wearable electronics, elastic ferroelectrics, which have been prepared by thermal and photochemical crosslinking, possess tremendous potential applications in wearable devices. However, challenges arose from these crosslinking reactions, such as high crosslinking temperature, long processing time, initiator residues, limited penetration depths. In contrast, radiation crosslinking, triggered by high‐energy particles at room temperature, yields materials with enhanced properties by offering advantages like the absence of active end‐groups and initiators, fast crosslinking speed, deep penetration, and environmental friendliness. In this study, the elastification of ferroelectric polymers, with normal ferroelectric poly(vinylidene fluoride‐co‐trifluoroethylene) (P(VDF‐TrFE)) as the matrix and a crosslinking sensitizer with unsaturated double bonds, was realized via electron beam radiation crosslinking. By adjusting the absorbed doses and the feed ratios of P(VDF‐TrFE) and the crosslinking sensitizer, the crystallinity of the elastic ferroelectrics was controlled, effectively balancing ferroelectricity and resilience. The resulting elastic ferroelectrics maintain stable ferroelectric response under tensile strains up to 55%, exhibiting excellent elasticity and ferroelectric properties. This study presents a simple but efficient approach for preparing intrinsically elastic ferroelectric without high‐temperature reaction, and eliminating the need for heating and cooling steps, providing a potential universal platform for constructing various elastic ferroelectrics.</w:t>
      </w:r>
    </w:p>
    <w:p>
      <w:pPr>
        <w:spacing w:before="120" w:after="120"/>
      </w:pPr>
      <w:r>
        <w:rPr>
          <w:sz w:val="18"/>
        </w:rPr>
        <w:t>——————————————————————————————————————————————————————————————————————</w:t>
      </w:r>
    </w:p>
    <w:p>
      <w:pPr>
        <w:spacing w:before="160" w:after="40" w:line="240" w:lineRule="auto"/>
      </w:pPr>
      <w:r>
        <w:rPr>
          <w:b/>
        </w:rPr>
        <w:t xml:space="preserve">[34] </w:t>
      </w:r>
      <w:hyperlink r:id="rId43">
        <w:r>
          <w:rPr>
            <w:color w:val="1155CC"/>
            <w:u w:val="single"/>
          </w:rPr>
          <w:t>通过静脉震动和切入稳定倒置的Perovskite太阳能电池板进行电子运输层分子工程</w:t>
        </w:r>
      </w:hyperlink>
    </w:p>
    <w:p>
      <w:pPr>
        <w:spacing w:before="0" w:after="80"/>
      </w:pPr>
      <w:r>
        <w:rPr>
          <w:i/>
          <w:sz w:val="20"/>
        </w:rPr>
        <w:t>EN: Molecular Engineering of Electron Transport Layers via Steric Hindrance and Chelation Toward Stable Inverted Perovskite Solar Cells</w:t>
      </w:r>
    </w:p>
    <w:p>
      <w:pPr>
        <w:spacing w:before="0" w:after="120"/>
      </w:pPr>
      <w:r>
        <w:rPr>
          <w:b/>
        </w:rPr>
        <w:t xml:space="preserve">Source: </w:t>
      </w:r>
      <w:r>
        <w:t>Wiley: Advanced Materials: Table of Contents</w:t>
      </w:r>
      <w:r>
        <w:t xml:space="preserve">    </w:t>
      </w:r>
      <w:r>
        <w:rPr>
          <w:b/>
        </w:rPr>
        <w:t xml:space="preserve">Pub date: </w:t>
      </w:r>
      <w:r>
        <w:t>2026-01-17 04:56:04+00:00</w:t>
      </w:r>
      <w:r>
        <w:t xml:space="preserve">    </w:t>
      </w:r>
      <w:r>
        <w:rPr>
          <w:b/>
        </w:rPr>
        <w:t xml:space="preserve">DOI: </w:t>
      </w:r>
      <w:hyperlink r:id="rId44">
        <w:r>
          <w:rPr>
            <w:color w:val="1155CC"/>
            <w:u w:val="single"/>
          </w:rPr>
          <w:t>10.1002/adma.202521878</w:t>
        </w:r>
      </w:hyperlink>
    </w:p>
    <w:p>
      <w:pPr>
        <w:spacing w:before="0" w:after="120"/>
      </w:pPr>
      <w:r>
        <w:rPr>
          <w:b/>
        </w:rPr>
        <w:t xml:space="preserve">Notes: </w:t>
      </w:r>
      <w:r>
        <w:t>abstract_source=crossref</w:t>
      </w:r>
    </w:p>
    <w:p>
      <w:pPr>
        <w:spacing w:before="0" w:after="80" w:lineRule="auto" w:line="276"/>
      </w:pPr>
      <w:r>
        <w:rPr>
          <w:b/>
        </w:rPr>
        <w:t xml:space="preserve">摘要（ZH）: </w:t>
      </w:r>
      <w:r>
        <w:t>ABSTACT Fullene衍生物,如C60和PCBM等,由于其高电子流动性和高均匀的能量水平,被广泛用作颠倒的百草枯太阳能电池的电子运输层(ETLs),然而,其光热热稳定性和与百草枯的微弱相互作用限制了进一步的进展。为了应对这些挑战,我们开发了一种新型的更全面衍生物,2Py,作为倒转的聚苯乙烯的ETL,通过结合消毒障碍调节和电热层组合的协同战略,作为反向聚变聚的聚体的ETL。这种分子可产生三个主要好处:中度的阻塞在热老化期间阻塞ETL的集合; 热层组会增强与活氏层的相互作用; a</w:t>
      </w:r>
    </w:p>
    <w:p>
      <w:pPr>
        <w:spacing w:before="0" w:after="200" w:lineRule="auto" w:line="276"/>
      </w:pPr>
      <w:r>
        <w:rPr>
          <w:b/>
        </w:rPr>
        <w:t xml:space="preserve">Abstract (EN): </w:t>
      </w:r>
      <w:r>
        <w:t>Fullerene derivatives, such as C</w:t>
      </w:r>
      <w:r>
        <w:rPr>
          <w:vertAlign w:val="subscript"/>
        </w:rPr>
        <w:t>60</w:t>
      </w:r>
      <w:r>
        <w:t>and PCBM, are widely used as electron transport layers (ETLs) in inverted perovskite solar cells (PSCs) due to their high electron mobility and well‐aligned energy levels. However, their poor photo‐thermal stability and weak interactions with perovskite limit further progress. To address these challenges, we develop a novel fullerene derivative, 2Py, as the ETL for inverted PSCs via a synergistic strategy combining steric hindrance modulation and chelation group incorporation. This molecule delivers three key benefits: moderate steric hindrance inhibits ETL aggregation during thermal aging; chelation groups enhance interfacial interactions with the perovskite layer; and improved hydrophilicity promotes uniform SnO</w:t>
      </w:r>
      <w:r>
        <w:t xml:space="preserve"> </w:t>
      </w:r>
      <w:r>
        <w:t>x</w:t>
      </w:r>
      <w:r>
        <w:t xml:space="preserve"> </w:t>
      </w:r>
      <w:r>
        <w:t>film growth via atomic layer deposition (ALD). 2Py ETL enables an efficiency of 26.07% for inverted PSCs based on a 1.55‐eV bandgap. Wide‐bandgap (1.80 eV) and narrow‐bandgap (1.25 eV) PSCs achieve efficiencies of 19.94% and 24.06%, respectively. Notably, these devices demonstrate exceptional photo‐thermal stability, achieving T</w:t>
      </w:r>
      <w:r>
        <w:rPr>
          <w:vertAlign w:val="subscript"/>
        </w:rPr>
        <w:t>99</w:t>
      </w:r>
      <w:r>
        <w:t>&amp;gt;1080 h under 85°C heating and T</w:t>
      </w:r>
      <w:r>
        <w:rPr>
          <w:vertAlign w:val="subscript"/>
        </w:rPr>
        <w:t>99</w:t>
      </w:r>
      <w:r>
        <w:t>&amp;gt;1250 h under maximum power point tracking at 45°C, outperforming PCBM‐based devices. This molecular design strategy paves new pathways for enhancing ETL performance and stability in inverted PSCs.</w:t>
      </w:r>
    </w:p>
    <w:p>
      <w:pPr>
        <w:spacing w:before="120" w:after="120"/>
      </w:pPr>
      <w:r>
        <w:rPr>
          <w:sz w:val="18"/>
        </w:rPr>
        <w:t>——————————————————————————————————————————————————————————————————————</w:t>
      </w:r>
    </w:p>
    <w:p>
      <w:pPr>
        <w:spacing w:before="160" w:after="40" w:line="240" w:lineRule="auto"/>
      </w:pPr>
      <w:r>
        <w:rPr>
          <w:b/>
        </w:rPr>
        <w:t xml:space="preserve">[35] </w:t>
      </w:r>
      <w:hyperlink r:id="rId45">
        <w:r>
          <w:rPr>
            <w:color w:val="1155CC"/>
            <w:u w:val="single"/>
          </w:rPr>
          <w:t>具有高静电电常量的固态Zwitiditionic塑料水晶体</w:t>
        </w:r>
      </w:hyperlink>
    </w:p>
    <w:p>
      <w:pPr>
        <w:spacing w:before="0" w:after="80"/>
      </w:pPr>
      <w:r>
        <w:rPr>
          <w:i/>
          <w:sz w:val="20"/>
        </w:rPr>
        <w:t>EN: A Solid State Zwitterionic Plastic Crystal With High Static Dielectric Constant</w:t>
      </w:r>
    </w:p>
    <w:p>
      <w:pPr>
        <w:spacing w:before="0" w:after="120"/>
      </w:pPr>
      <w:r>
        <w:rPr>
          <w:b/>
        </w:rPr>
        <w:t xml:space="preserve">Source: </w:t>
      </w:r>
      <w:r>
        <w:t>Wiley: Advanced Materials: Table of Contents</w:t>
      </w:r>
      <w:r>
        <w:t xml:space="preserve">    </w:t>
      </w:r>
      <w:r>
        <w:rPr>
          <w:b/>
        </w:rPr>
        <w:t xml:space="preserve">Pub date: </w:t>
      </w:r>
      <w:r>
        <w:t>2026-01-17 04:56:42+00:00</w:t>
      </w:r>
      <w:r>
        <w:t xml:space="preserve">    </w:t>
      </w:r>
      <w:r>
        <w:rPr>
          <w:b/>
        </w:rPr>
        <w:t xml:space="preserve">DOI: </w:t>
      </w:r>
      <w:hyperlink r:id="rId46">
        <w:r>
          <w:rPr>
            <w:color w:val="1155CC"/>
            <w:u w:val="single"/>
          </w:rPr>
          <w:t>10.1002/adma.202517774</w:t>
        </w:r>
      </w:hyperlink>
    </w:p>
    <w:p>
      <w:pPr>
        <w:spacing w:before="0" w:after="120"/>
      </w:pPr>
      <w:r>
        <w:rPr>
          <w:b/>
        </w:rPr>
        <w:t xml:space="preserve">Notes: </w:t>
      </w:r>
      <w:r>
        <w:t>abstract_source=crossref</w:t>
      </w:r>
    </w:p>
    <w:p>
      <w:pPr>
        <w:spacing w:before="0" w:after="80" w:lineRule="auto" w:line="276"/>
      </w:pPr>
      <w:r>
        <w:rPr>
          <w:b/>
        </w:rPr>
        <w:t xml:space="preserve">摘要（ZH）: </w:t>
      </w:r>
      <w:r>
        <w:t>在研究中,根据以下实验和计算证据设计、合成并证实一个基于基兹威化的硅基晶相,具有基于以下实验和计算证据的塑料晶相:(一) 存在长链相,分子力量较弱,在不同晶体方向上存在着相互竞争的有吸引力的反向反应;(二) 在加热上观测不止一个外向,包括在Ts__s = 26°C = 26°C的固态相过渡和在Tm = 72°C的塑料晶融化;(三) 熔化时的低聚变聚(2.1)。</w:t>
      </w:r>
    </w:p>
    <w:p>
      <w:pPr>
        <w:spacing w:before="0" w:after="200" w:lineRule="auto" w:line="276"/>
      </w:pPr>
      <w:r>
        <w:rPr>
          <w:b/>
        </w:rPr>
        <w:t xml:space="preserve">Abstract (EN): </w:t>
      </w:r>
      <w:r>
        <w:t>Solid materials with a high dielectric constant have a wide range of applications in the energy storage field. In this research, an imidazolium‐based zwitterion is designed, synthesized, and confirmed to have a plastic crystal phase based on the following experimental and computational evidence: (i) the presence of long‐range order with weak intermolecular forces and competing attractive‐repulsive interactions along different crystallographic directions; (ii) the observation of more than one endotherm on heating including a solid‐solid phase transition at T</w:t>
      </w:r>
      <w:r>
        <w:t xml:space="preserve"> </w:t>
      </w:r>
      <w:r>
        <w:t>s‐s</w:t>
      </w:r>
      <w:r>
        <w:t xml:space="preserve"> </w:t>
      </w:r>
      <w:r>
        <w:t>= −26 °C and melting of the plastic crystal at T</w:t>
      </w:r>
      <w:r>
        <w:t xml:space="preserve"> </w:t>
      </w:r>
      <w:r>
        <w:t>m</w:t>
      </w:r>
      <w:r>
        <w:t xml:space="preserve"> </w:t>
      </w:r>
      <w:r>
        <w:t>= 72°C; (iii) a low entropy of fusion at melting (2.1 JK</w:t>
      </w:r>
      <w:r>
        <w:t xml:space="preserve"> </w:t>
      </w:r>
      <w:r>
        <w:t>−1</w:t>
      </w:r>
      <w:r>
        <w:t xml:space="preserve"> </w:t>
      </w:r>
      <w:r>
        <w:t>mol</w:t>
      </w:r>
      <w:r>
        <w:t xml:space="preserve"> </w:t>
      </w:r>
      <w:r>
        <w:t>−1</w:t>
      </w:r>
      <w:r>
        <w:t xml:space="preserve"> </w:t>
      </w:r>
      <w:r>
        <w:t>); (iv) a strongly anisotropic morphology; (v) relatively fast dynamics originating from short‐range degrees of freedom. Furthermore, it exhibits a very high dielectric constant in the plastic crystal solid state (147 at −10°C and 103 at 70°C) due to the rotational degrees of freedom of plastic crystals that arise from weak net intermolecular interactions of zwitterions due to only having two carbons between the anion and cation. This material conveniently remains in the plastic crystal phase within 50 K of ambient temperature. This discovery opens new opportunities in the search for solid‐state high dielectric constant materials.</w:t>
      </w:r>
    </w:p>
    <w:p>
      <w:pPr>
        <w:spacing w:before="120" w:after="120"/>
      </w:pPr>
      <w:r>
        <w:rPr>
          <w:sz w:val="18"/>
        </w:rPr>
        <w:t>——————————————————————————————————————————————————————————————————————</w:t>
      </w:r>
    </w:p>
    <w:p>
      <w:pPr>
        <w:spacing w:before="160" w:after="40" w:line="240" w:lineRule="auto"/>
      </w:pPr>
      <w:r>
        <w:rPr>
          <w:b/>
        </w:rPr>
        <w:t xml:space="preserve">[36] </w:t>
      </w:r>
      <w:hyperlink r:id="rId47">
        <w:r>
          <w:rPr>
            <w:color w:val="1155CC"/>
            <w:u w:val="single"/>
          </w:rPr>
          <w:t>用于无压力无固态固态锂电池的梯度纳米多曼高聚苯乙烯电解磁带</w:t>
        </w:r>
      </w:hyperlink>
    </w:p>
    <w:p>
      <w:pPr>
        <w:spacing w:before="0" w:after="80"/>
      </w:pPr>
      <w:r>
        <w:rPr>
          <w:i/>
          <w:sz w:val="20"/>
        </w:rPr>
        <w:t>EN: A Gradient Nanodomain High‐Entropy Polymer Electrolyte Tape for Pressure‐Free Solid‐State Lithium Batteries</w:t>
      </w:r>
    </w:p>
    <w:p>
      <w:pPr>
        <w:spacing w:before="0" w:after="120"/>
      </w:pPr>
      <w:r>
        <w:rPr>
          <w:b/>
        </w:rPr>
        <w:t xml:space="preserve">Source: </w:t>
      </w:r>
      <w:r>
        <w:t>Wiley: Advanced Materials: Table of Contents</w:t>
      </w:r>
      <w:r>
        <w:t xml:space="preserve">    </w:t>
      </w:r>
      <w:r>
        <w:rPr>
          <w:b/>
        </w:rPr>
        <w:t xml:space="preserve">Pub date: </w:t>
      </w:r>
      <w:r>
        <w:t>2026-01-17 04:57:38+00:00</w:t>
      </w:r>
      <w:r>
        <w:t xml:space="preserve">    </w:t>
      </w:r>
      <w:r>
        <w:rPr>
          <w:b/>
        </w:rPr>
        <w:t xml:space="preserve">DOI: </w:t>
      </w:r>
      <w:hyperlink r:id="rId48">
        <w:r>
          <w:rPr>
            <w:color w:val="1155CC"/>
            <w:u w:val="single"/>
          </w:rPr>
          <w:t>10.1002/adma.202520657</w:t>
        </w:r>
      </w:hyperlink>
    </w:p>
    <w:p>
      <w:pPr>
        <w:spacing w:before="0" w:after="120"/>
      </w:pPr>
      <w:r>
        <w:rPr>
          <w:b/>
        </w:rPr>
        <w:t xml:space="preserve">Notes: </w:t>
      </w:r>
      <w:r>
        <w:t>abstract_source=crossref</w:t>
      </w:r>
    </w:p>
    <w:p>
      <w:pPr>
        <w:spacing w:before="0" w:after="80" w:lineRule="auto" w:line="276"/>
      </w:pPr>
      <w:r>
        <w:rPr>
          <w:b/>
        </w:rPr>
        <w:t xml:space="preserve">摘要（ZH）: </w:t>
      </w:r>
      <w:r>
        <w:t>高活性聚合物电解液(HEPE)因其特性和薄膜可处理性在设计上的特殊灵活性而引起极大关注,然而,由于严重的微相分离,在高性能高性能的HEPE中,多子成分的纳米域仍面临严峻的挑战。 我们在此报告,三相高性能高聚物电解液(HEPE)磁带,其内装有超松软性硬性梯度纳米体,接近单链长度,从而在机械、电化学和内部特性方面同时取得显著的增强。通过Li+bond受监管的多环环氧化物(PEO)和聚(Methy)的纳米相分离,实现HEPE。</w:t>
      </w:r>
    </w:p>
    <w:p>
      <w:pPr>
        <w:spacing w:before="0" w:after="200" w:lineRule="auto" w:line="276"/>
      </w:pPr>
      <w:r>
        <w:rPr>
          <w:b/>
        </w:rPr>
        <w:t xml:space="preserve">Abstract (EN): </w:t>
      </w:r>
      <w:r>
        <w:t>High‐entropy polymer electrolytes (HEPE) have attracted significant attention owing to their exceptional design flexibility in properties and thin‐film processability. However, building high‐performance HEPE with well controlled nanodomains of multi‐components remains a critical challenge due to serious microphase separation. Here, we report a tri‐phase high‐entropy polymer electrolyte (HEPE) tape featuring ultrafine soft‐rigid gradient nanodomains approaching the single‐chain length scale, to achieve notable simultaneous enhancements in mechanical, electrochemical, and interfacial properties. The HEPE is realized through Li</w:t>
      </w:r>
      <w:r>
        <w:t xml:space="preserve"> </w:t>
      </w:r>
      <w:r>
        <w:t>+</w:t>
      </w:r>
      <w:r>
        <w:t xml:space="preserve"> </w:t>
      </w:r>
      <w:r>
        <w:t>‐bond‐regulated nanophase separation of polyethylene oxide (PEO), poly (methyl methacrylate) (PMMA), and polyvinylidene fluoride‐co‐hexafluoropropylene (PVFH), leading to high‐entropy microstructures at the levels of chain conformation and phase domains. Consequently, the HEPE exhibits a high room‐temperature ionic conductivity of 0.24 mS∙cm</w:t>
      </w:r>
      <w:r>
        <w:t xml:space="preserve"> </w:t>
      </w:r>
      <w:r>
        <w:t>−1</w:t>
      </w:r>
      <w:r>
        <w:t xml:space="preserve"> </w:t>
      </w:r>
      <w:r>
        <w:t>, exceptional mechanical properties (strength of 22.1 ± 2.3 MPa, toughness of 87.7 MJ∙m</w:t>
      </w:r>
      <w:r>
        <w:t xml:space="preserve"> </w:t>
      </w:r>
      <w:r>
        <w:t>−3</w:t>
      </w:r>
      <w:r>
        <w:t xml:space="preserve"> </w:t>
      </w:r>
      <w:r>
        <w:t>, elastic recovery of 66.7%), and interfacial adhesion toughness of 325 ± 15 N∙m</w:t>
      </w:r>
      <w:r>
        <w:t xml:space="preserve"> </w:t>
      </w:r>
      <w:r>
        <w:t>−2</w:t>
      </w:r>
      <w:r>
        <w:t xml:space="preserve"> </w:t>
      </w:r>
      <w:r>
        <w:t>. Benefitting from these properties, the HEPE can generate physico‐electrochemical synergistic effects on stabilizing the lithium metal anode with a long cycling life of 750 h at 0.1 mA∙cm</w:t>
      </w:r>
      <w:r>
        <w:t xml:space="preserve"> </w:t>
      </w:r>
      <w:r>
        <w:t>−2</w:t>
      </w:r>
      <w:r>
        <w:t xml:space="preserve"> </w:t>
      </w:r>
      <w:r>
        <w:t>. The resultant solid‐state Li|HEPE|NCM811 cell delivers a high capacity of 205.5 mAh∙g</w:t>
      </w:r>
      <w:r>
        <w:t xml:space="preserve"> </w:t>
      </w:r>
      <w:r>
        <w:t>−1</w:t>
      </w:r>
      <w:r>
        <w:t xml:space="preserve"> </w:t>
      </w:r>
      <w:r>
        <w:t>even without stack pressure. This study indicates a promising high‐entropy tri‐component mixing strategy for the design and fabrication of HEPEs.</w:t>
      </w:r>
    </w:p>
    <w:p>
      <w:pPr>
        <w:spacing w:before="120" w:after="120"/>
      </w:pPr>
      <w:r>
        <w:rPr>
          <w:sz w:val="18"/>
        </w:rPr>
        <w:t>——————————————————————————————————————————————————————————————————————</w:t>
      </w:r>
    </w:p>
    <w:p>
      <w:pPr>
        <w:spacing w:before="160" w:after="40" w:line="240" w:lineRule="auto"/>
      </w:pPr>
      <w:r>
        <w:rPr>
          <w:b/>
        </w:rPr>
        <w:t xml:space="preserve">[37] </w:t>
      </w:r>
      <w:hyperlink r:id="rId49">
        <w:r>
          <w:rPr>
            <w:color w:val="1155CC"/>
            <w:u w:val="single"/>
          </w:rPr>
          <w:t>通过分子在DNAOrigami上建模的分子模型进行纳米运动</w:t>
        </w:r>
      </w:hyperlink>
    </w:p>
    <w:p>
      <w:pPr>
        <w:spacing w:before="0" w:after="80"/>
      </w:pPr>
      <w:r>
        <w:rPr>
          <w:i/>
          <w:sz w:val="20"/>
        </w:rPr>
        <w:t>EN: Programmable Nanoscale Motion via Molecular Patterning on DNA Origami</w:t>
      </w:r>
    </w:p>
    <w:p>
      <w:pPr>
        <w:spacing w:before="0" w:after="120"/>
      </w:pPr>
      <w:r>
        <w:rPr>
          <w:b/>
        </w:rPr>
        <w:t xml:space="preserve">Source: </w:t>
      </w:r>
      <w:r>
        <w:t>Wiley: Angewandte Chemie International Edition: Table of Contents</w:t>
      </w:r>
      <w:r>
        <w:t xml:space="preserve">    </w:t>
      </w:r>
      <w:r>
        <w:rPr>
          <w:b/>
        </w:rPr>
        <w:t xml:space="preserve">Pub date: </w:t>
      </w:r>
      <w:r>
        <w:t>2026-01-17 04:59:23+00:00</w:t>
      </w:r>
      <w:r>
        <w:t xml:space="preserve">    </w:t>
      </w:r>
      <w:r>
        <w:rPr>
          <w:b/>
        </w:rPr>
        <w:t xml:space="preserve">DOI: </w:t>
      </w:r>
      <w:hyperlink r:id="rId50">
        <w:r>
          <w:rPr>
            <w:color w:val="1155CC"/>
            <w:u w:val="single"/>
          </w:rPr>
          <w:t>10.1002/anie.202523921</w:t>
        </w:r>
      </w:hyperlink>
    </w:p>
    <w:p>
      <w:pPr>
        <w:spacing w:before="0" w:after="120"/>
      </w:pPr>
      <w:r>
        <w:rPr>
          <w:b/>
        </w:rPr>
        <w:t xml:space="preserve">Notes: </w:t>
      </w:r>
      <w:r>
        <w:t>abstract_source=crossref</w:t>
      </w:r>
    </w:p>
    <w:p>
      <w:pPr>
        <w:spacing w:before="0" w:after="80" w:lineRule="auto" w:line="276"/>
      </w:pPr>
      <w:r>
        <w:rPr>
          <w:b/>
        </w:rPr>
        <w:t xml:space="preserve">摘要（ZH）: </w:t>
      </w:r>
      <w:r>
        <w:t>在以酶驱动的、结构性和功能性纳米运动设计中,抽象对称性在结构性和功能性纳米运动设计中的抽象对立,对于推进至关重要。然而,粒子几何学、酶分布和催化装载之间的相互作用仍然定义不清,这主要是因为对酶定位的控制有限,妨碍了定量分析。我们利用DNA折合体纳米律,在空间上精确地放置了具有独立的金枪鱼覆盖和不对称性的泌尿酶。单粒子跟踪显示,运动性不仅来自酶数或空间安排,而且来自催化载与几何反粒子之间的平衡。 意外的是,最大推进力在25%的泌尿酶最终覆盖值下,大大低于常规的50%最终覆盖值。</w:t>
      </w:r>
    </w:p>
    <w:p>
      <w:pPr>
        <w:spacing w:before="0" w:after="200" w:lineRule="auto" w:line="276"/>
      </w:pPr>
      <w:r>
        <w:rPr>
          <w:b/>
        </w:rPr>
        <w:t xml:space="preserve">Abstract (EN): </w:t>
      </w:r>
      <w:r>
        <w:t>Asymmetry in enzymatically driven nanomotor design, both structural and functional, is widely considered essential for propulsion. However, the interplay between particle geometry, enzyme distribution, and catalytic loading remains poorly defined, largely due to limited control over enzyme positioning that hinders quantitative analysis. Using DNA origami nanorods, we achieve precise spatial placement of urease enzymes with independently tunable coverage and asymmetry. Single‐particle tracking reveals that motility arises not solely from enzyme number or spatial arrangement but from a balance between catalytic loading and geometric anisotropy. Unexpectedly, maximal propulsion occurs at ∼25% urease end‐coverage, significantly below the conventional 50% end‐coverage, where half of the available binding positions on one structural half of the origami are occupied. Boundary Element Method simulations incorporating identical spatial parameters reproduce these findings, confirming that programmable enzyme patterning dictates diffusiophoretic propulsion. These results provide a quantitative framework linking topology, catalytic activity, and motion, revealing that optimal motility does not coincide with maximal asymmetry and advancing the rational design of enzyme‐powered DNA nanomotors.</w:t>
      </w:r>
    </w:p>
    <w:p>
      <w:pPr>
        <w:spacing w:before="120" w:after="120"/>
      </w:pPr>
      <w:r>
        <w:rPr>
          <w:sz w:val="18"/>
        </w:rPr>
        <w:t>——————————————————————————————————————————————————————————————————————</w:t>
      </w:r>
    </w:p>
    <w:p>
      <w:pPr>
        <w:spacing w:before="160" w:after="40" w:line="240" w:lineRule="auto"/>
      </w:pPr>
      <w:r>
        <w:rPr>
          <w:b/>
        </w:rPr>
        <w:t xml:space="preserve">[38] </w:t>
      </w:r>
      <w:hyperlink r:id="rId51">
        <w:r>
          <w:rPr>
            <w:color w:val="1155CC"/>
            <w:u w:val="single"/>
          </w:rPr>
          <w:t>具有强化光催化性能的从梅拉胺提取的三边形碳晶晶体</w:t>
        </w:r>
      </w:hyperlink>
    </w:p>
    <w:p>
      <w:pPr>
        <w:spacing w:before="0" w:after="80"/>
      </w:pPr>
      <w:r>
        <w:rPr>
          <w:i/>
          <w:sz w:val="20"/>
        </w:rPr>
        <w:t>EN: Triangular‐Tessellated Charge Transfer Cocrystals Derived from Melamine with Enhanced Photocatalytic Performance</w:t>
      </w:r>
    </w:p>
    <w:p>
      <w:pPr>
        <w:spacing w:before="0" w:after="120"/>
      </w:pPr>
      <w:r>
        <w:rPr>
          <w:b/>
        </w:rPr>
        <w:t xml:space="preserve">Source: </w:t>
      </w:r>
      <w:r>
        <w:t>Wiley: Advanced Materials: Table of Contents</w:t>
      </w:r>
      <w:r>
        <w:t xml:space="preserve">    </w:t>
      </w:r>
      <w:r>
        <w:rPr>
          <w:b/>
        </w:rPr>
        <w:t xml:space="preserve">Pub date: </w:t>
      </w:r>
      <w:r>
        <w:t>2026-01-17 05:02:32+00:00</w:t>
      </w:r>
      <w:r>
        <w:t xml:space="preserve">    </w:t>
      </w:r>
      <w:r>
        <w:rPr>
          <w:b/>
        </w:rPr>
        <w:t xml:space="preserve">DOI: </w:t>
      </w:r>
      <w:hyperlink r:id="rId52">
        <w:r>
          <w:rPr>
            <w:color w:val="1155CC"/>
            <w:u w:val="single"/>
          </w:rPr>
          <w:t>10.1002/adma.202519694</w:t>
        </w:r>
      </w:hyperlink>
    </w:p>
    <w:p>
      <w:pPr>
        <w:spacing w:before="0" w:after="120"/>
      </w:pPr>
      <w:r>
        <w:rPr>
          <w:b/>
        </w:rPr>
        <w:t xml:space="preserve">Notes: </w:t>
      </w:r>
      <w:r>
        <w:t>abstract_source=crossref</w:t>
      </w:r>
    </w:p>
    <w:p>
      <w:pPr>
        <w:spacing w:before="0" w:after="80" w:lineRule="auto" w:line="276"/>
      </w:pPr>
      <w:r>
        <w:rPr>
          <w:b/>
        </w:rPr>
        <w:t xml:space="preserve">摘要（ZH）: </w:t>
      </w:r>
      <w:r>
        <w:t>ABSTACT 电源转移(CT) 晶晶晶体(CT) 具有对先进功能材料的巨大希望,但控制其在结构设计和精确合成两方面的CT互动仍然具有挑战性。在这里,一个基于星系的调节三聚胺的三氯苯衍生的COrystal的CT强度的战略得到了示范,具体表现在MMC12(melem:melmine=1:2)和MMC31(3:1)和MMC31(3:1)。 中转吸收(TA)光谱和理论模拟显示,MMC31展览加强了CT的相互作用,便利了三聚胺向中聚物的快速电子转移,并形成了绑紧的CTexciton。这些异质很容易分解成自由载体,导致H2 O的18倍增强。</w:t>
      </w:r>
    </w:p>
    <w:p>
      <w:pPr>
        <w:spacing w:before="0" w:after="200" w:lineRule="auto" w:line="276"/>
      </w:pPr>
      <w:r>
        <w:rPr>
          <w:b/>
        </w:rPr>
        <w:t xml:space="preserve">Abstract (EN): </w:t>
      </w:r>
      <w:r>
        <w:t>Charge transfer (CT) cocrystals hold great promise for advanced functional materials, yet controlling their CT interactions in terms of both structural design and precise synthesis remains challenging. Herein, a tessellation‐based strategy to modulate CT strength in melamine‐derived cocrystals is demonstrated, specifically in MMC‐12 (melem:melamine = 1:2) and MMC‐31 (3:1). Transient absorption (TA) spectroscopy and theoretical simulations reveal that MMC‐31 exhibits enhanced CT interactions, facilitating rapid electron transfer from melamine to melem and forming weakly bound CT excitons. These excitons dissociate readily into free carriers, leading to an 18‐fold enhancement in H</w:t>
      </w:r>
      <w:r>
        <w:rPr>
          <w:vertAlign w:val="subscript"/>
        </w:rPr>
        <w:t>2</w:t>
      </w:r>
      <w:r>
        <w:t>O</w:t>
      </w:r>
      <w:r>
        <w:rPr>
          <w:vertAlign w:val="subscript"/>
        </w:rPr>
        <w:t>2</w:t>
      </w:r>
      <w:r>
        <w:t>production and a 12‐fold enhancement in H</w:t>
      </w:r>
      <w:r>
        <w:rPr>
          <w:vertAlign w:val="subscript"/>
        </w:rPr>
        <w:t>2</w:t>
      </w:r>
      <w:r>
        <w:t>evolution compared to pristine melem. This work underscores the potential of geometric tessellation as a general design principle for high‐performance organic semiconductors and photocatalysts.</w:t>
      </w:r>
    </w:p>
    <w:p>
      <w:pPr>
        <w:spacing w:before="120" w:after="120"/>
      </w:pPr>
      <w:r>
        <w:rPr>
          <w:sz w:val="18"/>
        </w:rPr>
        <w:t>——————————————————————————————————————————————————————————————————————</w:t>
      </w:r>
    </w:p>
    <w:p>
      <w:pPr>
        <w:spacing w:before="160" w:after="40" w:line="240" w:lineRule="auto"/>
      </w:pPr>
      <w:r>
        <w:rPr>
          <w:b/>
        </w:rPr>
        <w:t xml:space="preserve">[39] </w:t>
      </w:r>
      <w:hyperlink r:id="rId53">
        <w:r>
          <w:rPr>
            <w:color w:val="1155CC"/>
            <w:u w:val="single"/>
          </w:rPr>
          <w:t>优化在极低温度条件下用于超电容器应用的玻璃制造水无机盐电解解液中的综合电效应</w:t>
        </w:r>
      </w:hyperlink>
    </w:p>
    <w:p>
      <w:pPr>
        <w:spacing w:before="0" w:after="80"/>
      </w:pPr>
      <w:r>
        <w:rPr>
          <w:i/>
          <w:sz w:val="20"/>
        </w:rPr>
        <w:t>EN: Optimizing the Comprehensive Ion Effects in Glass‐Forming Aqueous Inorganic Salt Electrolytes for Supercapacitor Applications at Extremely Low Temperatures</w:t>
      </w:r>
    </w:p>
    <w:p>
      <w:pPr>
        <w:spacing w:before="0" w:after="120"/>
      </w:pPr>
      <w:r>
        <w:rPr>
          <w:b/>
        </w:rPr>
        <w:t xml:space="preserve">Source: </w:t>
      </w:r>
      <w:r>
        <w:t>Wiley: Advanced Materials: Table of Contents</w:t>
      </w:r>
      <w:r>
        <w:t xml:space="preserve">    </w:t>
      </w:r>
      <w:r>
        <w:rPr>
          <w:b/>
        </w:rPr>
        <w:t xml:space="preserve">Pub date: </w:t>
      </w:r>
      <w:r>
        <w:t>2026-01-17 05:05:31+00:00</w:t>
      </w:r>
      <w:r>
        <w:t xml:space="preserve">    </w:t>
      </w:r>
      <w:r>
        <w:rPr>
          <w:b/>
        </w:rPr>
        <w:t xml:space="preserve">DOI: </w:t>
      </w:r>
      <w:hyperlink r:id="rId54">
        <w:r>
          <w:rPr>
            <w:color w:val="1155CC"/>
            <w:u w:val="single"/>
          </w:rPr>
          <w:t>10.1002/adma.202518352</w:t>
        </w:r>
      </w:hyperlink>
    </w:p>
    <w:p>
      <w:pPr>
        <w:spacing w:before="0" w:after="120"/>
      </w:pPr>
      <w:r>
        <w:rPr>
          <w:b/>
        </w:rPr>
        <w:t xml:space="preserve">Notes: </w:t>
      </w:r>
      <w:r>
        <w:t>abstract_source=crossref</w:t>
      </w:r>
    </w:p>
    <w:p>
      <w:pPr>
        <w:spacing w:before="0" w:after="80" w:lineRule="auto" w:line="276"/>
      </w:pPr>
      <w:r>
        <w:rPr>
          <w:b/>
        </w:rPr>
        <w:t xml:space="preserve">摘要（ZH）: </w:t>
      </w:r>
      <w:r>
        <w:t>为开发冷抗水能储存装置,探索了ABSTACT无机盐电解解液,目前对防冻无机盐溶液的研究主要侧重于个别电离或电离物的氢气调节效应,对防冻特性的总体离子效应(例如离子类型、浓度、电化水分数、离子相互作用和离子联系等)缺乏全面了解。此外,在固化点下方的盐电解液结晶可导致能量储存装置的突然性能失灵。在这项工作中,我们研究了玻璃成形电解解液的总体离子效应,以加强其防冻特性。发现 t</w:t>
      </w:r>
    </w:p>
    <w:p>
      <w:pPr>
        <w:spacing w:before="0" w:after="200" w:lineRule="auto" w:line="276"/>
      </w:pPr>
      <w:r>
        <w:rPr>
          <w:b/>
        </w:rPr>
        <w:t xml:space="preserve">Abstract (EN): </w:t>
      </w:r>
      <w:r>
        <w:t>Inorganic salt electrolytes have been explored for developing cold‐resistant aqueous energy storage devices. Current research on anti‐freezing inorganic salt solutions mainly focuses on the H‐bond regulation effects of individual cations or anions. The overall ionic effects (e.g., ion type, concentrations, cation hydration numbers, ion interactions, and ionic associations, etc.) on the anti‐freezing properties lack a comprehensive understanding. In addition, crystallization of the salt electrolyte below the solidification point can lead to an abrupt performance failure of the energy storage device. In this work, we study the overall ionic effects of glass‐forming aqueous electrolytes for enhancing their anti‐freezing properties. It is found that ion pairs with more positive cationic potentials and less negative anionic potentials, cations with large coordination numbers, and anions with large ionic size and multiple H‐bond sites are crucial for achieving glass‐forming aqueous electrolytes with exceptional anti‐freezing performance. Notably, the Ca(ClO</w:t>
      </w:r>
      <w:r>
        <w:rPr>
          <w:vertAlign w:val="subscript"/>
        </w:rPr>
        <w:t>4</w:t>
      </w:r>
      <w:r>
        <w:t>)</w:t>
      </w:r>
      <w:r>
        <w:rPr>
          <w:vertAlign w:val="subscript"/>
        </w:rPr>
        <w:t>2</w:t>
      </w:r>
      <w:r>
        <w:t>eutectic electrolyte exhibits a pure glass transition at −122°C and maintains a visible liquid state at −85°C. A supercapacitor cell with a Ca(ClO</w:t>
      </w:r>
      <w:r>
        <w:rPr>
          <w:vertAlign w:val="subscript"/>
        </w:rPr>
        <w:t>4</w:t>
      </w:r>
      <w:r>
        <w:t>)</w:t>
      </w:r>
      <w:r>
        <w:rPr>
          <w:vertAlign w:val="subscript"/>
        </w:rPr>
        <w:t>2</w:t>
      </w:r>
      <w:r>
        <w:t>electrolyte is operational at temperatures as low as −80°C. This study provides insightful understandings for designing glass‐forming anti‐freezing electrolytes with improved adaptability of aqueous energy storage devices under extremely cold conditions.</w:t>
      </w:r>
    </w:p>
    <w:p>
      <w:pPr>
        <w:spacing w:before="120" w:after="120"/>
      </w:pPr>
      <w:r>
        <w:rPr>
          <w:sz w:val="18"/>
        </w:rPr>
        <w:t>——————————————————————————————————————————————————————————————————————</w:t>
      </w:r>
    </w:p>
    <w:p>
      <w:pPr>
        <w:spacing w:before="160" w:after="40" w:line="240" w:lineRule="auto"/>
      </w:pPr>
      <w:r>
        <w:rPr>
          <w:b/>
        </w:rPr>
        <w:t xml:space="preserve">[40] </w:t>
      </w:r>
      <w:hyperlink r:id="rId55">
        <w:r>
          <w:rPr>
            <w:color w:val="1155CC"/>
            <w:u w:val="single"/>
          </w:rPr>
          <w:t>NiV 双点点 增强与Cathodic氢气生产结合的核细胞生殖性电氧化作用</w:t>
        </w:r>
      </w:hyperlink>
    </w:p>
    <w:p>
      <w:pPr>
        <w:spacing w:before="0" w:after="80"/>
      </w:pPr>
      <w:r>
        <w:rPr>
          <w:i/>
          <w:sz w:val="20"/>
        </w:rPr>
        <w:t>EN: Ni─V Dual Sites Boost Nucleophilic Electrooxidation Coupling With Cathodic Hydrogen Production</w:t>
      </w:r>
    </w:p>
    <w:p>
      <w:pPr>
        <w:spacing w:before="0" w:after="120"/>
      </w:pPr>
      <w:r>
        <w:rPr>
          <w:b/>
        </w:rPr>
        <w:t xml:space="preserve">Source: </w:t>
      </w:r>
      <w:r>
        <w:t>Wiley: Advanced Energy Materials: Table of Contents</w:t>
      </w:r>
      <w:r>
        <w:t xml:space="preserve">    </w:t>
      </w:r>
      <w:r>
        <w:rPr>
          <w:b/>
        </w:rPr>
        <w:t xml:space="preserve">Pub date: </w:t>
      </w:r>
      <w:r>
        <w:t>2026-01-17 05:11:17+00:00</w:t>
      </w:r>
      <w:r>
        <w:t xml:space="preserve">    </w:t>
      </w:r>
      <w:r>
        <w:rPr>
          <w:b/>
        </w:rPr>
        <w:t xml:space="preserve">DOI: </w:t>
      </w:r>
      <w:hyperlink r:id="rId56">
        <w:r>
          <w:rPr>
            <w:color w:val="1155CC"/>
            <w:u w:val="single"/>
          </w:rPr>
          <w:t>10.1002/aenm.202505773</w:t>
        </w:r>
      </w:hyperlink>
    </w:p>
    <w:p>
      <w:pPr>
        <w:spacing w:before="0" w:after="120"/>
      </w:pPr>
      <w:r>
        <w:rPr>
          <w:b/>
        </w:rPr>
        <w:t xml:space="preserve">Notes: </w:t>
      </w:r>
      <w:r>
        <w:t>abstract_source=crossref</w:t>
      </w:r>
    </w:p>
    <w:p>
      <w:pPr>
        <w:spacing w:before="0" w:after="80" w:lineRule="auto" w:line="276"/>
      </w:pPr>
      <w:r>
        <w:rPr>
          <w:b/>
        </w:rPr>
        <w:t xml:space="preserve">摘要（ZH）: </w:t>
      </w:r>
      <w:r>
        <w:t>将电催化机5-氢氧甲基硫磺氧化与氢进化反应(HMF)结合是一种双赢战略,能够同时生产高价值化学品和低能氢,但是,HMF氧化在有机物和OH之间相互吸附,同时对活性场地进行连续的再氧化循环,导致不令人满意的活动、选择性和稳定性。为了应对这些挑战,我们设计了VO 2/Ni 3-S 2复合催化剂,其中含有丰富的丙酸空隙和低氧含量。这种催化剂产生了Ni-V的双重作用。</w:t>
      </w:r>
    </w:p>
    <w:p>
      <w:pPr>
        <w:spacing w:before="0" w:after="200" w:lineRule="auto" w:line="276"/>
      </w:pPr>
      <w:r>
        <w:rPr>
          <w:b/>
        </w:rPr>
        <w:t xml:space="preserve">Abstract (EN): </w:t>
      </w:r>
      <w:r>
        <w:t>The integration of electrocatalytic 5‐hydroxymethylfurfural (HMF) oxidation with the hydrogen evolution reaction (HER) is a win‐win strategy that enables the concurrent production of high‐value chemicals and low‐energy hydrogen. However, HMF oxidation suffers from competing adsorption between organics and OH</w:t>
      </w:r>
      <w:r>
        <w:t xml:space="preserve"> </w:t>
      </w:r>
      <w:r>
        <w:t>−</w:t>
      </w:r>
      <w:r>
        <w:t>along with continuous redox cycling of active sites, leading to unsatisfactory activity, selectivity, and stability. To address these challenges, we designed a VO</w:t>
      </w:r>
      <w:r>
        <w:rPr>
          <w:vertAlign w:val="subscript"/>
        </w:rPr>
        <w:t>2</w:t>
      </w:r>
      <w:r>
        <w:t>/Ni</w:t>
      </w:r>
      <w:r>
        <w:rPr>
          <w:vertAlign w:val="subscript"/>
        </w:rPr>
        <w:t>3</w:t>
      </w:r>
      <w:r>
        <w:t>S</w:t>
      </w:r>
      <w:r>
        <w:rPr>
          <w:vertAlign w:val="subscript"/>
        </w:rPr>
        <w:t>2</w:t>
      </w:r>
      <w:r>
        <w:t>composite catalyst with rich cationic vacancies and low vanadium content. This catalyst creates Ni─V dual active sites that trigger an alternative reaction pathway. VO</w:t>
      </w:r>
      <w:r>
        <w:rPr>
          <w:vertAlign w:val="subscript"/>
        </w:rPr>
        <w:t>2</w:t>
      </w:r>
      <w:r>
        <w:t>/Ni</w:t>
      </w:r>
      <w:r>
        <w:rPr>
          <w:vertAlign w:val="subscript"/>
        </w:rPr>
        <w:t>3</w:t>
      </w:r>
      <w:r>
        <w:t>S</w:t>
      </w:r>
      <w:r>
        <w:rPr>
          <w:vertAlign w:val="subscript"/>
        </w:rPr>
        <w:t>2</w:t>
      </w:r>
      <w:r>
        <w:t>achieves high HMF conversion (97.1%), Faradaic efficiency (96.0%), and selectivity (98.93%) toward FDCA, along with robust stability. In an integrated HMFOR||HER system using VO</w:t>
      </w:r>
      <w:r>
        <w:rPr>
          <w:vertAlign w:val="subscript"/>
        </w:rPr>
        <w:t>2</w:t>
      </w:r>
      <w:r>
        <w:t>/Ni</w:t>
      </w:r>
      <w:r>
        <w:rPr>
          <w:vertAlign w:val="subscript"/>
        </w:rPr>
        <w:t>3</w:t>
      </w:r>
      <w:r>
        <w:t>S</w:t>
      </w:r>
      <w:r>
        <w:rPr>
          <w:vertAlign w:val="subscript"/>
        </w:rPr>
        <w:t>2</w:t>
      </w:r>
      <w:r>
        <w:t>for both electrodes, a current density of 100 mA cm</w:t>
      </w:r>
      <w:r>
        <w:t xml:space="preserve"> </w:t>
      </w:r>
      <w:r>
        <w:t>−2</w:t>
      </w:r>
      <w:r>
        <w:t xml:space="preserve"> </w:t>
      </w:r>
      <w:r>
        <w:t>was attained at a low cell voltage of 1.76 V. Mechanistic studies reveal that VO</w:t>
      </w:r>
      <w:r>
        <w:rPr>
          <w:vertAlign w:val="subscript"/>
        </w:rPr>
        <w:t>2</w:t>
      </w:r>
      <w:r>
        <w:t>‐induced vacancies promote the formation of high‐valence Ni species, while adjacent V sites enhance OH adsorption. This configuration enables balanced co‐adsorption of HMF and OH</w:t>
      </w:r>
      <w:r>
        <w:t xml:space="preserve"> </w:t>
      </w:r>
      <w:r>
        <w:t>−</w:t>
      </w:r>
      <w:r>
        <w:t>. Unlike conventional single‐site Ni catalysis, the Ni─V dual sites optimize the dehydrogenation pathway while preserving the high oxidation state of Ni. This study sheds new light on the catalyst design for energy‐efficient biomass valorization and hydrogen production.</w:t>
      </w:r>
    </w:p>
    <w:p>
      <w:pPr>
        <w:spacing w:before="120" w:after="120"/>
      </w:pPr>
      <w:r>
        <w:rPr>
          <w:sz w:val="18"/>
        </w:rPr>
        <w:t>——————————————————————————————————————————————————————————————————————</w:t>
      </w:r>
    </w:p>
    <w:p>
      <w:pPr>
        <w:spacing w:before="160" w:after="40" w:line="240" w:lineRule="auto"/>
      </w:pPr>
      <w:r>
        <w:rPr>
          <w:b/>
        </w:rPr>
        <w:t xml:space="preserve">[41] </w:t>
      </w:r>
      <w:hyperlink r:id="rId57">
        <w:r>
          <w:rPr>
            <w:color w:val="1155CC"/>
            <w:u w:val="single"/>
          </w:rPr>
          <w:t>挤压和直接加压对硫化铀AllSolid国家电池的干合煤热电池的影响</w:t>
        </w:r>
      </w:hyperlink>
    </w:p>
    <w:p>
      <w:pPr>
        <w:spacing w:before="0" w:after="80"/>
      </w:pPr>
      <w:r>
        <w:rPr>
          <w:i/>
          <w:sz w:val="20"/>
        </w:rPr>
        <w:t>EN: Impact of Extrusion and Direct Calendering on Dry‐Coated Cathodes for Sulfidic All‐Solid‐State Batteries</w:t>
      </w:r>
    </w:p>
    <w:p>
      <w:pPr>
        <w:spacing w:before="0" w:after="120"/>
      </w:pPr>
      <w:r>
        <w:rPr>
          <w:b/>
        </w:rPr>
        <w:t xml:space="preserve">Source: </w:t>
      </w:r>
      <w:r>
        <w:t>Wiley: Advanced Energy Materials: Table of Contents</w:t>
      </w:r>
      <w:r>
        <w:t xml:space="preserve">    </w:t>
      </w:r>
      <w:r>
        <w:rPr>
          <w:b/>
        </w:rPr>
        <w:t xml:space="preserve">Pub date: </w:t>
      </w:r>
      <w:r>
        <w:t>2026-01-17 05:11:48+00:00</w:t>
      </w:r>
      <w:r>
        <w:t xml:space="preserve">    </w:t>
      </w:r>
      <w:r>
        <w:rPr>
          <w:b/>
        </w:rPr>
        <w:t xml:space="preserve">DOI: </w:t>
      </w:r>
      <w:hyperlink r:id="rId58">
        <w:r>
          <w:rPr>
            <w:color w:val="1155CC"/>
            <w:u w:val="single"/>
          </w:rPr>
          <w:t>10.1002/aenm.202506443</w:t>
        </w:r>
      </w:hyperlink>
    </w:p>
    <w:p>
      <w:pPr>
        <w:spacing w:before="0" w:after="120"/>
      </w:pPr>
      <w:r>
        <w:rPr>
          <w:b/>
        </w:rPr>
        <w:t xml:space="preserve">Notes: </w:t>
      </w:r>
      <w:r>
        <w:t>abstract_source=crossref</w:t>
      </w:r>
    </w:p>
    <w:p>
      <w:pPr>
        <w:spacing w:before="0" w:after="80" w:lineRule="auto" w:line="276"/>
      </w:pPr>
      <w:r>
        <w:rPr>
          <w:b/>
        </w:rPr>
        <w:t xml:space="preserve">摘要（ZH）: </w:t>
      </w:r>
      <w:r>
        <w:t>本研究为在干室环境中可缩放的ASSB阴极生产提供了一个新型干化工艺。 混合粉末由82.0 wt% NCM85和0.5 wt% PTFE组成,使用双螺旋体挤流器混合和纤维化。 干相线阴极胶片通过单高听力缩放步骤用双向热量制成。本研究探讨了加工参数对电极和细胞性能形态学的影响。 此外,这些结果与泥浆参照进行了比较。 提高过程温度和减少线性负负能会增强PTFE纤维化并减轻CAM粒子裂裂。 这些调整会改善电解同性、密度和CAM-SE界面的接触。</w:t>
      </w:r>
    </w:p>
    <w:p>
      <w:pPr>
        <w:spacing w:before="0" w:after="200" w:lineRule="auto" w:line="276"/>
      </w:pPr>
      <w:r>
        <w:rPr>
          <w:b/>
        </w:rPr>
        <w:t xml:space="preserve">Abstract (EN): </w:t>
      </w:r>
      <w:r>
        <w:t>This study presents a novel dry‐coating process for the scalable production of sulfidic ASSB cathodes within a dry room environment. Composite powders, consisting of 82.0 wt% NCM85 and 0.5 wt% PTFE, are mixed and fibrillated using a twin‐screw extruder. Dry‐coated cathode films are manufactured using a two‐roll calender through a single high‐shear calendering step. The study explores the impact of processing parameters on the morphology of electrodes and cell performance. Furthermore, the findings are compared to a slurry reference. Increasing the process temperature and reducing the line load enhances PTFE fibrillation and mitigates CAM particle cracking. These adjustments improve electrode homogeneity, density, and CAM–SE interface contact. The improvements are attributed to the deformation of LPSCl particles under shear stress, especially at higher temperatures. XPS analysis reveals temperature‐driven degradation of LPSCl, forming Li</w:t>
      </w:r>
      <w:r>
        <w:rPr>
          <w:vertAlign w:val="subscript"/>
        </w:rPr>
        <w:t>2</w:t>
      </w:r>
      <w:r>
        <w:t>S. Despite lower electronic conductivity, dry‐coated cathodes exhibit superior ionic conductivity compared to the slurry reference. Single‐layer pouch cells with dry‐coated cathodes demonstrate enhanced initial capacity, ICE, and discharge rate capability. Optimal performance is achieved with electrodes produced with high extrusion temperature (100°C), medium calender temperature (60°C), and low line load (50 N mm</w:t>
      </w:r>
      <w:r>
        <w:t xml:space="preserve"> </w:t>
      </w:r>
      <w:r>
        <w:t>−</w:t>
      </w:r>
      <w:r>
        <w:rPr>
          <w:vertAlign w:val="subscript"/>
        </w:rPr>
        <w:t>1</w:t>
      </w:r>
      <w:r>
        <w:t>).</w:t>
      </w:r>
    </w:p>
    <w:p>
      <w:pPr>
        <w:spacing w:before="120" w:after="120"/>
      </w:pPr>
      <w:r>
        <w:rPr>
          <w:sz w:val="18"/>
        </w:rPr>
        <w:t>——————————————————————————————————————————————————————————————————————</w:t>
      </w:r>
    </w:p>
    <w:p>
      <w:pPr>
        <w:spacing w:before="160" w:after="40" w:line="240" w:lineRule="auto"/>
      </w:pPr>
      <w:r>
        <w:rPr>
          <w:b/>
        </w:rPr>
        <w:t xml:space="preserve">[42] </w:t>
      </w:r>
      <w:hyperlink r:id="rId59">
        <w:r>
          <w:rPr>
            <w:color w:val="1155CC"/>
            <w:u w:val="single"/>
          </w:rPr>
          <w:t>由Shear-Z阶段氧化生成的超水平稳定双苯并存电动色窗</w:t>
        </w:r>
      </w:hyperlink>
    </w:p>
    <w:p>
      <w:pPr>
        <w:spacing w:before="0" w:after="80"/>
      </w:pPr>
      <w:r>
        <w:rPr>
          <w:i/>
          <w:sz w:val="20"/>
        </w:rPr>
        <w:t>EN: Ultra‐Stable Dual‐Band Electrochromic Windows Enabled by Shear‐Phase Niobium Oxide</w:t>
      </w:r>
    </w:p>
    <w:p>
      <w:pPr>
        <w:spacing w:before="0" w:after="120"/>
      </w:pPr>
      <w:r>
        <w:rPr>
          <w:b/>
        </w:rPr>
        <w:t xml:space="preserve">Source: </w:t>
      </w:r>
      <w:r>
        <w:t>Wiley: Advanced Energy Materials: Table of Contents</w:t>
      </w:r>
      <w:r>
        <w:t xml:space="preserve">    </w:t>
      </w:r>
      <w:r>
        <w:rPr>
          <w:b/>
        </w:rPr>
        <w:t xml:space="preserve">Pub date: </w:t>
      </w:r>
      <w:r>
        <w:t>2026-01-17 05:13:02+00:00</w:t>
      </w:r>
      <w:r>
        <w:t xml:space="preserve">    </w:t>
      </w:r>
      <w:r>
        <w:rPr>
          <w:b/>
        </w:rPr>
        <w:t xml:space="preserve">DOI: </w:t>
      </w:r>
      <w:hyperlink r:id="rId60">
        <w:r>
          <w:rPr>
            <w:color w:val="1155CC"/>
            <w:u w:val="single"/>
          </w:rPr>
          <w:t>10.1002/aenm.202505972</w:t>
        </w:r>
      </w:hyperlink>
    </w:p>
    <w:p>
      <w:pPr>
        <w:spacing w:before="0" w:after="120"/>
      </w:pPr>
      <w:r>
        <w:rPr>
          <w:b/>
        </w:rPr>
        <w:t xml:space="preserve">Notes: </w:t>
      </w:r>
      <w:r>
        <w:t>abstract_source=crossref</w:t>
      </w:r>
    </w:p>
    <w:p>
      <w:pPr>
        <w:spacing w:before="0" w:after="80" w:lineRule="auto" w:line="276"/>
      </w:pPr>
      <w:r>
        <w:rPr>
          <w:b/>
        </w:rPr>
        <w:t xml:space="preserve">摘要（ZH）: </w:t>
      </w:r>
      <w:r>
        <w:t>ABSTACT 双频带电动窗(DEWs)能够有选择地调制可见光(VIS)和近红外太阳辐射,为减少建筑能源消耗提供了有效的战略,但常规电动材料在反复离子间隔热/脱热过程中,会发生变形、间应力和不可逆转的阶段过渡,导致光学迅速降解。在此,我们报告基于剪切点Nb 2 O 5的超可控 DEWs,通过W 6+ doping进行电子结构工程。</w:t>
      </w:r>
    </w:p>
    <w:p>
      <w:pPr>
        <w:spacing w:before="0" w:after="200" w:lineRule="auto" w:line="276"/>
      </w:pPr>
      <w:r>
        <w:rPr>
          <w:b/>
        </w:rPr>
        <w:t xml:space="preserve">Abstract (EN): </w:t>
      </w:r>
      <w:r>
        <w:t>Dual‐band electrochromic windows (DEWs) enable selective modulation of visible (VIS) and near‐infrared (NIR) solar radiation, providing an effective strategy to reduce building energy consumption. Conventional electrochromic materials, however, undergo lattice distortion, interfacial stress, and irreversible phase transitions during repeated ion intercalation/deintercalation, which lead to rapid optical degradation. Herein, we report ultra‐stable DEWs based on shear‐phase Nb</w:t>
      </w:r>
      <w:r>
        <w:rPr>
          <w:vertAlign w:val="subscript"/>
        </w:rPr>
        <w:t>2</w:t>
      </w:r>
      <w:r>
        <w:t>O</w:t>
      </w:r>
      <w:r>
        <w:rPr>
          <w:vertAlign w:val="subscript"/>
        </w:rPr>
        <w:t>5</w:t>
      </w:r>
      <w:r>
        <w:t>with electronic‐structure engineering via W</w:t>
      </w:r>
      <w:r>
        <w:t xml:space="preserve"> </w:t>
      </w:r>
      <w:r>
        <w:t>6+</w:t>
      </w:r>
      <w:r>
        <w:t xml:space="preserve"> </w:t>
      </w:r>
      <w:r>
        <w:t>doping. The 2D shear‐phase framework suppresses phase transitions and volume expansion during cycling, while W</w:t>
      </w:r>
      <w:r>
        <w:t xml:space="preserve"> </w:t>
      </w:r>
      <w:r>
        <w:t>6+</w:t>
      </w:r>
      <w:r>
        <w:t xml:space="preserve"> </w:t>
      </w:r>
      <w:r>
        <w:t>substitution introduces oxygen vacancies and strengthens ion‐lattice coupling through</w:t>
      </w:r>
      <w:r>
        <w:t xml:space="preserve"> </w:t>
      </w:r>
      <w:r>
        <w:t>d‐p</w:t>
      </w:r>
      <w:r>
        <w:t xml:space="preserve"> </w:t>
      </w:r>
      <w:r>
        <w:t>orbital hybridization. The combination of structural and electronic optimization enhances electronic conductivity and reduces the ion diffusion barrier. As a result, W‐doped Nb</w:t>
      </w:r>
      <w:r>
        <w:rPr>
          <w:vertAlign w:val="subscript"/>
        </w:rPr>
        <w:t>2</w:t>
      </w:r>
      <w:r>
        <w:t>O</w:t>
      </w:r>
      <w:r>
        <w:rPr>
          <w:vertAlign w:val="subscript"/>
        </w:rPr>
        <w:t>5</w:t>
      </w:r>
      <w:r>
        <w:t>films achieve large optical modulation of 92.3% at 633 nm and 93.8% at 1200 nm, rapid switching (coloration/bleaching: 3.4/2.8 s at 633 nm and 2.4/5.2 s at 1200 nm), excellent bistability, and outstanding cycling stability, with less than 10% optical loss after 100 000 cycles. Simulations demonstrate that these DEWs offer substantial energy‐saving potential under diverse climates, and their integration with photovoltaic‐electrochromic systems enables self‐powered operation. This study establishes the first intrinsic stabilization mechanism for Nb</w:t>
      </w:r>
      <w:r>
        <w:rPr>
          <w:vertAlign w:val="subscript"/>
        </w:rPr>
        <w:t>2</w:t>
      </w:r>
      <w:r>
        <w:t>O</w:t>
      </w:r>
      <w:r>
        <w:rPr>
          <w:vertAlign w:val="subscript"/>
        </w:rPr>
        <w:t>5</w:t>
      </w:r>
      <w:r>
        <w:t>‐based dual‐band electrochromism and provides a general design principle for durable, energy‐efficient smart windows.</w:t>
      </w:r>
    </w:p>
    <w:p>
      <w:pPr>
        <w:spacing w:before="120" w:after="120"/>
      </w:pPr>
      <w:r>
        <w:rPr>
          <w:sz w:val="18"/>
        </w:rPr>
        <w:t>——————————————————————————————————————————————————————————————————————</w:t>
      </w:r>
    </w:p>
    <w:p>
      <w:pPr>
        <w:spacing w:before="160" w:after="40" w:line="240" w:lineRule="auto"/>
      </w:pPr>
      <w:r>
        <w:rPr>
          <w:b/>
        </w:rPr>
        <w:t xml:space="preserve">[43] </w:t>
      </w:r>
      <w:hyperlink r:id="rId61">
        <w:r>
          <w:rPr>
            <w:color w:val="1155CC"/>
            <w:u w:val="single"/>
          </w:rPr>
          <w:t>拆除Necropataty 引擎:用于超顶性科炎的口腔神经学纳米海绵</w:t>
        </w:r>
      </w:hyperlink>
    </w:p>
    <w:p>
      <w:pPr>
        <w:spacing w:before="0" w:after="80"/>
      </w:pPr>
      <w:r>
        <w:rPr>
          <w:i/>
          <w:sz w:val="20"/>
        </w:rPr>
        <w:t>EN: Dismantling the Necroptotic Engine: An Oral Theranostic Nanosponge for Ulcerative Colitis</w:t>
      </w:r>
    </w:p>
    <w:p>
      <w:pPr>
        <w:spacing w:before="0" w:after="120"/>
      </w:pPr>
      <w:r>
        <w:rPr>
          <w:b/>
        </w:rPr>
        <w:t xml:space="preserve">Source: </w:t>
      </w:r>
      <w:r>
        <w:t>Wiley: Advanced Materials: Table of Contents</w:t>
      </w:r>
      <w:r>
        <w:t xml:space="preserve">    </w:t>
      </w:r>
      <w:r>
        <w:rPr>
          <w:b/>
        </w:rPr>
        <w:t xml:space="preserve">Pub date: </w:t>
      </w:r>
      <w:r>
        <w:t>2026-01-17 06:10:11+00:00</w:t>
      </w:r>
      <w:r>
        <w:t xml:space="preserve">    </w:t>
      </w:r>
      <w:r>
        <w:rPr>
          <w:b/>
        </w:rPr>
        <w:t xml:space="preserve">DOI: </w:t>
      </w:r>
      <w:hyperlink r:id="rId62">
        <w:r>
          <w:rPr>
            <w:color w:val="1155CC"/>
            <w:u w:val="single"/>
          </w:rPr>
          <w:t>10.1002/adma.202516297</w:t>
        </w:r>
      </w:hyperlink>
    </w:p>
    <w:p>
      <w:pPr>
        <w:spacing w:before="0" w:after="120"/>
      </w:pPr>
      <w:r>
        <w:rPr>
          <w:b/>
        </w:rPr>
        <w:t xml:space="preserve">Notes: </w:t>
      </w:r>
      <w:r>
        <w:t>abstract_source=crossref</w:t>
      </w:r>
    </w:p>
    <w:p>
      <w:pPr>
        <w:spacing w:before="0" w:after="80" w:lineRule="auto" w:line="276"/>
      </w:pPr>
      <w:r>
        <w:rPr>
          <w:b/>
        </w:rPr>
        <w:t xml:space="preserve">摘要（ZH）: </w:t>
      </w:r>
      <w:r>
        <w:t>关键病理驱动因素是肠胃上皮细胞(IECs)过量的内分泌固化,这扰乱了肠道屏障。为了解决这个问题,我们设计了一个智能口腔神经纳米平台,CurN@I, 以拆除内分泌螺旋聚变轴。CurN@I由一个用于计算透析成像(CT)成像的硫酸盐(BASO 4)核心(BASO 4)组成,嵌入一个PH-反应性丝质蛋白纳米海绵中。这个软骨与一个内分泌抑制剂(Necrostatins, Necí1s)和一种抗氧化剂(demexoxycurcumin, DMC)一起装上。纳米结构在酸性胃中压缩,但中性部分的膨胀。</w:t>
      </w:r>
    </w:p>
    <w:p>
      <w:pPr>
        <w:spacing w:before="0" w:after="200" w:lineRule="auto" w:line="276"/>
      </w:pPr>
      <w:r>
        <w:rPr>
          <w:b/>
        </w:rPr>
        <w:t xml:space="preserve">Abstract (EN): </w:t>
      </w:r>
      <w:r>
        <w:t>Ulcerative Colitis (UC) treatments often lack target specificity and have significant side effects. A key pathological driver is the excessive necroptosis of intestinal epithelial cells (IECs), which disrupts the gut barrier. To address this, we designed an intelligent oral theranostic nanoplatform, CurN@I, to dismantle the necroptosis‐inflammation axis. CurN@I consists of a barium sulfate (BaSO</w:t>
      </w:r>
      <w:r>
        <w:rPr>
          <w:vertAlign w:val="subscript"/>
        </w:rPr>
        <w:t>4</w:t>
      </w:r>
      <w:r>
        <w:t>) core for computed tomography (CT) imaging, encapsulated within a pH‐responsive silk protein nanosponge. This scaffold is co‐loaded with a necroptosis inhibitor (Necrostatin‐1s, Nec‐1s) and an antioxidant (demethoxycurcumin, DMC). The nanostructure is condensed in the acidic stomach but swells at the neutral pH of the inflamed intestine for localized drug release. Its negative surface charge facilitates durable electrostatic adhesion to the inflamed mucosa. In murine UC models, oral CurN@I significantly outperformed first‐line clinical drugs. Mechanistic analysis showed it inhibits IEC necroptosis, alleviates oxidative stress, promotes barrier regeneration, and reshapes the gut microbiome. This work presents a non‐invasive, targeted oral strategy that integrates diagnosis with multi‐faceted therapy to restore intestinal homeostasis, demonstrating strong potential for clinical translation.</w:t>
      </w:r>
    </w:p>
    <w:p>
      <w:pPr>
        <w:spacing w:before="120" w:after="120"/>
      </w:pPr>
      <w:r>
        <w:rPr>
          <w:sz w:val="18"/>
        </w:rPr>
        <w:t>——————————————————————————————————————————————————————————————————————</w:t>
      </w:r>
    </w:p>
    <w:p>
      <w:pPr>
        <w:spacing w:before="160" w:after="40" w:line="240" w:lineRule="auto"/>
      </w:pPr>
      <w:r>
        <w:rPr>
          <w:b/>
        </w:rPr>
        <w:t xml:space="preserve">[44] </w:t>
      </w:r>
      <w:hyperlink r:id="rId63">
        <w:r>
          <w:rPr>
            <w:color w:val="1155CC"/>
            <w:u w:val="single"/>
          </w:rPr>
          <w:t>通过经过工程改造的乳膜聚氨酯溶解,进行乳腺癌免疫治疗,以完成乳癌免疫治疗。</w:t>
        </w:r>
      </w:hyperlink>
    </w:p>
    <w:p>
      <w:pPr>
        <w:spacing w:before="0" w:after="80"/>
      </w:pPr>
      <w:r>
        <w:rPr>
          <w:i/>
          <w:sz w:val="20"/>
        </w:rPr>
        <w:t>EN: Stiffness‐Gated Cytoplasmic mRNA Delivery Through Engineered Membrane Fusion for Breast Cancer Immunotherapy</w:t>
      </w:r>
    </w:p>
    <w:p>
      <w:pPr>
        <w:spacing w:before="0" w:after="120"/>
      </w:pPr>
      <w:r>
        <w:rPr>
          <w:b/>
        </w:rPr>
        <w:t xml:space="preserve">Source: </w:t>
      </w:r>
      <w:r>
        <w:t>Wiley: Advanced Materials: Table of Contents</w:t>
      </w:r>
      <w:r>
        <w:t xml:space="preserve">    </w:t>
      </w:r>
      <w:r>
        <w:rPr>
          <w:b/>
        </w:rPr>
        <w:t xml:space="preserve">Pub date: </w:t>
      </w:r>
      <w:r>
        <w:t>2026-01-17 06:11:17+00:00</w:t>
      </w:r>
      <w:r>
        <w:t xml:space="preserve">    </w:t>
      </w:r>
      <w:r>
        <w:rPr>
          <w:b/>
        </w:rPr>
        <w:t xml:space="preserve">DOI: </w:t>
      </w:r>
      <w:hyperlink r:id="rId64">
        <w:r>
          <w:rPr>
            <w:color w:val="1155CC"/>
            <w:u w:val="single"/>
          </w:rPr>
          <w:t>10.1002/adma.202518208</w:t>
        </w:r>
      </w:hyperlink>
    </w:p>
    <w:p>
      <w:pPr>
        <w:spacing w:before="0" w:after="120"/>
      </w:pPr>
      <w:r>
        <w:rPr>
          <w:b/>
        </w:rPr>
        <w:t xml:space="preserve">Notes: </w:t>
      </w:r>
      <w:r>
        <w:t>abstract_source=crossref</w:t>
      </w:r>
    </w:p>
    <w:p>
      <w:pPr>
        <w:spacing w:before="0" w:after="80" w:lineRule="auto" w:line="276"/>
      </w:pPr>
      <w:r>
        <w:rPr>
          <w:b/>
        </w:rPr>
        <w:t xml:space="preserve">摘要（ZH）: </w:t>
      </w:r>
      <w:r>
        <w:t>ABSTACT 传统脂质纳米粒子(LNPs)存在低淋巴脱落效率( &amp; lt;4%)和离目标毒性,阻碍了 mRNA疗法的转化。虽然膜聚变载体绕着内分泌诱变,但细胞特性的缺乏诱发非目标细胞细胞毒性。为了克服这些限制,我们开发了一个僵硬的 mRNA交付平台(PGC@FM ) 。这个系统有一个PLGA核心,内装有G0C14 dendrimmer/mRNA复合体,外涂有工程设计的低吸附性肿瘤细胞聚积膜(FM ) 。通过不饱和脂肪酸浓缩在战略上降低膜的僵硬性,通过与低吸附性目标细胞的选择性聚变,使直接交付细胞。相反,遇到高吸附性非目标细胞,PGC@FM。</w:t>
      </w:r>
    </w:p>
    <w:p>
      <w:pPr>
        <w:spacing w:before="0" w:after="200" w:lineRule="auto" w:line="276"/>
      </w:pPr>
      <w:r>
        <w:rPr>
          <w:b/>
        </w:rPr>
        <w:t xml:space="preserve">Abstract (EN): </w:t>
      </w:r>
      <w:r>
        <w:t>Traditional lipid nanoparticles (LNPs) suffer from low lysosomal escape efficiency (&amp;lt;4%) and off‐target toxicity, hindering mRNA therapy translation. While membrane fusion carriers bypass endosomal entrapment, their lack of cell specificity induces non‐target cytotoxicity. To overcome these limitations, we developed a stiffness‐gated mRNA delivery platform (PGC@FM). This system features a PLGA core loaded with G0‐C14 dendrimer/mRNA complexes and coated with an engineered, low‐stiffness tumor cell fusion membrane (FM). The membrane stiffness is strategically reduced via unsaturated fatty acid enrichment, enabling direct cytoplasmic delivery through selective fusion with low‐stiffness target cells. Conversely, encountering high‐stiffness non‐target cells, PGC@FM undergoes endocytosis and lysosomal degradation, minimizing off‐target effects. Compared to LNPs, this stiffness‐gated strategy enhanced EGFP‐mRNA transfection efficiency in 4T1 cells by 5.2‐fold and increased tumor‐specific p53‐mRNA delivery efficiency by 4.2‐fold, resulting in potent tumor suppression and immune activation. Crucially, non‐target cells rapidly degrade internalized PGC@FM in lysosomes, significantly reducing off‐target toxicity compared to conventional fusion carriers. These research results indicate that by leveraging the biophysical principle of membrane rigidity compatibility, highly selective mRNA delivery can be achieved, providing new ideas for the development of mRNA delivery carriers.</w:t>
      </w:r>
    </w:p>
    <w:p>
      <w:pPr>
        <w:spacing w:before="120" w:after="120"/>
      </w:pPr>
      <w:r>
        <w:rPr>
          <w:sz w:val="18"/>
        </w:rPr>
        <w:t>——————————————————————————————————————————————————————————————————————</w:t>
      </w:r>
    </w:p>
    <w:p>
      <w:pPr>
        <w:spacing w:before="160" w:after="40" w:line="240" w:lineRule="auto"/>
      </w:pPr>
      <w:r>
        <w:rPr>
          <w:b/>
        </w:rPr>
        <w:t xml:space="preserve">[45] </w:t>
      </w:r>
      <w:hyperlink r:id="rId65">
        <w:r>
          <w:rPr>
            <w:color w:val="1155CC"/>
            <w:u w:val="single"/>
          </w:rPr>
          <w:t>20% 效率接近20%的有机太阳能电池</w:t>
        </w:r>
      </w:hyperlink>
    </w:p>
    <w:p>
      <w:pPr>
        <w:spacing w:before="0" w:after="80"/>
      </w:pPr>
      <w:r>
        <w:rPr>
          <w:i/>
          <w:sz w:val="20"/>
        </w:rPr>
        <w:t>EN: Phosphate Ester‐Modified Acceptor Additives Enable Concurrent Vertical Morphology and Interfacial Engineering for Organic Solar Cells Approaching 21% Efficiency</w:t>
      </w:r>
    </w:p>
    <w:p>
      <w:pPr>
        <w:spacing w:before="0" w:after="120"/>
      </w:pPr>
      <w:r>
        <w:rPr>
          <w:b/>
        </w:rPr>
        <w:t xml:space="preserve">Source: </w:t>
      </w:r>
      <w:r>
        <w:t>Wiley: Advanced Materials: Table of Contents</w:t>
      </w:r>
      <w:r>
        <w:t xml:space="preserve">    </w:t>
      </w:r>
      <w:r>
        <w:rPr>
          <w:b/>
        </w:rPr>
        <w:t xml:space="preserve">Pub date: </w:t>
      </w:r>
      <w:r>
        <w:t>2026-01-17 06:12:15+00:00</w:t>
      </w:r>
      <w:r>
        <w:t xml:space="preserve">    </w:t>
      </w:r>
      <w:r>
        <w:rPr>
          <w:b/>
        </w:rPr>
        <w:t xml:space="preserve">DOI: </w:t>
      </w:r>
      <w:hyperlink r:id="rId66">
        <w:r>
          <w:rPr>
            <w:color w:val="1155CC"/>
            <w:u w:val="single"/>
          </w:rPr>
          <w:t>10.1002/adma.202519367</w:t>
        </w:r>
      </w:hyperlink>
    </w:p>
    <w:p>
      <w:pPr>
        <w:spacing w:before="0" w:after="120"/>
      </w:pPr>
      <w:r>
        <w:rPr>
          <w:b/>
        </w:rPr>
        <w:t xml:space="preserve">Notes: </w:t>
      </w:r>
      <w:r>
        <w:t>abstract_source=crossref</w:t>
      </w:r>
    </w:p>
    <w:p>
      <w:pPr>
        <w:spacing w:before="0" w:after="80" w:lineRule="auto" w:line="276"/>
      </w:pPr>
      <w:r>
        <w:rPr>
          <w:b/>
        </w:rPr>
        <w:t xml:space="preserve">摘要（ZH）: </w:t>
      </w:r>
      <w:r>
        <w:t>以非全天接受器为基础的ABSTACT有机太阳能电池(OSCs)取得了迅速的进展,但进一步的进展却受到接受-阴极界面垂直形态控制和能源对接的双重挑战的制约。 这里介绍了分子工程战略,在基准NFA L8BO的内烷基链中安装极极磷酸酯酯组,产生两种衍生物-1POE和2POE。 这些分子在层层逐层处理过程中作为非挥发性固体添加剂被作为非挥发性固体添加剂使用,这些分子引发垂直成分再分配,形成一个分级捐赠者-接受-添加结构。 由此形成的垂直剖析法加强了分子间相互作用,提高了地表能量,并促使在顶端内部积累添加物。</w:t>
      </w:r>
    </w:p>
    <w:p>
      <w:pPr>
        <w:spacing w:before="0" w:after="200" w:lineRule="auto" w:line="276"/>
      </w:pPr>
      <w:r>
        <w:rPr>
          <w:b/>
        </w:rPr>
        <w:t xml:space="preserve">Abstract (EN): </w:t>
      </w:r>
      <w:r>
        <w:t>Organic solar cells (OSCs) based on non‐fullerene acceptors (NFAs) have progressed rapidly, yet further gains are constrained by coupled challenges in vertical morphology control and energy alignment at the acceptor–cathode interface. Here, a molecular engineering strategy is presented that installs strongly polar phosphate ester groups onto the inner alkyl chains of the benchmark NFA L8‐BO, yielding two derivatives—1POE and 2POE. Employed as non‐volatile solid additives during layer‐by‐layer processing, these molecules induce vertical composition redistribution to form a graded donor–acceptor–additive architecture. The resulting vertical profiling strengthens intermolecular interactions, raises surface energy, and drives additive accumulation near the top interface, thereby improving interfacial energetics and facilitating electron extraction. Consequently, devices incorporating 2 wt.% 1POE or 2POE deliver power conversion efficiencies (PCEs) of 19.87% and 19.28%, respectively, versus 18.83% for controls, alongside enhanced operational stability. The strategy shows strong universality across multiple blends, achieving a PCE of 20.90% in a D18/L8‐BO:BTP‐eC9FCl ternary system. These results demonstrate that precise phosphate ester–based additive design enables concurrent optimization of vertical phase distribution and interfacial energetics, offering a practical route to high‐efficiency, stable OSCs.</w:t>
      </w:r>
    </w:p>
    <w:p>
      <w:pPr>
        <w:spacing w:before="120" w:after="120"/>
      </w:pPr>
      <w:r>
        <w:rPr>
          <w:sz w:val="18"/>
        </w:rPr>
        <w:t>——————————————————————————————————————————————————————————————————————</w:t>
      </w:r>
    </w:p>
    <w:p>
      <w:pPr>
        <w:spacing w:before="160" w:after="40" w:line="240" w:lineRule="auto"/>
      </w:pPr>
      <w:r>
        <w:rPr>
          <w:b/>
        </w:rPr>
        <w:t xml:space="preserve">[46] </w:t>
      </w:r>
      <w:hyperlink r:id="rId67">
        <w:r>
          <w:rPr>
            <w:color w:val="1155CC"/>
            <w:u w:val="single"/>
          </w:rPr>
          <w:t>Strain-Engineered VO2的隐藏照片诱发的阶段过渡途径</w:t>
        </w:r>
      </w:hyperlink>
    </w:p>
    <w:p>
      <w:pPr>
        <w:spacing w:before="0" w:after="80"/>
      </w:pPr>
      <w:r>
        <w:rPr>
          <w:i/>
          <w:sz w:val="20"/>
        </w:rPr>
        <w:t>EN: A Hidden Photoinduced Phase‐Transition Pathway in Strain‐Engineered VO2</w:t>
      </w:r>
    </w:p>
    <w:p>
      <w:pPr>
        <w:spacing w:before="0" w:after="120"/>
      </w:pPr>
      <w:r>
        <w:rPr>
          <w:b/>
        </w:rPr>
        <w:t xml:space="preserve">Source: </w:t>
      </w:r>
      <w:r>
        <w:t>Wiley: Advanced Materials: Table of Contents</w:t>
      </w:r>
      <w:r>
        <w:t xml:space="preserve">    </w:t>
      </w:r>
      <w:r>
        <w:rPr>
          <w:b/>
        </w:rPr>
        <w:t xml:space="preserve">Pub date: </w:t>
      </w:r>
      <w:r>
        <w:t>2026-01-17 06:13:11+00:00</w:t>
      </w:r>
      <w:r>
        <w:t xml:space="preserve">    </w:t>
      </w:r>
      <w:r>
        <w:rPr>
          <w:b/>
        </w:rPr>
        <w:t xml:space="preserve">DOI: </w:t>
      </w:r>
      <w:hyperlink r:id="rId68">
        <w:r>
          <w:rPr>
            <w:color w:val="1155CC"/>
            <w:u w:val="single"/>
          </w:rPr>
          <w:t>10.1002/adma.202517123</w:t>
        </w:r>
      </w:hyperlink>
    </w:p>
    <w:p>
      <w:pPr>
        <w:spacing w:before="0" w:after="120"/>
      </w:pPr>
      <w:r>
        <w:rPr>
          <w:b/>
        </w:rPr>
        <w:t xml:space="preserve">Notes: </w:t>
      </w:r>
      <w:r>
        <w:t>abstract_source=crossref</w:t>
      </w:r>
    </w:p>
    <w:p>
      <w:pPr>
        <w:spacing w:before="0" w:after="80" w:lineRule="auto" w:line="276"/>
      </w:pPr>
      <w:r>
        <w:rPr>
          <w:b/>
        </w:rPr>
        <w:t xml:space="preserve">摘要（ZH）: </w:t>
      </w:r>
      <w:r>
        <w:t>光学透析提供了将量子材料推进无平衡状态的多功能途径,为在温度、磁场、压力或化学剂量/替代等常规调制参数之外进行阶段工程开辟了机会。 VO 2(原型相关氧化物)长期以来一直作为理解光诱发的隔热体-金属转变的示范系统,但结构和电子转型的顺序仍然在激烈争论之中。 在这里,我们发现了一个隐藏的光诱变路径,它通过内层受累的VO 2薄薄膜进行,其中结构转型先于电子隔热器-金属转型,反转。</w:t>
      </w:r>
    </w:p>
    <w:p>
      <w:pPr>
        <w:spacing w:before="0" w:after="200" w:lineRule="auto" w:line="276"/>
      </w:pPr>
      <w:r>
        <w:rPr>
          <w:b/>
        </w:rPr>
        <w:t xml:space="preserve">Abstract (EN): </w:t>
      </w:r>
      <w:r>
        <w:t>Photoexcitation provides a versatile route to drive quantum materials into nonequilibrium states, opening opportunities for phase engineering beyond conventional tuning parameters such as temperature, magnetic field, pressure, or chemical doping/substitution. VO</w:t>
      </w:r>
      <w:r>
        <w:rPr>
          <w:vertAlign w:val="subscript"/>
        </w:rPr>
        <w:t>2</w:t>
      </w:r>
      <w:r>
        <w:t>, a prototypical correlated oxide, has long served as a model system for understanding photoinduced insulator–metal transitions, yet the sequence of structural and electronic transitions remains intensely debated. Here, we uncover a hidden photoinduced transition pathway in epitaxially strained VO</w:t>
      </w:r>
      <w:r>
        <w:rPr>
          <w:vertAlign w:val="subscript"/>
        </w:rPr>
        <w:t>2</w:t>
      </w:r>
      <w:r>
        <w:t>thin films, in which the structural transition precedes the electronic insulator–metal transition, reversing the canonical temporal order. Femtosecond X‐ray diffraction reveals a transient structural state characterized by the disappearance of vanadium dimers generating dynamic tensile strain, while time‐resolved terahertz spectroscopy shows that the electronic gap closes only after the strain relaxation. This lattice‐driven transition highlights the pivotal role of Mott correlations in dictating electronic properties under nonequilibrium conditions. Our findings establish strain–light coupling as a design principle for ultrafast control of phase transitions, offering new avenues for reconfigurable electronic and photonic devices based on correlated oxides.</w:t>
      </w:r>
    </w:p>
    <w:p>
      <w:pPr>
        <w:spacing w:before="120" w:after="120"/>
      </w:pPr>
      <w:r>
        <w:rPr>
          <w:sz w:val="18"/>
        </w:rPr>
        <w:t>——————————————————————————————————————————————————————————————————————</w:t>
      </w:r>
    </w:p>
    <w:p>
      <w:pPr>
        <w:spacing w:before="160" w:after="40" w:line="240" w:lineRule="auto"/>
      </w:pPr>
      <w:r>
        <w:rPr>
          <w:b/>
        </w:rPr>
        <w:t xml:space="preserve">[47] </w:t>
      </w:r>
      <w:hyperlink r:id="rId69">
        <w:r>
          <w:rPr>
            <w:color w:val="1155CC"/>
            <w:u w:val="single"/>
          </w:rPr>
          <w:t>Zn金属电池高可逆转火药导极器</w:t>
        </w:r>
      </w:hyperlink>
    </w:p>
    <w:p>
      <w:pPr>
        <w:spacing w:before="0" w:after="80"/>
      </w:pPr>
      <w:r>
        <w:rPr>
          <w:i/>
          <w:sz w:val="20"/>
        </w:rPr>
        <w:t>EN: Bimetallic Cladding‐Constructed Interfacial Microenvironment Enabled Highly Reversible Powder Anode for Zn Metal Batteries</w:t>
      </w:r>
    </w:p>
    <w:p>
      <w:pPr>
        <w:spacing w:before="0" w:after="120"/>
      </w:pPr>
      <w:r>
        <w:rPr>
          <w:b/>
        </w:rPr>
        <w:t xml:space="preserve">Source: </w:t>
      </w:r>
      <w:r>
        <w:t>Wiley: Advanced Materials: Table of Contents</w:t>
      </w:r>
      <w:r>
        <w:t xml:space="preserve">    </w:t>
      </w:r>
      <w:r>
        <w:rPr>
          <w:b/>
        </w:rPr>
        <w:t xml:space="preserve">Pub date: </w:t>
      </w:r>
      <w:r>
        <w:t>2026-01-17 06:14:08+00:00</w:t>
      </w:r>
      <w:r>
        <w:t xml:space="preserve">    </w:t>
      </w:r>
      <w:r>
        <w:rPr>
          <w:b/>
        </w:rPr>
        <w:t xml:space="preserve">DOI: </w:t>
      </w:r>
      <w:hyperlink r:id="rId70">
        <w:r>
          <w:rPr>
            <w:color w:val="1155CC"/>
            <w:u w:val="single"/>
          </w:rPr>
          <w:t>10.1002/adma.202518003</w:t>
        </w:r>
      </w:hyperlink>
    </w:p>
    <w:p>
      <w:pPr>
        <w:spacing w:before="0" w:after="120"/>
      </w:pPr>
      <w:r>
        <w:rPr>
          <w:b/>
        </w:rPr>
        <w:t xml:space="preserve">Notes: </w:t>
      </w:r>
      <w:r>
        <w:t>abstract_source=crossref</w:t>
      </w:r>
    </w:p>
    <w:p>
      <w:pPr>
        <w:spacing w:before="0" w:after="80" w:lineRule="auto" w:line="276"/>
      </w:pPr>
      <w:r>
        <w:rPr>
          <w:b/>
        </w:rPr>
        <w:t xml:space="preserve">摘要（ZH）: </w:t>
      </w:r>
      <w:r>
        <w:t>金属粉阳极的不稳定界面仍然是实现长寿命 Zn 粉状水态锌金属电池(AZMBs)的一个挑战,然而,大多数报告的金属复合战略仍然由于Zn 2+扩散和电子传输行为之间的不匹配而受到影响。在这里,提出了含有特定迁移序列的双金属包层战略。除了继承Sn和Cu的内在优势外,Cu和Zn的EDL电荷分配对齐补偿了离子吸附,抑制了ZSH相关的侧反应。此外,当地建造的SnO 2真空可以容纳被剥光的Zn 2+。</w:t>
      </w:r>
    </w:p>
    <w:p>
      <w:pPr>
        <w:spacing w:before="0" w:after="200" w:lineRule="auto" w:line="276"/>
      </w:pPr>
      <w:r>
        <w:rPr>
          <w:b/>
        </w:rPr>
        <w:t xml:space="preserve">Abstract (EN): </w:t>
      </w:r>
      <w:r>
        <w:t>The unstable interface of metal powder anode remains a challenge to achieve long‐life Zn powder‐based aqueous zinc metal batteries (AZMBs). However, most reported metal composite strategies still suffer from a mismatch between Zn</w:t>
      </w:r>
      <w:r>
        <w:t xml:space="preserve"> </w:t>
      </w:r>
      <w:r>
        <w:t>2+</w:t>
      </w:r>
      <w:r>
        <w:t xml:space="preserve"> </w:t>
      </w:r>
      <w:r>
        <w:t>diffusion and electron transfer behaviors. Here, a bimetallic cladding strategy with a specific displacement sequence was proposed. Except for inheriting intrinsic advantages of Sn and Cu, the opposite EDL charge distribution of Cu to Zn compensates for the anion adsorption, inhibiting the ZSH‐related side reactions. Moreover, abundant in situ constructed surface SnO</w:t>
      </w:r>
      <w:r>
        <w:rPr>
          <w:vertAlign w:val="subscript"/>
        </w:rPr>
        <w:t>2</w:t>
      </w:r>
      <w:r>
        <w:t>voids could accommodate stripped Zn</w:t>
      </w:r>
      <w:r>
        <w:t xml:space="preserve"> </w:t>
      </w:r>
      <w:r>
        <w:t>2+</w:t>
      </w:r>
      <w:r>
        <w:t xml:space="preserve"> </w:t>
      </w:r>
      <w:r>
        <w:t>to avoid disordered diffusion, providing a shorter diffusion distance for the electron acceptance by Zn</w:t>
      </w:r>
      <w:r>
        <w:t xml:space="preserve"> </w:t>
      </w:r>
      <w:r>
        <w:t>2+</w:t>
      </w:r>
      <w:r>
        <w:t xml:space="preserve"> </w:t>
      </w:r>
      <w:r>
        <w:t>instead of H</w:t>
      </w:r>
      <w:r>
        <w:t xml:space="preserve"> </w:t>
      </w:r>
      <w:r>
        <w:t>+</w:t>
      </w:r>
      <w:r>
        <w:t xml:space="preserve"> </w:t>
      </w:r>
      <w:r>
        <w:t>. Based on the matched electron and ion transport behaviors, the Zn@SC anode exhibited excellent cycle stability of over 2800 h in Zn||Zn cells at 1 mA cm</w:t>
      </w:r>
      <w:r>
        <w:t xml:space="preserve"> </w:t>
      </w:r>
      <w:r>
        <w:t>−2</w:t>
      </w:r>
      <w:r>
        <w:t xml:space="preserve"> </w:t>
      </w:r>
      <w:r>
        <w:t>–5 mAh cm</w:t>
      </w:r>
      <w:r>
        <w:t xml:space="preserve"> </w:t>
      </w:r>
      <w:r>
        <w:t>−2</w:t>
      </w:r>
      <w:r>
        <w:t xml:space="preserve"> </w:t>
      </w:r>
      <w:r>
        <w:t>, and achieved an areal capacity of 2 mAh cm</w:t>
      </w:r>
      <w:r>
        <w:t xml:space="preserve"> </w:t>
      </w:r>
      <w:r>
        <w:t>−2</w:t>
      </w:r>
      <w:r>
        <w:t xml:space="preserve"> </w:t>
      </w:r>
      <w:r>
        <w:t>in Zn||NH</w:t>
      </w:r>
      <w:r>
        <w:rPr>
          <w:vertAlign w:val="subscript"/>
        </w:rPr>
        <w:t>4</w:t>
      </w:r>
      <w:r>
        <w:t>V</w:t>
      </w:r>
      <w:r>
        <w:rPr>
          <w:vertAlign w:val="subscript"/>
        </w:rPr>
        <w:t>4</w:t>
      </w:r>
      <w:r>
        <w:t>O</w:t>
      </w:r>
      <w:r>
        <w:rPr>
          <w:vertAlign w:val="subscript"/>
        </w:rPr>
        <w:t>10</w:t>
      </w:r>
      <w:r>
        <w:t>cells at 3 A g</w:t>
      </w:r>
      <w:r>
        <w:t xml:space="preserve"> </w:t>
      </w:r>
      <w:r>
        <w:t>−1</w:t>
      </w:r>
      <w:r>
        <w:t xml:space="preserve"> </w:t>
      </w:r>
      <w:r>
        <w:t>and 70% capacity retention after 1000 cycles. As a practical validation, the pouch cell based on Zn@SC anode and high mass‐loaded cathode (10.05 mg cm</w:t>
      </w:r>
      <w:r>
        <w:t xml:space="preserve"> </w:t>
      </w:r>
      <w:r>
        <w:t>−2</w:t>
      </w:r>
      <w:r>
        <w:t xml:space="preserve"> </w:t>
      </w:r>
      <w:r>
        <w:t>) also exhibits satisfactory cycle stability. This work emphasized the importance of the interfacial microenvironment on the electrochemical performances and provided valuable direction of multi‐metal Zn powder anode.</w:t>
      </w:r>
    </w:p>
    <w:p>
      <w:pPr>
        <w:spacing w:before="120" w:after="120"/>
      </w:pPr>
      <w:r>
        <w:rPr>
          <w:sz w:val="18"/>
        </w:rPr>
        <w:t>——————————————————————————————————————————————————————————————————————</w:t>
      </w:r>
    </w:p>
    <w:p>
      <w:pPr>
        <w:spacing w:before="160" w:after="40" w:line="240" w:lineRule="auto"/>
      </w:pPr>
      <w:r>
        <w:rPr>
          <w:b/>
        </w:rPr>
        <w:t xml:space="preserve">[48] </w:t>
      </w:r>
      <w:hyperlink r:id="rId71">
        <w:r>
          <w:rPr>
            <w:color w:val="1155CC"/>
            <w:u w:val="single"/>
          </w:rPr>
          <w:t>NIRII- 用于癌症光动力学治疗的聚合体光敏化器</w:t>
        </w:r>
      </w:hyperlink>
    </w:p>
    <w:p>
      <w:pPr>
        <w:spacing w:before="0" w:after="80"/>
      </w:pPr>
      <w:r>
        <w:rPr>
          <w:i/>
          <w:sz w:val="20"/>
        </w:rPr>
        <w:t>EN: NIR‐II‐Excited Type‐I Conjugated Polymer Photosensitizer for Cancer Photodynamic Therapy</w:t>
      </w:r>
    </w:p>
    <w:p>
      <w:pPr>
        <w:spacing w:before="0" w:after="120"/>
      </w:pPr>
      <w:r>
        <w:rPr>
          <w:b/>
        </w:rPr>
        <w:t xml:space="preserve">Source: </w:t>
      </w:r>
      <w:r>
        <w:t>Wiley: Advanced Materials: Table of Contents</w:t>
      </w:r>
      <w:r>
        <w:t xml:space="preserve">    </w:t>
      </w:r>
      <w:r>
        <w:rPr>
          <w:b/>
        </w:rPr>
        <w:t xml:space="preserve">Pub date: </w:t>
      </w:r>
      <w:r>
        <w:t>2026-01-17 06:19:05+00:00</w:t>
      </w:r>
      <w:r>
        <w:t xml:space="preserve">    </w:t>
      </w:r>
      <w:r>
        <w:rPr>
          <w:b/>
        </w:rPr>
        <w:t xml:space="preserve">DOI: </w:t>
      </w:r>
      <w:hyperlink r:id="rId72">
        <w:r>
          <w:rPr>
            <w:color w:val="1155CC"/>
            <w:u w:val="single"/>
          </w:rPr>
          <w:t>10.1002/adma.202520650</w:t>
        </w:r>
      </w:hyperlink>
    </w:p>
    <w:p>
      <w:pPr>
        <w:spacing w:before="0" w:after="120"/>
      </w:pPr>
      <w:r>
        <w:rPr>
          <w:b/>
        </w:rPr>
        <w:t xml:space="preserve">Notes: </w:t>
      </w:r>
      <w:r>
        <w:t>abstract_source=crossref</w:t>
      </w:r>
    </w:p>
    <w:p>
      <w:pPr>
        <w:spacing w:before="0" w:after="80" w:lineRule="auto" w:line="276"/>
      </w:pPr>
      <w:r>
        <w:rPr>
          <w:b/>
        </w:rPr>
        <w:t xml:space="preserve">摘要（ZH）: </w:t>
      </w:r>
      <w:r>
        <w:t>ABSTACT Type I光动力学疗法(PDT)对缺氧肿瘤非常有效,其效率在近红外红外二(NIRII,1000-1700纳米)刺激下得到进一步提高,这比常规NIRI(700-1000纳米)更深的组织渗透。 然而,大多数报告的有机NIRII光敏化剂(PS)只是NIRII的吸入性,但仍是NIRI的兴奋性。 NIRII的受精型PS很少见,一般受低ROS产量的限制,通常需要高功率的光热共处理辐照才能取得有意义的治疗结果。 因此,合理设计由NIRII光直接激活的有效有机型PS仍然是一个挑战。 我们报告了一个设计高效NIRIII(II)exciated 有机型P的通用战略。</w:t>
      </w:r>
    </w:p>
    <w:p>
      <w:pPr>
        <w:spacing w:before="0" w:after="200" w:lineRule="auto" w:line="276"/>
      </w:pPr>
      <w:r>
        <w:rPr>
          <w:b/>
        </w:rPr>
        <w:t xml:space="preserve">Abstract (EN): </w:t>
      </w:r>
      <w:r>
        <w:t>Type‐I photodynamic therapy (PDT) is highly effective against hypoxic tumors, with its efficacy further enhanced by near‐infrared‐II (NIR‐II, 1000–1700 nm) excitation, which offers deeper tissue penetration than conventional NIR‐I (700–1000 nm). However, most reported organic NIR‐II photosensitizers (PSs) are only NIR‐II emissive but remain NIR‐I‐excited. NIR‐II‐excited type‐I PSs are rare and generally limited by low ROS yields, often requiring high‐power irradiation with photothermal co‐treatment to achieve meaningful therapeutic outcomes. Thus, rationally designing efficient organic type‐I PSs directly activated by NIR‐II light remains a challenge. Herein, we report a general strategy for designing efficient NIR‐II‐excited organic Type‐I PSs (PNT‐PFT NPs) based on linked donor‐acceptor through‐space charge transfer (CT) for PDT of hypoxic solid tumors. The through‐space CT based on linked donor‐acceptor pairs redshifts and amplifies the NIR‐II absorption of the PNT–PFT NPs. Additionally, the donor‐acceptor energy alignment facilitates directional flow of electrons, increasing free‐electron yield for O</w:t>
      </w:r>
      <w:r>
        <w:rPr>
          <w:vertAlign w:val="subscript"/>
        </w:rPr>
        <w:t>2</w:t>
      </w:r>
      <w:r>
        <w:t>‐to‐ROS conversion. As a result, PNT–PFT NPs efficiently generated ROS and achieved 89.3% tumor inhibition in 4T1 models under low‐power 1064 nm irradiation. This study not only offers a general guideline for tailoring NIR‐II‐excited Type‐I PSs via through‐space CT in linked donor‐acceptor pairs but also provides mechanistic insights into Type‐I PS design.</w:t>
      </w:r>
    </w:p>
    <w:p>
      <w:pPr>
        <w:spacing w:before="120" w:after="120"/>
      </w:pPr>
      <w:r>
        <w:rPr>
          <w:sz w:val="18"/>
        </w:rPr>
        <w:t>——————————————————————————————————————————————————————————————————————</w:t>
      </w:r>
    </w:p>
    <w:p>
      <w:pPr>
        <w:spacing w:before="160" w:after="40" w:line="240" w:lineRule="auto"/>
      </w:pPr>
      <w:r>
        <w:rPr>
          <w:b/>
        </w:rPr>
        <w:t xml:space="preserve">[49] </w:t>
      </w:r>
      <w:hyperlink r:id="rId73">
        <w:r>
          <w:rPr>
            <w:color w:val="1155CC"/>
            <w:u w:val="single"/>
          </w:rPr>
          <w:t>在Vivo, 与磁磁层光学探测器捕获和消除环导图象细胞的 光谱- 指定血管刀架( Tread- Delaigned Visa)</w:t>
        </w:r>
      </w:hyperlink>
    </w:p>
    <w:p>
      <w:pPr>
        <w:spacing w:before="0" w:after="80"/>
      </w:pPr>
      <w:r>
        <w:rPr>
          <w:i/>
          <w:sz w:val="20"/>
        </w:rPr>
        <w:t>EN: Thread‐Designed Vascular Scaffold with Magneto‐Optical Probes Capture and Elimination of Circulating Tumor Cells In Vivo</w:t>
      </w:r>
    </w:p>
    <w:p>
      <w:pPr>
        <w:spacing w:before="0" w:after="120"/>
      </w:pPr>
      <w:r>
        <w:rPr>
          <w:b/>
        </w:rPr>
        <w:t xml:space="preserve">Source: </w:t>
      </w:r>
      <w:r>
        <w:t>Wiley: Advanced Materials: Table of Contents</w:t>
      </w:r>
      <w:r>
        <w:t xml:space="preserve">    </w:t>
      </w:r>
      <w:r>
        <w:rPr>
          <w:b/>
        </w:rPr>
        <w:t xml:space="preserve">Pub date: </w:t>
      </w:r>
      <w:r>
        <w:t>2026-01-17 06:20:43+00:00</w:t>
      </w:r>
      <w:r>
        <w:t xml:space="preserve">    </w:t>
      </w:r>
      <w:r>
        <w:rPr>
          <w:b/>
        </w:rPr>
        <w:t xml:space="preserve">DOI: </w:t>
      </w:r>
      <w:hyperlink r:id="rId74">
        <w:r>
          <w:rPr>
            <w:color w:val="1155CC"/>
            <w:u w:val="single"/>
          </w:rPr>
          <w:t>10.1002/adma.202516675</w:t>
        </w:r>
      </w:hyperlink>
    </w:p>
    <w:p>
      <w:pPr>
        <w:spacing w:before="0" w:after="120"/>
      </w:pPr>
      <w:r>
        <w:rPr>
          <w:b/>
        </w:rPr>
        <w:t xml:space="preserve">Notes: </w:t>
      </w:r>
      <w:r>
        <w:t>abstract_source=crossref</w:t>
      </w:r>
    </w:p>
    <w:p>
      <w:pPr>
        <w:spacing w:before="0" w:after="80" w:lineRule="auto" w:line="276"/>
      </w:pPr>
      <w:r>
        <w:rPr>
          <w:b/>
        </w:rPr>
        <w:t xml:space="preserve">摘要（ZH）: </w:t>
      </w:r>
      <w:r>
        <w:t>造成90%以上癌症相关死亡的ABSTACT代谢物主要是通过循环肿瘤细胞(CTCs)来推动的。虽然消灭CTCs可以抑制转移,但体内环境中的复杂环境使得情况变得困难。体外CTCs的检测已经取得了相当大的进展,但将其转化为有效的体内系统,特别是大型动物体内系统,继续构成巨大的挑战。本研究引入了一条线状血管手架,通过调制放射液体速度、提高细胞的惯性并为捕获CTs提供一个优化的环境,从而形成细胞浓缩区。此外,混合膜改性磁珠(HMMBss),装有绿的内膜,涂有肿瘤细胞膜,能够进行特定的再处理。</w:t>
      </w:r>
    </w:p>
    <w:p>
      <w:pPr>
        <w:spacing w:before="0" w:after="200" w:lineRule="auto" w:line="276"/>
      </w:pPr>
      <w:r>
        <w:rPr>
          <w:b/>
        </w:rPr>
        <w:t xml:space="preserve">Abstract (EN): </w:t>
      </w:r>
      <w:r>
        <w:t>Metastasis, responsible for over 90% of cancer‐related deaths, is largely fueled by circulating tumor cells (CTCs). Although eliminating CTCs could inhibit metastasis, the complex in vivo environment makes it difficult. Considerable progress of in vitro CTCs detection has been made, yet its translation into effective in vivo systems, particularly for large animals, continues to pose a substantial challenge. This study introduces a threaded vascular scaffold that creates a cell‐enrichment zone by modulating radial fluid velocity, enhancing cell axiality and providing an optimized environment for CTCs capture. In addition, hybrid membranes‐modified magnetic beads (HM‐MBs) loaded with indocyanine green and coated with tumor‐white cell membranes, enabling specific recognition and binding of CTCs. Under external magnetic guidance, CTCs bound to HM‐MBs are efficiently accumulated at the scaffold site, followed by near‐infrared light‐triggered activation of photodynamic and photothermal effects for targeted CTCs elimination. This integrated system effectively addresses key challenges in in vivo CTCs detection and removal. Experimental results in rabbit and goat vessels demonstrated high capture efficiencies of 60.3% and 54.7%, respectively, along with post‐irradiation elimination rates exceeding 90%. This integrated approach enables targeted in vivo CTCs capture and destruction, disrupting the metastatic cascade and offering a promising strategy for adjuvant cancer therapy.</w:t>
      </w:r>
    </w:p>
    <w:p>
      <w:pPr>
        <w:spacing w:before="120" w:after="120"/>
      </w:pPr>
      <w:r>
        <w:rPr>
          <w:sz w:val="18"/>
        </w:rPr>
        <w:t>——————————————————————————————————————————————————————————————————————</w:t>
      </w:r>
    </w:p>
    <w:p>
      <w:pPr>
        <w:spacing w:before="160" w:after="40" w:line="240" w:lineRule="auto"/>
      </w:pPr>
      <w:r>
        <w:rPr>
          <w:b/>
        </w:rPr>
        <w:t xml:space="preserve">[50] </w:t>
      </w:r>
      <w:hyperlink r:id="rId75">
        <w:r>
          <w:rPr>
            <w:color w:val="1155CC"/>
            <w:u w:val="single"/>
          </w:rPr>
          <w:t>具有多色奇拉尔后光光的彩色星群中动态混合介质的刺激性应振动感应器</w:t>
        </w:r>
      </w:hyperlink>
    </w:p>
    <w:p>
      <w:pPr>
        <w:spacing w:before="0" w:after="80"/>
      </w:pPr>
      <w:r>
        <w:rPr>
          <w:i/>
          <w:sz w:val="20"/>
        </w:rPr>
        <w:t>EN: Dynamic H‐Bonding Mediates Stimuli‐Responsive Chiral Induction in Porous Aromatic Cages with Multicolor Chiral Afterglow</w:t>
      </w:r>
    </w:p>
    <w:p>
      <w:pPr>
        <w:spacing w:before="0" w:after="120"/>
      </w:pPr>
      <w:r>
        <w:rPr>
          <w:b/>
        </w:rPr>
        <w:t xml:space="preserve">Source: </w:t>
      </w:r>
      <w:r>
        <w:t>Wiley: Angewandte Chemie International Edition: Table of Contents</w:t>
      </w:r>
      <w:r>
        <w:t xml:space="preserve">    </w:t>
      </w:r>
      <w:r>
        <w:rPr>
          <w:b/>
        </w:rPr>
        <w:t xml:space="preserve">Pub date: </w:t>
      </w:r>
      <w:r>
        <w:t>2026-01-17 06:20:52+00:00</w:t>
      </w:r>
      <w:r>
        <w:t xml:space="preserve">    </w:t>
      </w:r>
      <w:r>
        <w:rPr>
          <w:b/>
        </w:rPr>
        <w:t xml:space="preserve">DOI: </w:t>
      </w:r>
      <w:hyperlink r:id="rId76">
        <w:r>
          <w:rPr>
            <w:color w:val="1155CC"/>
            <w:u w:val="single"/>
          </w:rPr>
          <w:t>10.1002/anie.202519866</w:t>
        </w:r>
      </w:hyperlink>
    </w:p>
    <w:p>
      <w:pPr>
        <w:spacing w:before="0" w:after="120"/>
      </w:pPr>
      <w:r>
        <w:rPr>
          <w:b/>
        </w:rPr>
        <w:t xml:space="preserve">Notes: </w:t>
      </w:r>
      <w:r>
        <w:t>abstract_source=crossref</w:t>
      </w:r>
    </w:p>
    <w:p>
      <w:pPr>
        <w:spacing w:before="0" w:after="80" w:lineRule="auto" w:line="276"/>
      </w:pPr>
      <w:r>
        <w:rPr>
          <w:b/>
        </w:rPr>
        <w:t xml:space="preserve">摘要（ZH）: </w:t>
      </w:r>
      <w:r>
        <w:t>生物学天性抽象起源仍然是一个根本的科学谜。 开发人工系统,在天体上反应灵敏的手感应感应和传导,并阐明其机制,这是至关重要的。 在这里,我们报告第一对手性多孔有机笼(R/S  BAPAC ), 在电影状态中展示了前所未有的手性后遗草, 增加了1.2 s 和0.001 的不对称因子( glum ) 。 装入 rhodami B (RB) 客用分子可以让从绿色到红色的多彩色后, 实现88%的能量转移。 值得注意的是, 限制的 RB 显示的是 Pro 。</w:t>
      </w:r>
    </w:p>
    <w:p>
      <w:pPr>
        <w:spacing w:before="0" w:after="200" w:lineRule="auto" w:line="276"/>
      </w:pPr>
      <w:r>
        <w:rPr>
          <w:b/>
        </w:rPr>
        <w:t xml:space="preserve">Abstract (EN): </w:t>
      </w:r>
      <w:r>
        <w:t>The origin of biological chirality remains a fundamental scientific mystery. Developing artificial systems with on‐off responsive chiral induction and transfer, and elucidating their mechanisms, is of paramount importance. Here, we report the first pair of chiral porous organic cage (</w:t>
      </w:r>
      <w:r>
        <w:t xml:space="preserve"> </w:t>
      </w:r>
      <w:r>
        <w:t>R/S</w:t>
      </w:r>
      <w:r>
        <w:t xml:space="preserve"> </w:t>
      </w:r>
      <w:r>
        <w:t>‐</w:t>
      </w:r>
      <w:r>
        <w:t xml:space="preserve"> </w:t>
      </w:r>
      <w:r>
        <w:t>BA‐PAC</w:t>
      </w:r>
      <w:r>
        <w:t xml:space="preserve"> </w:t>
      </w:r>
      <w:r>
        <w:t>) exhibiting unprecedented chiral afterglow in a film state, boosting a remarkable lifetime of 1.2 s and a dissymmetry factor (</w:t>
      </w:r>
      <w:r>
        <w:t xml:space="preserve"> </w:t>
      </w:r>
      <w:r>
        <w:t>g</w:t>
      </w:r>
      <w:r>
        <w:t xml:space="preserve"> </w:t>
      </w:r>
      <w:r>
        <w:t>lum</w:t>
      </w:r>
      <w:r>
        <w:t xml:space="preserve"> </w:t>
      </w:r>
      <w:r>
        <w:t>) of 0.001. Loading rhodamine B (RB) guest molecules enables multicolor afterglow ranging from green to red, achieving 88% energy transfer. Notably, the confined RB displays a pronounced mirror‐imaged circular dichroism signal, and the induced chirality of RB demonstrates completely reversible on‐off switching under water vapor/thermal stimulation, which is extremely rare in covalent porous materials. Experimental and theoretical studies have shown that the distortion of the benzoic acid moiety in RB is caused by hydrogen‐bonding interactions between benzoic acid group and the</w:t>
      </w:r>
      <w:r>
        <w:t xml:space="preserve"> </w:t>
      </w:r>
      <w:r>
        <w:t>BA‐PAC</w:t>
      </w:r>
      <w:r>
        <w:t xml:space="preserve"> </w:t>
      </w:r>
      <w:r>
        <w:t>. This distortion disrupts the electric‐magnetic dipole moment orthogonality of RB, inducing its chirality. Furthermore, the reversible disruption and reconstruction of the host–guest hydrogen‐bonding network induced by external stimuli is a key mechanism for dynamic chiral transfer. This study bridges chiral induction and stimuli response in porous cages, providing a versatile biomimetic platform for investigating molecular‐level dynamic chirality transfer.</w:t>
      </w:r>
    </w:p>
    <w:p>
      <w:pPr>
        <w:spacing w:before="120" w:after="120"/>
      </w:pPr>
      <w:r>
        <w:rPr>
          <w:sz w:val="18"/>
        </w:rPr>
        <w:t>——————————————————————————————————————————————————————————————————————</w:t>
      </w:r>
    </w:p>
    <w:p>
      <w:pPr>
        <w:spacing w:before="160" w:after="40" w:line="240" w:lineRule="auto"/>
      </w:pPr>
      <w:r>
        <w:rPr>
          <w:b/>
        </w:rPr>
        <w:t xml:space="preserve">[51] </w:t>
      </w:r>
      <w:hyperlink r:id="rId77">
        <w:r>
          <w:rPr>
            <w:color w:val="1155CC"/>
            <w:u w:val="single"/>
          </w:rPr>
          <w:t>OrigamiTemplated 顶板板板结构实现细胞细胞突变性选择性</w:t>
        </w:r>
      </w:hyperlink>
    </w:p>
    <w:p>
      <w:pPr>
        <w:spacing w:before="0" w:after="80"/>
      </w:pPr>
      <w:r>
        <w:rPr>
          <w:i/>
          <w:sz w:val="20"/>
        </w:rPr>
        <w:t>EN: DNA Origami‐Templated Aptamer Chiral Structures Realize Cellular Enantioselectivity</w:t>
      </w:r>
    </w:p>
    <w:p>
      <w:pPr>
        <w:spacing w:before="0" w:after="120"/>
      </w:pPr>
      <w:r>
        <w:rPr>
          <w:b/>
        </w:rPr>
        <w:t xml:space="preserve">Source: </w:t>
      </w:r>
      <w:r>
        <w:t>Wiley: Advanced Materials: Table of Contents</w:t>
      </w:r>
      <w:r>
        <w:t xml:space="preserve">    </w:t>
      </w:r>
      <w:r>
        <w:rPr>
          <w:b/>
        </w:rPr>
        <w:t xml:space="preserve">Pub date: </w:t>
      </w:r>
      <w:r>
        <w:t>2026-01-17 06:21:54+00:00</w:t>
      </w:r>
      <w:r>
        <w:t xml:space="preserve">    </w:t>
      </w:r>
      <w:r>
        <w:rPr>
          <w:b/>
        </w:rPr>
        <w:t xml:space="preserve">DOI: </w:t>
      </w:r>
      <w:hyperlink r:id="rId78">
        <w:r>
          <w:rPr>
            <w:color w:val="1155CC"/>
            <w:u w:val="single"/>
          </w:rPr>
          <w:t>10.1002/adma.202519007</w:t>
        </w:r>
      </w:hyperlink>
    </w:p>
    <w:p>
      <w:pPr>
        <w:spacing w:before="0" w:after="120"/>
      </w:pPr>
      <w:r>
        <w:rPr>
          <w:b/>
        </w:rPr>
        <w:t xml:space="preserve">Notes: </w:t>
      </w:r>
      <w:r>
        <w:t>abstract_source=crossref</w:t>
      </w:r>
    </w:p>
    <w:p>
      <w:pPr>
        <w:spacing w:before="0" w:after="80" w:lineRule="auto" w:line="276"/>
      </w:pPr>
      <w:r>
        <w:rPr>
          <w:b/>
        </w:rPr>
        <w:t xml:space="preserve">摘要（ZH）: </w:t>
      </w:r>
      <w:r>
        <w:t>在生物学中,手性在确定蛋白质等生物分子的结构和功能方面发挥着关键作用。我们在这次研究中表明,通过在管状状状DNA正统(“DNA 管”)上绘制多细胞表层蛋白生物标志产生的结构手性,可以在细胞互动、纳米结构吸收、癌症药物投送和随后的细胞杀戮方面实现差异。DNA管的形成及其将外部元素安排成左表或右表形的能力的特点是凝胶电光、原子力显微镜和传输电子显微镜。</w:t>
      </w:r>
    </w:p>
    <w:p>
      <w:pPr>
        <w:spacing w:before="0" w:after="200" w:lineRule="auto" w:line="276"/>
      </w:pPr>
      <w:r>
        <w:rPr>
          <w:b/>
        </w:rPr>
        <w:t xml:space="preserve">Abstract (EN): </w:t>
      </w:r>
      <w:r>
        <w:t>Chirality refers to handedness as left‐ or right‐handed form of a molecule or molecular construct by synthesis or self‐assembly. In biology, chirality plays critical roles in determining the structures and functions of biomolecules such as proteins. In this study, we demonstrated that structural chirality generated by patterning multiple cell surface protein biomarker‐binding aptamers on a tubular‐shaped DNA origami (“DNA tube”) can realize differentness in cellular interaction, nanostructure uptake, cancer drug delivery, and consequent cell killing. Formation of the DNA tube and its ability to arrange external elements into left‐ or right‐handed form have been characterized by gel electrophoresis, atomic force microscopy, and transmission electron microscopy. Our fluorescence‐based cell experiments showed that the DNA tube‐templated aptamers of a left‐handed pattern can yield a higher cell uptake than those in a right‐form pattern. When loaded with an anticancer drug, Daunorubicin (Dau), the left‐handed tube‐aptamer‐Dau construct showed greater than double the cancer cell cytotoxicity than the construct in the right‐handed. Our study not only revealed that cell surface proteins interaction with the aptamers spatially organized into different chiral patterns can yield different cellular interaction and internalization efficiencies, but offered a new and versatile cancer drug delivery strategy for enhanced target cell treatment efficacy.</w:t>
      </w:r>
    </w:p>
    <w:p>
      <w:pPr>
        <w:spacing w:before="120" w:after="120"/>
      </w:pPr>
      <w:r>
        <w:rPr>
          <w:sz w:val="18"/>
        </w:rPr>
        <w:t>——————————————————————————————————————————————————————————————————————</w:t>
      </w:r>
    </w:p>
    <w:p>
      <w:pPr>
        <w:spacing w:before="160" w:after="40" w:line="240" w:lineRule="auto"/>
      </w:pPr>
      <w:r>
        <w:rPr>
          <w:b/>
        </w:rPr>
        <w:t xml:space="preserve">[52] </w:t>
      </w:r>
      <w:hyperlink r:id="rId79">
        <w:r>
          <w:rPr>
            <w:color w:val="1155CC"/>
            <w:u w:val="single"/>
          </w:rPr>
          <w:t>质子交换薄膜电解器中氧气进化的基于固态溶液</w:t>
        </w:r>
      </w:hyperlink>
    </w:p>
    <w:p>
      <w:pPr>
        <w:spacing w:before="0" w:after="80"/>
      </w:pPr>
      <w:r>
        <w:rPr>
          <w:i/>
          <w:sz w:val="20"/>
        </w:rPr>
        <w:t>EN: Acid‐Stable Ruthenium‐Based Solid Solution for Oxygen Evolution in Proton Exchange Membrane Electrolyzers</w:t>
      </w:r>
    </w:p>
    <w:p>
      <w:pPr>
        <w:spacing w:before="0" w:after="120"/>
      </w:pPr>
      <w:r>
        <w:rPr>
          <w:b/>
        </w:rPr>
        <w:t xml:space="preserve">Source: </w:t>
      </w:r>
      <w:r>
        <w:t>Wiley: Angewandte Chemie International Edition: Table of Contents</w:t>
      </w:r>
      <w:r>
        <w:t xml:space="preserve">    </w:t>
      </w:r>
      <w:r>
        <w:rPr>
          <w:b/>
        </w:rPr>
        <w:t xml:space="preserve">Pub date: </w:t>
      </w:r>
      <w:r>
        <w:t>2026-01-17 06:21:56+00:00</w:t>
      </w:r>
      <w:r>
        <w:t xml:space="preserve">    </w:t>
      </w:r>
      <w:r>
        <w:rPr>
          <w:b/>
        </w:rPr>
        <w:t xml:space="preserve">DOI: </w:t>
      </w:r>
      <w:hyperlink r:id="rId80">
        <w:r>
          <w:rPr>
            <w:color w:val="1155CC"/>
            <w:u w:val="single"/>
          </w:rPr>
          <w:t>10.1002/anie.202522216</w:t>
        </w:r>
      </w:hyperlink>
    </w:p>
    <w:p>
      <w:pPr>
        <w:spacing w:before="0" w:after="120"/>
      </w:pPr>
      <w:r>
        <w:rPr>
          <w:b/>
        </w:rPr>
        <w:t xml:space="preserve">Notes: </w:t>
      </w:r>
      <w:r>
        <w:t>abstract_source=crossref</w:t>
      </w:r>
    </w:p>
    <w:p>
      <w:pPr>
        <w:spacing w:before="0" w:after="80" w:lineRule="auto" w:line="276"/>
      </w:pPr>
      <w:r>
        <w:rPr>
          <w:b/>
        </w:rPr>
        <w:t xml:space="preserve">摘要（ZH）: </w:t>
      </w:r>
      <w:r>
        <w:t>摘要质子交换膜(PEM)水电解析(PEM)质子交换膜(PEM)水电解为绿色氢生产提供了一条有希望的道路,然而,平衡催化活动和耐久性对于酸中的氧进化反应催化剂(OER),特别是非基碳基催化剂而言,对于酸中的氧进化反应催化剂(OER)而言,仍然具有挑战性。在此,我们制定了一个模板指导战略,将金属-有机框架(MOF)来源于RuZrCoCrCrCeO 2的固态溶液与金枪鱼类多金属热解调节结合起来。催化剂展示出极好的酸性OER性性能,只需要179 mV超潜能值达到10 mA cm 地球-2和1500 h以上50 mA cm 的显著耐久性。</w:t>
      </w:r>
    </w:p>
    <w:p>
      <w:pPr>
        <w:spacing w:before="0" w:after="200" w:lineRule="auto" w:line="276"/>
      </w:pPr>
      <w:r>
        <w:rPr>
          <w:b/>
        </w:rPr>
        <w:t xml:space="preserve">Abstract (EN): </w:t>
      </w:r>
      <w:r>
        <w:t>Proton exchange membrane (PEM) water electrolysis offers a promising route for green hydrogen production, yet balancing catalytic activity and durability remains challenging for oxygen evolution reaction (OER) catalysts in acid, particularly for non‐Ir‐based catalysts. Herein, we develop a template‐guided strategy to synthesize the metal–organic framework (MOF)‐derived RuZrCoCrCeO</w:t>
      </w:r>
      <w:r>
        <w:rPr>
          <w:vertAlign w:val="subscript"/>
        </w:rPr>
        <w:t>2</w:t>
      </w:r>
      <w:r>
        <w:t>solid solution with tunable multi‐metal heteroatom regulation. The catalyst demonstrates outstanding acidic OER performance, requiring only 179 mV overpotential to achieve 10 mA cm</w:t>
      </w:r>
      <w:r>
        <w:t xml:space="preserve"> </w:t>
      </w:r>
      <w:r>
        <w:t>geo</w:t>
      </w:r>
      <w:r>
        <w:t xml:space="preserve"> </w:t>
      </w:r>
      <w:r>
        <w:t>−2</w:t>
      </w:r>
      <w:r>
        <w:t xml:space="preserve"> </w:t>
      </w:r>
      <w:r>
        <w:t>and remarkable durability over 1500 h at 50 mA cm</w:t>
      </w:r>
      <w:r>
        <w:t xml:space="preserve"> </w:t>
      </w:r>
      <w:r>
        <w:t>geo</w:t>
      </w:r>
      <w:r>
        <w:t xml:space="preserve"> </w:t>
      </w:r>
      <w:r>
        <w:t>−2</w:t>
      </w:r>
      <w:r>
        <w:t xml:space="preserve"> </w:t>
      </w:r>
      <w:r>
        <w:t>with a negligible decay of 30.67 µV h</w:t>
      </w:r>
      <w:r>
        <w:t xml:space="preserve"> </w:t>
      </w:r>
      <w:r>
        <w:t>−1</w:t>
      </w:r>
      <w:r>
        <w:t xml:space="preserve"> </w:t>
      </w:r>
      <w:r>
        <w:t>. An “electronic buffer” effect facilitates electron transfer from atomically dispersed Zr to Ru, forming asymmetric Ru─O─Zr bonds with enhanced metal–oxygen covalency, thereby preventing excessive oxidation of Ru species. A vicinal deprotonation mechanism was proposed, where lattice oxygen assists *OOH deprotonation with a lower energy barrier on Ru─O─M sites. A PEM electrolyzer with low Ru loading (0.37 mg</w:t>
      </w:r>
      <w:r>
        <w:t xml:space="preserve"> </w:t>
      </w:r>
      <w:r>
        <w:t>Ru</w:t>
      </w:r>
      <w:r>
        <w:t xml:space="preserve"> </w:t>
      </w:r>
      <w:r>
        <w:t>cm</w:t>
      </w:r>
      <w:r>
        <w:t xml:space="preserve"> </w:t>
      </w:r>
      <w:r>
        <w:t>−2</w:t>
      </w:r>
      <w:r>
        <w:t xml:space="preserve"> </w:t>
      </w:r>
      <w:r>
        <w:t>) achieves an industrial‐level current density of 1 A cm</w:t>
      </w:r>
      <w:r>
        <w:t xml:space="preserve"> </w:t>
      </w:r>
      <w:r>
        <w:t>−2</w:t>
      </w:r>
      <w:r>
        <w:t xml:space="preserve"> </w:t>
      </w:r>
      <w:r>
        <w:t>at 1.66 V, corresponding to a low hydrogen cost of US$0.89 kg</w:t>
      </w:r>
      <w:r>
        <w:t xml:space="preserve"> </w:t>
      </w:r>
      <w:r>
        <w:t>−1</w:t>
      </w:r>
      <w:r>
        <w:t xml:space="preserve"> </w:t>
      </w:r>
      <w:r>
        <w:t>below the US DOE target (US$2 per kg of H</w:t>
      </w:r>
      <w:r>
        <w:rPr>
          <w:vertAlign w:val="subscript"/>
        </w:rPr>
        <w:t>2</w:t>
      </w:r>
      <w:r>
        <w:t>), and operates stably for 600 h at 200 mA cm</w:t>
      </w:r>
      <w:r>
        <w:t xml:space="preserve"> </w:t>
      </w:r>
      <w:r>
        <w:t>geo</w:t>
      </w:r>
      <w:r>
        <w:t xml:space="preserve"> </w:t>
      </w:r>
      <w:r>
        <w:t>−2</w:t>
      </w:r>
      <w:r>
        <w:t xml:space="preserve"> </w:t>
      </w:r>
      <w:r>
        <w:t>, demonstrating its practical potential for scalable, Ir‐free PEM electrolyzers.</w:t>
      </w:r>
    </w:p>
    <w:p>
      <w:pPr>
        <w:spacing w:before="120" w:after="120"/>
      </w:pPr>
      <w:r>
        <w:rPr>
          <w:sz w:val="18"/>
        </w:rPr>
        <w:t>——————————————————————————————————————————————————————————————————————</w:t>
      </w:r>
    </w:p>
    <w:p>
      <w:pPr>
        <w:spacing w:before="160" w:after="40" w:line="240" w:lineRule="auto"/>
      </w:pPr>
      <w:r>
        <w:rPr>
          <w:b/>
        </w:rPr>
        <w:t xml:space="preserve">[53] </w:t>
      </w:r>
      <w:hyperlink r:id="rId81">
        <w:r>
          <w:rPr>
            <w:color w:val="1155CC"/>
            <w:u w:val="single"/>
          </w:rPr>
          <w:t>化学蛋白质组学 化学蛋白质组学 化学蛋白质组学 化学元件 化学元件 化学元件 化学元件 化学元件 化学元件 化学元件 化学元件 化学元件 化学元件 化学元件 化学元件 化学元件 化学元件 化学元件 化学元件 化学元件 化学元件 化学元件 化学元件 化学元件 化学元件 化学元件 化学元件 化学元件 化学元件</w:t>
        </w:r>
      </w:hyperlink>
    </w:p>
    <w:p>
      <w:pPr>
        <w:spacing w:before="0" w:after="80"/>
      </w:pPr>
      <w:r>
        <w:rPr>
          <w:i/>
          <w:sz w:val="20"/>
        </w:rPr>
        <w:t>EN: Chemical Proteomics Identifies Ketogenesis‐Mediated Cysteine Modifications Regulating Redox Function</w:t>
      </w:r>
    </w:p>
    <w:p>
      <w:pPr>
        <w:spacing w:before="0" w:after="120"/>
      </w:pPr>
      <w:r>
        <w:rPr>
          <w:b/>
        </w:rPr>
        <w:t xml:space="preserve">Source: </w:t>
      </w:r>
      <w:r>
        <w:t>Wiley: Angewandte Chemie International Edition: Table of Contents</w:t>
      </w:r>
      <w:r>
        <w:t xml:space="preserve">    </w:t>
      </w:r>
      <w:r>
        <w:rPr>
          <w:b/>
        </w:rPr>
        <w:t xml:space="preserve">Pub date: </w:t>
      </w:r>
      <w:r>
        <w:t>2026-01-17 06:22:21+00:00</w:t>
      </w:r>
      <w:r>
        <w:t xml:space="preserve">    </w:t>
      </w:r>
      <w:r>
        <w:rPr>
          <w:b/>
        </w:rPr>
        <w:t xml:space="preserve">DOI: </w:t>
      </w:r>
      <w:hyperlink r:id="rId82">
        <w:r>
          <w:rPr>
            <w:color w:val="1155CC"/>
            <w:u w:val="single"/>
          </w:rPr>
          <w:t>10.1002/anie.202519830</w:t>
        </w:r>
      </w:hyperlink>
    </w:p>
    <w:p>
      <w:pPr>
        <w:spacing w:before="0" w:after="120"/>
      </w:pPr>
      <w:r>
        <w:rPr>
          <w:b/>
        </w:rPr>
        <w:t xml:space="preserve">Notes: </w:t>
      </w:r>
      <w:r>
        <w:t>abstract_source=crossref</w:t>
      </w:r>
    </w:p>
    <w:p>
      <w:pPr>
        <w:spacing w:before="0" w:after="80" w:lineRule="auto" w:line="276"/>
      </w:pPr>
      <w:r>
        <w:rPr>
          <w:b/>
        </w:rPr>
        <w:t xml:space="preserve">摘要（ZH）: </w:t>
      </w:r>
      <w:r>
        <w:t>有关自成一体的翻译后修改(PTMs),特别是由氯酮体、羟丁酸(Bhb)和乙酸乙酸(Acac)介质介质所介介介的修改(PTMs)的所有研究摘要都侧重于淋巴结,然而,鉴于所产生的代谢物的化学多样性和反应性性质,尚不清楚是否也可以进行非lysine的修改。在这里,我们开发了一种乙酸乙烷(Accac-alkyne)化学探测器,以便能够有效地进行代谢标签、强有力的荧光视觉化和具体地点的鉴定。我们通过将化学蛋白质学与开放研究战略相结合,显示Acac在哺乳动物细胞中诱发了以前未精化的细胞改变。值得注意的是,cysteine 编织(Ccr)得到了验证。</w:t>
      </w:r>
    </w:p>
    <w:p>
      <w:pPr>
        <w:spacing w:before="0" w:after="200" w:lineRule="auto" w:line="276"/>
      </w:pPr>
      <w:r>
        <w:rPr>
          <w:b/>
        </w:rPr>
        <w:t xml:space="preserve">Abstract (EN): </w:t>
      </w:r>
      <w:r>
        <w:t>All the studies of ketogenesis‐dependent post‐translational modifications (PTMs), notably those mediated by ketone bodies, β‐hydroxybutyrate (Bhb) and acetoacetate (Acac), have focused on lysine acylations. However, given the chemically diverse and reactive nature of metabolites generated, it remains unclear whether non‐lysine modifications can also happen. Here, we develop an acetoacetate‐alkyne (Acac‐alkyne) chemical probe that enables efficient metabolic labeling, robust fluorescent visualization, and site‐specific identification of Acac‐modified proteins. By combining chemical proteomics with open‐search strategy, we showed that Acac induces previously uncharacterized cysteine modifications in mammalian cells. Notably, cysteine crotonation (Ccr) is validated by employing both probe‐based and standard peptide‐based co‐elution assays. Metabolic pathway tracing further identifies BDH1 and ECHS1 as key enzymes that generate Ccr formation. We further demonstrate that Ccr at PRDX3 C229 site impairs dimerization and redox activity, linking this newly discovered modification to the regulation of cellular reactive oxygen species. Together, these findings establish ketone metabolism as a novel source of cysteine modifications and provide an alternative mechanistic pathway to explain the profound biological effects of ketone bodies.</w:t>
      </w:r>
    </w:p>
    <w:p>
      <w:pPr>
        <w:spacing w:before="120" w:after="120"/>
      </w:pPr>
      <w:r>
        <w:rPr>
          <w:sz w:val="18"/>
        </w:rPr>
        <w:t>——————————————————————————————————————————————————————————————————————</w:t>
      </w:r>
    </w:p>
    <w:p>
      <w:pPr>
        <w:spacing w:before="160" w:after="40" w:line="240" w:lineRule="auto"/>
      </w:pPr>
      <w:r>
        <w:rPr>
          <w:b/>
        </w:rPr>
        <w:t xml:space="preserve">[54] </w:t>
      </w:r>
      <w:hyperlink r:id="rId83">
        <w:r>
          <w:rPr>
            <w:color w:val="1155CC"/>
            <w:u w:val="single"/>
          </w:rPr>
          <w:t>建构多维多元MOFs热层结构的 面对面选择式核心控制</w:t>
        </w:r>
      </w:hyperlink>
    </w:p>
    <w:p>
      <w:pPr>
        <w:spacing w:before="0" w:after="80"/>
      </w:pPr>
      <w:r>
        <w:rPr>
          <w:i/>
          <w:sz w:val="20"/>
        </w:rPr>
        <w:t>EN: Facet‐Selective Nucleation Control for Constructing Multi‐Dimensional MOFs Heterostructures</w:t>
      </w:r>
    </w:p>
    <w:p>
      <w:pPr>
        <w:spacing w:before="0" w:after="120"/>
      </w:pPr>
      <w:r>
        <w:rPr>
          <w:b/>
        </w:rPr>
        <w:t xml:space="preserve">Source: </w:t>
      </w:r>
      <w:r>
        <w:t>Wiley: Angewandte Chemie International Edition: Table of Contents</w:t>
      </w:r>
      <w:r>
        <w:t xml:space="preserve">    </w:t>
      </w:r>
      <w:r>
        <w:rPr>
          <w:b/>
        </w:rPr>
        <w:t xml:space="preserve">Pub date: </w:t>
      </w:r>
      <w:r>
        <w:t>2026-01-17 06:22:45+00:00</w:t>
      </w:r>
      <w:r>
        <w:t xml:space="preserve">    </w:t>
      </w:r>
      <w:r>
        <w:rPr>
          <w:b/>
        </w:rPr>
        <w:t xml:space="preserve">DOI: </w:t>
      </w:r>
      <w:hyperlink r:id="rId84">
        <w:r>
          <w:rPr>
            <w:color w:val="1155CC"/>
            <w:u w:val="single"/>
          </w:rPr>
          <w:t>10.1002/anie.202525577</w:t>
        </w:r>
      </w:hyperlink>
    </w:p>
    <w:p>
      <w:pPr>
        <w:spacing w:before="0" w:after="120"/>
      </w:pPr>
      <w:r>
        <w:rPr>
          <w:b/>
        </w:rPr>
        <w:t xml:space="preserve">Notes: </w:t>
      </w:r>
      <w:r>
        <w:t>abstract_source=crossref</w:t>
      </w:r>
    </w:p>
    <w:p>
      <w:pPr>
        <w:spacing w:before="0" w:after="80" w:lineRule="auto" w:line="276"/>
      </w:pPr>
      <w:r>
        <w:rPr>
          <w:b/>
        </w:rPr>
        <w:t xml:space="preserve">摘要（ZH）: </w:t>
      </w:r>
      <w:r>
        <w:t>金属-机体抽象框架(MOF)外形结构以金枪鱼形态和成分为特征的外形结构(Stephic Metroic-orgic Forum (MOF) 外形结构(MOF) ), 显示了在高通量感测、防反仿冒和信息加密方面应用的巨大前景。 尽管如此,具有多维建筑单元的多元结构的精确工程仍具有挑战性,主要由于对不同维度模块之间增长动态认识不足而受阻。 在这里,我们展示了一种面对通过晶体平面选择性再活动控制设计空间定义的维异形结构的选择性上进化法。 1D 微律的尖点上固有的更高表面能量有助于终端面2D模块的核化。</w:t>
      </w:r>
    </w:p>
    <w:p>
      <w:pPr>
        <w:spacing w:before="0" w:after="200" w:lineRule="auto" w:line="276"/>
      </w:pPr>
      <w:r>
        <w:rPr>
          <w:b/>
        </w:rPr>
        <w:t xml:space="preserve">Abstract (EN): </w:t>
      </w:r>
      <w:r>
        <w:t>Metal–organic framework (MOF) heterostructures featuring tunable morphologies and compositions have shown great promise for applications in high‐throughput sensing, anti‐counterfeiting, and information encryption. Nevertheless, the precise engineering of heterogeneous architectures with multi‐dimensional building units remains challenging, primarily hindered by an insufficient understanding of the growth dynamics between modules of different dimensionality. Here, we demonstrate a facet‐selective epitaxial growth approach for architecting spatially defined dimensional heterostructures via crystalline plane‐selective reactivity control. The intrinsically higher surface energy at the tips of 1D microrods facilitates the nucleation of 2D modules on the terminal facets, thereby yielding dumbbell‐like heterostructures. Conversely, by selectively enhancing the reaction activity on the body regions of the 1D templates, preferential nucleation and growth at the central areas over the tips were effectively achieved, which enables the controlled formation of periodic modular architectures through systematic regulation of surface energies. The facet‐selective epitaxial growth paradigm establishes a pathway for synthesizing hierarchical dimensional heterostructures with tailored architectures, which show great promise for applications in advanced optoelectronics, anti‐counterfeiting systems, and information encryption technologies.</w:t>
      </w:r>
    </w:p>
    <w:p>
      <w:pPr>
        <w:spacing w:before="120" w:after="120"/>
      </w:pPr>
      <w:r>
        <w:rPr>
          <w:sz w:val="18"/>
        </w:rPr>
        <w:t>——————————————————————————————————————————————————————————————————————</w:t>
      </w:r>
    </w:p>
    <w:p>
      <w:pPr>
        <w:spacing w:before="160" w:after="40" w:line="240" w:lineRule="auto"/>
      </w:pPr>
      <w:r>
        <w:rPr>
          <w:b/>
        </w:rPr>
        <w:t xml:space="preserve">[55] </w:t>
      </w:r>
      <w:hyperlink r:id="rId85">
        <w:r>
          <w:rPr>
            <w:color w:val="1155CC"/>
            <w:u w:val="single"/>
          </w:rPr>
          <w:t>协调的多价综合治疗系统(COMPASS) 使DC-目标的 mRNA/Mn2+ 癌症免疫治疗的Co-Delivey 能够实现</w:t>
        </w:r>
      </w:hyperlink>
    </w:p>
    <w:p>
      <w:pPr>
        <w:spacing w:before="0" w:after="80"/>
      </w:pPr>
      <w:r>
        <w:rPr>
          <w:i/>
          <w:sz w:val="20"/>
        </w:rPr>
        <w:t>EN: Manganese‐Coordinated Polyvalent Aptameric System (COMPASS) Enables DC‐Targeted mRNA/Mn2+ Co‐Delivery for Cancer Immunotherapy</w:t>
      </w:r>
    </w:p>
    <w:p>
      <w:pPr>
        <w:spacing w:before="0" w:after="120"/>
      </w:pPr>
      <w:r>
        <w:rPr>
          <w:b/>
        </w:rPr>
        <w:t xml:space="preserve">Source: </w:t>
      </w:r>
      <w:r>
        <w:t>Wiley: Angewandte Chemie International Edition: Table of Contents</w:t>
      </w:r>
      <w:r>
        <w:t xml:space="preserve">    </w:t>
      </w:r>
      <w:r>
        <w:rPr>
          <w:b/>
        </w:rPr>
        <w:t xml:space="preserve">Pub date: </w:t>
      </w:r>
      <w:r>
        <w:t>2026-01-17 06:23:18+00:00</w:t>
      </w:r>
      <w:r>
        <w:t xml:space="preserve">    </w:t>
      </w:r>
      <w:r>
        <w:rPr>
          <w:b/>
        </w:rPr>
        <w:t xml:space="preserve">DOI: </w:t>
      </w:r>
      <w:hyperlink r:id="rId86">
        <w:r>
          <w:rPr>
            <w:color w:val="1155CC"/>
            <w:u w:val="single"/>
          </w:rPr>
          <w:t>10.1002/anie.202519216</w:t>
        </w:r>
      </w:hyperlink>
    </w:p>
    <w:p>
      <w:pPr>
        <w:spacing w:before="0" w:after="120"/>
      </w:pPr>
      <w:r>
        <w:rPr>
          <w:b/>
        </w:rPr>
        <w:t xml:space="preserve">Notes: </w:t>
      </w:r>
      <w:r>
        <w:t>abstract_source=crossref</w:t>
      </w:r>
    </w:p>
    <w:p>
      <w:pPr>
        <w:spacing w:before="0" w:after="80" w:lineRule="auto" w:line="276"/>
      </w:pPr>
      <w:r>
        <w:rPr>
          <w:b/>
        </w:rPr>
        <w:t xml:space="preserve">摘要（ZH）: </w:t>
      </w:r>
      <w:r>
        <w:t>抽象的 mRNA 疫苗在癌症免疫疗法方面有着显著的希望,然而,目前的纳米粒子系统在功效、登地细胞(DC)定向和安全方面面临着挑战。在这里,我们报告了一个纳米平台,Manganesese-协调的多价共聚苯丙胺系统(COMPASS),使MRNA和Mn 2+能够有针对性地共同交付 mRNA 和 Mn 2+ 淋巴结结冷冻细胞(DC DC), 从而增强强大的抗肿瘤免疫力。 COMAPSS采用滚动循环放大法, 生成带有多价DC- 瞄准器和聚T 域的单子DNA手架, 通过A-T 配对使稳定的 mRNA 混合。 筛选了各种金属离子, Mn 2 + w</w:t>
      </w:r>
    </w:p>
    <w:p>
      <w:pPr>
        <w:spacing w:before="0" w:after="200" w:lineRule="auto" w:line="276"/>
      </w:pPr>
      <w:r>
        <w:rPr>
          <w:b/>
        </w:rPr>
        <w:t xml:space="preserve">Abstract (EN): </w:t>
      </w:r>
      <w:r>
        <w:t>mRNA vaccines hold remarkable promise for cancer immunotherapy, yet current nanoparticle systems face challenges in efficacy, dendritic cell (DC) targeting, and safety. Herein, we report a nanoplatform, Manganese‐Coordinated Polyvalent Aptameric System (COMPASS), enabling targeted co‐delivery of mRNA and Mn</w:t>
      </w:r>
      <w:r>
        <w:rPr>
          <w:vertAlign w:val="subscript"/>
        </w:rPr>
        <w:t>2</w:t>
      </w:r>
      <w:r>
        <w:t>+</w:t>
      </w:r>
      <w:r>
        <w:t xml:space="preserve"> </w:t>
      </w:r>
      <w:r>
        <w:t>to lymph node dendritic cells (DC) to boost potent antitumor immunity. The COMPASS employed rolling circle amplification to generate single‐stranded DNA scaffolds with multivalent DC‐targeting aptamers and polyT domains, enabling stable mRNA hybridization via A‐T pairing. Various metal ions were screened, and Mn</w:t>
      </w:r>
      <w:r>
        <w:rPr>
          <w:vertAlign w:val="subscript"/>
        </w:rPr>
        <w:t>2</w:t>
      </w:r>
      <w:r>
        <w:t>+</w:t>
      </w:r>
      <w:r>
        <w:t xml:space="preserve"> </w:t>
      </w:r>
      <w:r>
        <w:t>was found to enhance mRNA endosomal escape and activate the STING pathway in DCs, promoting their maturation and antigen presentation. Controlled nanoparticle size (∼200 nm) and aptamer‐mediated DC targeting markedly enhanced lymphatic accumulation. In vivo evaluations revealed that COMPASS achieved potent prophylactic and therapeutic antitumor efficacy comparable to commercial LNPs (e.g., SM‐102), while exhibiting significantly enhanced safety profiles. Importantly, lyophilized COMPASS formulations retained their structural integrity and bioactivity for at least three months at room temperature. Overall, COMPASS represents a promising next‐generation nanoplatform with significant translational potential for safe and effective cancer immunotherapy.</w:t>
      </w:r>
    </w:p>
    <w:p>
      <w:pPr>
        <w:spacing w:before="120" w:after="120"/>
      </w:pPr>
      <w:r>
        <w:rPr>
          <w:sz w:val="18"/>
        </w:rPr>
        <w:t>——————————————————————————————————————————————————————————————————————</w:t>
      </w:r>
    </w:p>
    <w:p>
      <w:pPr>
        <w:spacing w:before="160" w:after="40" w:line="240" w:lineRule="auto"/>
      </w:pPr>
      <w:r>
        <w:rPr>
          <w:b/>
        </w:rPr>
        <w:t xml:space="preserve">[56] </w:t>
      </w:r>
      <w:hyperlink r:id="rId87">
        <w:r>
          <w:rPr>
            <w:color w:val="1155CC"/>
            <w:u w:val="single"/>
          </w:rPr>
          <w:t>将Vaadyl Phthalocyanine 方向改为碳硝基推动二氧化碳减光的“分子开关”</w:t>
        </w:r>
      </w:hyperlink>
    </w:p>
    <w:p>
      <w:pPr>
        <w:spacing w:before="0" w:after="80"/>
      </w:pPr>
      <w:r>
        <w:rPr>
          <w:i/>
          <w:sz w:val="20"/>
        </w:rPr>
        <w:t>EN: Reversing V═O Orientation of Vanadyl Phthalocyanine as "Molecular Switch" on Carbon Nitride Boosts CO2 Photoreduction</w:t>
      </w:r>
    </w:p>
    <w:p>
      <w:pPr>
        <w:spacing w:before="0" w:after="120"/>
      </w:pPr>
      <w:r>
        <w:rPr>
          <w:b/>
        </w:rPr>
        <w:t xml:space="preserve">Source: </w:t>
      </w:r>
      <w:r>
        <w:t>Wiley: Angewandte Chemie International Edition: Table of Contents</w:t>
      </w:r>
      <w:r>
        <w:t xml:space="preserve">    </w:t>
      </w:r>
      <w:r>
        <w:rPr>
          <w:b/>
        </w:rPr>
        <w:t xml:space="preserve">Pub date: </w:t>
      </w:r>
      <w:r>
        <w:t>2026-01-17 06:23:48+00:00</w:t>
      </w:r>
      <w:r>
        <w:t xml:space="preserve">    </w:t>
      </w:r>
      <w:r>
        <w:rPr>
          <w:b/>
        </w:rPr>
        <w:t xml:space="preserve">DOI: </w:t>
      </w:r>
      <w:hyperlink r:id="rId88">
        <w:r>
          <w:rPr>
            <w:color w:val="1155CC"/>
            <w:u w:val="single"/>
          </w:rPr>
          <w:t>10.1002/anie.202523201</w:t>
        </w:r>
      </w:hyperlink>
    </w:p>
    <w:p>
      <w:pPr>
        <w:spacing w:before="0" w:after="120"/>
      </w:pPr>
      <w:r>
        <w:rPr>
          <w:b/>
        </w:rPr>
        <w:t xml:space="preserve">Notes: </w:t>
      </w:r>
      <w:r>
        <w:t>abstract_source=crossref</w:t>
      </w:r>
    </w:p>
    <w:p>
      <w:pPr>
        <w:spacing w:before="0" w:after="80" w:lineRule="auto" w:line="276"/>
      </w:pPr>
      <w:r>
        <w:rPr>
          <w:b/>
        </w:rPr>
        <w:t xml:space="preserve">摘要（ZH）: </w:t>
      </w:r>
      <w:r>
        <w:t>单环原子点光电催化器催化微环境精确工程的精密工程对优化CO2减光作用至关重要,但具有挑战性。 在这里,我们提议了一项新战略,利用非亚丁甲氧乙烷丙烯(VOPc)的金枪鱼可分子方向作为“分子转换器”,动态调节当地催化微环境的“分子转换器”。 由碳硝化氢的氢氧化(C 3 N 4)引入的正面地表电荷和氢联结,允许在修改的基质(VOPc/OHC 3 N 4)上对VOPc进行优惠的“OZDown”配置(VOPc/OHC 3 N 4)</w:t>
      </w:r>
    </w:p>
    <w:p>
      <w:pPr>
        <w:spacing w:before="0" w:after="200" w:lineRule="auto" w:line="276"/>
      </w:pPr>
      <w:r>
        <w:rPr>
          <w:b/>
        </w:rPr>
        <w:t xml:space="preserve">Abstract (EN): </w:t>
      </w:r>
      <w:r>
        <w:t>The precise engineering of catalytic microenvironments in single‐atom site photocatalysts is critical yet challenging for optimizing CO</w:t>
      </w:r>
      <w:r>
        <w:rPr>
          <w:vertAlign w:val="subscript"/>
        </w:rPr>
        <w:t>2</w:t>
      </w:r>
      <w:r>
        <w:t>photoreduction. Herein, we propose a novel strategy by leveraging the tunable molecular orientation of non‐planar vanadyl phthalocyanine (VOPc) as a “molecular switch” to dynamically modulate the local catalytic microenvironment. Positive surface charge and hydrogen bonding introduced by the hydroxylation of carbon nitride (C</w:t>
      </w:r>
      <w:r>
        <w:rPr>
          <w:vertAlign w:val="subscript"/>
        </w:rPr>
        <w:t>3</w:t>
      </w:r>
      <w:r>
        <w:t>N</w:t>
      </w:r>
      <w:r>
        <w:rPr>
          <w:vertAlign w:val="subscript"/>
        </w:rPr>
        <w:t>4</w:t>
      </w:r>
      <w:r>
        <w:t>) allows a preferential “O‐down” configuration of VOPc on the modified substrate (VOPc/OH‐C</w:t>
      </w:r>
      <w:r>
        <w:rPr>
          <w:vertAlign w:val="subscript"/>
        </w:rPr>
        <w:t>3</w:t>
      </w:r>
      <w:r>
        <w:t>N</w:t>
      </w:r>
      <w:r>
        <w:rPr>
          <w:vertAlign w:val="subscript"/>
        </w:rPr>
        <w:t>4</w:t>
      </w:r>
      <w:r>
        <w:t>). Density functional theory (DFT) calculations reveal that this specific molecular orientation lowers the energy barrier for the rate‐determining step (*CO</w:t>
      </w:r>
      <w:r>
        <w:rPr>
          <w:vertAlign w:val="subscript"/>
        </w:rPr>
        <w:t>2</w:t>
      </w:r>
      <w:r>
        <w:t>→*COOH). VOPc/OH‐C</w:t>
      </w:r>
      <w:r>
        <w:rPr>
          <w:vertAlign w:val="subscript"/>
        </w:rPr>
        <w:t>3</w:t>
      </w:r>
      <w:r>
        <w:t>N</w:t>
      </w:r>
      <w:r>
        <w:rPr>
          <w:vertAlign w:val="subscript"/>
        </w:rPr>
        <w:t>4</w:t>
      </w:r>
      <w:r>
        <w:t>shows enhanced electron transfer efficiency, an upward shift of the V‐centered d‐band toward the Fermi level, and stabilized *COOH adsorption. Consequently, VOPc/OH‐C</w:t>
      </w:r>
      <w:r>
        <w:rPr>
          <w:vertAlign w:val="subscript"/>
        </w:rPr>
        <w:t>3</w:t>
      </w:r>
      <w:r>
        <w:t>N</w:t>
      </w:r>
      <w:r>
        <w:rPr>
          <w:vertAlign w:val="subscript"/>
        </w:rPr>
        <w:t>4</w:t>
      </w:r>
      <w:r>
        <w:t>achieves a CO evolution rate of 65.22 µmol·g</w:t>
      </w:r>
      <w:r>
        <w:t xml:space="preserve"> </w:t>
      </w:r>
      <w:r>
        <w:t>−1</w:t>
      </w:r>
      <w:r>
        <w:t xml:space="preserve"> </w:t>
      </w:r>
      <w:r>
        <w:t>·h</w:t>
      </w:r>
      <w:r>
        <w:t xml:space="preserve"> </w:t>
      </w:r>
      <w:r>
        <w:t>−1</w:t>
      </w:r>
      <w:r>
        <w:t xml:space="preserve"> </w:t>
      </w:r>
      <w:r>
        <w:t>, which is 7.5 times higher than that of VOPc/C</w:t>
      </w:r>
      <w:r>
        <w:rPr>
          <w:vertAlign w:val="subscript"/>
        </w:rPr>
        <w:t>3</w:t>
      </w:r>
      <w:r>
        <w:t>N</w:t>
      </w:r>
      <w:r>
        <w:rPr>
          <w:vertAlign w:val="subscript"/>
        </w:rPr>
        <w:t>4</w:t>
      </w:r>
      <w:r>
        <w:t>with “O‐up” configuration of VOPc. This work highlights that controlling the orientation of active sites presents a promising strategy for modulating interfacial electronic structures and boosting photocatalytic CO</w:t>
      </w:r>
      <w:r>
        <w:rPr>
          <w:vertAlign w:val="subscript"/>
        </w:rPr>
        <w:t>2</w:t>
      </w:r>
      <w:r>
        <w:t>reduction performance.</w:t>
      </w:r>
    </w:p>
    <w:p>
      <w:pPr>
        <w:spacing w:before="120" w:after="120"/>
      </w:pPr>
      <w:r>
        <w:rPr>
          <w:sz w:val="18"/>
        </w:rPr>
        <w:t>——————————————————————————————————————————————————————————————————————</w:t>
      </w:r>
    </w:p>
    <w:p>
      <w:pPr>
        <w:spacing w:before="160" w:after="40" w:line="240" w:lineRule="auto"/>
      </w:pPr>
      <w:r>
        <w:rPr>
          <w:b/>
        </w:rPr>
        <w:t xml:space="preserve">[57] </w:t>
      </w:r>
      <w:hyperlink r:id="rId89">
        <w:r>
          <w:rPr>
            <w:color w:val="1155CC"/>
            <w:u w:val="single"/>
          </w:rPr>
          <w:t>由Cyclic Gallaphosphene L(OCP)GAPGaPGAL双倍E-H双倍E-H保单激活氨和水</w:t>
        </w:r>
      </w:hyperlink>
    </w:p>
    <w:p>
      <w:pPr>
        <w:spacing w:before="0" w:after="80"/>
      </w:pPr>
      <w:r>
        <w:rPr>
          <w:i/>
          <w:sz w:val="20"/>
        </w:rPr>
        <w:t>EN: Double E─H Bond Activation of Ammonia and Water by Cyclic Gallaphosphene L(OCP)GaPGaL</w:t>
      </w:r>
    </w:p>
    <w:p>
      <w:pPr>
        <w:spacing w:before="0" w:after="120"/>
      </w:pPr>
      <w:r>
        <w:rPr>
          <w:b/>
        </w:rPr>
        <w:t xml:space="preserve">Source: </w:t>
      </w:r>
      <w:r>
        <w:t>Wiley: Angewandte Chemie International Edition: Table of Contents</w:t>
      </w:r>
      <w:r>
        <w:t xml:space="preserve">    </w:t>
      </w:r>
      <w:r>
        <w:rPr>
          <w:b/>
        </w:rPr>
        <w:t xml:space="preserve">Pub date: </w:t>
      </w:r>
      <w:r>
        <w:t>2026-01-17 06:24:35+00:00</w:t>
      </w:r>
      <w:r>
        <w:t xml:space="preserve">    </w:t>
      </w:r>
      <w:r>
        <w:rPr>
          <w:b/>
        </w:rPr>
        <w:t xml:space="preserve">DOI: </w:t>
      </w:r>
      <w:hyperlink r:id="rId90">
        <w:r>
          <w:rPr>
            <w:color w:val="1155CC"/>
            <w:u w:val="single"/>
          </w:rPr>
          <w:t>10.1002/anie.202525581</w:t>
        </w:r>
      </w:hyperlink>
    </w:p>
    <w:p>
      <w:pPr>
        <w:spacing w:before="0" w:after="120"/>
      </w:pPr>
      <w:r>
        <w:rPr>
          <w:b/>
        </w:rPr>
        <w:t xml:space="preserve">Notes: </w:t>
      </w:r>
      <w:r>
        <w:t>abstract_source=crossref</w:t>
      </w:r>
    </w:p>
    <w:p>
      <w:pPr>
        <w:spacing w:before="0" w:after="80" w:lineRule="auto" w:line="276"/>
      </w:pPr>
      <w:r>
        <w:rPr>
          <w:b/>
        </w:rPr>
        <w:t xml:space="preserve">摘要（ZH）: </w:t>
      </w:r>
      <w:r>
        <w:t>化学化学文摘性加胆磷苯醚L(PCO)GAPGAL 1 (L = HC[C(Me)NAr] 2 ;Ar = 2,6i 2 C 2 °C 6 H 3 ) 在环境温度下有选择地与NH 3和H 2 O 有选择地与NH 2和H 2 O在环境温度下发生反应,N-H 和 O-H 双倍的NGa(PH)(NHC (O) PH) GaL 2 和 LGa (PH) (OC) GAL 3。</w:t>
      </w:r>
    </w:p>
    <w:p>
      <w:pPr>
        <w:spacing w:before="0" w:after="200" w:lineRule="auto" w:line="276"/>
      </w:pPr>
      <w:r>
        <w:rPr>
          <w:b/>
        </w:rPr>
        <w:t xml:space="preserve">Abstract (EN): </w:t>
      </w:r>
      <w:r>
        <w:t>Cyclic gallaphosphene L(PCO)GaPGaL</w:t>
      </w:r>
      <w:r>
        <w:rPr>
          <w:vertAlign w:val="subscript"/>
        </w:rPr>
        <w:t>1</w:t>
      </w:r>
      <w:r>
        <w:t>(L = HC[C(Me)NAr]</w:t>
      </w:r>
      <w:r>
        <w:rPr>
          <w:vertAlign w:val="subscript"/>
        </w:rPr>
        <w:t>2</w:t>
      </w:r>
      <w:r>
        <w:t>; Ar = 2,6‐</w:t>
      </w:r>
      <w:r>
        <w:t xml:space="preserve"> </w:t>
      </w:r>
      <w:r>
        <w:t>i</w:t>
      </w:r>
      <w:r>
        <w:t xml:space="preserve"> </w:t>
      </w:r>
      <w:r>
        <w:t>‐Pr</w:t>
      </w:r>
      <w:r>
        <w:rPr>
          <w:vertAlign w:val="subscript"/>
        </w:rPr>
        <w:t>2</w:t>
      </w:r>
      <w:r>
        <w:t>‐C</w:t>
      </w:r>
      <w:r>
        <w:rPr>
          <w:vertAlign w:val="subscript"/>
        </w:rPr>
        <w:t>6</w:t>
      </w:r>
      <w:r>
        <w:t>H</w:t>
      </w:r>
      <w:r>
        <w:rPr>
          <w:vertAlign w:val="subscript"/>
        </w:rPr>
        <w:t>3</w:t>
      </w:r>
      <w:r>
        <w:t>) selectively reacts with NH</w:t>
      </w:r>
      <w:r>
        <w:rPr>
          <w:vertAlign w:val="subscript"/>
        </w:rPr>
        <w:t>3</w:t>
      </w:r>
      <w:r>
        <w:t>and H</w:t>
      </w:r>
      <w:r>
        <w:rPr>
          <w:vertAlign w:val="subscript"/>
        </w:rPr>
        <w:t>2</w:t>
      </w:r>
      <w:r>
        <w:t>O at ambient temperature with twofold N─H and O─H bond activation and formation of compounds LGa(μ‐PH)(μ‐NHC(O)PH)GaL</w:t>
      </w:r>
      <w:r>
        <w:rPr>
          <w:vertAlign w:val="subscript"/>
        </w:rPr>
        <w:t>2</w:t>
      </w:r>
      <w:r>
        <w:t>and LGa(μ‐PH)(μ‐OC(O)PH)GaL</w:t>
      </w:r>
      <w:r>
        <w:rPr>
          <w:vertAlign w:val="subscript"/>
        </w:rPr>
        <w:t>3</w:t>
      </w:r>
      <w:r>
        <w:t>. Both nucleophilic P atoms of</w:t>
      </w:r>
      <w:r>
        <w:rPr>
          <w:vertAlign w:val="subscript"/>
        </w:rPr>
        <w:t>1</w:t>
      </w:r>
      <w:r>
        <w:t>are protonated in these reactions, while the electrophilic carbon atom of the bridging PCO unit binds to the remaining NH group / O atom. The formation of heterocycles</w:t>
      </w:r>
      <w:r>
        <w:rPr>
          <w:vertAlign w:val="subscript"/>
        </w:rPr>
        <w:t>2</w:t>
      </w:r>
      <w:r>
        <w:t>and</w:t>
      </w:r>
      <w:r>
        <w:rPr>
          <w:vertAlign w:val="subscript"/>
        </w:rPr>
        <w:t>3</w:t>
      </w:r>
      <w:r>
        <w:t>, which were characterized by heteronuclear NMR (</w:t>
      </w:r>
      <w:r>
        <w:rPr>
          <w:vertAlign w:val="subscript"/>
        </w:rPr>
        <w:t>1</w:t>
      </w:r>
      <w:r>
        <w:t>H,</w:t>
      </w:r>
      <w:r>
        <w:rPr>
          <w:vertAlign w:val="subscript"/>
        </w:rPr>
        <w:t>13</w:t>
      </w:r>
      <w:r>
        <w:t>C{</w:t>
      </w:r>
      <w:r>
        <w:rPr>
          <w:vertAlign w:val="subscript"/>
        </w:rPr>
        <w:t>1</w:t>
      </w:r>
      <w:r>
        <w:t>H},</w:t>
      </w:r>
      <w:r>
        <w:rPr>
          <w:vertAlign w:val="subscript"/>
        </w:rPr>
        <w:t>31</w:t>
      </w:r>
      <w:r>
        <w:t>P{</w:t>
      </w:r>
      <w:r>
        <w:rPr>
          <w:vertAlign w:val="subscript"/>
        </w:rPr>
        <w:t>1</w:t>
      </w:r>
      <w:r>
        <w:t>H}) and IR spectroscopy, elemental analysis, and single‐crystal X‐ray diffraction (sc‐XRD), is only possible due to a beneficial interplay between the polar Ga─P double bond and the electrophilic nature of the C center in the bridging PCO unit. The reaction mechanism and energetics of the NH</w:t>
      </w:r>
      <w:r>
        <w:rPr>
          <w:vertAlign w:val="subscript"/>
        </w:rPr>
        <w:t>3</w:t>
      </w:r>
      <w:r>
        <w:t>reaction was investigated in detail by quantum chemical calculations, which also highlight the importance of bimolecular reaction processes with the involvement of an additional NH</w:t>
      </w:r>
      <w:r>
        <w:rPr>
          <w:vertAlign w:val="subscript"/>
        </w:rPr>
        <w:t>3</w:t>
      </w:r>
      <w:r>
        <w:t>molecule.</w:t>
      </w:r>
    </w:p>
    <w:p>
      <w:pPr>
        <w:spacing w:before="120" w:after="120"/>
      </w:pPr>
      <w:r>
        <w:rPr>
          <w:sz w:val="18"/>
        </w:rPr>
        <w:t>——————————————————————————————————————————————————————————————————————</w:t>
      </w:r>
    </w:p>
    <w:p>
      <w:pPr>
        <w:spacing w:before="160" w:after="40" w:line="240" w:lineRule="auto"/>
      </w:pPr>
      <w:r>
        <w:rPr>
          <w:b/>
        </w:rPr>
        <w:t xml:space="preserve">[58] </w:t>
      </w:r>
      <w:hyperlink r:id="rId91">
        <w:r>
          <w:rPr>
            <w:color w:val="1155CC"/>
            <w:u w:val="single"/>
          </w:rPr>
          <w:t>稳定 BF2 核循环循环作为选择性奥瑟 C-H 功能化的活性分解试剂</w:t>
        </w:r>
      </w:hyperlink>
    </w:p>
    <w:p>
      <w:pPr>
        <w:spacing w:before="0" w:after="80"/>
      </w:pPr>
      <w:r>
        <w:rPr>
          <w:i/>
          <w:sz w:val="20"/>
        </w:rPr>
        <w:t>EN: Stable BF2 Boracycles as Versatile Reagents for Selective Ortho C–H Functionalization</w:t>
      </w:r>
    </w:p>
    <w:p>
      <w:pPr>
        <w:spacing w:before="0" w:after="120"/>
      </w:pPr>
      <w:r>
        <w:rPr>
          <w:b/>
        </w:rPr>
        <w:t xml:space="preserve">Source: </w:t>
      </w:r>
      <w:r>
        <w:t>Wiley: Angewandte Chemie International Edition: Table of Contents</w:t>
      </w:r>
      <w:r>
        <w:t xml:space="preserve">    </w:t>
      </w:r>
      <w:r>
        <w:rPr>
          <w:b/>
        </w:rPr>
        <w:t xml:space="preserve">Pub date: </w:t>
      </w:r>
      <w:r>
        <w:t>2026-01-17 06:25:06+00:00</w:t>
      </w:r>
      <w:r>
        <w:t xml:space="preserve">    </w:t>
      </w:r>
      <w:r>
        <w:rPr>
          <w:b/>
        </w:rPr>
        <w:t xml:space="preserve">DOI: </w:t>
      </w:r>
      <w:hyperlink r:id="rId92">
        <w:r>
          <w:rPr>
            <w:color w:val="1155CC"/>
            <w:u w:val="single"/>
          </w:rPr>
          <w:t>10.1002/anie.202518421</w:t>
        </w:r>
      </w:hyperlink>
    </w:p>
    <w:p>
      <w:pPr>
        <w:spacing w:before="0" w:after="120"/>
      </w:pPr>
      <w:r>
        <w:rPr>
          <w:b/>
        </w:rPr>
        <w:t xml:space="preserve">Notes: </w:t>
      </w:r>
      <w:r>
        <w:t>abstract_source=crossref</w:t>
      </w:r>
    </w:p>
    <w:p>
      <w:pPr>
        <w:spacing w:before="0" w:after="80" w:lineRule="auto" w:line="276"/>
      </w:pPr>
      <w:r>
        <w:rPr>
          <w:b/>
        </w:rPr>
        <w:t xml:space="preserve">摘要（ZH）: </w:t>
      </w:r>
      <w:r>
        <w:t>新的原生原试剂的开发在推进现代有机合成方面继续发挥着至关重要的作用,特别是在C-H功能化和交叉组合反应方面。 在此,我们报告了一个无金属、强健和可缩放的多光谱协议,用于合成稳定的BF 2波罗周期,不需要柱状色谱,为接触这种宝贵的原生原生物提供了实用而有效的途径。 BF 2波罗周期表现出了更大的稳定性和回弹性,使它们在后阶段多样化过程中具有高度的多功能性中间体。 它们经过自然的替代,可以提供广泛的衍生物,包括各种衍生物。</w:t>
      </w:r>
    </w:p>
    <w:p>
      <w:pPr>
        <w:spacing w:before="0" w:after="200" w:lineRule="auto" w:line="276"/>
      </w:pPr>
      <w:r>
        <w:rPr>
          <w:b/>
        </w:rPr>
        <w:t xml:space="preserve">Abstract (EN): </w:t>
      </w:r>
      <w:r>
        <w:t>The development of new boron reagents continues to play a crucial role in advancing modern organic synthesis, particularly in C–H functionalization and cross‐coupling reactions. Herein, we report a metal‐free, robust, and scalable multigram protocol for the synthesis of stable BF</w:t>
      </w:r>
      <w:r>
        <w:rPr>
          <w:vertAlign w:val="subscript"/>
        </w:rPr>
        <w:t>2</w:t>
      </w:r>
      <w:r>
        <w:t>boracycles that require no column chromatography, providing a practical and efficient route to access this valuable boron species. The BF</w:t>
      </w:r>
      <w:r>
        <w:rPr>
          <w:vertAlign w:val="subscript"/>
        </w:rPr>
        <w:t>2</w:t>
      </w:r>
      <w:r>
        <w:t>boracycles exhibit enhanced stability and reactivity, making them highly versatile intermediates for late‐stage diversification. They undergo</w:t>
      </w:r>
      <w:r>
        <w:t xml:space="preserve"> </w:t>
      </w:r>
      <w:r>
        <w:t>ipso</w:t>
      </w:r>
      <w:r>
        <w:t xml:space="preserve"> </w:t>
      </w:r>
      <w:r>
        <w:t>‐substitution to afford a wide array of derivatives, including halogenated (e.g., radioiodinated), hydroxylated, and azidated products. Furthermore, they display excellent reactivity in Suzuki–Miyaura cross‐coupling reactions, enabling both C(sp</w:t>
      </w:r>
      <w:r>
        <w:rPr>
          <w:vertAlign w:val="subscript"/>
        </w:rPr>
        <w:t>2</w:t>
      </w:r>
      <w:r>
        <w:t>)─C(sp</w:t>
      </w:r>
      <w:r>
        <w:rPr>
          <w:vertAlign w:val="subscript"/>
        </w:rPr>
        <w:t>2</w:t>
      </w:r>
      <w:r>
        <w:t>) and C(sp</w:t>
      </w:r>
      <w:r>
        <w:rPr>
          <w:vertAlign w:val="subscript"/>
        </w:rPr>
        <w:t>2</w:t>
      </w:r>
      <w:r>
        <w:t>)─C(sp</w:t>
      </w:r>
      <w:r>
        <w:rPr>
          <w:vertAlign w:val="subscript"/>
        </w:rPr>
        <w:t>3</w:t>
      </w:r>
      <w:r>
        <w:t>) bond formation. These results underscore the utility of BF</w:t>
      </w:r>
      <w:r>
        <w:rPr>
          <w:vertAlign w:val="subscript"/>
        </w:rPr>
        <w:t>2</w:t>
      </w:r>
      <w:r>
        <w:t>boracycles as powerful tools for selective functionalization in pharmaceutical synthesis and beyond. Our work represents a significant advancement in organoboron chemistry, offering both a streamlined synthetic approach and broad applicability for complex molecule construction.</w:t>
      </w:r>
    </w:p>
    <w:p>
      <w:pPr>
        <w:spacing w:before="120" w:after="120"/>
      </w:pPr>
      <w:r>
        <w:rPr>
          <w:sz w:val="18"/>
        </w:rPr>
        <w:t>——————————————————————————————————————————————————————————————————————</w:t>
      </w:r>
    </w:p>
    <w:p>
      <w:pPr>
        <w:spacing w:before="160" w:after="40" w:line="240" w:lineRule="auto"/>
      </w:pPr>
      <w:r>
        <w:rPr>
          <w:b/>
        </w:rPr>
        <w:t xml:space="preserve">[59] </w:t>
      </w:r>
      <w:hyperlink r:id="rId93">
        <w:r>
          <w:rPr>
            <w:color w:val="1155CC"/>
            <w:u w:val="single"/>
          </w:rPr>
          <w:t>增强精密C-H功能化能力:过氧gen酶工程的进展</w:t>
        </w:r>
      </w:hyperlink>
    </w:p>
    <w:p>
      <w:pPr>
        <w:spacing w:before="0" w:after="80"/>
      </w:pPr>
      <w:r>
        <w:rPr>
          <w:i/>
          <w:sz w:val="20"/>
        </w:rPr>
        <w:t>EN: Empowering Precision C–H Functionalization: Advances in Peroxygenase Engineering</w:t>
      </w:r>
    </w:p>
    <w:p>
      <w:pPr>
        <w:spacing w:before="0" w:after="120"/>
      </w:pPr>
      <w:r>
        <w:rPr>
          <w:b/>
        </w:rPr>
        <w:t xml:space="preserve">Source: </w:t>
      </w:r>
      <w:r>
        <w:t>Wiley: Angewandte Chemie International Edition: Table of Contents</w:t>
      </w:r>
      <w:r>
        <w:t xml:space="preserve">    </w:t>
      </w:r>
      <w:r>
        <w:rPr>
          <w:b/>
        </w:rPr>
        <w:t xml:space="preserve">Pub date: </w:t>
      </w:r>
      <w:r>
        <w:t>2026-01-17 06:26:11+00:00</w:t>
      </w:r>
      <w:r>
        <w:t xml:space="preserve">    </w:t>
      </w:r>
      <w:r>
        <w:rPr>
          <w:b/>
        </w:rPr>
        <w:t xml:space="preserve">DOI: </w:t>
      </w:r>
      <w:hyperlink r:id="rId94">
        <w:r>
          <w:rPr>
            <w:color w:val="1155CC"/>
            <w:u w:val="single"/>
          </w:rPr>
          <w:t>10.1002/anie.202525086</w:t>
        </w:r>
      </w:hyperlink>
    </w:p>
    <w:p>
      <w:pPr>
        <w:spacing w:before="0" w:after="120"/>
      </w:pPr>
      <w:r>
        <w:rPr>
          <w:b/>
        </w:rPr>
        <w:t xml:space="preserve">Notes: </w:t>
      </w:r>
      <w:r>
        <w:t>abstract_source=crossref</w:t>
      </w:r>
    </w:p>
    <w:p>
      <w:pPr>
        <w:spacing w:before="0" w:after="80" w:lineRule="auto" w:line="276"/>
      </w:pPr>
      <w:r>
        <w:rPr>
          <w:b/>
        </w:rPr>
        <w:t xml:space="preserve">摘要（ZH）: </w:t>
      </w:r>
      <w:r>
        <w:t>抽象选择性C-H功能化在现代合成中仍是一个中心挑战,因为它使得分子脚手架能够在没有前功能化的情况下直接实现分子支架的多样化。 全氟氧酶,包括非特定过氧酶和P450过氧酶,提供了应对这一挑战的生物催化解决方案,在以氢过氧化氢(H2O 2)为唯一氧化剂的温和条件下,在水介质下催化氧机能化反应。 在本次审查中,我们强调了过去5年中过氧酶工程的最新进展,特别侧重于加强异性表达、催化活动和控制再生和对应电子化的战略。</w:t>
      </w:r>
    </w:p>
    <w:p>
      <w:pPr>
        <w:spacing w:before="0" w:after="200" w:lineRule="auto" w:line="276"/>
      </w:pPr>
      <w:r>
        <w:rPr>
          <w:b/>
        </w:rPr>
        <w:t xml:space="preserve">Abstract (EN): </w:t>
      </w:r>
      <w:r>
        <w:t>Selective C–H functionalization remains a central challenge in modern synthesis as it enables direct diversification of molecular scaffolds without pre‐functionalization. Peroxygenases, including both unspecific peroxygenases and P450 peroxygenases, offer a biocatalytic solution to this challenge, catalyzing oxyfunctionalization reactions in aqueous media under mild conditions with hydrogen peroxide (H</w:t>
      </w:r>
      <w:r>
        <w:rPr>
          <w:vertAlign w:val="subscript"/>
        </w:rPr>
        <w:t>2</w:t>
      </w:r>
      <w:r>
        <w:t>O</w:t>
      </w:r>
      <w:r>
        <w:rPr>
          <w:vertAlign w:val="subscript"/>
        </w:rPr>
        <w:t>2</w:t>
      </w:r>
      <w:r>
        <w:t>) as the sole oxidant. In this review, we highlight recent advances in peroxygenase engineering over the past five years, with a particular focus on strategies that enhance heterologous expression, catalytic activity, and control of regio‐ and enantioselectivity. We also discuss protein engineering approaches that mitigate H</w:t>
      </w:r>
      <w:r>
        <w:rPr>
          <w:vertAlign w:val="subscript"/>
        </w:rPr>
        <w:t>2</w:t>
      </w:r>
      <w:r>
        <w:t>O</w:t>
      </w:r>
      <w:r>
        <w:rPr>
          <w:vertAlign w:val="subscript"/>
        </w:rPr>
        <w:t>2</w:t>
      </w:r>
      <w:r>
        <w:t>‐induced inactivation and summarize efforts to repurpose NADPH‐dependent P450 enzymes into self‐sufficient peroxygenases, thereby expanding their catalytic repertoire. Furthermore, we examine the integration of peroxygenases with in situ H</w:t>
      </w:r>
      <w:r>
        <w:rPr>
          <w:vertAlign w:val="subscript"/>
        </w:rPr>
        <w:t>2</w:t>
      </w:r>
      <w:r>
        <w:t>O</w:t>
      </w:r>
      <w:r>
        <w:rPr>
          <w:vertAlign w:val="subscript"/>
        </w:rPr>
        <w:t>2</w:t>
      </w:r>
      <w:r>
        <w:t>generation systems by enzymatic, chemical, photocatalytic, and electrochemical methods to achieve balanced oxidant delivery and sustained turnover. Collectively, these developments have established peroxygenases as versatile and robust catalysts for selective C–H functionalization, opening new opportunities for their application in the synthesis of pharmaceuticals, fine chemicals, and agrochemicals.</w:t>
      </w:r>
    </w:p>
    <w:p>
      <w:pPr>
        <w:spacing w:before="120" w:after="120"/>
      </w:pPr>
      <w:r>
        <w:rPr>
          <w:sz w:val="18"/>
        </w:rPr>
        <w:t>——————————————————————————————————————————————————————————————————————</w:t>
      </w:r>
    </w:p>
    <w:p>
      <w:pPr>
        <w:spacing w:before="160" w:after="40" w:line="240" w:lineRule="auto"/>
      </w:pPr>
      <w:r>
        <w:rPr>
          <w:b/>
        </w:rPr>
        <w:t xml:space="preserve">[60] </w:t>
      </w:r>
      <w:hyperlink r:id="rId95">
        <w:r>
          <w:rPr>
            <w:color w:val="1155CC"/>
            <w:u w:val="single"/>
          </w:rPr>
          <w:t>高能源密度高的气体SO2 电池</w:t>
        </w:r>
      </w:hyperlink>
    </w:p>
    <w:p>
      <w:pPr>
        <w:spacing w:before="0" w:after="80"/>
      </w:pPr>
      <w:r>
        <w:rPr>
          <w:i/>
          <w:sz w:val="20"/>
        </w:rPr>
        <w:t>EN: Gaseous SO2 Additive for High‐Energy‐Density Li‐Ion Battery</w:t>
      </w:r>
    </w:p>
    <w:p>
      <w:pPr>
        <w:spacing w:before="0" w:after="120"/>
      </w:pPr>
      <w:r>
        <w:rPr>
          <w:b/>
        </w:rPr>
        <w:t xml:space="preserve">Source: </w:t>
      </w:r>
      <w:r>
        <w:t>Wiley: Angewandte Chemie International Edition: Table of Contents</w:t>
      </w:r>
      <w:r>
        <w:t xml:space="preserve">    </w:t>
      </w:r>
      <w:r>
        <w:rPr>
          <w:b/>
        </w:rPr>
        <w:t xml:space="preserve">Pub date: </w:t>
      </w:r>
      <w:r>
        <w:t>2026-01-17 06:27:07+00:00</w:t>
      </w:r>
      <w:r>
        <w:t xml:space="preserve">    </w:t>
      </w:r>
      <w:r>
        <w:rPr>
          <w:b/>
        </w:rPr>
        <w:t xml:space="preserve">DOI: </w:t>
      </w:r>
      <w:hyperlink r:id="rId96">
        <w:r>
          <w:rPr>
            <w:color w:val="1155CC"/>
            <w:u w:val="single"/>
          </w:rPr>
          <w:t>10.1002/anie.202523079</w:t>
        </w:r>
      </w:hyperlink>
    </w:p>
    <w:p>
      <w:pPr>
        <w:spacing w:before="0" w:after="120"/>
      </w:pPr>
      <w:r>
        <w:rPr>
          <w:b/>
        </w:rPr>
        <w:t xml:space="preserve">Notes: </w:t>
      </w:r>
      <w:r>
        <w:t>abstract_source=crossref</w:t>
      </w:r>
    </w:p>
    <w:p>
      <w:pPr>
        <w:spacing w:before="0" w:after="80" w:lineRule="auto" w:line="276"/>
      </w:pPr>
      <w:r>
        <w:rPr>
          <w:b/>
        </w:rPr>
        <w:t xml:space="preserve">摘要（ZH）: </w:t>
      </w:r>
      <w:r>
        <w:t>抽象电解添加剂工程对于抑制高能密度电池的干扰降解和增强循环稳定性至关重要,然而,传统固体或液体添加剂面临着生产成本高、化学不稳定和低效率的干扰消化等内在限制,限制了其实际应用。在这里,我们提出了一个电解工程战略,将二氧化硫(SO 2)作为一种工业废气,作为一种双重功能气体添加剂,作为工业废气,可持续地使用。由于其超高的减排潜力(2.6 V对Li+/Li),超过大多数已知添加剂的减排潜力(2.6 V对Li +/Li),以及低氧化度,我们建议采用电解工程战略,将二氧化硫(SO 2)作为一种工业废气作为双重功能气体添加剂。</w:t>
      </w:r>
    </w:p>
    <w:p>
      <w:pPr>
        <w:spacing w:before="0" w:after="200" w:lineRule="auto" w:line="276"/>
      </w:pPr>
      <w:r>
        <w:rPr>
          <w:b/>
        </w:rPr>
        <w:t xml:space="preserve">Abstract (EN): </w:t>
      </w:r>
      <w:r>
        <w:t>Electrolyte additive engineering is pivotal for suppressing interfacial degradation and enhancing the cycling stability of high‐energy‐density batteries. However, conventional solid or liquid additives face inherent limitations such as high production costs, chemical instability, and inefficient interfacial passivation, restricting their practical application. Here, we propose an electrolyte engineering strategy that makes sustainable use of sulfur dioxide (SO</w:t>
      </w:r>
      <w:r>
        <w:rPr>
          <w:vertAlign w:val="subscript"/>
        </w:rPr>
        <w:t>2</w:t>
      </w:r>
      <w:r>
        <w:t>), an industrial waste‐derived gas, as a dual‐functional gaseous additive. Owing to its ultrahigh reduction potential (2.6 V versus Li</w:t>
      </w:r>
      <w:r>
        <w:t xml:space="preserve"> </w:t>
      </w:r>
      <w:r>
        <w:t>+</w:t>
      </w:r>
      <w:r>
        <w:t xml:space="preserve"> </w:t>
      </w:r>
      <w:r>
        <w:t>/Li), which exceeds that of most known additives, and a low oxidation potential, SO</w:t>
      </w:r>
      <w:r>
        <w:rPr>
          <w:vertAlign w:val="subscript"/>
        </w:rPr>
        <w:t>2</w:t>
      </w:r>
      <w:r>
        <w:t>promotes the in situ formation of sulfur‐containing interphases on both electrodes through preferential electrochemical reactions, thereby effectively suppressing parasitic electrolyte decomposition. SO</w:t>
      </w:r>
      <w:r>
        <w:rPr>
          <w:vertAlign w:val="subscript"/>
        </w:rPr>
        <w:t>2</w:t>
      </w:r>
      <w:r>
        <w:t>enables 4.4 V‐class AG || NCM613 pouch cells to achieve exceptional cyclability exceeding 800 cycles with 88.2% capacity retention, along with outstanding temperature tolerance from −30 °C to 45 °C. This strategy also demonstrates universal applicability, yielding a long life of 800 cycles for Ah‐level 4.3 V‐class Si/C || NCM811 pouch cells. Furthermore, this approach alleviates electrolyte discoloration, extending shelf life while reducing cost and energy consumption. This work establishes a sustainable circular economy model by valorizing industrial exhaust into high‐value battery components, bridging environmental stewardship with next‐generation energy storage innovation.</w:t>
      </w:r>
    </w:p>
    <w:p>
      <w:pPr>
        <w:spacing w:before="120" w:after="120"/>
      </w:pPr>
      <w:r>
        <w:rPr>
          <w:sz w:val="18"/>
        </w:rPr>
        <w:t>——————————————————————————————————————————————————————————————————————</w:t>
      </w:r>
    </w:p>
    <w:p>
      <w:pPr>
        <w:spacing w:before="160" w:after="40" w:line="240" w:lineRule="auto"/>
      </w:pPr>
      <w:r>
        <w:rPr>
          <w:b/>
        </w:rPr>
        <w:t xml:space="preserve">[61] </w:t>
      </w:r>
      <w:hyperlink r:id="rId97">
        <w:r>
          <w:rPr>
            <w:color w:val="1155CC"/>
            <w:u w:val="single"/>
          </w:rPr>
          <w:t>由用于固态电池应用的双连续结构电解电解弹性体所启用的强力界面</w:t>
        </w:r>
      </w:hyperlink>
    </w:p>
    <w:p>
      <w:pPr>
        <w:spacing w:before="0" w:after="80"/>
      </w:pPr>
      <w:r>
        <w:rPr>
          <w:i/>
          <w:sz w:val="20"/>
        </w:rPr>
        <w:t>EN: Robust Interface Enabled by Bicontinuous‐Structured Electrolyte Elastomers for Solid‐State Battery Applications</w:t>
      </w:r>
    </w:p>
    <w:p>
      <w:pPr>
        <w:spacing w:before="0" w:after="120"/>
      </w:pPr>
      <w:r>
        <w:rPr>
          <w:b/>
        </w:rPr>
        <w:t xml:space="preserve">Source: </w:t>
      </w:r>
      <w:r>
        <w:t>Wiley: Angewandte Chemie International Edition: Table of Contents</w:t>
      </w:r>
      <w:r>
        <w:t xml:space="preserve">    </w:t>
      </w:r>
      <w:r>
        <w:rPr>
          <w:b/>
        </w:rPr>
        <w:t xml:space="preserve">Pub date: </w:t>
      </w:r>
      <w:r>
        <w:t>2026-01-17 06:27:39+00:00</w:t>
      </w:r>
      <w:r>
        <w:t xml:space="preserve">    </w:t>
      </w:r>
      <w:r>
        <w:rPr>
          <w:b/>
        </w:rPr>
        <w:t xml:space="preserve">DOI: </w:t>
      </w:r>
      <w:hyperlink r:id="rId98">
        <w:r>
          <w:rPr>
            <w:color w:val="1155CC"/>
            <w:u w:val="single"/>
          </w:rPr>
          <w:t>10.1002/anie.202525489</w:t>
        </w:r>
      </w:hyperlink>
    </w:p>
    <w:p>
      <w:pPr>
        <w:spacing w:before="0" w:after="120"/>
      </w:pPr>
      <w:r>
        <w:rPr>
          <w:b/>
        </w:rPr>
        <w:t xml:space="preserve">Notes: </w:t>
      </w:r>
      <w:r>
        <w:t>abstract_source=crossref</w:t>
      </w:r>
    </w:p>
    <w:p>
      <w:pPr>
        <w:spacing w:before="0" w:after="80" w:lineRule="auto" w:line="276"/>
      </w:pPr>
      <w:r>
        <w:rPr>
          <w:b/>
        </w:rPr>
        <w:t xml:space="preserve">摘要（ZH）: </w:t>
      </w:r>
      <w:r>
        <w:t>具有高离子传导性、高电化学稳定性和机械耐久性,对固态锂(Li)电池来说是安全的和可靠的,然而,大多数现有的静态锂(Sees)的机械抗御力有限,界面接触不力,妨碍了其实际部署。在这里,建议采用现场阶段分离战略,用双连续结构建造一类弹性固态电解解液,硬级确保高离子传导性(7.8×10-4 Scm-1,25°C),弹性阶段提供极好的弹性恢复性(82%)和强界面接触(高级能量)43.9。</w:t>
      </w:r>
    </w:p>
    <w:p>
      <w:pPr>
        <w:spacing w:before="0" w:after="200" w:lineRule="auto" w:line="276"/>
      </w:pPr>
      <w:r>
        <w:rPr>
          <w:b/>
        </w:rPr>
        <w:t xml:space="preserve">Abstract (EN): </w:t>
      </w:r>
      <w:r>
        <w:t>Solid‐state electrolytes (SSEs) with high ionic conductivity, superior electrochemical stability, and mechanical durability are safe and reliable for solid‐state lithium (Li) batteries. However, most existing SSEs suffer from limited mechanical resilience and poor interface contact, impeding their practical deployment. Here, an in situ phase separation strategy is proposed to construct a class of elastomeric solid‐state electrolytes with bicontinuous architecture. The rigid phase ensures high ionic conductivity (7.8 × 10</w:t>
      </w:r>
      <w:r>
        <w:t xml:space="preserve"> </w:t>
      </w:r>
      <w:r>
        <w:t>−4</w:t>
      </w:r>
      <w:r>
        <w:t xml:space="preserve"> </w:t>
      </w:r>
      <w:r>
        <w:t>S cm</w:t>
      </w:r>
      <w:r>
        <w:t xml:space="preserve"> </w:t>
      </w:r>
      <w:r>
        <w:t>−1</w:t>
      </w:r>
      <w:r>
        <w:t xml:space="preserve"> </w:t>
      </w:r>
      <w:r>
        <w:t>at 25 °C), while the elastic phase provides excellent elastic restorability (82%) and strong interface contact (adhesion energy ≈43.9 J m</w:t>
      </w:r>
      <w:r>
        <w:t xml:space="preserve"> </w:t>
      </w:r>
      <w:r>
        <w:t>−2</w:t>
      </w:r>
      <w:r>
        <w:t xml:space="preserve"> </w:t>
      </w:r>
      <w:r>
        <w:t>). This bicontinuous structure endows the material with superior stretchability (1800%), fatigue resistance, and puncture strength, while maintaining interface contact, keeping mechanical integrity of the battery structure during cycling, and restraining the dendrite growth. Consequently, symmetric batteries exhibit no short‐circuiting even after 2000 h of operation, and Li–metal batteries demonstrate high specific capacity. Solid‐state Li–O</w:t>
      </w:r>
      <w:r>
        <w:rPr>
          <w:vertAlign w:val="subscript"/>
        </w:rPr>
        <w:t>2</w:t>
      </w:r>
      <w:r>
        <w:t>batteries fabricated with the P(BA‐SN)‐IL electrolyte also exhibit good cycling performance (500 cycles), and the Li–O</w:t>
      </w:r>
      <w:r>
        <w:rPr>
          <w:vertAlign w:val="subscript"/>
        </w:rPr>
        <w:t>2</w:t>
      </w:r>
      <w:r>
        <w:t>pouch cell achieves stable cycling and superior feasibility under various abuse tests, including bending and squeezing. The bicontinuous‐structured elastomer electrolytes present a highly promising strategy for enabling safe operation of high‐energy solid‐state batteries.</w:t>
      </w:r>
    </w:p>
    <w:p>
      <w:pPr>
        <w:spacing w:before="120" w:after="120"/>
      </w:pPr>
      <w:r>
        <w:rPr>
          <w:sz w:val="18"/>
        </w:rPr>
        <w:t>——————————————————————————————————————————————————————————————————————</w:t>
      </w:r>
    </w:p>
    <w:p>
      <w:pPr>
        <w:spacing w:before="160" w:after="40" w:line="240" w:lineRule="auto"/>
      </w:pPr>
      <w:r>
        <w:rPr>
          <w:b/>
        </w:rPr>
        <w:t xml:space="preserve">[62] </w:t>
      </w:r>
      <w:hyperlink r:id="rId99">
        <w:r>
          <w:rPr>
            <w:color w:val="1155CC"/>
            <w:u w:val="single"/>
          </w:rPr>
          <w:t>用于空气和化肥合成的带有固定地表水氢化动态的单原子合金</w:t>
        </w:r>
      </w:hyperlink>
    </w:p>
    <w:p>
      <w:pPr>
        <w:spacing w:before="0" w:after="80"/>
      </w:pPr>
      <w:r>
        <w:rPr>
          <w:i/>
          <w:sz w:val="20"/>
        </w:rPr>
        <w:t>EN: Pulse‐Electrodeposited Single‐Atom Alloys with Steered Surface Hydrogenation Dynamics for Air‐to‐Fertilizer Synthesis</w:t>
      </w:r>
    </w:p>
    <w:p>
      <w:pPr>
        <w:spacing w:before="0" w:after="120"/>
      </w:pPr>
      <w:r>
        <w:rPr>
          <w:b/>
        </w:rPr>
        <w:t xml:space="preserve">Source: </w:t>
      </w:r>
      <w:r>
        <w:t>Wiley: Angewandte Chemie International Edition: Table of Contents</w:t>
      </w:r>
      <w:r>
        <w:t xml:space="preserve">    </w:t>
      </w:r>
      <w:r>
        <w:rPr>
          <w:b/>
        </w:rPr>
        <w:t xml:space="preserve">Pub date: </w:t>
      </w:r>
      <w:r>
        <w:t>2026-01-17 06:28:05+00:00</w:t>
      </w:r>
      <w:r>
        <w:t xml:space="preserve">    </w:t>
      </w:r>
      <w:r>
        <w:rPr>
          <w:b/>
        </w:rPr>
        <w:t xml:space="preserve">DOI: </w:t>
      </w:r>
      <w:hyperlink r:id="rId100">
        <w:r>
          <w:rPr>
            <w:color w:val="1155CC"/>
            <w:u w:val="single"/>
          </w:rPr>
          <w:t>10.1002/anie.202521345</w:t>
        </w:r>
      </w:hyperlink>
    </w:p>
    <w:p>
      <w:pPr>
        <w:spacing w:before="0" w:after="120"/>
      </w:pPr>
      <w:r>
        <w:rPr>
          <w:b/>
        </w:rPr>
        <w:t xml:space="preserve">Notes: </w:t>
      </w:r>
      <w:r>
        <w:t>abstract_source=crossref</w:t>
      </w:r>
    </w:p>
    <w:p>
      <w:pPr>
        <w:spacing w:before="0" w:after="80" w:lineRule="auto" w:line="276"/>
      </w:pPr>
      <w:r>
        <w:rPr>
          <w:b/>
        </w:rPr>
        <w:t xml:space="preserve">摘要（ZH）: </w:t>
      </w:r>
      <w:r>
        <w:t>利用可再生电力将丰富的环境资源转化为肥料是可持续发展的核心。电化学硝酸硝酸盐到氨的转化提供了一条有希望的道路,但其效率却受到多步骤*NOx减少的难以捉摸的地表氢动力的制约。在这里,来自大型语言模型的辅助采矿和有力分析的合作描述器()成功地将尼库单原子合金(SAAs)确定为最佳催化剂。 脉冲电极能提供带有金枪鱼结构的原子分散合金,达到最高法拉达效率的95%和产量率的11.4毫克-1。</w:t>
      </w:r>
    </w:p>
    <w:p>
      <w:pPr>
        <w:spacing w:before="0" w:after="200" w:lineRule="auto" w:line="276"/>
      </w:pPr>
      <w:r>
        <w:rPr>
          <w:b/>
        </w:rPr>
        <w:t xml:space="preserve">Abstract (EN): </w:t>
      </w:r>
      <w:r>
        <w:t>Harnessing renewable electricity to transform abundant environmental resources into fertilizers is central to sustainable development. Electrochemical nitrate‐to‐ammonia conversion provides a promising route, yet its efficiency is constrained by the elusive surface hydrogenation dynamics governing multi‐step *NO</w:t>
      </w:r>
      <w:r>
        <w:t xml:space="preserve"> </w:t>
      </w:r>
      <w:r>
        <w:t>x</w:t>
      </w:r>
      <w:r>
        <w:t xml:space="preserve"> </w:t>
      </w:r>
      <w:r>
        <w:t>reduction. Here, a cooperative descriptor (Ψ) derived from large‐language‐models‐assisted mining and energetic analysis successfully identifies NiCu single‐atom alloys (SAAs) as optimal catalysts. Pulse electrodeposition delivers atomically dispersed alloys with tunable structures, achieving a maximum Faradaic efficiency (FE) of ∼95% and yield rate (YR) of ∼11.4 mg h</w:t>
      </w:r>
      <w:r>
        <w:t xml:space="preserve"> </w:t>
      </w:r>
      <w:r>
        <w:t>−1</w:t>
      </w:r>
      <w:r>
        <w:t xml:space="preserve"> </w:t>
      </w:r>
      <w:r>
        <w:t>cm</w:t>
      </w:r>
      <w:r>
        <w:t xml:space="preserve"> </w:t>
      </w:r>
      <w:r>
        <w:t>−2</w:t>
      </w:r>
      <w:r>
        <w:t xml:space="preserve"> </w:t>
      </w:r>
      <w:r>
        <w:t>. In situ surface‐interrogation scanning electrochemical microscopy (SI‐SECM) provides quantitative information on the time‐resolved surface‐active hydrogen (*H) generation‐consumption and *NO</w:t>
      </w:r>
      <w:r>
        <w:t xml:space="preserve"> </w:t>
      </w:r>
      <w:r>
        <w:t>x</w:t>
      </w:r>
      <w:r>
        <w:t xml:space="preserve"> </w:t>
      </w:r>
      <w:r>
        <w:t>hydrogenation rate constants (NiCu &amp;gt; CoCu ≫ MnCu ≈ FeCu &amp;gt; Cu), directly aligning surface kinetics with selectivity. Theoretical investigations further confirmed that Ni doping lowers the barriers for *H formation and *NO</w:t>
      </w:r>
      <w:r>
        <w:t xml:space="preserve"> </w:t>
      </w:r>
      <w:r>
        <w:t>x</w:t>
      </w:r>
      <w:r>
        <w:t xml:space="preserve"> </w:t>
      </w:r>
      <w:r>
        <w:t>hydrogenation. A plasma‐electrochemical‐CO</w:t>
      </w:r>
      <w:r>
        <w:rPr>
          <w:vertAlign w:val="subscript"/>
        </w:rPr>
        <w:t>2</w:t>
      </w:r>
      <w:r>
        <w:t>capture system demonstrated continuous “air‐to‐fertilizer” conversion with reduced energy consumption and potential net‐negative emissions. These results establish a transferable design rule that bridges theoretical descriptors with operando hydrogenation dynamics, providing a mechanistic foundation and practical pathway toward scalable, zero‐carbon fertilizer production.</w:t>
      </w:r>
    </w:p>
    <w:p>
      <w:pPr>
        <w:spacing w:before="120" w:after="120"/>
      </w:pPr>
      <w:r>
        <w:rPr>
          <w:sz w:val="18"/>
        </w:rPr>
        <w:t>——————————————————————————————————————————————————————————————————————</w:t>
      </w:r>
    </w:p>
    <w:p>
      <w:pPr>
        <w:spacing w:before="160" w:after="40" w:line="240" w:lineRule="auto"/>
      </w:pPr>
      <w:r>
        <w:rPr>
          <w:b/>
        </w:rPr>
        <w:t xml:space="preserve">[63] </w:t>
      </w:r>
      <w:hyperlink r:id="rId101">
        <w:r>
          <w:rPr>
            <w:color w:val="1155CC"/>
            <w:u w:val="single"/>
          </w:rPr>
          <w:t>三金属单一原子催化器中用于减少最佳氧氧气的动态脊柱管理对称性协调字段</w:t>
        </w:r>
      </w:hyperlink>
    </w:p>
    <w:p>
      <w:pPr>
        <w:spacing w:before="0" w:after="80"/>
      </w:pPr>
      <w:r>
        <w:rPr>
          <w:i/>
          <w:sz w:val="20"/>
        </w:rPr>
        <w:t>EN: Dynamic Spin Governing Asymmetric Coordination Fields in Trimetallic Single‐Atom Catalysts for Optimal Oxygen Reduction</w:t>
      </w:r>
    </w:p>
    <w:p>
      <w:pPr>
        <w:spacing w:before="0" w:after="120"/>
      </w:pPr>
      <w:r>
        <w:rPr>
          <w:b/>
        </w:rPr>
        <w:t xml:space="preserve">Source: </w:t>
      </w:r>
      <w:r>
        <w:t>Wiley: Angewandte Chemie International Edition: Table of Contents</w:t>
      </w:r>
      <w:r>
        <w:t xml:space="preserve">    </w:t>
      </w:r>
      <w:r>
        <w:rPr>
          <w:b/>
        </w:rPr>
        <w:t xml:space="preserve">Pub date: </w:t>
      </w:r>
      <w:r>
        <w:t>2026-01-17 06:33:28+00:00</w:t>
      </w:r>
      <w:r>
        <w:t xml:space="preserve">    </w:t>
      </w:r>
      <w:r>
        <w:rPr>
          <w:b/>
        </w:rPr>
        <w:t xml:space="preserve">DOI: </w:t>
      </w:r>
      <w:hyperlink r:id="rId102">
        <w:r>
          <w:rPr>
            <w:color w:val="1155CC"/>
            <w:u w:val="single"/>
          </w:rPr>
          <w:t>10.1002/anie.202519740</w:t>
        </w:r>
      </w:hyperlink>
    </w:p>
    <w:p>
      <w:pPr>
        <w:spacing w:before="0" w:after="120"/>
      </w:pPr>
      <w:r>
        <w:rPr>
          <w:b/>
        </w:rPr>
        <w:t xml:space="preserve">Notes: </w:t>
      </w:r>
      <w:r>
        <w:t>abstract_source=crossref</w:t>
      </w:r>
    </w:p>
    <w:p>
      <w:pPr>
        <w:spacing w:before="0" w:after="80" w:lineRule="auto" w:line="276"/>
      </w:pPr>
      <w:r>
        <w:rPr>
          <w:b/>
        </w:rPr>
        <w:t xml:space="preserve">摘要（ZH）: </w:t>
      </w:r>
      <w:r>
        <w:t>抽象单原子催化剂显示,在理论上,氧气减少反应(ORR)动力学效果优异,但动态适应能力有限,对多步质子相混合电子传输(PCET)构成巨大挑战。 我们在此提出一个“动态旋转工程”战略,用于合理设计具有不对称协调领域特征的三金属单原子催化剂(FeZnTMTACs)的合理设计(FeN 4 ZnN 3 TM 4),利用电子的协同效应和在异形金属场地之间空间功能脱钩,优化的FeznMTACs展示了极佳的OR(OR)性能(FN 4 ZnN 3 TM 4)。</w:t>
      </w:r>
    </w:p>
    <w:p>
      <w:pPr>
        <w:spacing w:before="0" w:after="200" w:lineRule="auto" w:line="276"/>
      </w:pPr>
      <w:r>
        <w:rPr>
          <w:b/>
        </w:rPr>
        <w:t xml:space="preserve">Abstract (EN): </w:t>
      </w:r>
      <w:r>
        <w:t>Single‐atom catalysts demonstrate theoretically superior oxygen reduction reaction (ORR) kinetics, the limited dynamic adaptability, however, poses a giant challenge to meet the multi‐step proton‐coupled electron transfer (PCET). Herein, we propose a “</w:t>
      </w:r>
      <w:r>
        <w:t xml:space="preserve"> </w:t>
      </w:r>
      <w:r>
        <w:t>Dynamic Spin Engineering</w:t>
      </w:r>
      <w:r>
        <w:t xml:space="preserve"> </w:t>
      </w:r>
      <w:r>
        <w:t>” strategy for the rational design of tri‐metallic single‐atom catalysts (FeZnTM‐TACs) featuring asymmetric coordination fields (FeN</w:t>
      </w:r>
      <w:r>
        <w:rPr>
          <w:vertAlign w:val="subscript"/>
        </w:rPr>
        <w:t>4</w:t>
      </w:r>
      <w:r>
        <w:t>ZnN</w:t>
      </w:r>
      <w:r>
        <w:rPr>
          <w:vertAlign w:val="subscript"/>
        </w:rPr>
        <w:t>3</w:t>
      </w:r>
      <w:r>
        <w:t>TMN</w:t>
      </w:r>
      <w:r>
        <w:rPr>
          <w:vertAlign w:val="subscript"/>
        </w:rPr>
        <w:t>4</w:t>
      </w:r>
      <w:r>
        <w:t>). Leveraging electron synergy and spatial functional decoupling among heterometallic sites, the optimized FeZnMn‐TACs exhibit exceptional ORR performance (</w:t>
      </w:r>
      <w:r>
        <w:t xml:space="preserve"> </w:t>
      </w:r>
      <w:r>
        <w:t>E</w:t>
      </w:r>
      <w:r>
        <w:t xml:space="preserve"> </w:t>
      </w:r>
      <w:r>
        <w:t>1/2</w:t>
      </w:r>
      <w:r>
        <w:t xml:space="preserve"> </w:t>
      </w:r>
      <w:r>
        <w:t>= 0.93 V versus RHE) and ultra‐long stability (Δ</w:t>
      </w:r>
      <w:r>
        <w:t xml:space="preserve"> </w:t>
      </w:r>
      <w:r>
        <w:t>E</w:t>
      </w:r>
      <w:r>
        <w:t xml:space="preserve"> </w:t>
      </w:r>
      <w:r>
        <w:t>1/2</w:t>
      </w:r>
      <w:r>
        <w:t xml:space="preserve"> </w:t>
      </w:r>
      <w:r>
        <w:t>= 24 mV after 90,000 cycles). Through operando X‐ray absorption fine structure and spin‐polarized density functional theory, we unveil the scalability of a ternary synergy encompassing dynamic reconstruction, charge compensation and spin‐state transition, clarifying the roles of electron donors at the ZnN</w:t>
      </w:r>
      <w:r>
        <w:rPr>
          <w:vertAlign w:val="subscript"/>
        </w:rPr>
        <w:t>3</w:t>
      </w:r>
      <w:r>
        <w:t>sites and proton supply at MnN</w:t>
      </w:r>
      <w:r>
        <w:rPr>
          <w:vertAlign w:val="subscript"/>
        </w:rPr>
        <w:t>4</w:t>
      </w:r>
      <w:r>
        <w:t>sites. Dynamic FeN</w:t>
      </w:r>
      <w:r>
        <w:t xml:space="preserve"> </w:t>
      </w:r>
      <w:r>
        <w:t>x</w:t>
      </w:r>
      <w:r>
        <w:t xml:space="preserve"> </w:t>
      </w:r>
      <w:r>
        <w:t>C</w:t>
      </w:r>
      <w:r>
        <w:t xml:space="preserve"> </w:t>
      </w:r>
      <w:r>
        <w:t>y</w:t>
      </w:r>
      <w:r>
        <w:t xml:space="preserve"> </w:t>
      </w:r>
      <w:r>
        <w:t>evolution triggers a spin‐state transition from medium spin (MS = 1.5) to low spin (LS = 1.0), accompanied by the</w:t>
      </w:r>
      <w:r>
        <w:t xml:space="preserve"> </w:t>
      </w:r>
      <w:r>
        <w:t>d</w:t>
      </w:r>
      <w:r>
        <w:t xml:space="preserve"> </w:t>
      </w:r>
      <w:r>
        <w:t>xz</w:t>
      </w:r>
      <w:r>
        <w:t xml:space="preserve"> </w:t>
      </w:r>
      <w:r>
        <w:t>/</w:t>
      </w:r>
      <w:r>
        <w:t xml:space="preserve"> </w:t>
      </w:r>
      <w:r>
        <w:t>d</w:t>
      </w:r>
      <w:r>
        <w:t xml:space="preserve"> </w:t>
      </w:r>
      <w:r>
        <w:t>yz</w:t>
      </w:r>
      <w:r>
        <w:t xml:space="preserve"> </w:t>
      </w:r>
      <w:r>
        <w:t>orbital occupancy degree from 50% to 100%. As a consequence, we synergize the dual optimization of *OOH formation and *OH desorption in PCET. Moreover, our work atomically deciphers the spin redistribution mechanism driven by dynamic reconstruction, establishing a new paradigm for designing self‐adaptive electrocatalysts that ultimately unify ultrahigh activity with operational stability.</w:t>
      </w:r>
    </w:p>
    <w:p>
      <w:pPr>
        <w:spacing w:before="120" w:after="120"/>
      </w:pPr>
      <w:r>
        <w:rPr>
          <w:sz w:val="18"/>
        </w:rPr>
        <w:t>——————————————————————————————————————————————————————————————————————</w:t>
      </w:r>
    </w:p>
    <w:p>
      <w:pPr>
        <w:spacing w:before="160" w:after="40" w:line="240" w:lineRule="auto"/>
      </w:pPr>
      <w:r>
        <w:rPr>
          <w:b/>
        </w:rPr>
        <w:t xml:space="preserve">[64] </w:t>
      </w:r>
      <w:hyperlink r:id="rId103">
        <w:r>
          <w:rPr>
            <w:color w:val="1155CC"/>
            <w:u w:val="single"/>
          </w:rPr>
          <w:t>朝向高人类环境中实用超长生命力电池:两极间工程协同战略</w:t>
        </w:r>
      </w:hyperlink>
    </w:p>
    <w:p>
      <w:pPr>
        <w:spacing w:before="0" w:after="80"/>
      </w:pPr>
      <w:r>
        <w:rPr>
          <w:i/>
          <w:sz w:val="20"/>
        </w:rPr>
        <w:t>EN: Toward Practical Ultralong‐Life Li‐Air Batteries in High‐Humidity Environments: A Synergistic Strategy for Dual‐Interfacial Engineering</w:t>
      </w:r>
    </w:p>
    <w:p>
      <w:pPr>
        <w:spacing w:before="0" w:after="120"/>
      </w:pPr>
      <w:r>
        <w:rPr>
          <w:b/>
        </w:rPr>
        <w:t xml:space="preserve">Source: </w:t>
      </w:r>
      <w:r>
        <w:t>Wiley: Angewandte Chemie International Edition: Table of Contents</w:t>
      </w:r>
      <w:r>
        <w:t xml:space="preserve">    </w:t>
      </w:r>
      <w:r>
        <w:rPr>
          <w:b/>
        </w:rPr>
        <w:t xml:space="preserve">Pub date: </w:t>
      </w:r>
      <w:r>
        <w:t>2026-01-17 06:38:10+00:00</w:t>
      </w:r>
      <w:r>
        <w:t xml:space="preserve">    </w:t>
      </w:r>
      <w:r>
        <w:rPr>
          <w:b/>
        </w:rPr>
        <w:t xml:space="preserve">DOI: </w:t>
      </w:r>
      <w:hyperlink r:id="rId104">
        <w:r>
          <w:rPr>
            <w:color w:val="1155CC"/>
            <w:u w:val="single"/>
          </w:rPr>
          <w:t>10.1002/anie.202523411</w:t>
        </w:r>
      </w:hyperlink>
    </w:p>
    <w:p>
      <w:pPr>
        <w:spacing w:before="0" w:after="120"/>
      </w:pPr>
      <w:r>
        <w:rPr>
          <w:b/>
        </w:rPr>
        <w:t xml:space="preserve">Notes: </w:t>
      </w:r>
      <w:r>
        <w:t>abstract_source=crossref</w:t>
      </w:r>
    </w:p>
    <w:p>
      <w:pPr>
        <w:spacing w:before="0" w:after="80" w:lineRule="auto" w:line="276"/>
      </w:pPr>
      <w:r>
        <w:rPr>
          <w:b/>
        </w:rPr>
        <w:t xml:space="preserve">摘要（ZH）: </w:t>
      </w:r>
      <w:r>
        <w:t>保持高湿润环境中的利-空气电池(LABs)运行稳定性的抽象摘要对于它们从实验室研究过渡到实际部署至关重要。在这里,我们提议了一项双界面工程协同战略,以在高湿湿度环境中超长寿命LABs为超长寿命LABs。在电解器中引入了基于碘的自我防御再氧化调解器-SnCl 4和1,8-diiodooctane(DIO)。在阴极方面,它使双向的OER/ORR催化高效,同时形成一个保护界面,抑制核分裂和水解攻击。在阳极方面,一个高度嗜血、抗腐素和可湿性保护层表在Liana上。</w:t>
      </w:r>
    </w:p>
    <w:p>
      <w:pPr>
        <w:spacing w:before="0" w:after="200" w:lineRule="auto" w:line="276"/>
      </w:pPr>
      <w:r>
        <w:rPr>
          <w:b/>
        </w:rPr>
        <w:t xml:space="preserve">Abstract (EN): </w:t>
      </w:r>
      <w:r>
        <w:t>Maintaining the operational stability of Li–air batteries (LABs) in high‐humidity environments is crucial for their transition from laboratory research to practical deployment. Herein, we propose a synergistic strategy for dual‐interfacial engineering toward ultralong‐life LABs in high‐humidity environments. An iodine‐based self‐defense redox mediator—SnCl</w:t>
      </w:r>
      <w:r>
        <w:rPr>
          <w:vertAlign w:val="subscript"/>
        </w:rPr>
        <w:t>4</w:t>
      </w:r>
      <w:r>
        <w:t>and 1,8‐diiodooctane (DIO) is introduced into the electrolyte. On the cathode side, it enabled efficient bidirectional OER/ORR catalysis while forming a protective interface that suppressed both nucleophilic and hydrolytic attack. On the anode side, a highly lithiophilic, corrosion‐resistant, and moisture‐tolerant protective layer forms on the Li anode, which ensures stable battery operation under extremely humid conditions. The results show that the Li─O</w:t>
      </w:r>
      <w:r>
        <w:rPr>
          <w:vertAlign w:val="subscript"/>
        </w:rPr>
        <w:t>2</w:t>
      </w:r>
      <w:r>
        <w:t>battery achieved more than 2400 cycles (nearly 3000 h) at 1000 mA g</w:t>
      </w:r>
      <w:r>
        <w:t xml:space="preserve"> </w:t>
      </w:r>
      <w:r>
        <w:t>−1</w:t>
      </w:r>
      <w:r>
        <w:t xml:space="preserve"> </w:t>
      </w:r>
      <w:r>
        <w:t>and an extremely low charge potential (&amp;lt;3.5 V), coupled with a high discharge capacity of 111879 mAh g</w:t>
      </w:r>
      <w:r>
        <w:t xml:space="preserve"> </w:t>
      </w:r>
      <w:r>
        <w:t>−1</w:t>
      </w:r>
      <w:r>
        <w:t xml:space="preserve"> </w:t>
      </w:r>
      <w:r>
        <w:t>. Notably, the SnCl</w:t>
      </w:r>
      <w:r>
        <w:rPr>
          <w:vertAlign w:val="subscript"/>
        </w:rPr>
        <w:t>4</w:t>
      </w:r>
      <w:r>
        <w:t>/DIO‐based LABs reached more than 1800 cycles (&amp;gt;2160 h) even in atmospheric air without humidity control. This work significantly overcomes the strict humidity limits of traditional LABs and provides an innovative strategy for developing LABs capable of operating in high‐humidity environments.</w:t>
      </w:r>
    </w:p>
    <w:p>
      <w:pPr>
        <w:spacing w:before="120" w:after="120"/>
      </w:pPr>
      <w:r>
        <w:rPr>
          <w:sz w:val="18"/>
        </w:rPr>
        <w:t>——————————————————————————————————————————————————————————————————————</w:t>
      </w:r>
    </w:p>
    <w:p>
      <w:pPr>
        <w:spacing w:before="160" w:after="40" w:line="240" w:lineRule="auto"/>
      </w:pPr>
      <w:r>
        <w:rPr>
          <w:b/>
        </w:rPr>
        <w:t xml:space="preserve">[65] </w:t>
      </w:r>
      <w:hyperlink r:id="rId105">
        <w:r>
          <w:rPr>
            <w:color w:val="1155CC"/>
            <w:u w:val="single"/>
          </w:rPr>
          <w:t>利用DNAOrigami Rubbing进行膜蛋白相互作用空间绘图</w:t>
        </w:r>
      </w:hyperlink>
    </w:p>
    <w:p>
      <w:pPr>
        <w:spacing w:before="0" w:after="80"/>
      </w:pPr>
      <w:r>
        <w:rPr>
          <w:i/>
          <w:sz w:val="20"/>
        </w:rPr>
        <w:t>EN: Spatial Mapping of Membrane Protein Interactions Using a DNA Origami Rubbing</w:t>
      </w:r>
    </w:p>
    <w:p>
      <w:pPr>
        <w:spacing w:before="0" w:after="120"/>
      </w:pPr>
      <w:r>
        <w:rPr>
          <w:b/>
        </w:rPr>
        <w:t xml:space="preserve">Source: </w:t>
      </w:r>
      <w:r>
        <w:t>Wiley: Angewandte Chemie International Edition: Table of Contents</w:t>
      </w:r>
      <w:r>
        <w:t xml:space="preserve">    </w:t>
      </w:r>
      <w:r>
        <w:rPr>
          <w:b/>
        </w:rPr>
        <w:t xml:space="preserve">Pub date: </w:t>
      </w:r>
      <w:r>
        <w:t>2026-01-17 06:39:10+00:00</w:t>
      </w:r>
      <w:r>
        <w:t xml:space="preserve">    </w:t>
      </w:r>
      <w:r>
        <w:rPr>
          <w:b/>
        </w:rPr>
        <w:t xml:space="preserve">DOI: </w:t>
      </w:r>
      <w:hyperlink r:id="rId106">
        <w:r>
          <w:rPr>
            <w:color w:val="1155CC"/>
            <w:u w:val="single"/>
          </w:rPr>
          <w:t>10.1002/anie.202513795</w:t>
        </w:r>
      </w:hyperlink>
    </w:p>
    <w:p>
      <w:pPr>
        <w:spacing w:before="0" w:after="120"/>
      </w:pPr>
      <w:r>
        <w:rPr>
          <w:b/>
        </w:rPr>
        <w:t xml:space="preserve">Notes: </w:t>
      </w:r>
      <w:r>
        <w:t>abstract_source=crossref</w:t>
      </w:r>
    </w:p>
    <w:p>
      <w:pPr>
        <w:spacing w:before="0" w:after="80" w:lineRule="auto" w:line="276"/>
      </w:pPr>
      <w:r>
        <w:rPr>
          <w:b/>
        </w:rPr>
        <w:t xml:space="preserve">摘要（ZH）: </w:t>
      </w:r>
      <w:r>
        <w:t>光膜蛋白蛋白蛋白蛋白的蛋白-蛋白相互作用(PPIs)抽象蒸发的蛋白质-蛋白相互作用(PPIs)与结构重建一样具有挑战性,主要是因为薄膜蛋白的分子结构和相关PPPI高度依赖其所在位置的生物膜。 DNA折合神神灵提供了一个用纳米精度来操纵分子的平台。 在这里,我们用平方式的DNA折合神神神灵(DNA或神神神神灵)来绘制薄膜蛋白在原地的两维分布图。 通过人工模型和细胞研究,我们把DNA或神神灵摩擦条码记录的效率与相邻蛋白之间的距离联系起来,我们发现通过DNA或神神灵摩擦绘制的相邻蛋白的频率与该结果相关。</w:t>
      </w:r>
    </w:p>
    <w:p>
      <w:pPr>
        <w:spacing w:before="0" w:after="200" w:lineRule="auto" w:line="276"/>
      </w:pPr>
      <w:r>
        <w:rPr>
          <w:b/>
        </w:rPr>
        <w:t xml:space="preserve">Abstract (EN): </w:t>
      </w:r>
      <w:r>
        <w:t>Revealing the protein–protein interactions (PPIs) of membrane proteins is as challenging as their structural reconstruction, primarily because the molecular structures and related PPIs of membrane proteins are highly dependent on the bio‐membrane where they are situated. DNA origami offers a platform for manipulating molecules with nanoscale precision. Herein, we used a square‐like DNA origami, refer to as DNA origami rubbing, to map the two‐dimensional distribution of membrane proteins in situ. Through artificial models and cell studies, we correlated the efficiency of barcode recording of DNA origami rubbings with the distance between adjacent proteins, and we observed that the frequency of adjacent proteins mapped by DNA origami rubbings was correlated to the abundance of the bait protein. We demonstrated that the DNA origami rubbing was able to reflect the distribution change of adjacent proteins caused by adding the ligand of bait protein. Our results suggested that the DNA origami rubbing can serve as a powerful tool in the field of protein interactomics.</w:t>
      </w:r>
    </w:p>
    <w:p>
      <w:pPr>
        <w:spacing w:before="120" w:after="120"/>
      </w:pPr>
      <w:r>
        <w:rPr>
          <w:sz w:val="18"/>
        </w:rPr>
        <w:t>——————————————————————————————————————————————————————————————————————</w:t>
      </w:r>
    </w:p>
    <w:p>
      <w:pPr>
        <w:spacing w:before="160" w:after="40" w:line="240" w:lineRule="auto"/>
      </w:pPr>
      <w:r>
        <w:rPr>
          <w:b/>
        </w:rPr>
        <w:t xml:space="preserve">[66] </w:t>
      </w:r>
      <w:hyperlink r:id="rId107">
        <w:r>
          <w:rPr>
            <w:color w:val="1155CC"/>
            <w:u w:val="single"/>
          </w:rPr>
          <w:t>高性能 sodium ion 电池的溶溶溶性消减器间隙溶解溶解溶解溶解的溶性活化</w:t>
        </w:r>
      </w:hyperlink>
    </w:p>
    <w:p>
      <w:pPr>
        <w:spacing w:before="0" w:after="80"/>
      </w:pPr>
      <w:r>
        <w:rPr>
          <w:i/>
          <w:sz w:val="20"/>
        </w:rPr>
        <w:t>EN: Solubility Activation of Recessive Solvent Mitigates Interphase Dissolution for High‐Performance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2026-01-17 06:44:25+00:00</w:t>
      </w:r>
      <w:r>
        <w:t xml:space="preserve">    </w:t>
      </w:r>
      <w:r>
        <w:rPr>
          <w:b/>
        </w:rPr>
        <w:t xml:space="preserve">DOI: </w:t>
      </w:r>
      <w:hyperlink r:id="rId108">
        <w:r>
          <w:rPr>
            <w:color w:val="1155CC"/>
            <w:u w:val="single"/>
          </w:rPr>
          <w:t>10.1002/anie.202524808</w:t>
        </w:r>
      </w:hyperlink>
    </w:p>
    <w:p>
      <w:pPr>
        <w:spacing w:before="0" w:after="120"/>
      </w:pPr>
      <w:r>
        <w:rPr>
          <w:b/>
        </w:rPr>
        <w:t xml:space="preserve">Notes: </w:t>
      </w:r>
      <w:r>
        <w:t>abstract_source=crossref</w:t>
      </w:r>
    </w:p>
    <w:p>
      <w:pPr>
        <w:spacing w:before="0" w:after="80" w:lineRule="auto" w:line="276"/>
      </w:pPr>
      <w:r>
        <w:rPr>
          <w:b/>
        </w:rPr>
        <w:t xml:space="preserve">摘要（ZH）: </w:t>
      </w:r>
      <w:r>
        <w:t>在钠电解电池(NIBs)电解分解和气体进化中,抽象固态电解相相(SEI)溶解(SEI)触发电解分解和气体进化,导致能力衰减和安全问题。降低电解解解的溶解力会减轻SEI的溶解作用,但会降低电解导性。在这里,我们报告了一个休眠溶剂活化战略,光是休眠溶溶剂1,2,2-宇宙氧3,3,3,3-三-三-三氟丙丙烷(TFPO)就能轻度溶解电解(WSE),其溶解度就远低于典型的散发性溶剂二乙基乙醚(DEE),通过利用DEE-TTPO系统的金枪鱼溶解行为,我们设计了一个含有24 vol% DEE的微软溶解电解解剂(WSE),远低于典型的散发物碎片。</w:t>
      </w:r>
    </w:p>
    <w:p>
      <w:pPr>
        <w:spacing w:before="0" w:after="200" w:lineRule="auto" w:line="276"/>
      </w:pPr>
      <w:r>
        <w:rPr>
          <w:b/>
        </w:rPr>
        <w:t xml:space="preserve">Abstract (EN): </w:t>
      </w:r>
      <w:r>
        <w:t>Solid electrolyte interphase (SEI) dissolution in sodium‐ion batteries (NIBs) triggers electrolyte decomposition and gas evolution, resulting in capacity decay and safety issues. Lowering the solvation power of electrolyte mitigates SEI dissolution but decreases ionic conductivity. Here, we report a recessive solvent activation strategy, where the recessive solvent 1,2‐epoxy‐3,3,3‐trifluoropropane (TFPO) alone dissolves NaFSI only sparingly, but its solubility is greatly enhanced by the addition of an activating solvent, diethylene glycol diethyl ether (DEE). By harnessing the tunable solvation behavior of the DEE–TFPO system, we designed a weakly solvating electrolyte (WSE) containing 24 vol% DEE, far below the bulk‐solvent fractions typical of WSEs, and a high anion‐to‐DEE ratio. This low DEE content mitigates solvent‐induced SEI dissolution, while the high anion‐to‐DEE ratio promotes anion‐dominated solvation structure, forming a robust inorganic‐rich SEI. These effects preserve high ionic conductivity while overcome the challenge of SEI dissolution. The optimized electrolyte enabled hard carbon || NaMn</w:t>
      </w:r>
      <w:r>
        <w:t xml:space="preserve"> </w:t>
      </w:r>
      <w:r>
        <w:t>0.33</w:t>
      </w:r>
      <w:r>
        <w:t xml:space="preserve"> </w:t>
      </w:r>
      <w:r>
        <w:t>Fe</w:t>
      </w:r>
      <w:r>
        <w:t xml:space="preserve"> </w:t>
      </w:r>
      <w:r>
        <w:t>0.33</w:t>
      </w:r>
      <w:r>
        <w:t xml:space="preserve"> </w:t>
      </w:r>
      <w:r>
        <w:t>Ni</w:t>
      </w:r>
      <w:r>
        <w:t xml:space="preserve"> </w:t>
      </w:r>
      <w:r>
        <w:t>0.33</w:t>
      </w:r>
      <w:r>
        <w:t xml:space="preserve"> </w:t>
      </w:r>
      <w:r>
        <w:t>O</w:t>
      </w:r>
      <w:r>
        <w:rPr>
          <w:vertAlign w:val="subscript"/>
        </w:rPr>
        <w:t>2</w:t>
      </w:r>
      <w:r>
        <w:t>full cells to retain 80.0% capacity after 500 cycles and 99.5% capacity in 1.0 Ah pouch cells after 230 cycles with suppressed gas release.</w:t>
      </w:r>
    </w:p>
    <w:p>
      <w:pPr>
        <w:spacing w:before="120" w:after="120"/>
      </w:pPr>
      <w:r>
        <w:rPr>
          <w:sz w:val="18"/>
        </w:rPr>
        <w:t>——————————————————————————————————————————————————————————————————————</w:t>
      </w:r>
    </w:p>
    <w:p>
      <w:pPr>
        <w:spacing w:before="160" w:after="40" w:line="240" w:lineRule="auto"/>
      </w:pPr>
      <w:r>
        <w:rPr>
          <w:b/>
        </w:rPr>
        <w:t xml:space="preserve">[67] </w:t>
      </w:r>
      <w:hyperlink r:id="rId109">
        <w:r>
          <w:rPr>
            <w:color w:val="1155CC"/>
            <w:u w:val="single"/>
          </w:rPr>
          <w:t>[ASAP] 疏水金属 - 有机框架通过几何设计使高压氨储存得以实现</w:t>
        </w:r>
      </w:hyperlink>
    </w:p>
    <w:p>
      <w:pPr>
        <w:spacing w:before="0" w:after="80"/>
      </w:pPr>
      <w:r>
        <w:rPr>
          <w:i/>
          <w:sz w:val="20"/>
        </w:rPr>
        <w:t>EN: [ASAP] Hydrophobic Metal–Organic Frameworks Enable Superior High-Pressure Ammonia Storage through Geometric Design</w:t>
      </w:r>
    </w:p>
    <w:p>
      <w:pPr>
        <w:spacing w:before="0" w:after="120"/>
      </w:pPr>
      <w:r>
        <w:rPr>
          <w:b/>
        </w:rPr>
        <w:t xml:space="preserve">Source: </w:t>
      </w:r>
      <w:r>
        <w:t>Journal of the American Chemical Society: Latest Articles (ACS Publications)</w:t>
      </w:r>
      <w:r>
        <w:t xml:space="preserve">    </w:t>
      </w:r>
      <w:r>
        <w:rPr>
          <w:b/>
        </w:rPr>
        <w:t xml:space="preserve">Pub date: </w:t>
      </w:r>
      <w:r>
        <w:t>2026-01-17 14:00:22+00:00</w:t>
      </w:r>
      <w:r>
        <w:t xml:space="preserve">    </w:t>
      </w:r>
      <w:r>
        <w:rPr>
          <w:b/>
        </w:rPr>
        <w:t xml:space="preserve">DOI: </w:t>
      </w:r>
      <w:hyperlink r:id="rId110">
        <w:r>
          <w:rPr>
            <w:color w:val="1155CC"/>
            <w:u w:val="single"/>
          </w:rPr>
          <w:t>10.1021/jacs.5c18786</w:t>
        </w:r>
      </w:hyperlink>
    </w:p>
    <w:p>
      <w:pPr>
        <w:spacing w:before="0" w:after="120"/>
      </w:pPr>
      <w:r>
        <w:rPr>
          <w:b/>
        </w:rPr>
        <w:t xml:space="preserve">Notes: </w:t>
      </w:r>
      <w:r>
        <w:t>abstract_source=pubmed</w:t>
      </w:r>
    </w:p>
    <w:p>
      <w:pPr>
        <w:spacing w:before="0" w:after="80" w:lineRule="auto" w:line="276"/>
      </w:pPr>
      <w:r>
        <w:rPr>
          <w:b/>
        </w:rPr>
        <w:t xml:space="preserve">摘要（ZH）: </w:t>
      </w:r>
      <w:r>
        <w:t>由于宿主-宿主-宿主-宿主-访客互动关系薄弱,氨储中通常忽略了疏水性金属-有机框架(MOFs),因为氨储中由于宿主-宿主-宿主-访客互动关系薄弱而忽略了疏水性金属-机体框架(MOFs)。在这里,我们证明四个结构上类似铝基模组织展示了一种反直觉行为,即框架几何学,而不是离离子体和水体-水体-慈善性,决定了高压NH3吸附性性性性能。尽管对水体-水体-CAU-23的吸收程度低,但实现了与水体-水体-水体-水体-水体类相似的特殊能力匹配。这种依赖压力的增强是由于CAU-23与MIL-160和KMF-1的纯轴安排和MOF-303的交替性轴-转配置相比,CAU-23在三个高压循环中保留了95%的能力,而水体-水体-水体-水体-水体-水体-水体-水体-水体-水</w:t>
      </w:r>
    </w:p>
    <w:p>
      <w:pPr>
        <w:spacing w:before="0" w:after="200" w:lineRule="auto" w:line="276"/>
      </w:pPr>
      <w:r>
        <w:rPr>
          <w:b/>
        </w:rPr>
        <w:t xml:space="preserve">Abstract (EN): </w:t>
      </w:r>
      <w:r>
        <w:t>Hydrophobic metal-organic frameworks (MOFs) are typically overlooked for ammonia storage due to weak host-guest interactions. Here, we demonstrate that four structurally analogous aluminum-based MOFs exhibit a counterintuitive behavior whereby framework geometry, rather than ligand hydrophilicity, determines high-pressure NH3 adsorption performance. The hydrophobic CAU-23 achieved an exceptional capacity matching hydrophilic analogs despite its poor low-pressure uptake. This pressure-dependent enhancement stems from the unique 4-cis-4-trans geometry of CAU-23 compared to the purely cis arrangement of MIL-160 and KMF-1 and the alternating cis-trans configuration of MOF-303. Critically, CAU-23 retained 95% capacity over three high-pressure cycles, whereas hydrophilic MOFs suffered 39-46% irreversible losses due to strong NH3-framework interactions that compromise structural integrity. Grand canonical Monte Carlo simulations reveal that high pressure enables NH3 clustering through intermolecular hydrogen bonding, bypassing the need for strong host-guest interactions. High-pressure powder X-ray diffraction measurements confirm the exceptional mechanical resilience of CAU-23, showing complete structural recovery upon decompression despite exhibiting the highest pressure sensitivity among the studied MOFs. An extended analog, HE-CAU-23, validates this design principle with further enhanced capacity. These findings reveal a paradigm shift toward hydrophobic MOFs with optimized geometry for high-performance and regenerable gas storage applications.</w:t>
      </w:r>
    </w:p>
    <w:p>
      <w:pPr>
        <w:spacing w:before="120" w:after="120"/>
      </w:pPr>
      <w:r>
        <w:rPr>
          <w:sz w:val="18"/>
        </w:rPr>
        <w:t>——————————————————————————————————————————————————————————————————————</w:t>
      </w:r>
    </w:p>
    <w:p>
      <w:pPr>
        <w:spacing w:before="160" w:after="40" w:line="240" w:lineRule="auto"/>
      </w:pPr>
      <w:r>
        <w:rPr>
          <w:b/>
        </w:rPr>
        <w:t xml:space="preserve">[68] </w:t>
      </w:r>
      <w:hyperlink r:id="rId111">
        <w:r>
          <w:rPr>
            <w:color w:val="1155CC"/>
            <w:u w:val="single"/>
          </w:rPr>
          <w:t>用于预测空气源热泵瞬时性能的减少订购量模型</w:t>
        </w:r>
      </w:hyperlink>
    </w:p>
    <w:p>
      <w:pPr>
        <w:spacing w:before="0" w:after="80"/>
      </w:pPr>
      <w:r>
        <w:rPr>
          <w:i/>
          <w:sz w:val="20"/>
        </w:rPr>
        <w:t>EN: A reduced-order model for predicting transient performance of air-source heat pumps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112">
        <w:r>
          <w:rPr>
            <w:color w:val="1155CC"/>
            <w:u w:val="single"/>
          </w:rPr>
          <w:t>以用于锂离电池健康估计的显微成像技术为基础的电德微结构驱动的多规模多级特征聚变框架</w:t>
        </w:r>
      </w:hyperlink>
    </w:p>
    <w:p>
      <w:pPr>
        <w:spacing w:before="0" w:after="80"/>
      </w:pPr>
      <w:r>
        <w:rPr>
          <w:i/>
          <w:sz w:val="20"/>
        </w:rPr>
        <w:t>EN: Electrode microstructure-driven multi-scale feature fusion framework based on microscopic imaging technique for health estimate of lithium-ion batteries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113">
        <w:r>
          <w:rPr>
            <w:color w:val="1155CC"/>
            <w:u w:val="single"/>
          </w:rPr>
          <w:t>在小型抽样和数据不平衡条件下对港口光伏发电阵列的错误诊断</w:t>
        </w:r>
      </w:hyperlink>
    </w:p>
    <w:p>
      <w:pPr>
        <w:spacing w:before="0" w:after="80"/>
      </w:pPr>
      <w:r>
        <w:rPr>
          <w:i/>
          <w:sz w:val="20"/>
        </w:rPr>
        <w:t>EN: Fault diagnosis of photovoltaic arrays at ports under small-sample and imbalanced data conditions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114">
        <w:r>
          <w:rPr>
            <w:color w:val="1155CC"/>
            <w:u w:val="single"/>
          </w:rPr>
          <w:t>由冷冻-解冻、凝固和交叉连接战略促成的强大、坚固和动态可逆水凝胶</w:t>
        </w:r>
      </w:hyperlink>
    </w:p>
    <w:p>
      <w:pPr>
        <w:spacing w:before="0" w:after="80"/>
      </w:pPr>
      <w:r>
        <w:rPr>
          <w:i/>
          <w:sz w:val="20"/>
        </w:rPr>
        <w:t>EN: Strong, tough, and dynamically reversible hydrogels enabled by a freeze–thawing, densification, and crosslinking strategy</w:t>
      </w:r>
    </w:p>
    <w:p>
      <w:pPr>
        <w:spacing w:before="0" w:after="120"/>
      </w:pPr>
      <w:r>
        <w:rPr>
          <w:b/>
        </w:rPr>
        <w:t xml:space="preserve">Source: </w:t>
      </w:r>
      <w:r>
        <w:t>ScienceDirect Publication: Materials Today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115">
        <w:r>
          <w:rPr>
            <w:color w:val="1155CC"/>
            <w:u w:val="single"/>
          </w:rPr>
          <w:t>愿景变压器模型所揭示的关于太阳能部署趋势和空间不平等的全国家洞见</w:t>
        </w:r>
      </w:hyperlink>
    </w:p>
    <w:p>
      <w:pPr>
        <w:spacing w:before="0" w:after="80"/>
      </w:pPr>
      <w:r>
        <w:rPr>
          <w:i/>
          <w:sz w:val="20"/>
        </w:rPr>
        <w:t>EN: Nationwide insights on solar deployment trends and spatial inequalities revealed by vision transformer models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116">
        <w:r>
          <w:rPr>
            <w:color w:val="1155CC"/>
            <w:u w:val="single"/>
          </w:rPr>
          <w:t>将注重决策的学习与数据驱动的能源管理稳健优化相结合</w:t>
        </w:r>
      </w:hyperlink>
    </w:p>
    <w:p>
      <w:pPr>
        <w:spacing w:before="0" w:after="80"/>
      </w:pPr>
      <w:r>
        <w:rPr>
          <w:i/>
          <w:sz w:val="20"/>
        </w:rPr>
        <w:t>EN: Decision-focused learning integrated with data-driven robust optimization for energy management</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117">
        <w:r>
          <w:rPr>
            <w:color w:val="1155CC"/>
            <w:u w:val="single"/>
          </w:rPr>
          <w:t>使用以温度为基础的机器学习模型预测西班牙南部的太阳峰值时数,直到2100年</w:t>
        </w:r>
      </w:hyperlink>
    </w:p>
    <w:p>
      <w:pPr>
        <w:spacing w:before="0" w:after="80"/>
      </w:pPr>
      <w:r>
        <w:rPr>
          <w:i/>
          <w:sz w:val="20"/>
        </w:rPr>
        <w:t>EN: Projecting solar peak hours in southern Spain using temperature-based machine learning models until 2100</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118">
        <w:r>
          <w:rPr>
            <w:color w:val="1155CC"/>
            <w:u w:val="single"/>
          </w:rPr>
          <w:t>利用数据驱动情景生成,代表不确定因素,对数据中心进行双级规划,并配用电热计算系统,同时使用数据驱动情景生成,以体现不确定因素</w:t>
        </w:r>
      </w:hyperlink>
    </w:p>
    <w:p>
      <w:pPr>
        <w:spacing w:before="0" w:after="80"/>
      </w:pPr>
      <w:r>
        <w:rPr>
          <w:i/>
          <w:sz w:val="20"/>
        </w:rPr>
        <w:t>EN: Bi-level planning of data centers with coupled electricity-heat-computation system using data-driven scenario generation for representing uncertainties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 </w:t>
      </w:r>
      <w:hyperlink r:id="rId119">
        <w:r>
          <w:rPr>
            <w:color w:val="1155CC"/>
            <w:u w:val="single"/>
          </w:rPr>
          <w:t>绿色电力贸易的市场化和新能源企业的投资决定</w:t>
        </w:r>
      </w:hyperlink>
    </w:p>
    <w:p>
      <w:pPr>
        <w:spacing w:before="0" w:after="80"/>
      </w:pPr>
      <w:r>
        <w:rPr>
          <w:i/>
          <w:sz w:val="20"/>
        </w:rPr>
        <w:t>EN: The marketization of green electricity trading and investment decisions of new energy enterprises</w:t>
      </w:r>
    </w:p>
    <w:p>
      <w:pPr>
        <w:spacing w:before="0" w:after="120"/>
      </w:pPr>
      <w:r>
        <w:rPr>
          <w:b/>
        </w:rPr>
        <w:t xml:space="preserve">Source: </w:t>
      </w:r>
      <w:r>
        <w:t>ScienceDirect Publication: Energy Policy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120">
        <w:r>
          <w:rPr>
            <w:color w:val="1155CC"/>
            <w:u w:val="single"/>
          </w:rPr>
          <w:t>对水电解器剩余使用寿命预测的严格审查:从降解机制到预测模型</w:t>
        </w:r>
      </w:hyperlink>
    </w:p>
    <w:p>
      <w:pPr>
        <w:spacing w:before="0" w:after="80"/>
      </w:pPr>
      <w:r>
        <w:rPr>
          <w:i/>
          <w:sz w:val="20"/>
        </w:rPr>
        <w:t>EN: A critical review of remaining useful life prediction for water Electrolyzers: From degradation mechanisms to prognostic models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121">
        <w:r>
          <w:rPr>
            <w:color w:val="1155CC"/>
            <w:u w:val="single"/>
          </w:rPr>
          <w:t>对深海风力涡轮机进行最先进的审查:安装、成本、不稳定、流动引起的振动、故障、维修和电费</w:t>
        </w:r>
      </w:hyperlink>
    </w:p>
    <w:p>
      <w:pPr>
        <w:spacing w:before="0" w:after="80"/>
      </w:pPr>
      <w:r>
        <w:rPr>
          <w:i/>
          <w:sz w:val="20"/>
        </w:rPr>
        <w:t>EN: State-of-the-art review of deep-sea wind turbine: installation, cost, instability, flow-induced oscillation, failure, maintenance, and power cost</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122">
        <w:r>
          <w:rPr>
            <w:color w:val="1155CC"/>
            <w:u w:val="single"/>
          </w:rPr>
          <w:t>工业机器人的绿色和棕色两面:创新、AI驱动专利、能源政策干预和排放动态</w:t>
        </w:r>
      </w:hyperlink>
    </w:p>
    <w:p>
      <w:pPr>
        <w:spacing w:before="0" w:after="80"/>
      </w:pPr>
      <w:r>
        <w:rPr>
          <w:i/>
          <w:sz w:val="20"/>
        </w:rPr>
        <w:t>EN: The green and brown sides of industrial robots: Innovations, AI-Driven patents, energy policy interventions, and emissions dynamics</w:t>
      </w:r>
    </w:p>
    <w:p>
      <w:pPr>
        <w:spacing w:before="0" w:after="120"/>
      </w:pPr>
      <w:r>
        <w:rPr>
          <w:b/>
        </w:rPr>
        <w:t xml:space="preserve">Source: </w:t>
      </w:r>
      <w:r>
        <w:t>ScienceDirect Publication: Energy Policy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123">
        <w:r>
          <w:rPr>
            <w:color w:val="1155CC"/>
            <w:u w:val="single"/>
          </w:rPr>
          <w:t>在网络化微电磁网的能源管理中进行不确定性处理的精利多试多剂深强化学习</w:t>
        </w:r>
      </w:hyperlink>
    </w:p>
    <w:p>
      <w:pPr>
        <w:spacing w:before="0" w:after="80"/>
      </w:pPr>
      <w:r>
        <w:rPr>
          <w:i/>
          <w:sz w:val="20"/>
        </w:rPr>
        <w:t>EN: Lean multi-agent deep reinforcement learning for uncertainty handling in the energy management of networked microgrids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124">
        <w:r>
          <w:rPr>
            <w:color w:val="1155CC"/>
            <w:u w:val="single"/>
          </w:rPr>
          <w:t>以多边基金衍生的金属过渡性硫化物金属硫化物为基础的超电容器电极材料的最近进展</w:t>
        </w:r>
      </w:hyperlink>
    </w:p>
    <w:p>
      <w:pPr>
        <w:spacing w:before="0" w:after="80"/>
      </w:pPr>
      <w:r>
        <w:rPr>
          <w:i/>
          <w:sz w:val="20"/>
        </w:rPr>
        <w:t>EN: Recent advances in supercapacitor electrode materials based on MOF-derived transition metal sulfides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[82] </w:t>
      </w:r>
      <w:hyperlink r:id="rId125">
        <w:r>
          <w:rPr>
            <w:color w:val="1155CC"/>
            <w:u w:val="single"/>
          </w:rPr>
          <w:t>一种考虑到风水混合动力系统实时运行特点和战略的新颖的日头竞标方法</w:t>
        </w:r>
      </w:hyperlink>
    </w:p>
    <w:p>
      <w:pPr>
        <w:spacing w:before="0" w:after="80"/>
      </w:pPr>
      <w:r>
        <w:rPr>
          <w:i/>
          <w:sz w:val="20"/>
        </w:rPr>
        <w:t>EN: A novel day-ahead bidding method considering real-time operational characteristic and strategy for wind-hydro hybrid power systems</w:t>
      </w:r>
    </w:p>
    <w:p>
      <w:pPr>
        <w:spacing w:before="0" w:after="120"/>
      </w:pPr>
      <w:r>
        <w:rPr>
          <w:b/>
        </w:rPr>
        <w:t xml:space="preserve">Source: </w:t>
      </w:r>
      <w:r>
        <w:t>ScienceDirect Publication: Applied Energy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[83] </w:t>
      </w:r>
      <w:hyperlink r:id="rId126">
        <w:r>
          <w:rPr>
            <w:color w:val="1155CC"/>
            <w:u w:val="single"/>
          </w:rPr>
          <w:t>能源投资和包容性增长方面的公私伙伴关系</w:t>
        </w:r>
      </w:hyperlink>
    </w:p>
    <w:p>
      <w:pPr>
        <w:spacing w:before="0" w:after="80"/>
      </w:pPr>
      <w:r>
        <w:rPr>
          <w:i/>
          <w:sz w:val="20"/>
        </w:rPr>
        <w:t>EN: Public-private partnership in energy investment and inclusive growth</w:t>
      </w:r>
    </w:p>
    <w:p>
      <w:pPr>
        <w:spacing w:before="0" w:after="120"/>
      </w:pPr>
      <w:r>
        <w:rPr>
          <w:b/>
        </w:rPr>
        <w:t xml:space="preserve">Source: </w:t>
      </w:r>
      <w:r>
        <w:t>ScienceDirect Publication: Energy Policy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[84] </w:t>
      </w:r>
      <w:hyperlink r:id="rId127">
        <w:r>
          <w:rPr>
            <w:color w:val="1155CC"/>
            <w:u w:val="single"/>
          </w:rPr>
          <w:t>地缘政治分裂和能源过渡不平等:气候政策的不确定性、制裁以及石油和天然气部门</w:t>
        </w:r>
      </w:hyperlink>
    </w:p>
    <w:p>
      <w:pPr>
        <w:spacing w:before="0" w:after="80"/>
      </w:pPr>
      <w:r>
        <w:rPr>
          <w:i/>
          <w:sz w:val="20"/>
        </w:rPr>
        <w:t>EN: Geopolitical fragmentation and energy transition inequalities: Climate policy uncertainty, sanctions, and the oil and gas sector</w:t>
      </w:r>
    </w:p>
    <w:p>
      <w:pPr>
        <w:spacing w:before="0" w:after="120"/>
      </w:pPr>
      <w:r>
        <w:rPr>
          <w:b/>
        </w:rPr>
        <w:t xml:space="preserve">Source: </w:t>
      </w:r>
      <w:r>
        <w:t>ScienceDirect Publication: Energy Policy</w:t>
      </w:r>
      <w:r>
        <w:t xml:space="preserve">    </w:t>
      </w:r>
      <w:r>
        <w:rPr>
          <w:b/>
        </w:rPr>
        <w:t xml:space="preserve">Pub date: </w:t>
      </w:r>
      <w:r>
        <w:t>2026-01-18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[85] </w:t>
      </w:r>
      <w:hyperlink r:id="rId128">
        <w:r>
          <w:rPr>
            <w:color w:val="1155CC"/>
            <w:u w:val="single"/>
          </w:rPr>
          <w:t>[ASAP] 在Pt3Co 用于耐久燃料电池的中间金属催化剂中,由Lanthanum 诱导的准共保和化学潜力连接</w:t>
        </w:r>
      </w:hyperlink>
    </w:p>
    <w:p>
      <w:pPr>
        <w:spacing w:before="0" w:after="80"/>
      </w:pPr>
      <w:r>
        <w:rPr>
          <w:i/>
          <w:sz w:val="20"/>
        </w:rPr>
        <w:t>EN: [ASAP] Lanthanum-Induced Quasi-Covalent Bonding and Chemical Potential Bridging in Pt3Co Intermetallic Catalysts for Durable Fuel Cells</w:t>
      </w:r>
    </w:p>
    <w:p>
      <w:pPr>
        <w:spacing w:before="0" w:after="120"/>
      </w:pPr>
      <w:r>
        <w:rPr>
          <w:b/>
        </w:rPr>
        <w:t xml:space="preserve">Source: </w:t>
      </w:r>
      <w:r>
        <w:t>Journal of the American Chemical Society: Latest Articles (ACS Publications)</w:t>
      </w:r>
      <w:r>
        <w:t xml:space="preserve">    </w:t>
      </w:r>
      <w:r>
        <w:rPr>
          <w:b/>
        </w:rPr>
        <w:t xml:space="preserve">Pub date: </w:t>
      </w:r>
      <w:r>
        <w:t>2026-01-18 18:06:01+00:00</w:t>
      </w:r>
      <w:r>
        <w:t xml:space="preserve">    </w:t>
      </w:r>
      <w:r>
        <w:rPr>
          <w:b/>
        </w:rPr>
        <w:t xml:space="preserve">DOI: </w:t>
      </w:r>
      <w:hyperlink r:id="rId129">
        <w:r>
          <w:rPr>
            <w:color w:val="1155CC"/>
            <w:u w:val="single"/>
          </w:rPr>
          <w:t>10.1021/jacs.5c16692</w:t>
        </w:r>
      </w:hyperlink>
    </w:p>
    <w:p>
      <w:pPr>
        <w:spacing w:before="0" w:after="120"/>
      </w:pPr>
      <w:r>
        <w:rPr>
          <w:b/>
        </w:rPr>
        <w:t xml:space="preserve">Notes: </w:t>
      </w:r>
      <w:r>
        <w:t>abstract_source=pubmed</w:t>
      </w:r>
    </w:p>
    <w:p>
      <w:pPr>
        <w:spacing w:before="0" w:after="80" w:lineRule="auto" w:line="276"/>
      </w:pPr>
      <w:r>
        <w:rPr>
          <w:b/>
        </w:rPr>
        <w:t xml:space="preserve">摘要（ZH）: </w:t>
      </w:r>
      <w:r>
        <w:t>Pt基半金属化合物是减少氧气反应的最有希望的催化剂(ORR),但是,它们仍然面临稳定挑战,主要原因是在严酷的电化学条件下,金属和Pt原子的过渡性金属和Pt原子的成分分离和氧化/溶解。在这里,我们从战略上将L12-Pt3Co中间金属催化剂纳入L12-Pt3Co中间金属催化剂,以引导半covalent Pt-M相互作用,并弥合核心壳化学潜能梯度,提高OR的耐久性。综合实验和理论分析表明,从金属向准相近结合的结合的过渡加强了Pt-Co/La的相互作用,有效地抑制了Pt沥滤。此外,拉中间式电子调制能减少了核心壳化学锅。</w:t>
      </w:r>
    </w:p>
    <w:p>
      <w:pPr>
        <w:spacing w:before="0" w:after="200" w:lineRule="auto" w:line="276"/>
      </w:pPr>
      <w:r>
        <w:rPr>
          <w:b/>
        </w:rPr>
        <w:t xml:space="preserve">Abstract (EN): </w:t>
      </w:r>
      <w:r>
        <w:t>Pt-based intermetallic compounds represent the most promising catalysts for oxygen reduction reaction (ORR). However, they still face stability challenges, primarily due to component segregation and oxidation/dissolution of both transition metal and Pt atoms under harsh electrochemical conditions. Herein, we strategically incorporate electron-donating La into the L12-Pt3Co intermetallic catalyst to steer a quasi-covalent Pt-M interaction and bridge the core-shell chemical potential gradient, enhancing ORR durability. Combined experimental and theoretical analyses elucidate that the transition from metallic to quasi-covalent bonding strengthens Pt-Co/La interactions, which effectively suppresses Pt leaching. Furthermore, La-mediated electronic modulation reduces the core-shell chemical potential difference, thus inhibiting Co migration from the core to the outermost surface and the subsequent oxidative dissolution. Due to these properties, the as-developed catalyst demonstrates high ORR activity under H2-air conditions, achieving a peak power density of 1.27 W cm-2 and high mass activity (MA) of 1.29 A mgPt-1. More importantly, it exhibits exceptional stability with 87% MA retention and only 12 mV voltage loss at 0.8 A cm-2 after 30k accelerated durability cycles, outperforming DOE 2026 targets (60% MA retention and voltage loss &lt;30 mV). This study proposes a new structural engineering strategy for enhancing catalytic robustness in harsh electrochemical environments.</w:t>
      </w:r>
    </w:p>
    <w:p>
      <w:pPr>
        <w:spacing w:before="120" w:after="120"/>
      </w:pPr>
      <w:r>
        <w:rPr>
          <w:sz w:val="18"/>
        </w:rPr>
        <w:t>——————————————————————————————————————————————————————————————————————</w:t>
      </w:r>
    </w:p>
    <w:p>
      <w:pPr>
        <w:spacing w:before="160" w:after="40" w:line="240" w:lineRule="auto"/>
      </w:pPr>
      <w:r>
        <w:rPr>
          <w:b/>
        </w:rPr>
        <w:t xml:space="preserve">[86] </w:t>
      </w:r>
      <w:hyperlink r:id="rId130">
        <w:r>
          <w:rPr>
            <w:color w:val="1155CC"/>
            <w:u w:val="single"/>
          </w:rPr>
          <w:t>[ASAP] 在RiPP生物合成期间由HEXXH酶制造的氧化五氯苯背骨裂变</w:t>
        </w:r>
      </w:hyperlink>
    </w:p>
    <w:p>
      <w:pPr>
        <w:spacing w:before="0" w:after="80"/>
      </w:pPr>
      <w:r>
        <w:rPr>
          <w:i/>
          <w:sz w:val="20"/>
        </w:rPr>
        <w:t>EN: [ASAP] Oxidative Peptide Backbone Cleavage by a HEXXH Enzyme during RiPP Biosynthesis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2026-01-18 18:07:00+00:00</w:t>
      </w:r>
      <w:r>
        <w:t xml:space="preserve">    </w:t>
      </w:r>
      <w:r>
        <w:rPr>
          <w:b/>
        </w:rPr>
        <w:t xml:space="preserve">DOI: </w:t>
      </w:r>
      <w:hyperlink r:id="rId131">
        <w:r>
          <w:rPr>
            <w:color w:val="1155CC"/>
            <w:u w:val="single"/>
          </w:rPr>
          <w:t>10.1021/jacs.5c19246</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在这项研究中,我们从Pseudomonas 菌株(pfl和pos)的两个不同的生物合成基因组(BGCs)中确定了酶特征,这些基因组催化了RiPP生物合成物中的新变异。两个依赖HEXXH酶、PflC和PosC的α氯酸二甲酯,对多个连续的谷类胺残留物进行水氧化,有选择地识别C-terminal ARMD Tropapide 以触发产生氨化白蚁的氧化性脊椎裂。突变分析指出,该模型的第一个位置是一个关键决定因素。值得注意的是,PflC在没有前导粒化物的情况下展示了蛋白化物的蛋白性活动,表明该领导人是Peptide。</w:t>
      </w:r>
    </w:p>
    <w:p>
      <w:pPr>
        <w:spacing w:before="0" w:after="200" w:lineRule="auto" w:line="276"/>
      </w:pPr>
      <w:r>
        <w:rPr>
          <w:b/>
        </w:rPr>
        <w:t xml:space="preserve">Abstract (EN): </w:t>
      </w:r>
      <w:r>
        <w:t>Ribosomally synthesized and post-translationally modified peptides (RiPPs) rely on a diverse array of enzymes to tailor peptide backbones and side chains. In this study, we characterized enzymes from two different biosynthetic gene clusters (BGCs) from Pseudomonas strains (pfl and pos) that catalyze new transformations in RiPP biosynthesis. Two α-ketoglutarate-dependent HEXXH enzymes, PflC and PosC, perform hydroxylation of multiple consecutive glutamine residues and selectively recognize a C-terminal ARMD tetrapeptide to trigger oxidative backbone cleavage that generates an amide terminus. Mutational analysis pinpoints the first position of this motif as a critical determinant. Notably, PflC displays proteolytic activity in the absence of the leader peptide, indicating that leader peptide-enzyme interactions modulate the observed reaction selectivity. The biosynthetic gene clusters also encode a unique MNIO-nitroreductase fusion enzyme that installs a rare Z-dehydrophenylalanine and hydroxylates an Asp residue. Collectively, this work expands both the catalytic repertoire and structural diversity accessible through bacterial RiPP biosynthesis.</w:t>
      </w:r>
    </w:p>
    <w:p>
      <w:pPr>
        <w:spacing w:before="120" w:after="120"/>
      </w:pPr>
      <w:r>
        <w:rPr>
          <w:sz w:val="18"/>
        </w:rPr>
        <w:t>——————————————————————————————————————————————————————————————————————</w:t>
      </w:r>
    </w:p>
    <w:p>
      <w:pPr>
        <w:spacing w:before="160" w:after="40" w:line="240" w:lineRule="auto"/>
      </w:pPr>
      <w:r>
        <w:rPr>
          <w:b/>
        </w:rPr>
        <w:t xml:space="preserve">[87] </w:t>
      </w:r>
      <w:hyperlink r:id="rId132">
        <w:r>
          <w:rPr>
            <w:color w:val="1155CC"/>
            <w:u w:val="single"/>
          </w:rPr>
          <w:t>[ASAP]为2,3-二氢苯并呋喃衍生物的光催化合成建造三维共振合有机框架</w:t>
        </w:r>
      </w:hyperlink>
    </w:p>
    <w:p>
      <w:pPr>
        <w:spacing w:before="0" w:after="80"/>
      </w:pPr>
      <w:r>
        <w:rPr>
          <w:i/>
          <w:sz w:val="20"/>
        </w:rPr>
        <w:t>EN: [ASAP] Construction of Three-Dimensional Covalent Organic Frameworks for Photocatalytic Synthesis of 2,3-Dihydrobenzofuran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2026-01-18 18:07:38+00:00</w:t>
      </w:r>
      <w:r>
        <w:t xml:space="preserve">    </w:t>
      </w:r>
      <w:r>
        <w:rPr>
          <w:b/>
        </w:rPr>
        <w:t xml:space="preserve">DOI: </w:t>
      </w:r>
      <w:hyperlink r:id="rId133">
        <w:r>
          <w:rPr>
            <w:color w:val="1155CC"/>
            <w:u w:val="single"/>
          </w:rPr>
          <w:t>10.1021/jacs.5c19165</w:t>
        </w:r>
      </w:hyperlink>
    </w:p>
    <w:p>
      <w:pPr>
        <w:spacing w:before="0" w:after="120"/>
      </w:pPr>
      <w:r>
        <w:rPr>
          <w:b/>
        </w:rPr>
        <w:t xml:space="preserve">Notes: </w:t>
      </w:r>
      <w:r>
        <w:t>abstract_source=pubmed</w:t>
      </w:r>
    </w:p>
    <w:p>
      <w:pPr>
        <w:spacing w:before="0" w:after="80" w:lineRule="auto" w:line="276"/>
      </w:pPr>
      <w:r>
        <w:rPr>
          <w:b/>
        </w:rPr>
        <w:t xml:space="preserve">摘要（ZH）: </w:t>
      </w:r>
      <w:r>
        <w:t>2,3-二氢苯并呋喃衍生物由于其在生物活性分子和天然产品中的流行性,在制药和材料科学中具有重要价值,然而,为合成此类衍生物而建设高效和可持续的催化系统仍然具有挑战性。我们在此与捐赠者-接受者(D-A)单位合成了两个三维共价有机框架(3DCOFs),通过对正烷酚进行氧化性脱氢结合,对2,3-二氢苯并呋喃衍生物进行有效的光催化合成(12个基底例子,最高产量为95%)或氧化性[3+2]苯酚和叶素的循环(14个子例子,最高产量为97% )。</w:t>
      </w:r>
    </w:p>
    <w:p>
      <w:pPr>
        <w:spacing w:before="0" w:after="200" w:lineRule="auto" w:line="276"/>
      </w:pPr>
      <w:r>
        <w:rPr>
          <w:b/>
        </w:rPr>
        <w:t xml:space="preserve">Abstract (EN): </w:t>
      </w:r>
      <w:r>
        <w:t>2,3-Dihydrobenzofuran derivatives hold significant value in pharmaceutical and material science due to their prevalence in bioactive molecules and natural products. However, constructing efficient and sustainable catalytic systems for the synthesis of such derivatives remains challenging. Herein, we synthesized two three-dimensional covalent organic frameworks (3D COFs) with donor-acceptor (D-A) units, which enable efficient photocatalytic synthesis of 2,3-dihydrobenzofuran derivatives via oxidative dehydrogenative coupling of alkenyl phenols (12 substrate examples, up to 95% yields) or oxidative [3 + 2] cycloaddition of phenols and olefins (14 substrate examples, up to 97% yields). Remarkably, a range of natural products, including δ-viniferin, conocarpan, licarin A, homopterocarpin, and pterocarpan, can be facilely and scalably synthesized through a one-step synthesis in high yields (up to 93%), in sharp contrast to multistep routes required by conventional approaches with lower yields (&lt;60%). Comprehensive characterizations reveal that the synthesized 3D COFs with D-A units enable efficient photoinduced carrier separation and migration, thus facilitating the photocatalytic performance. Moreover, the interconnected nanochannels and rigid frameworks in 3D COFs collectively ensure substrate accessibility and structural stability (at least 10 catalytic cycles), much superior to that of the corresponding two-dimensional (2D) COFs. This work provides an innovative approach for facile and efficient photosynthesis of high-value-added chemicals by 3D COFs.</w:t>
      </w:r>
    </w:p>
    <w:p>
      <w:pPr>
        <w:spacing w:before="120" w:after="120"/>
      </w:pPr>
      <w:r>
        <w:rPr>
          <w:sz w:val="18"/>
        </w:rPr>
        <w:t>——————————————————————————————————————————————————————————————————————</w:t>
      </w:r>
    </w:p>
    <w:p>
      <w:pPr>
        <w:spacing w:before="160" w:after="40" w:line="240" w:lineRule="auto"/>
      </w:pPr>
      <w:r>
        <w:rPr>
          <w:b/>
        </w:rPr>
        <w:t xml:space="preserve">[88] </w:t>
      </w:r>
      <w:hyperlink r:id="rId134">
        <w:r>
          <w:rPr>
            <w:color w:val="1155CC"/>
            <w:u w:val="single"/>
          </w:rPr>
          <w:t>[ASAP] 使用尼基红氧化物夫妇对二氧化碳进行电化学媒介分离</w:t>
        </w:r>
      </w:hyperlink>
    </w:p>
    <w:p>
      <w:pPr>
        <w:spacing w:before="0" w:after="80"/>
      </w:pPr>
      <w:r>
        <w:rPr>
          <w:i/>
          <w:sz w:val="20"/>
        </w:rPr>
        <w:t>EN: [ASAP] Electrochemically Mediated Separation of Carbon Monoxide Using a Ni-Based Redox Couple</w:t>
      </w:r>
    </w:p>
    <w:p>
      <w:pPr>
        <w:spacing w:before="0" w:after="120"/>
      </w:pPr>
      <w:r>
        <w:rPr>
          <w:b/>
        </w:rPr>
        <w:t xml:space="preserve">Source: </w:t>
      </w:r>
      <w:r>
        <w:t>ACS Energy Letters: Latest Articles (ACS Publications)</w:t>
      </w:r>
      <w:r>
        <w:t xml:space="preserve">    </w:t>
      </w:r>
      <w:r>
        <w:rPr>
          <w:b/>
        </w:rPr>
        <w:t xml:space="preserve">Pub date: </w:t>
      </w:r>
      <w:r>
        <w:t>2026-01-18 18:31:47+00:00</w:t>
      </w:r>
      <w:r>
        <w:t xml:space="preserve">    </w:t>
      </w:r>
      <w:r>
        <w:rPr>
          <w:b/>
        </w:rPr>
        <w:t xml:space="preserve">DOI: </w:t>
      </w:r>
      <w:hyperlink r:id="rId135">
        <w:r>
          <w:rPr>
            <w:color w:val="1155CC"/>
            <w:u w:val="single"/>
          </w:rPr>
          <w:t>10.1021/acsenergylett.5c04138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[89] </w:t>
      </w:r>
      <w:hyperlink r:id="rId136">
        <w:r>
          <w:rPr>
            <w:color w:val="1155CC"/>
            <w:u w:val="single"/>
          </w:rPr>
          <w:t>[ASAP]管理金属-金属电池金属-金属金属电池组织框架的物种运输</w:t>
        </w:r>
      </w:hyperlink>
    </w:p>
    <w:p>
      <w:pPr>
        <w:spacing w:before="0" w:after="80"/>
      </w:pPr>
      <w:r>
        <w:rPr>
          <w:i/>
          <w:sz w:val="20"/>
        </w:rPr>
        <w:t>EN: [ASAP] Regulating Species Transport in Metal–Organic Frameworks for Lithium Metal Batteries</w:t>
      </w:r>
    </w:p>
    <w:p>
      <w:pPr>
        <w:spacing w:before="0" w:after="120"/>
      </w:pPr>
      <w:r>
        <w:rPr>
          <w:b/>
        </w:rPr>
        <w:t xml:space="preserve">Source: </w:t>
      </w:r>
      <w:r>
        <w:t>ACS Energy Letters: Latest Articles (ACS Publications)</w:t>
      </w:r>
      <w:r>
        <w:t xml:space="preserve">    </w:t>
      </w:r>
      <w:r>
        <w:rPr>
          <w:b/>
        </w:rPr>
        <w:t xml:space="preserve">Pub date: </w:t>
      </w:r>
      <w:r>
        <w:t>2026-01-18 19:45:21+00:00</w:t>
      </w:r>
      <w:r>
        <w:t xml:space="preserve">    </w:t>
      </w:r>
      <w:r>
        <w:rPr>
          <w:b/>
        </w:rPr>
        <w:t xml:space="preserve">DOI: </w:t>
      </w:r>
      <w:hyperlink r:id="rId137">
        <w:r>
          <w:rPr>
            <w:color w:val="1155CC"/>
            <w:u w:val="single"/>
          </w:rPr>
          <w:t>10.1021/acsenergylett.5c04334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[90] </w:t>
      </w:r>
      <w:hyperlink r:id="rId138">
        <w:r>
          <w:rPr>
            <w:color w:val="1155CC"/>
            <w:u w:val="single"/>
          </w:rPr>
          <w:t>[ASAP]更正为“通过Azetine的铜-计算机化的二氯二代乙基Azetidine的反选择性合成,通过Azetine的二氯二代乙基Azetidine-Coepto-Caplyzed Boryl合金结合”</w:t>
        </w:r>
      </w:hyperlink>
    </w:p>
    <w:p>
      <w:pPr>
        <w:spacing w:before="0" w:after="80"/>
      </w:pPr>
      <w:r>
        <w:rPr>
          <w:i/>
          <w:sz w:val="20"/>
        </w:rPr>
        <w:t>EN: [ASAP] Correction to “Enantioselective Synthesis of 2,3-Disubstituted Azetidines via Copper-Catalyzed Boryl Allylation of Azetines”</w:t>
      </w:r>
    </w:p>
    <w:p>
      <w:pPr>
        <w:spacing w:before="0" w:after="120"/>
      </w:pPr>
      <w:r>
        <w:rPr>
          <w:b/>
        </w:rPr>
        <w:t xml:space="preserve">Source: </w:t>
      </w:r>
      <w:r>
        <w:t>Journal of the American Chemical Society: Latest Articles (ACS Publications)</w:t>
      </w:r>
      <w:r>
        <w:t xml:space="preserve">    </w:t>
      </w:r>
      <w:r>
        <w:rPr>
          <w:b/>
        </w:rPr>
        <w:t xml:space="preserve">Pub date: </w:t>
      </w:r>
      <w:r>
        <w:t>2026-01-18 19:46:06+00:00</w:t>
      </w:r>
      <w:r>
        <w:t xml:space="preserve">    </w:t>
      </w:r>
      <w:r>
        <w:rPr>
          <w:b/>
        </w:rPr>
        <w:t xml:space="preserve">DOI: </w:t>
      </w:r>
      <w:hyperlink r:id="rId139">
        <w:r>
          <w:rPr>
            <w:color w:val="1155CC"/>
            <w:u w:val="single"/>
          </w:rPr>
          <w:t>10.1021/jacs.5c22357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 </w:t>
      </w:r>
      <w:hyperlink r:id="rId140">
        <w:r>
          <w:rPr>
            <w:color w:val="1155CC"/>
            <w:u w:val="single"/>
          </w:rPr>
          <w:t>在混合能源系统中具有宝贵的操作灵活性:汉密尔顿-贾科比-贝尔曼等式的神经解决方案</w:t>
        </w:r>
      </w:hyperlink>
    </w:p>
    <w:p>
      <w:pPr>
        <w:spacing w:before="0" w:after="80"/>
      </w:pPr>
      <w:r>
        <w:rPr>
          <w:i/>
          <w:sz w:val="20"/>
        </w:rPr>
        <w:t>EN: Valuing operational flexibility in hybrid energy systems: A neural solution to the Hamilton–jacobi–bellman equation</w:t>
      </w:r>
    </w:p>
    <w:p>
      <w:pPr>
        <w:spacing w:before="0" w:after="120"/>
      </w:pPr>
      <w:r>
        <w:rPr>
          <w:b/>
        </w:rPr>
        <w:t xml:space="preserve">Source: </w:t>
      </w:r>
      <w:r>
        <w:t>ScienceDirect Publication: Applied Energy</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[92] </w:t>
      </w:r>
      <w:hyperlink r:id="rId141">
        <w:r>
          <w:rPr>
            <w:color w:val="1155CC"/>
            <w:u w:val="single"/>
          </w:rPr>
          <w:t>工业光电池装载系统联合优化能源成本和需求收费的离线反向强化学习</w:t>
        </w:r>
      </w:hyperlink>
    </w:p>
    <w:p>
      <w:pPr>
        <w:spacing w:before="0" w:after="80"/>
      </w:pPr>
      <w:r>
        <w:rPr>
          <w:i/>
          <w:sz w:val="20"/>
        </w:rPr>
        <w:t>EN: Offline inverse reinforcement learning for joint optimization of energy costs and demand charge in industrial PV-battery load systems</w:t>
      </w:r>
    </w:p>
    <w:p>
      <w:pPr>
        <w:spacing w:before="0" w:after="120"/>
      </w:pPr>
      <w:r>
        <w:rPr>
          <w:b/>
        </w:rPr>
        <w:t xml:space="preserve">Source: </w:t>
      </w:r>
      <w:r>
        <w:t>ScienceDirect Publication: Applied Energy</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[93] </w:t>
      </w:r>
      <w:hyperlink r:id="rId142">
        <w:r>
          <w:rPr>
            <w:color w:val="1155CC"/>
            <w:u w:val="single"/>
          </w:rPr>
          <w:t>通过等级多尺度建模,最佳设计兆瓦质子交换膜水电解模块</w:t>
        </w:r>
      </w:hyperlink>
    </w:p>
    <w:p>
      <w:pPr>
        <w:spacing w:before="0" w:after="80"/>
      </w:pPr>
      <w:r>
        <w:rPr>
          <w:i/>
          <w:sz w:val="20"/>
        </w:rPr>
        <w:t>EN: Optimal design of megawatt-scale proton exchange membrane water electrolysis module by hierarchical multi-scale modeling</w:t>
      </w:r>
    </w:p>
    <w:p>
      <w:pPr>
        <w:spacing w:before="0" w:after="120"/>
      </w:pPr>
      <w:r>
        <w:rPr>
          <w:b/>
        </w:rPr>
        <w:t xml:space="preserve">Source: </w:t>
      </w:r>
      <w:r>
        <w:t>ScienceDirect Publication: Applied Energy</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143">
        <w:r>
          <w:rPr>
            <w:color w:val="1155CC"/>
            <w:u w:val="single"/>
          </w:rPr>
          <w:t>能否衡量 " 有毒的男性特征 "? 科学家试图量化有争议的术语</w:t>
        </w:r>
      </w:hyperlink>
    </w:p>
    <w:p>
      <w:pPr>
        <w:spacing w:before="0" w:after="80"/>
      </w:pPr>
      <w:r>
        <w:rPr>
          <w:i/>
          <w:sz w:val="20"/>
        </w:rPr>
        <w:t>EN: Can ‘toxic masculinity’ be measured? Scientists try to quantify controversial term</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 </w:t>
      </w:r>
      <w:hyperlink r:id="rId144">
        <w:r>
          <w:rPr>
            <w:color w:val="1155CC"/>
            <w:u w:val="single"/>
          </w:rPr>
          <w:t>用于快速像素计算中的记忆细胞神经网络</w:t>
        </w:r>
      </w:hyperlink>
    </w:p>
    <w:p>
      <w:pPr>
        <w:spacing w:before="0" w:after="80"/>
      </w:pPr>
      <w:r>
        <w:rPr>
          <w:i/>
          <w:sz w:val="20"/>
        </w:rPr>
        <w:t>EN: Memristive cellular neural networks for fast in-pixel computing</w:t>
      </w:r>
    </w:p>
    <w:p>
      <w:pPr>
        <w:spacing w:before="0" w:after="120"/>
      </w:pPr>
      <w:r>
        <w:rPr>
          <w:b/>
        </w:rPr>
        <w:t xml:space="preserve">Source: </w:t>
      </w:r>
      <w:r>
        <w:t>Nature Electronics</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部分受生物视网膜的启发,细胞神经网络部分受到生物视网膜的启发,它为大规模平行模拟计算提供了一条潜在途径。然而,这些系统的硬件实施仍然具有挑战性。在这里,我们报告图像和视频处理应用程序的基于光学的细胞神经网络。我们开发了基于Python的数码双对网络模拟,并作为控制伪造硬件的图形用户界面。使用数字双对的模拟显示了网络在图像处理和解决部分差异方程式方面的能力。我们通过磁带式晶体管网络和以多层非挥发性分子的电路板的制造作为突触器。我们显示,这些硬件可以用来运行。</w:t>
      </w:r>
    </w:p>
    <w:p>
      <w:pPr>
        <w:spacing w:before="0" w:after="200" w:lineRule="auto" w:line="276"/>
      </w:pPr>
      <w:r>
        <w:rPr>
          <w:b/>
        </w:rPr>
        <w:t xml:space="preserve">Abstract (EN): </w:t>
      </w:r>
      <w:r>
        <w:t>Cellular neural networks, inspired in part by the biological retina, offer a potential route to massively parallel analogue computing. However, the hardware implementation of such systems remains challenging. Here we report memristor-based cellular neural networks for image and video processing applications. We develop a Python-based digital twin for network simulations and as a graphical user interface for controlling the fabricated hardware. Simulations using the digital twin illustrate the network’s capabilities in image processing and in solving partial differential equations. We build hardware through the tape-out of a transistor-based network and the fabrication of a circuit board with multilevel non-volatile memristors as the synapses. We show that the hardware can be used to run image processing tasks including edge and horizontal line detection.</w:t>
      </w:r>
    </w:p>
    <w:p>
      <w:pPr>
        <w:spacing w:before="120" w:after="120"/>
      </w:pPr>
      <w:r>
        <w:rPr>
          <w:sz w:val="18"/>
        </w:rPr>
        <w:t>——————————————————————————————————————————————————————————————————————</w:t>
      </w:r>
    </w:p>
    <w:p>
      <w:pPr>
        <w:spacing w:before="160" w:after="40" w:line="240" w:lineRule="auto"/>
      </w:pPr>
      <w:r>
        <w:rPr>
          <w:b/>
        </w:rPr>
        <w:t xml:space="preserve">[96] </w:t>
      </w:r>
      <w:hyperlink r:id="rId145">
        <w:r>
          <w:rPr>
            <w:color w:val="1155CC"/>
            <w:u w:val="single"/>
          </w:rPr>
          <w:t>AI-辅助化学合成集体情报</w:t>
        </w:r>
      </w:hyperlink>
    </w:p>
    <w:p>
      <w:pPr>
        <w:spacing w:before="0" w:after="80"/>
      </w:pPr>
      <w:r>
        <w:rPr>
          <w:i/>
          <w:sz w:val="20"/>
        </w:rPr>
        <w:t>EN: Collective intelligence for AI-assisted chemical synthesis</w:t>
      </w:r>
    </w:p>
    <w:p>
      <w:pPr>
        <w:spacing w:before="0" w:after="120"/>
      </w:pPr>
      <w:r>
        <w:rPr>
          <w:b/>
        </w:rPr>
        <w:t xml:space="preserve">Source: </w:t>
      </w:r>
      <w:r>
        <w:t>Nature</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科学文献的成倍增长提出了各学科间日益严峻的挑战。每年有数十万新的化学反应报告,但将其转化为可操作的实验却成为障碍1,2 2 大型语言模型(LLMs)最近的应用显示了3,4,5,6,6,6,但可靠地促进新化合物不同变异的系统仍然难以实现。在这里,我们引入了MOSAIC(AI协助的化学预测多类优化专家),这是一个计算框架,使化学家能够利用数百万个反应协议的集体知识。 MOSAIC(MOSAIC)建在Llama-3.1-8B-Instruct 结构7 上,培训Voronoi-Cround 空间的2,498名专业化学专家。</w:t>
      </w:r>
    </w:p>
    <w:p>
      <w:pPr>
        <w:spacing w:before="0" w:after="200" w:lineRule="auto" w:line="276"/>
      </w:pPr>
      <w:r>
        <w:rPr>
          <w:b/>
        </w:rPr>
        <w:t xml:space="preserve">Abstract (EN): </w:t>
      </w:r>
      <w:r>
        <w:t>The exponential growth of scientific literature presents an increasingly acute challenge across disciplines. Hundreds of thousands of new chemical reactions are reported annually, yet translating them into actionable experiments becomes an obstacle1,2. Recent applications of large language models (LLMs) have shown promise3,4,5,6, but systems that reliably work for diverse transformations across de novo compounds have remained elusive. Here we introduce MOSAIC (Multiple Optimized Specialists for AI-assisted Chemical Prediction), a computational framework that enables chemists to harness the collective knowledge of millions of reaction protocols. MOSAIC is built upon the Llama-3.1-8B-instruct architecture7, training 2,498 specialized chemical experts within Voronoi-clustered spaces. This approach delivers reproducible and executable experimental protocols with confidence metrics for complex syntheses. With an overall 71% success rate, experimental validation demonstrates the realizations of over 35 novel compounds, spanning pharmaceuticals, materials, agrochemicals, and cosmetics. Notably, MOSAIC also enables the discovery of new reaction methodologies that are absent from the expert’s training, a cornerstone for advancing chemical synthesis. This scalable paradigm of partitioning vast domains into searchable expert regions enables a generalizable strategy for AI-assisted discovery wherever accelerating information growth outpaces efficient knowledge access and application.</w:t>
      </w:r>
    </w:p>
    <w:p>
      <w:pPr>
        <w:spacing w:before="120" w:after="120"/>
      </w:pPr>
      <w:r>
        <w:rPr>
          <w:sz w:val="18"/>
        </w:rPr>
        <w:t>——————————————————————————————————————————————————————————————————————</w:t>
      </w:r>
    </w:p>
    <w:p>
      <w:pPr>
        <w:spacing w:before="160" w:after="40" w:line="240" w:lineRule="auto"/>
      </w:pPr>
      <w:r>
        <w:rPr>
          <w:b/>
        </w:rPr>
        <w:t xml:space="preserve">[97] </w:t>
      </w:r>
      <w:hyperlink r:id="rId146">
        <w:r>
          <w:rPr>
            <w:color w:val="1155CC"/>
            <w:u w:val="single"/>
          </w:rPr>
          <w:t>出版商校正:通用量量计算不容错的中性原子结构</w:t>
        </w:r>
      </w:hyperlink>
    </w:p>
    <w:p>
      <w:pPr>
        <w:spacing w:before="0" w:after="80"/>
      </w:pPr>
      <w:r>
        <w:rPr>
          <w:i/>
          <w:sz w:val="20"/>
        </w:rPr>
        <w:t>EN: Publisher Correction: A fault-tolerant neutral-atom architecture for universal quantum computation</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[98] </w:t>
      </w:r>
      <w:hyperlink r:id="rId147">
        <w:r>
          <w:rPr>
            <w:color w:val="1155CC"/>
            <w:u w:val="single"/>
          </w:rPr>
          <w:t>作者更正:加速合成无机材料的自主实验室</w:t>
        </w:r>
      </w:hyperlink>
    </w:p>
    <w:p>
      <w:pPr>
        <w:spacing w:before="0" w:after="80"/>
      </w:pPr>
      <w:r>
        <w:rPr>
          <w:i/>
          <w:sz w:val="20"/>
        </w:rPr>
        <w:t>EN: Author Correction: An autonomous laboratory for the accelerated synthesis of inorganic materials</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148">
        <w:r>
          <w:rPr>
            <w:color w:val="1155CC"/>
            <w:u w:val="single"/>
          </w:rPr>
          <w:t>在晶体中进行稳健和可复制的点缺陷模拟的准则</w:t>
        </w:r>
      </w:hyperlink>
    </w:p>
    <w:p>
      <w:pPr>
        <w:spacing w:before="0" w:after="80"/>
      </w:pPr>
      <w:r>
        <w:rPr>
          <w:i/>
          <w:sz w:val="20"/>
        </w:rPr>
        <w:t>EN: Guidelines for robust and reproducible point defect simulations in crystals</w:t>
      </w:r>
    </w:p>
    <w:p>
      <w:pPr>
        <w:spacing w:before="0" w:after="120"/>
      </w:pPr>
      <w:r>
        <w:rPr>
          <w:b/>
        </w:rPr>
        <w:t xml:space="preserve">Source: </w:t>
      </w:r>
      <w:r>
        <w:t>Nature Reviews Materials</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功能材料的许多物理特性取决于其杂质,而不是其散装特性。晶体的缺陷可以激活电子和电离传导,通过局部旋转配置建立活跃的催化中心或储存信息。因此,准确的缺陷行为模型对于预测材料性能和优化整个广泛应用空间的功能至关重要。然而,缺陷模拟对设置、执行和分析期间作出的选择十分敏感。从这个角度讲,我们强调通过计算方法计算和报告点缺陷特性的最佳做法,重点是广泛采用的超级细胞方法。主要考虑因素包括结构的准确表述。</w:t>
      </w:r>
    </w:p>
    <w:p>
      <w:pPr>
        <w:spacing w:before="0" w:after="200" w:lineRule="auto" w:line="276"/>
      </w:pPr>
      <w:r>
        <w:rPr>
          <w:b/>
        </w:rPr>
        <w:t xml:space="preserve">Abstract (EN): </w:t>
      </w:r>
      <w:r>
        <w:t>Many physical properties of functional materials are governed by their impurities rather than their bulk characteristics. Defects in crystals can activate electronic and ionic conductivity, create active centres for catalysis or store information through localized spin configurations. Accurate modelling of defect behaviour is therefore essential for predicting material performance and optimizing functionality across a vast application space. However, defect simulations are sensitive to choices made during setup, execution and analysis. In this Perspective, we highlight best practices for calculating and reporting point defect properties through computational methods, with a focus on the widely adopted supercell approach. Key considerations include accurate representation of the structural and electronic properties of the host material, appropriate choice of charge states, sufficient optimization of defect geometries and reproducible calculation of defect formation energies. Adhering to these practices will facilitate robust comparisons between studies and improve the integration of computational predictions with experimental results. We emphasize the importance of reporting computational parameters and correction schemes. Ultimately, an open approach to point defect simulations will strengthen the impact of computational studies and accelerate materials engineering.</w:t>
      </w:r>
    </w:p>
    <w:p>
      <w:pPr>
        <w:spacing w:before="120" w:after="120"/>
      </w:pPr>
      <w:r>
        <w:rPr>
          <w:sz w:val="18"/>
        </w:rPr>
        <w:t>——————————————————————————————————————————————————————————————————————</w:t>
      </w:r>
    </w:p>
    <w:p>
      <w:pPr>
        <w:spacing w:before="160" w:after="40" w:line="240" w:lineRule="auto"/>
      </w:pPr>
      <w:r>
        <w:rPr>
          <w:b/>
        </w:rPr>
        <w:t xml:space="preserve">[100] </w:t>
      </w:r>
      <w:hyperlink r:id="rId149">
        <w:r>
          <w:rPr>
            <w:color w:val="1155CC"/>
            <w:u w:val="single"/>
          </w:rPr>
          <w:t>将RNA脂性纳米粒子送信者送到生殖性紊乱治疗宫内末宫</w:t>
        </w:r>
      </w:hyperlink>
    </w:p>
    <w:p>
      <w:pPr>
        <w:spacing w:before="0" w:after="80"/>
      </w:pPr>
      <w:r>
        <w:rPr>
          <w:i/>
          <w:sz w:val="20"/>
        </w:rPr>
        <w:t>EN: Spatiotemporal targeting of messenger RNA lipid nanoparticles to the endometrium for the treatment of reproductive disorders</w:t>
      </w:r>
    </w:p>
    <w:p>
      <w:pPr>
        <w:spacing w:before="0" w:after="120"/>
      </w:pPr>
      <w:r>
        <w:rPr>
          <w:b/>
        </w:rPr>
        <w:t xml:space="preserve">Source: </w:t>
      </w:r>
      <w:r>
        <w:t>Nature Nanotechnology</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子宫内内内衬内膜的子宫外功能功能可以损害胚胎植入并降低妊娠率。宫内细胞皮的子宫内管理显示有潜力改善宫外功能,但受到目标瞄准和剂量限制不力的系统性副作用的挑战。这里我们提出一项战略,将治疗信使RNA引入内宫外子宫外分泌治疗生殖紊乱的治疗。 mRNA被装入一个固定和凝固的脂质纳米粒子(LNP),使得在植入窗口期间能够与内地表面暂时表现过强的内分泌受体进行多价互动。</w:t>
      </w:r>
    </w:p>
    <w:p>
      <w:pPr>
        <w:spacing w:before="0" w:after="200" w:lineRule="auto" w:line="276"/>
      </w:pPr>
      <w:r>
        <w:rPr>
          <w:b/>
        </w:rPr>
        <w:t xml:space="preserve">Abstract (EN): </w:t>
      </w:r>
      <w:r>
        <w:t>Dysfunctions of the endometrium, the uterus inner lining, can impair embryo implantation and reduce pregnancy rates. Intrauterine administration of cytokines has shown potential to improve endometrium function, but it is challenged by poor targeting and dose-limiting systemic side effects. Here we present a strategy for introducing therapeutic messenger RNA into the endometrium for the treatment of reproductive disorders. mRNA was loaded into a ligand-conjugated lipid nanoparticle (LNP), enabling multivalent interactions with the temporally overexpressed integrin receptors on the endometrial surface during the window of implantation. Conjugating the targeting ligand directly to the lipid component enhanced endometrial protein expression after intrauterine infusion and reduced systemic expression in the liver and spleen. A single infusion of granulocyte-macrophage colony-stimulating factor (GM-CSF) mRNA-loaded LNP sustained local protein expression for several hours and reduced GM-CSF systemic exposure. In a murine model of endometrial injury, GM-CSF mRNA-loaded LNP improved embryo implantation rates, outperforming recombinant GM-CSF. Our strategy demonstrates the efficacy of using mRNA to improve fertility outcomes.</w:t>
      </w:r>
    </w:p>
    <w:p>
      <w:pPr>
        <w:spacing w:before="120" w:after="120"/>
      </w:pPr>
      <w:r>
        <w:rPr>
          <w:sz w:val="18"/>
        </w:rPr>
        <w:t>——————————————————————————————————————————————————————————————————————</w:t>
      </w:r>
    </w:p>
    <w:p>
      <w:pPr>
        <w:spacing w:before="160" w:after="40" w:line="240" w:lineRule="auto"/>
      </w:pPr>
      <w:r>
        <w:rPr>
          <w:b/>
        </w:rPr>
        <w:t xml:space="preserve">[101] </w:t>
      </w:r>
      <w:hyperlink r:id="rId150">
        <w:r>
          <w:rPr>
            <w:color w:val="1155CC"/>
            <w:u w:val="single"/>
          </w:rPr>
          <w:t>细胞粘性影响肿瘤细胞的血液传播和转移外向</w:t>
        </w:r>
      </w:hyperlink>
    </w:p>
    <w:p>
      <w:pPr>
        <w:spacing w:before="0" w:after="80"/>
      </w:pPr>
      <w:r>
        <w:rPr>
          <w:i/>
          <w:sz w:val="20"/>
        </w:rPr>
        <w:t>EN: Cell viscosity influences haematogenous dissemination and metastatic extravasation of tumour cells</w:t>
      </w:r>
    </w:p>
    <w:p>
      <w:pPr>
        <w:spacing w:before="0" w:after="120"/>
      </w:pPr>
      <w:r>
        <w:rPr>
          <w:b/>
        </w:rPr>
        <w:t xml:space="preserve">Source: </w:t>
      </w:r>
      <w:r>
        <w:t>Nature Materials</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肿瘤细胞面临若干微环境机械挑战的多步过程,其间肿瘤细胞面临若干微环境机械挑战,这影响到转移成功;然而,对循环肿瘤细胞(CTCs)如何使其机械适应这种微观环境尚不完全了解;我们在此报告,这些细胞的畸形性会影响其血液传播,并查明有利于转移外渗透的机械型人型;将肿瘤细胞内部显微镜与CT-模仿弹性珠子、肿瘤线的机械调节和肿瘤-病人-源细胞特征分析相结合;我们证明,循环物体固有的机械特性决定了它们进入约束性容器的能力。我们发现,细胞粘性是CT-循环和逮捕的恒温。</w:t>
      </w:r>
    </w:p>
    <w:p>
      <w:pPr>
        <w:spacing w:before="0" w:after="200" w:lineRule="auto" w:line="276"/>
      </w:pPr>
      <w:r>
        <w:rPr>
          <w:b/>
        </w:rPr>
        <w:t xml:space="preserve">Abstract (EN): </w:t>
      </w:r>
      <w:r>
        <w:t>Metastases arise from a multistep process during which tumour cells face several microenvironmental mechanical challenges, which influence metastatic success. However, how circulating tumour cells (CTCs) adapt their mechanics to such microenvironments is not fully understood. Here we report that the deformability of CTCs affects their haematogenous dissemination and identify mechanical phenotypes that favour metastatic extravasation. Combining intravital microscopy with CTC-mimicking elastic beads, mechanical tuning in tumour lines and profiling of tumour-patient-derived cells, we demonstrate that the inherent mechanical properties of circulating objects dictate their ability to enter constraining vessels. We identify cellular viscosity as a rheostat of CTC circulation and arrest, and show that cellular viscosity is crucial for efficient extravasation. Moreover, we find that mechanical properties that favour extravasation and subsequent metastatic outgrowth can be opposite. Altogether, our results establish CTC viscosity as a key biomechanical parameter that shapes several steps of metastasis.</w:t>
      </w:r>
    </w:p>
    <w:p>
      <w:pPr>
        <w:spacing w:before="120" w:after="120"/>
      </w:pPr>
      <w:r>
        <w:rPr>
          <w:sz w:val="18"/>
        </w:rPr>
        <w:t>——————————————————————————————————————————————————————————————————————</w:t>
      </w:r>
    </w:p>
    <w:p>
      <w:pPr>
        <w:spacing w:before="160" w:after="40" w:line="240" w:lineRule="auto"/>
      </w:pPr>
      <w:r>
        <w:rPr>
          <w:b/>
        </w:rPr>
        <w:t xml:space="preserve">[102] </w:t>
      </w:r>
      <w:hyperlink r:id="rId151">
        <w:r>
          <w:rPr>
            <w:color w:val="1155CC"/>
            <w:u w:val="single"/>
          </w:rPr>
          <w:t>管理欧洲化石燃料出口的地缘政治</w:t>
        </w:r>
      </w:hyperlink>
    </w:p>
    <w:p>
      <w:pPr>
        <w:spacing w:before="0" w:after="80"/>
      </w:pPr>
      <w:r>
        <w:rPr>
          <w:i/>
          <w:sz w:val="20"/>
        </w:rPr>
        <w:t>EN: Managing the geopolitics of Europe’s fossil-fuel exit</w:t>
      </w:r>
    </w:p>
    <w:p>
      <w:pPr>
        <w:spacing w:before="0" w:after="120"/>
      </w:pPr>
      <w:r>
        <w:rPr>
          <w:b/>
        </w:rPr>
        <w:t xml:space="preserve">Source: </w:t>
      </w:r>
      <w:r>
        <w:t>Nature Energy</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152">
        <w:r>
          <w:rPr>
            <w:color w:val="1155CC"/>
            <w:u w:val="single"/>
          </w:rPr>
          <w:t>千伏伏伏打光伏的交调拉合瓦动力学和热膨胀的原子学起源</w:t>
        </w:r>
      </w:hyperlink>
    </w:p>
    <w:p>
      <w:pPr>
        <w:spacing w:before="0" w:after="80"/>
      </w:pPr>
      <w:r>
        <w:rPr>
          <w:i/>
          <w:sz w:val="20"/>
        </w:rPr>
        <w:t>EN: Atomistic origins of anharmonic lattice dynamics and thermal expansion in perovskite photovoltaics</w:t>
      </w:r>
    </w:p>
    <w:p>
      <w:pPr>
        <w:spacing w:before="0" w:after="120"/>
      </w:pPr>
      <w:r>
        <w:rPr>
          <w:b/>
        </w:rPr>
        <w:t xml:space="preserve">Source: </w:t>
      </w:r>
      <w:r>
        <w:t>Nature Energy</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金属卤化百草枯正在迅速成为光伏材料的主要类别,然而,与传统的半导体不同,它们表现出高度的调和拉链式振动,导致热膨胀率极高,与其他装置层的高度不匹配。 在自然日夜循环下,这些效应会加剧,因为自然日夜循环,反复加热和冷却驱动的累积压力、缺陷生成和加速降解。 我们在这里将百草枯中调和拉链动力的原子起源与它们宏观的热力力特性联系在一起,从光-光互动和地方混乱到复杂的热相向关系。 我们评估了热力和热增速的程度如何因温度、组成和阶段而异。</w:t>
      </w:r>
    </w:p>
    <w:p>
      <w:pPr>
        <w:spacing w:before="0" w:after="200" w:lineRule="auto" w:line="276"/>
      </w:pPr>
      <w:r>
        <w:rPr>
          <w:b/>
        </w:rPr>
        <w:t xml:space="preserve">Abstract (EN): </w:t>
      </w:r>
      <w:r>
        <w:t>Metal halide perovskites are swiftly becoming a leading class of photovoltaic materials, yet unlike conventional semiconductors, they exhibit highly anharmonic lattice vibrations that produce extreme rates of thermal expansion and substantial mismatch with other device layers. These effects are exacerbated under natural day/night cycling, where repeated heating and cooling drive cumulative stress, defect generation and accelerated degradation. Here we connect the atomistic origins of anharmonic lattice dynamics in perovskites with their macroscopic thermo-mechanical properties, from phonon–phonon interactions and local disorder to complex thermal–phase relations. We assess how both the degree of anharmonicity and thermal expansion rates vary across temperature, composition and phase, and highlight the emergence of anisotropic and even negative thermal expansion in low-symmetry perovskite phases. By linking fundamental physics to device-level challenges, we provide a framework for engineering durable perovskite absorbers and outline promising approaches to regulate thermal strain in the pursuit of long-lived, commercially viable solar cell technologies.</w:t>
      </w:r>
    </w:p>
    <w:p>
      <w:pPr>
        <w:spacing w:before="120" w:after="120"/>
      </w:pPr>
      <w:r>
        <w:rPr>
          <w:sz w:val="18"/>
        </w:rPr>
        <w:t>——————————————————————————————————————————————————————————————————————</w:t>
      </w:r>
    </w:p>
    <w:p>
      <w:pPr>
        <w:spacing w:before="160" w:after="40" w:line="240" w:lineRule="auto"/>
      </w:pPr>
      <w:r>
        <w:rPr>
          <w:b/>
        </w:rPr>
        <w:t xml:space="preserve">[104] </w:t>
      </w:r>
      <w:hyperlink r:id="rId153">
        <w:r>
          <w:rPr>
            <w:color w:val="1155CC"/>
            <w:u w:val="single"/>
          </w:rPr>
          <w:t>我将把我的出版产出减半。你也应该考虑慢科学。</w:t>
        </w:r>
      </w:hyperlink>
    </w:p>
    <w:p>
      <w:pPr>
        <w:spacing w:before="0" w:after="80"/>
      </w:pPr>
      <w:r>
        <w:rPr>
          <w:i/>
          <w:sz w:val="20"/>
        </w:rPr>
        <w:t>EN: I’m going to halve my publication output. You should consider slow science, too</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154">
        <w:r>
          <w:rPr>
            <w:color w:val="1155CC"/>
            <w:u w:val="single"/>
          </w:rPr>
          <w:t>与电动调解器联动多碘化物的坦坦流动</w:t>
        </w:r>
      </w:hyperlink>
    </w:p>
    <w:p>
      <w:pPr>
        <w:spacing w:before="0" w:after="80"/>
      </w:pPr>
      <w:r>
        <w:rPr>
          <w:i/>
          <w:sz w:val="20"/>
        </w:rPr>
        <w:t>EN: Taming polyiodide flow with electroactive mediators</w:t>
      </w:r>
    </w:p>
    <w:p>
      <w:pPr>
        <w:spacing w:before="0" w:after="120"/>
      </w:pPr>
      <w:r>
        <w:rPr>
          <w:b/>
        </w:rPr>
        <w:t xml:space="preserve">Source: </w:t>
      </w:r>
      <w:r>
        <w:t>Nature Chemistry</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155">
        <w:r>
          <w:rPr>
            <w:color w:val="1155CC"/>
            <w:u w:val="single"/>
          </w:rPr>
          <w:t>作者更正:海洋磷和大气氧在大氧化物事件期间同时出现。</w:t>
        </w:r>
      </w:hyperlink>
    </w:p>
    <w:p>
      <w:pPr>
        <w:spacing w:before="0" w:after="80"/>
      </w:pPr>
      <w:r>
        <w:rPr>
          <w:i/>
          <w:sz w:val="20"/>
        </w:rPr>
        <w:t>EN: Author Correction: Marine phosphorus and atmospheric oxygen were coupled during the Great Oxidation Event</w:t>
      </w:r>
    </w:p>
    <w:p>
      <w:pPr>
        <w:spacing w:before="0" w:after="120"/>
      </w:pPr>
      <w:r>
        <w:rPr>
          <w:b/>
        </w:rPr>
        <w:t xml:space="preserve">Source: </w:t>
      </w:r>
      <w:r>
        <w:t>Nature Communications</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[107] </w:t>
      </w:r>
      <w:hyperlink r:id="rId156">
        <w:r>
          <w:rPr>
            <w:color w:val="1155CC"/>
            <w:u w:val="single"/>
          </w:rPr>
          <w:t>棕榈酸触发B7H3棕榈炎会促进免疫脱逃</w:t>
        </w:r>
      </w:hyperlink>
    </w:p>
    <w:p>
      <w:pPr>
        <w:spacing w:before="0" w:after="80"/>
      </w:pPr>
      <w:r>
        <w:rPr>
          <w:i/>
          <w:sz w:val="20"/>
        </w:rPr>
        <w:t>EN: Palmitic acid-triggered B7H3 palmitoylation promotes immune escape</w:t>
      </w:r>
    </w:p>
    <w:p>
      <w:pPr>
        <w:spacing w:before="0" w:after="120"/>
      </w:pPr>
      <w:r>
        <w:rPr>
          <w:b/>
        </w:rPr>
        <w:t xml:space="preserve">Source: </w:t>
      </w:r>
      <w:r>
        <w:t>Nature Communications</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直肠癌对大多数患有微型卫星稳定肿瘤(MSS)的病人的免疫检查站封锁反应不佳,这凸显了对替代目标的需要。 B7H3(CD276)是一种免疫检查站蛋白,在肿瘤中通常表现过量,但是在高蛋白水平上如何保持。这里我们显示棕榈酸(PA)通过Cysteine 496的棕榈酸转移酶ZDHHH24 推动B7H3棕榈色接触B7H3,这种修改使B7H3无法约束于1号(SQSTM1,又称P62)的后继细胞,限制自发降解并稳定B7H3,抑制了CD8+T细胞抗扰动活动。通过突变细胞496,或者通过在与结肠癌有关的鼠标模型中删除Zdhhc24,可以增强CD8+T的细胞反应。</w:t>
      </w:r>
    </w:p>
    <w:p>
      <w:pPr>
        <w:spacing w:before="0" w:after="200" w:lineRule="auto" w:line="276"/>
      </w:pPr>
      <w:r>
        <w:rPr>
          <w:b/>
        </w:rPr>
        <w:t xml:space="preserve">Abstract (EN): </w:t>
      </w:r>
      <w:r>
        <w:t>Colorectal cancer responds poorly to immune checkpoint blockade in most patients with microsatellite-stable (MSS) tumors, highlighting the need for alternative targets. B7H3 (CD276) is an immune checkpoint protein that is frequently overexpressed in tumors, but how it is maintained at high protein levels is unclear. Here we show that palmitic acid (PA) promotes B7H3 palmitoylation by the palmitoyltransferase ZDHHC24 at cysteine 496. This modification prevents B7H3 from binding to sequestosome 1 (SQSTM1, also called p62), limiting autophagic degradation and stabilizing B7H3, which suppresses CD8+ T cell antitumor activity. Disrupting this pathway by mutating cysteine 496, or by deleting Zdhhc24 in a colitis-associated colorectal cancer (CAC) mouse model, enhances CD8+ T cell responses. We also develop a cell-penetrant peptide that blocks the ZDHHC24–B7H3 interaction, boosts antitumor immunity, and synergizes with blockade of programmed cell death protein 1 (PD-1). These findings identify B7H3 palmitoylation as a targetable metabolic–immune node for colorectal cancer immunotherapy.</w:t>
      </w:r>
    </w:p>
    <w:p>
      <w:pPr>
        <w:spacing w:before="120" w:after="120"/>
      </w:pPr>
      <w:r>
        <w:rPr>
          <w:sz w:val="18"/>
        </w:rPr>
        <w:t>——————————————————————————————————————————————————————————————————————</w:t>
      </w:r>
    </w:p>
    <w:p>
      <w:pPr>
        <w:spacing w:before="160" w:after="40" w:line="240" w:lineRule="auto"/>
      </w:pPr>
      <w:r>
        <w:rPr>
          <w:b/>
        </w:rPr>
        <w:t xml:space="preserve">[108] </w:t>
      </w:r>
      <w:hyperlink r:id="rId157">
        <w:r>
          <w:rPr>
            <w:color w:val="1155CC"/>
            <w:u w:val="single"/>
          </w:rPr>
          <w:t>作者更正: EPFL2 与 auxin 之间的相互抑制延展定期叶子后发的间隔</w:t>
        </w:r>
      </w:hyperlink>
    </w:p>
    <w:p>
      <w:pPr>
        <w:spacing w:before="0" w:after="80"/>
      </w:pPr>
      <w:r>
        <w:rPr>
          <w:i/>
          <w:sz w:val="20"/>
        </w:rPr>
        <w:t>EN: Author Correction: Mutual inhibition between EPFL2 and auxin extends the intervals of periodic leaf morphogenesis</w:t>
      </w:r>
    </w:p>
    <w:p>
      <w:pPr>
        <w:spacing w:before="0" w:after="120"/>
      </w:pPr>
      <w:r>
        <w:rPr>
          <w:b/>
        </w:rPr>
        <w:t xml:space="preserve">Source: </w:t>
      </w:r>
      <w:r>
        <w:t>Nature Communications</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158">
        <w:r>
          <w:rPr>
            <w:color w:val="1155CC"/>
            <w:u w:val="single"/>
          </w:rPr>
          <w:t>Episodic 事件在综合和分离的神经代言中均以灵活编码形式进行编译</w:t>
        </w:r>
      </w:hyperlink>
    </w:p>
    <w:p>
      <w:pPr>
        <w:spacing w:before="0" w:after="80"/>
      </w:pPr>
      <w:r>
        <w:rPr>
          <w:i/>
          <w:sz w:val="20"/>
        </w:rPr>
        <w:t>EN: Episodic events are flexibly encoded in both integrated and separated neural representations</w:t>
      </w:r>
    </w:p>
    <w:p>
      <w:pPr>
        <w:spacing w:before="0" w:after="120"/>
      </w:pPr>
      <w:r>
        <w:rPr>
          <w:b/>
        </w:rPr>
        <w:t xml:space="preserve">Source: </w:t>
      </w:r>
      <w:r>
        <w:t>Nature Communications</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记住日常事件需要注意到不同经验所分享的内容,并保存导致它们分裂的细节,然而支持这种平衡的神经过程仍然不明确。在这里,我们记录EEG,而参与者则看到自然电影场景,这些场景引入了带有重叠元素的偶发事件。我们用时间破解的表态相似性分析发现,随着新信息的发展,这些事件在神经模式中既具有相似性和差异性,也具有相似性。相似性预测了不同事件之间信息的成功引用,这与综合编码是一致的。对比之下,不同之处则预测了个别事件的准确记忆,显示了不同事件的具体痕迹的形成。这些发现加在一起表明,在不同的事件中,出现了不同的痕迹。</w:t>
      </w:r>
    </w:p>
    <w:p>
      <w:pPr>
        <w:spacing w:before="0" w:after="200" w:lineRule="auto" w:line="276"/>
      </w:pPr>
      <w:r>
        <w:rPr>
          <w:b/>
        </w:rPr>
        <w:t xml:space="preserve">Abstract (EN): </w:t>
      </w:r>
      <w:r>
        <w:t>Remembering everyday events involves noticing what different experiences share and preserving the details that set them apart, yet the neural processes supporting this balance remain unclear. Here, we record EEG while participants view naturalistic movie scenes that introduce episodic events with overlapping elements. Using time-resolved representational similarity analysis, we find that these events evoke both similarities and dissimilarities in neural patterns as new information unfolds. Similarities predict successful inference of information across separate episodes, consistent with integrative encoding. Dissimilarities, by contrast, predict accurate memory for individual events, indicating the formation of distinct event-specific traces. Together, these findings indicate that the brain encodes both integrated and separated neural representations to flexibly support different mnemonic goals and to balance relational inference with detailed recollection.</w:t>
      </w:r>
    </w:p>
    <w:p>
      <w:pPr>
        <w:spacing w:before="120" w:after="120"/>
      </w:pPr>
      <w:r>
        <w:rPr>
          <w:sz w:val="18"/>
        </w:rPr>
        <w:t>——————————————————————————————————————————————————————————————————————</w:t>
      </w:r>
    </w:p>
    <w:p>
      <w:pPr>
        <w:spacing w:before="160" w:after="40" w:line="240" w:lineRule="auto"/>
      </w:pPr>
      <w:r>
        <w:rPr>
          <w:b/>
        </w:rPr>
        <w:t xml:space="preserve">[110] </w:t>
      </w:r>
      <w:hyperlink r:id="rId159">
        <w:r>
          <w:rPr>
            <w:color w:val="1155CC"/>
            <w:u w:val="single"/>
          </w:rPr>
          <w:t>利用基于多变量高萨和Chebyshev绘图的不断演变的模糊系统进行实时风力预报</w:t>
        </w:r>
      </w:hyperlink>
    </w:p>
    <w:p>
      <w:pPr>
        <w:spacing w:before="0" w:after="80"/>
      </w:pPr>
      <w:r>
        <w:rPr>
          <w:i/>
          <w:sz w:val="20"/>
        </w:rPr>
        <w:t>EN: Real-time wind power forecasting using an evolving fuzzy system based on Multivariate Gaussian and Chebyshev mapping</w:t>
      </w:r>
    </w:p>
    <w:p>
      <w:pPr>
        <w:spacing w:before="0" w:after="120"/>
      </w:pPr>
      <w:r>
        <w:rPr>
          <w:b/>
        </w:rPr>
        <w:t xml:space="preserve">Source: </w:t>
      </w:r>
      <w:r>
        <w:t>ScienceDirect Publication: Applied Energy</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[111] </w:t>
      </w:r>
      <w:hyperlink r:id="rId160">
        <w:r>
          <w:rPr>
            <w:color w:val="1155CC"/>
            <w:u w:val="single"/>
          </w:rPr>
          <w:t>作者更正: 自发衰竭的大型巨形会通过 MIR-195a-5p-SIRT3 轴, 加剧脊髓灰质炎引起的米托氏体功能障碍和肾损伤</w:t>
        </w:r>
      </w:hyperlink>
    </w:p>
    <w:p>
      <w:pPr>
        <w:spacing w:before="0" w:after="80"/>
      </w:pPr>
      <w:r>
        <w:rPr>
          <w:i/>
          <w:sz w:val="20"/>
        </w:rPr>
        <w:t>EN: Author Correction: Autophagy-deficient macrophages exacerbate cisplatin-induced mitochondrial dysfunction and kidney injury via miR-195a-5p-SIRT3 axis</w:t>
      </w:r>
    </w:p>
    <w:p>
      <w:pPr>
        <w:spacing w:before="0" w:after="120"/>
      </w:pPr>
      <w:r>
        <w:rPr>
          <w:b/>
        </w:rPr>
        <w:t xml:space="preserve">Source: </w:t>
      </w:r>
      <w:r>
        <w:t>Nature Communications</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161">
        <w:r>
          <w:rPr>
            <w:color w:val="1155CC"/>
            <w:u w:val="single"/>
          </w:rPr>
          <w:t>每日简报:有天赋的狗与人类幼儿一样有文字学习技能</w:t>
        </w:r>
      </w:hyperlink>
    </w:p>
    <w:p>
      <w:pPr>
        <w:spacing w:before="0" w:after="80"/>
      </w:pPr>
      <w:r>
        <w:rPr>
          <w:i/>
          <w:sz w:val="20"/>
        </w:rPr>
        <w:t>EN: Daily briefing: Gifted dogs have word-learning skills on a par with human toddlers</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162">
        <w:r>
          <w:rPr>
            <w:color w:val="1155CC"/>
            <w:u w:val="single"/>
          </w:rPr>
          <w:t>漂浮科学台站:我在一个研究船上 照顾浮标的月份</w:t>
        </w:r>
      </w:hyperlink>
    </w:p>
    <w:p>
      <w:pPr>
        <w:spacing w:before="0" w:after="80"/>
      </w:pPr>
      <w:r>
        <w:rPr>
          <w:i/>
          <w:sz w:val="20"/>
        </w:rPr>
        <w:t>EN: Floating science stations: my month on a research vessel looking after buoys</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[114] </w:t>
      </w:r>
      <w:hyperlink r:id="rId163">
        <w:r>
          <w:rPr>
            <w:color w:val="1155CC"/>
            <w:u w:val="single"/>
          </w:rPr>
          <w:t>`绿色是我们时代的铁笼'——为什么民族主义会在这里留下来?</w:t>
        </w:r>
      </w:hyperlink>
    </w:p>
    <w:p>
      <w:pPr>
        <w:spacing w:before="0" w:after="80"/>
      </w:pPr>
      <w:r>
        <w:rPr>
          <w:i/>
          <w:sz w:val="20"/>
        </w:rPr>
        <w:t>EN: ‘Greed is the iron cage of our times’ — why nationalism is here to stay</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164">
        <w:r>
          <w:rPr>
            <w:color w:val="1155CC"/>
            <w:u w:val="single"/>
          </w:rPr>
          <w:t>关于使用和滥用全美化及相关术语的问题</w:t>
        </w:r>
      </w:hyperlink>
    </w:p>
    <w:p>
      <w:pPr>
        <w:spacing w:before="0" w:after="80"/>
      </w:pPr>
      <w:r>
        <w:rPr>
          <w:i/>
          <w:sz w:val="20"/>
        </w:rPr>
        <w:t>EN: On the use and misuse of pangenome and related terms</w:t>
      </w:r>
    </w:p>
    <w:p>
      <w:pPr>
        <w:spacing w:before="0" w:after="120"/>
      </w:pPr>
      <w:r>
        <w:rPr>
          <w:b/>
        </w:rPr>
        <w:t xml:space="preserve">Source: </w:t>
      </w:r>
      <w:r>
        <w:t>Nature Communications</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[116] </w:t>
      </w:r>
      <w:hyperlink r:id="rId165">
        <w:r>
          <w:rPr>
            <w:color w:val="1155CC"/>
            <w:u w:val="single"/>
          </w:rPr>
          <w:t>体内长程化学信号受机械信号管制</w:t>
        </w:r>
      </w:hyperlink>
    </w:p>
    <w:p>
      <w:pPr>
        <w:spacing w:before="0" w:after="80"/>
      </w:pPr>
      <w:r>
        <w:rPr>
          <w:i/>
          <w:sz w:val="20"/>
        </w:rPr>
        <w:t>EN: Long-range chemical signalling in vivo is regulated by mechanical signals</w:t>
      </w:r>
    </w:p>
    <w:p>
      <w:pPr>
        <w:spacing w:before="0" w:after="120"/>
      </w:pPr>
      <w:r>
        <w:rPr>
          <w:b/>
        </w:rPr>
        <w:t xml:space="preserve">Source: </w:t>
      </w:r>
      <w:r>
        <w:t>Nature Materials</w:t>
      </w:r>
      <w:r>
        <w:t xml:space="preserve">    </w:t>
      </w:r>
      <w:r>
        <w:rPr>
          <w:b/>
        </w:rPr>
        <w:t xml:space="preserve">Pub date: </w:t>
      </w:r>
      <w:r>
        <w:t>2026-01-19 00:00:00+00:00</w:t>
      </w:r>
    </w:p>
    <w:p>
      <w:pPr>
        <w:spacing w:before="0" w:after="120"/>
      </w:pPr>
      <w:r>
        <w:rPr>
          <w:b/>
        </w:rPr>
        <w:t xml:space="preserve">Notes: </w:t>
      </w:r>
      <w:r>
        <w:t>abstract_source=nature_html</w:t>
      </w:r>
    </w:p>
    <w:p>
      <w:pPr>
        <w:spacing w:before="0" w:after="80" w:lineRule="auto" w:line="276"/>
      </w:pPr>
      <w:r>
        <w:rPr>
          <w:b/>
        </w:rPr>
        <w:t xml:space="preserve">摘要（ZH）: </w:t>
      </w:r>
      <w:r>
        <w:t>生物过程受化学和机械信号的调节,然而这些信号模式的相互作用仍然鲜为人知。在这里,我们发现正在开发的Xenopos laevis 大脑中的组织僵硬性和长距离化学信号之间的交叉联系。在视网膜交织细胞或视网膜交织细胞周围的脑组织中,对机械敏感的离心通道Piezo1的定向击倒导致体内的病理错误。在大脑近地点,Piezo1的下调减少了分流长距离化学指导提示Semaphorin3A(Sema3A)和Slit1的表达方式,后者指示远程细胞的转动反应。此外,由于粘合蛋白NCAM1和N-cadherin的表达方式减少,Piezo1在组织软化过程中的击倒结果。</w:t>
      </w:r>
    </w:p>
    <w:p>
      <w:pPr>
        <w:spacing w:before="0" w:after="200" w:lineRule="auto" w:line="276"/>
      </w:pPr>
      <w:r>
        <w:rPr>
          <w:b/>
        </w:rPr>
        <w:t xml:space="preserve">Abstract (EN): </w:t>
      </w:r>
      <w:r>
        <w:t>Biological processes are regulated by chemical and mechanical signals, yet how these signalling modalities interact remains poorly understood. Here we identify a crosstalk between tissue stiffness and long-range chemical signalling in the developing Xenopus laevis brain. Targeted knockdown of the mechanosensitive ion channel Piezo1 in retinal ganglion cells or in the brain tissue surrounding retinal ganglion cells causes pathfinding errors in vivo. In the brain parenchyma, Piezo1 downregulation decreases the expression of the diffusive long-range chemical guidance cues Semaphorin3A (Sema3A) and Slit1, which instruct turning responses in distant cells. Furthermore, Piezo1 knockdown results in tissue softening due to reduced expression of the adhesion proteins NCAM1 and N-cadherin. Targeted depletion of NCAM1 and N-cadherin similarly reduces tissue stiffness and Sema3A expression. Conversely, increasing environmental stiffness ex vivo enhances tissue-level force generation and Slit1 and Sema3A expression. Finally, in vivo stiffening of soft brain regions induces ectopic Sema3A production via a Piezo1-dependent mechanism. Overall, these findings demonstrate that tissue mechanics locally modulates the availability of diffusive, long-range chemical signals, thus influencing cell function at sites distant from the mechanical cue.</w:t>
      </w:r>
    </w:p>
    <w:p>
      <w:pPr>
        <w:spacing w:before="120" w:after="120"/>
      </w:pPr>
      <w:r>
        <w:rPr>
          <w:sz w:val="18"/>
        </w:rPr>
        <w:t>——————————————————————————————————————————————————————————————————————</w:t>
      </w:r>
    </w:p>
    <w:p>
      <w:pPr>
        <w:spacing w:before="160" w:after="40" w:line="240" w:lineRule="auto"/>
      </w:pPr>
      <w:r>
        <w:rPr>
          <w:b/>
        </w:rPr>
        <w:t xml:space="preserve">[117] </w:t>
      </w:r>
      <w:hyperlink r:id="rId166">
        <w:r>
          <w:rPr>
            <w:color w:val="1155CC"/>
            <w:u w:val="single"/>
          </w:rPr>
          <w:t>忘记形式主义:数学建立在内斗和情绪动荡的基础上</w:t>
        </w:r>
      </w:hyperlink>
    </w:p>
    <w:p>
      <w:pPr>
        <w:spacing w:before="0" w:after="80"/>
      </w:pPr>
      <w:r>
        <w:rPr>
          <w:i/>
          <w:sz w:val="20"/>
        </w:rPr>
        <w:t>EN: Forget formalism: mathematics was built on infighting and emotional turmoil</w:t>
      </w:r>
    </w:p>
    <w:p>
      <w:pPr>
        <w:spacing w:before="0" w:after="120"/>
      </w:pPr>
      <w:r>
        <w:rPr>
          <w:b/>
        </w:rPr>
        <w:t xml:space="preserve">Source: </w:t>
      </w:r>
      <w:r>
        <w:t>Nature</w:t>
      </w:r>
      <w:r>
        <w:t xml:space="preserve">    </w:t>
      </w:r>
      <w:r>
        <w:rPr>
          <w:b/>
        </w:rPr>
        <w:t xml:space="preserve">Pub date: </w:t>
      </w:r>
      <w:r>
        <w:t>2026-01-19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167">
        <w:r>
          <w:rPr>
            <w:color w:val="1155CC"/>
            <w:u w:val="single"/>
          </w:rPr>
          <w:t>以悬浮颗粒共振天相为根据的深亚波长级在芯上微波振动器</w:t>
        </w:r>
      </w:hyperlink>
    </w:p>
    <w:p>
      <w:pPr>
        <w:spacing w:before="0" w:after="80"/>
      </w:pPr>
      <w:r>
        <w:rPr>
          <w:i/>
          <w:sz w:val="20"/>
        </w:rPr>
        <w:t>EN: On-chip microwave oscillator in deep-subwavelength scale based on spoof plasmonic skyrmions</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68">
        <w:r>
          <w:rPr>
            <w:color w:val="1155CC"/>
            <w:u w:val="single"/>
          </w:rPr>
          <w:t>10.1093/nsr/nwag028/8429801</w:t>
        </w:r>
      </w:hyperlink>
    </w:p>
    <w:p>
      <w:pPr>
        <w:spacing w:before="0" w:after="120"/>
      </w:pPr>
      <w:r>
        <w:rPr>
          <w:b/>
        </w:rPr>
        <w:t xml:space="preserve">Notes: </w:t>
      </w:r>
      <w:r>
        <w:t>abstract_source=rss_oup</w:t>
      </w:r>
    </w:p>
    <w:p>
      <w:pPr>
        <w:spacing w:before="0" w:after="80" w:lineRule="auto" w:line="276"/>
      </w:pPr>
      <w:r>
        <w:rPr>
          <w:b/>
        </w:rPr>
        <w:t xml:space="preserve">摘要（ZH）: </w:t>
      </w:r>
      <w:r>
        <w:t>探索极端电磁(EM)规模的波物质相互作用长期以来一直是多学科研究的焦点议题,但深亚波长场定位仍然是一个长期挑战。在这里,我们展示了电量为的芯片微波振荡器。</w:t>
      </w:r>
    </w:p>
    <w:p>
      <w:pPr>
        <w:spacing w:before="0" w:after="200" w:lineRule="auto" w:line="276"/>
      </w:pPr>
      <w:r>
        <w:rPr>
          <w:b/>
        </w:rPr>
        <w:t xml:space="preserve">Abstract (EN): </w:t>
      </w:r>
      <w:r>
        <w:t>Exploring wave-matter interactions at extreme electromagnetic (EM) scales has long been a focal topic in multidisciplinary research, but deep-subwavelength field localization remains a persistent challenge. Here, we demonstrate an on-chip microwave oscillator with an electrical size of λ</w:t>
      </w:r>
    </w:p>
    <w:p>
      <w:pPr>
        <w:spacing w:before="120" w:after="120"/>
      </w:pPr>
      <w:r>
        <w:rPr>
          <w:sz w:val="18"/>
        </w:rPr>
        <w:t>——————————————————————————————————————————————————————————————————————</w:t>
      </w:r>
    </w:p>
    <w:p>
      <w:pPr>
        <w:spacing w:before="160" w:after="40" w:line="240" w:lineRule="auto"/>
      </w:pPr>
      <w:r>
        <w:rPr>
          <w:b/>
        </w:rPr>
        <w:t xml:space="preserve">[119] </w:t>
      </w:r>
      <w:hyperlink r:id="rId169">
        <w:r>
          <w:rPr>
            <w:color w:val="1155CC"/>
            <w:u w:val="single"/>
          </w:rPr>
          <w:t>磁场制导催化效应减轻锂硫电池Li2S消能</w:t>
        </w:r>
      </w:hyperlink>
    </w:p>
    <w:p>
      <w:pPr>
        <w:spacing w:before="0" w:after="80"/>
      </w:pPr>
      <w:r>
        <w:rPr>
          <w:i/>
          <w:sz w:val="20"/>
        </w:rPr>
        <w:t>EN: Magnetic field-guided catalytic effect mitigates Li2S passivation of lithium-sulfur batteries</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70">
        <w:r>
          <w:rPr>
            <w:color w:val="1155CC"/>
            <w:u w:val="single"/>
          </w:rPr>
          <w:t>10.1093/nsr/nwag039/8429815</w:t>
        </w:r>
      </w:hyperlink>
    </w:p>
    <w:p>
      <w:pPr>
        <w:spacing w:before="0" w:after="120"/>
      </w:pPr>
      <w:r>
        <w:rPr>
          <w:b/>
        </w:rPr>
        <w:t xml:space="preserve">Notes: </w:t>
      </w:r>
      <w:r>
        <w:t>abstract_source=rss_oup</w:t>
      </w:r>
    </w:p>
    <w:p>
      <w:pPr>
        <w:spacing w:before="0" w:after="80" w:lineRule="auto" w:line="276"/>
      </w:pPr>
      <w:r>
        <w:rPr>
          <w:b/>
        </w:rPr>
        <w:t xml:space="preserve">摘要（ZH）: </w:t>
      </w:r>
      <w:r>
        <w:t>聚硫化物航天飞机和Li2S钝化被认为是锂-硫(Li-S)电池的关键问题,这严重阻碍了将硫循环用于实际应用。 然而,引入电催化剂的现行战略主要侧重于聚硫化物航天飞机效应,而涉及高能量屏障固态转化的液化硫化物消化法却很少受到研究,而且仍然具有挑战性。 我们在此建议对弱铁磁场应用磁场(MF)来对付弱的铁磁力。</w:t>
      </w:r>
    </w:p>
    <w:p>
      <w:pPr>
        <w:spacing w:before="0" w:after="200" w:lineRule="auto" w:line="276"/>
      </w:pPr>
      <w:r>
        <w:rPr>
          <w:b/>
        </w:rPr>
        <w:t xml:space="preserve">Abstract (EN): </w:t>
      </w:r>
      <w:r>
        <w:t>Polysulfides shuttle and Li2S passivation are considered key problems of lithium–sulfur (Li–S) batteries, seriously hindering sulfur recycle for practical applications. However, the prevailing strategies introducing electrocatalysts focus mainly on polysulfides shuttle effect, whereas Li2S passivation involving solid conversions with high energy barriers has been seldomly studied and remains challenging. Herein, we propose that applying magnetic field (MF) to weak ferromagnetism α</w:t>
      </w:r>
    </w:p>
    <w:p>
      <w:pPr>
        <w:spacing w:before="120" w:after="120"/>
      </w:pPr>
      <w:r>
        <w:rPr>
          <w:sz w:val="18"/>
        </w:rPr>
        <w:t>——————————————————————————————————————————————————————————————————————</w:t>
      </w:r>
    </w:p>
    <w:p>
      <w:pPr>
        <w:spacing w:before="160" w:after="40" w:line="240" w:lineRule="auto"/>
      </w:pPr>
      <w:r>
        <w:rPr>
          <w:b/>
        </w:rPr>
        <w:t xml:space="preserve">[120] </w:t>
      </w:r>
      <w:hyperlink r:id="rId171">
        <w:r>
          <w:rPr>
            <w:color w:val="1155CC"/>
            <w:u w:val="single"/>
          </w:rPr>
          <w:t>探索一个可缩放的路线,通过两极可交叉连接的单极器,实现高效灵活 Perovskite太阳能电池节节能</w:t>
        </w:r>
      </w:hyperlink>
    </w:p>
    <w:p>
      <w:pPr>
        <w:spacing w:before="0" w:after="80"/>
      </w:pPr>
      <w:r>
        <w:rPr>
          <w:i/>
          <w:sz w:val="20"/>
        </w:rPr>
        <w:t>EN: Exploring a Scalable Route for Efficient Flexible Perovskite Solar Cells via Amphiphilic Cross-linkable Monomer</w:t>
      </w:r>
    </w:p>
    <w:p>
      <w:pPr>
        <w:spacing w:before="0" w:after="120"/>
      </w:pPr>
      <w:r>
        <w:rPr>
          <w:b/>
        </w:rPr>
        <w:t xml:space="preserve">Source: </w:t>
      </w:r>
      <w:r>
        <w:t>RSC - Energy Environ. Sci. latest articles</w:t>
      </w:r>
      <w:r>
        <w:t xml:space="preserve">    </w:t>
      </w:r>
      <w:r>
        <w:rPr>
          <w:b/>
        </w:rPr>
        <w:t xml:space="preserve">Pub date: </w:t>
      </w:r>
      <w:r>
        <w:t>2026-01-19 00:00:00+00:00</w:t>
      </w:r>
    </w:p>
    <w:p>
      <w:pPr>
        <w:spacing w:before="0" w:after="120"/>
      </w:pPr>
      <w:r>
        <w:rPr>
          <w:b/>
        </w:rPr>
        <w:t xml:space="preserve">Notes: </w:t>
      </w:r>
      <w:r>
        <w:t>abstract_source=rsc_html</w:t>
      </w:r>
    </w:p>
    <w:p>
      <w:pPr>
        <w:spacing w:before="0" w:after="80" w:lineRule="auto" w:line="276"/>
      </w:pPr>
      <w:r>
        <w:rPr>
          <w:b/>
        </w:rPr>
        <w:t xml:space="preserve">摘要（ZH）: </w:t>
      </w:r>
      <w:r>
        <w:t>在便携式电源应用中,软软性渗透式太阳能电池(f-PSCs)对于补充传统硅太阳能电池(f-PSCs)有着巨大的希望,但在便携式电源应用中,这些太阳能电池的商业化取决于扩大基于溶液沉积的能力。 到目前为止,在自组分子(SAMs)上无异异异异性渗透式沉降式在大片地区制造制服、没有针孔的无孔膜方面构成了巨大的挑战。 在这里,我们开发了一种可互为交叉连接的两栖单体(TBA),它同时促进弹性基质的渗透式增长,并确保在扩张过程中的同质沉积。TBA的结合提高了渗透式喷雾剂的湿性,使其与潜在的缺水的SAMs层相粘合,使高品质、统一的渗透式薄膜在硬性和弹性基质和弹性基质上都能被制成。</w:t>
      </w:r>
    </w:p>
    <w:p>
      <w:pPr>
        <w:spacing w:before="0" w:after="200" w:lineRule="auto" w:line="276"/>
      </w:pPr>
      <w:r>
        <w:rPr>
          <w:b/>
        </w:rPr>
        <w:t xml:space="preserve">Abstract (EN): </w:t>
      </w:r>
      <w:r>
        <w:t>Flexible perovskite solar cells (f-PSCs) hold great promise for complementing traditional silicon solar cells in portable power applications, but their commercialization depends on the ability to scale-up solution-based deposition. So far, inhomogeneous perovskite deposition on self-assembled molecules (SAMs) poses a substantial challenge in fabricating uniform, pinhole-free films over large areas. Here, we developed an amphiphilic cross-linkable monomer (TBA) that simultaneously promotes perovskite growth on flexible substrates and ensures homogeneous deposition during scaling-up. The incorporation of TBA increase the wettability and adhesion of the perovskite ink to the underlying hydrophobic SAMs layer, enabling high-quality, uniform perovskite films on both rigid and flexible substrates, demonstrating its potential for scalable fabrication. As a result, the modified PSCs achieved remarkable power conversion efficiencies (PCEs) of 27.12% (certified 26.41%, rigid) and 24.95% (flexible), with excellent mechanical and operational stability. The TBA-modified f-PSCs retained over 90% of their initial PCE after 10,000 bending cycles and 1,000 hours of continuous operation. Additionally, large-area perovskite solar modules (PSMs) demonstrated notable PCEs of 23.10% (rigid) and 20.38% (flexible), showcasing the scalability of this approach. This strategy paves a new way for the industrial-scale development of high-performance f-PSCs.</w:t>
      </w:r>
    </w:p>
    <w:p>
      <w:pPr>
        <w:spacing w:before="120" w:after="120"/>
      </w:pPr>
      <w:r>
        <w:rPr>
          <w:sz w:val="18"/>
        </w:rPr>
        <w:t>——————————————————————————————————————————————————————————————————————</w:t>
      </w:r>
    </w:p>
    <w:p>
      <w:pPr>
        <w:spacing w:before="160" w:after="40" w:line="240" w:lineRule="auto"/>
      </w:pPr>
      <w:r>
        <w:rPr>
          <w:b/>
        </w:rPr>
        <w:t xml:space="preserve">[121] </w:t>
      </w:r>
      <w:hyperlink r:id="rId172">
        <w:r>
          <w:rPr>
            <w:color w:val="1155CC"/>
            <w:u w:val="single"/>
          </w:rPr>
          <w:t>多式纳米氟化物装置中可编程的合成合成可塑性</w:t>
        </w:r>
      </w:hyperlink>
    </w:p>
    <w:p>
      <w:pPr>
        <w:spacing w:before="0" w:after="80"/>
      </w:pPr>
      <w:r>
        <w:rPr>
          <w:i/>
          <w:sz w:val="20"/>
        </w:rPr>
        <w:t>EN: Ionic species programmable synaptic plasticity in multimodal nanofluidic devices</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73">
        <w:r>
          <w:rPr>
            <w:color w:val="1155CC"/>
            <w:u w:val="single"/>
          </w:rPr>
          <w:t>10.1093/nsr/nwag036/8429804</w:t>
        </w:r>
      </w:hyperlink>
    </w:p>
    <w:p>
      <w:pPr>
        <w:spacing w:before="0" w:after="120"/>
      </w:pPr>
      <w:r>
        <w:rPr>
          <w:b/>
        </w:rPr>
        <w:t xml:space="preserve">Notes: </w:t>
      </w:r>
      <w:r>
        <w:t>abstract_source=rss_oup</w:t>
      </w:r>
    </w:p>
    <w:p>
      <w:pPr>
        <w:spacing w:before="0" w:after="80" w:lineRule="auto" w:line="276"/>
      </w:pPr>
      <w:r>
        <w:rPr>
          <w:b/>
        </w:rPr>
        <w:t xml:space="preserve">摘要（ZH）: </w:t>
      </w:r>
      <w:r>
        <w:t>纳米精密装置最近被广泛用于模拟电子功能,因为其独特的离子传输行为,如非线性离子传输、选择性等等,但离子运输行为和各种纳米氟化电能和导导性歇斯底里之间的转变的相关性仍然不清楚,这妨碍了纳米氟化系统的发展。我们在这里报告,在金纳米粒堆积的纳米通道中,电动和导电动歇斯底里之间发生了依赖浓度的转变。定量分析表明,这一转变受比杰尔鲁姆长的离子距离的制约,建立了离子运输调节的普遍机制。值得注意的是,我们的系统使单向塑料(既包括水晶体)得以实现。</w:t>
      </w:r>
    </w:p>
    <w:p>
      <w:pPr>
        <w:spacing w:before="0" w:after="200" w:lineRule="auto" w:line="276"/>
      </w:pPr>
      <w:r>
        <w:rPr>
          <w:b/>
        </w:rPr>
        <w:t xml:space="preserve">Abstract (EN): </w:t>
      </w:r>
      <w:r>
        <w:t>Nanofluidic devices have been widely utilized to simulate the electronic functionalities recently, since their unique ion transport behaviors, such as nonlinear ion transport, selectivity and so on. However, the correlation of the ion transport behavior and the transition among various nanofluidic capacitive and inductive hysteresis still remains unclear, which impedes the development of nanofluidic systems. Here, we report a concentration-dependent transition between capacitive and inductive hysteresis in gold-nanoparticle-stacked nanochannels. Quantitative analysis reveals this transition is governed by the interionic distance relative to the Bjerrum length, establishing a universal mechanism for ion transport modulation. Notably, our system enables unidirectional plasticity (both facilitation and depression) by simply altering the ionic species, demonstrating programmable plasticity without structural reconfiguration. Additionally, a high-pass filter (HPF) circuit with tunable cut-off frequency is implemented through two identical nanofluidic devices. These findings establish a new paradigm for multifunctional nanofluidic devices and provide a rational foundation for the design of aqueous-phase neuromorphic computing circuits.</w:t>
      </w:r>
    </w:p>
    <w:p>
      <w:pPr>
        <w:spacing w:before="120" w:after="120"/>
      </w:pPr>
      <w:r>
        <w:rPr>
          <w:sz w:val="18"/>
        </w:rPr>
        <w:t>——————————————————————————————————————————————————————————————————————</w:t>
      </w:r>
    </w:p>
    <w:p>
      <w:pPr>
        <w:spacing w:before="160" w:after="40" w:line="240" w:lineRule="auto"/>
      </w:pPr>
      <w:r>
        <w:rPr>
          <w:b/>
        </w:rPr>
        <w:t xml:space="preserve">[122] </w:t>
      </w:r>
      <w:hyperlink r:id="rId174">
        <w:r>
          <w:rPr>
            <w:color w:val="1155CC"/>
            <w:u w:val="single"/>
          </w:rPr>
          <w:t>脊椎椎动物胚胎中的骨质血蛋白蛋白酶有助于血液系统的稳健性。</w:t>
        </w:r>
      </w:hyperlink>
    </w:p>
    <w:p>
      <w:pPr>
        <w:spacing w:before="0" w:after="80"/>
      </w:pPr>
      <w:r>
        <w:rPr>
          <w:i/>
          <w:sz w:val="20"/>
        </w:rPr>
        <w:t>EN: Sclerotomal hematopoiesis in vertebrate embryos contributes to robustness of the blood system</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75">
        <w:r>
          <w:rPr>
            <w:color w:val="1155CC"/>
            <w:u w:val="single"/>
          </w:rPr>
          <w:t>10.1093/nsr/nwag035/8429811</w:t>
        </w:r>
      </w:hyperlink>
    </w:p>
    <w:p>
      <w:pPr>
        <w:spacing w:before="0" w:after="120"/>
      </w:pPr>
      <w:r>
        <w:rPr>
          <w:b/>
        </w:rPr>
        <w:t xml:space="preserve">Notes: </w:t>
      </w:r>
      <w:r>
        <w:t>abstract_source=rss_oup</w:t>
      </w:r>
    </w:p>
    <w:p>
      <w:pPr>
        <w:spacing w:before="0" w:after="80" w:lineRule="auto" w:line="276"/>
      </w:pPr>
      <w:r>
        <w:rPr>
          <w:b/>
        </w:rPr>
        <w:t xml:space="preserve">摘要（ZH）: </w:t>
      </w:r>
      <w:r>
        <w:t>在脊椎骨胚胎形成期间,据信肝脏干细胞(HSCs)几乎完全产生于通过内皮到化学反应转变(EHT)而导致的多尔氏动脉的肝内皮细胞(ECs),其他组织能否产生HSC仍然难以确定。胚胎沙粒中的主要形式为脊椎骨和肋骨的细胞细胞(SCs),有些SCs也可能插入到芳心内内侧。这里我们表明,直接进入血管润滑剂的一组SCs直接进入血管润滑剂,成为在斑马鱼和老鼠胚胎中独立的肝部和子部的肝部干和子细胞(HSPCs)。根据血球生成的HSPCs(sc HSPCs)在整个生命周期中对各种血液细胞都有作用。当内皮细胞细胞存在缺陷时,ScHSPCs的比例会急剧上升。因此,</w:t>
      </w:r>
    </w:p>
    <w:p>
      <w:pPr>
        <w:spacing w:before="0" w:after="200" w:lineRule="auto" w:line="276"/>
      </w:pPr>
      <w:r>
        <w:rPr>
          <w:b/>
        </w:rPr>
        <w:t xml:space="preserve">Abstract (EN): </w:t>
      </w:r>
      <w:r>
        <w:t>During vertebrate embryogenesis, hematopoietic stem cells (HSCs) are believed to almost exclusively arise from hemogenic endothelial cells (ECs) of the dorsal aorta through endothelial-to-hematopoietic transition (EHT). It remains elusive whether HSCs can be generated by other tissues. Sclerotomal cells (SCs) in embryonic somites majorly form vertebrae and ribs, and some SCs may also insert into aortic endothelia. Here we show that a subset of SCs directly enter the vascular lumen to become hematopoietic stem and progenitor cells (HSPCs) in an EHT-independent way in both zebrafish and mouse embryos. The sclerotome-derived HSPCs (scHSPCs) contribute to various blood cells throughout lifetime. The proportion of scHSPCs increased dramatically when endothelium hematopoiesis is defective. Thus, the sclerotomal hematopoiesis is evolutionarily conserved and would ensure the robustness of hematopoiesis.</w:t>
      </w:r>
    </w:p>
    <w:p>
      <w:pPr>
        <w:spacing w:before="120" w:after="120"/>
      </w:pPr>
      <w:r>
        <w:rPr>
          <w:sz w:val="18"/>
        </w:rPr>
        <w:t>——————————————————————————————————————————————————————————————————————</w:t>
      </w:r>
    </w:p>
    <w:p>
      <w:pPr>
        <w:spacing w:before="160" w:after="40" w:line="240" w:lineRule="auto"/>
      </w:pPr>
      <w:r>
        <w:rPr>
          <w:b/>
        </w:rPr>
        <w:t xml:space="preserve">[123] </w:t>
      </w:r>
      <w:hyperlink r:id="rId176">
        <w:r>
          <w:rPr>
            <w:color w:val="1155CC"/>
            <w:u w:val="single"/>
          </w:rPr>
          <w:t>现场微地震暴露出北冰洋高射速极低的Gakkel海脊的地平层排泄物。</w:t>
        </w:r>
      </w:hyperlink>
    </w:p>
    <w:p>
      <w:pPr>
        <w:spacing w:before="0" w:after="80"/>
      </w:pPr>
      <w:r>
        <w:rPr>
          <w:i/>
          <w:sz w:val="20"/>
        </w:rPr>
        <w:t>EN: In situ microseismicity reveals lithospheric accretion at the ultraslow-spreading Gakkel Ridge, Arctic Ocean</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77">
        <w:r>
          <w:rPr>
            <w:color w:val="1155CC"/>
            <w:u w:val="single"/>
          </w:rPr>
          <w:t>10.1093/nsr/nwag034/8429788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[124] </w:t>
      </w:r>
      <w:hyperlink r:id="rId178">
        <w:r>
          <w:rPr>
            <w:color w:val="1155CC"/>
            <w:u w:val="single"/>
          </w:rPr>
          <w:t>Pavlov的实验启发光导神经网络,其基础是双色荧光转换效应</w:t>
        </w:r>
      </w:hyperlink>
    </w:p>
    <w:p>
      <w:pPr>
        <w:spacing w:before="0" w:after="80"/>
      </w:pPr>
      <w:r>
        <w:rPr>
          <w:i/>
          <w:sz w:val="20"/>
        </w:rPr>
        <w:t>EN: Pavlov’s experiment-inspired optical neural networks based on dual-color fluorescence switching effect</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79">
        <w:r>
          <w:rPr>
            <w:color w:val="1155CC"/>
            <w:u w:val="single"/>
          </w:rPr>
          <w:t>10.1093/nsr/nwag029/8429779</w:t>
        </w:r>
      </w:hyperlink>
    </w:p>
    <w:p>
      <w:pPr>
        <w:spacing w:before="0" w:after="120"/>
      </w:pPr>
      <w:r>
        <w:rPr>
          <w:b/>
        </w:rPr>
        <w:t xml:space="preserve">Notes: </w:t>
      </w:r>
      <w:r>
        <w:t>abstract_source=rss_oup</w:t>
      </w:r>
    </w:p>
    <w:p>
      <w:pPr>
        <w:spacing w:before="0" w:after="80" w:lineRule="auto" w:line="276"/>
      </w:pPr>
      <w:r>
        <w:rPr>
          <w:b/>
        </w:rPr>
        <w:t xml:space="preserve">摘要（ZH）: </w:t>
      </w:r>
      <w:r>
        <w:t>在Pavlov实验的启发下,我们借助生物记忆原则建立了一个联合学习框架,用于培训光学神经网络,以模拟在双波长光学树脂上双波长刺激(即紫外线和可见光光)的结合学习和合成造型造型机制。 序列光辐照显示诱导树脂中的荧光转换和编码关联内存,这可以作为光神经网络的物理基体。</w:t>
      </w:r>
    </w:p>
    <w:p>
      <w:pPr>
        <w:spacing w:before="0" w:after="200" w:lineRule="auto" w:line="276"/>
      </w:pPr>
      <w:r>
        <w:rPr>
          <w:b/>
        </w:rPr>
        <w:t xml:space="preserve">Abstract (EN): </w:t>
      </w:r>
      <w:r>
        <w:t>Cutting-edge optical neural networks are often still trained by backpropagation, which is computationally intensive and originally for conventional artificial neural networks. Inspired by Pavlov’s experiment, we drew upon the principles of biological memory to establish an associative learning framework for training optical neural networks that mimics the mechanisms of associative learning and synaptic plasticity using dual-wavelength stimuli (i.e. ultraviolet and visible light) on a dual-color photoinitiator resin. Sequential light irradiation was shown to induce fluorescence switching and encode associative memory in the resin, which can serve as a physical substrate for an optical neural network. In optical experiments, the established framework was applied to pattern recognition of the letters ‘N,’ ‘V,’ and ‘Z.’ Simulations were conducted that extended its application to the recognition of handwritten digits. Compared to the current mainstream ‘bottom-up’ optical neural network fabrication approach that requires ‘weight calculation followed by hardware implementation’, this work presents a novel ‘top-down’ in-situ training methodology that eliminates the need for weight computation. The proposed method holds significant implications for large-scale, low-cost, and rapid fabrication of optical neural networks intended for edge computing applications. This study bridges biological learning principles with optical neural networks to provide a foundation for next-generation adaptive and scalable artificial intelligence systems.</w:t>
      </w:r>
    </w:p>
    <w:p>
      <w:pPr>
        <w:spacing w:before="120" w:after="120"/>
      </w:pPr>
      <w:r>
        <w:rPr>
          <w:sz w:val="18"/>
        </w:rPr>
        <w:t>——————————————————————————————————————————————————————————————————————</w:t>
      </w:r>
    </w:p>
    <w:p>
      <w:pPr>
        <w:spacing w:before="160" w:after="40" w:line="240" w:lineRule="auto"/>
      </w:pPr>
      <w:r>
        <w:rPr>
          <w:b/>
        </w:rPr>
        <w:t xml:space="preserve">[125] </w:t>
      </w:r>
      <w:hyperlink r:id="rId180">
        <w:r>
          <w:rPr>
            <w:color w:val="1155CC"/>
            <w:u w:val="single"/>
          </w:rPr>
          <w:t>固碳电解中继器,使5C快速快速充电,实用钠邮袋电池</w:t>
        </w:r>
      </w:hyperlink>
    </w:p>
    <w:p>
      <w:pPr>
        <w:spacing w:before="0" w:after="80"/>
      </w:pPr>
      <w:r>
        <w:rPr>
          <w:i/>
          <w:sz w:val="20"/>
        </w:rPr>
        <w:t>EN: Polymer-induced solid electrolyte interphase on hard carbon enabling 5C fast-charging practical sodium-ion pouch cell</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81">
        <w:r>
          <w:rPr>
            <w:color w:val="1155CC"/>
            <w:u w:val="single"/>
          </w:rPr>
          <w:t>10.1093/nsr/nwag025/8429798</w:t>
        </w:r>
      </w:hyperlink>
    </w:p>
    <w:p>
      <w:pPr>
        <w:spacing w:before="0" w:after="120"/>
      </w:pPr>
      <w:r>
        <w:rPr>
          <w:b/>
        </w:rPr>
        <w:t xml:space="preserve">Notes: </w:t>
      </w:r>
      <w:r>
        <w:t>abstract_source=rss_oup</w:t>
      </w:r>
    </w:p>
    <w:p>
      <w:pPr>
        <w:spacing w:before="0" w:after="80" w:lineRule="auto" w:line="276"/>
      </w:pPr>
      <w:r>
        <w:rPr>
          <w:b/>
        </w:rPr>
        <w:t xml:space="preserve">摘要（ZH）: </w:t>
      </w:r>
      <w:r>
        <w:t>“实现2F”小组具有强大的极地特征,它同时诱发在聚环乙烷界面中浓缩的阴离子,并裁缝额外的F原子,有助于形成一个5.0 nm稳定的SEI结构,该结构将聚合物和NAF混合在一起。这个具有弹性聚合物骨架的SEI永久持有产生的无机成分,在快速加热期间能够实现长期结构稳定。 集合的1.2 Ah邮袋电池与NaNi1/3Fe1/3Mn1/3O2阴极和PolyHC阳极配对,展示了特殊的快速加热能力和耐久性。这种方法与各种HC兼容,为调制HC界面化学提供了新的视角。</w:t>
      </w:r>
    </w:p>
    <w:p>
      <w:pPr>
        <w:spacing w:before="0" w:after="200" w:lineRule="auto" w:line="276"/>
      </w:pPr>
      <w:r>
        <w:rPr>
          <w:b/>
        </w:rPr>
        <w:t xml:space="preserve">Abstract (EN): </w:t>
      </w:r>
      <w:r>
        <w:t>Achieving 2F group attached has a powerful polar feature, which simultaneously induces anion enriched at the PolyHC interface and tailors extra F atoms, contributing to the architecture of a ∼5.0 nm stable SEI that hybridizes polymer and NaF. This SEI with a resilient polymer skeleton permanently holds the generated inorganic component, enabling long-term structural stability during fast-charging. The assembled 1.2 Ah pouch cell, paired with NaNi1/3Fe1/3Mn1/3O2 cathode and PolyHC anode, displays exceptional fast-charging capability and durability. This method is compatible with various HC, offering a novel perspective for modulating the HC interface chemistry.</w:t>
      </w:r>
    </w:p>
    <w:p>
      <w:pPr>
        <w:spacing w:before="120" w:after="120"/>
      </w:pPr>
      <w:r>
        <w:rPr>
          <w:sz w:val="18"/>
        </w:rPr>
        <w:t>——————————————————————————————————————————————————————————————————————</w:t>
      </w:r>
    </w:p>
    <w:p>
      <w:pPr>
        <w:spacing w:before="160" w:after="40" w:line="240" w:lineRule="auto"/>
      </w:pPr>
      <w:r>
        <w:rPr>
          <w:b/>
        </w:rPr>
        <w:t xml:space="preserve">[126] </w:t>
      </w:r>
      <w:hyperlink r:id="rId182">
        <w:r>
          <w:rPr>
            <w:color w:val="1155CC"/>
            <w:u w:val="single"/>
          </w:rPr>
          <w:t>用于α-破片胺的多构件合成的异异异异光催光催化正丁丁丁基同族化</w:t>
        </w:r>
      </w:hyperlink>
    </w:p>
    <w:p>
      <w:pPr>
        <w:spacing w:before="0" w:after="80"/>
      </w:pPr>
      <w:r>
        <w:rPr>
          <w:i/>
          <w:sz w:val="20"/>
        </w:rPr>
        <w:t>EN: Heterogeneous photocatalytic aldehyde alkylative amination for multicomponent synthesis of α-branched amines</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83">
        <w:r>
          <w:rPr>
            <w:color w:val="1155CC"/>
            <w:u w:val="single"/>
          </w:rPr>
          <w:t>10.1093/nsr/nwag020/8429807</w:t>
        </w:r>
      </w:hyperlink>
    </w:p>
    <w:p>
      <w:pPr>
        <w:spacing w:before="0" w:after="120"/>
      </w:pPr>
      <w:r>
        <w:rPr>
          <w:b/>
        </w:rPr>
        <w:t xml:space="preserve">Notes: </w:t>
      </w:r>
      <w:r>
        <w:t>abstract_source=rss_oup</w:t>
      </w:r>
    </w:p>
    <w:p>
      <w:pPr>
        <w:spacing w:before="0" w:after="80" w:lineRule="auto" w:line="276"/>
      </w:pPr>
      <w:r>
        <w:rPr>
          <w:b/>
        </w:rPr>
        <w:t xml:space="preserve">摘要（ZH）: </w:t>
      </w:r>
      <w:r>
        <w:t>α</w:t>
      </w:r>
    </w:p>
    <w:p>
      <w:pPr>
        <w:spacing w:before="0" w:after="200" w:lineRule="auto" w:line="276"/>
      </w:pPr>
      <w:r>
        <w:rPr>
          <w:b/>
        </w:rPr>
        <w:t xml:space="preserve">Abstract (EN): </w:t>
      </w:r>
      <w:r>
        <w:t>α</w:t>
      </w:r>
    </w:p>
    <w:p>
      <w:pPr>
        <w:spacing w:before="120" w:after="120"/>
      </w:pPr>
      <w:r>
        <w:rPr>
          <w:sz w:val="18"/>
        </w:rPr>
        <w:t>——————————————————————————————————————————————————————————————————————</w:t>
      </w:r>
    </w:p>
    <w:p>
      <w:pPr>
        <w:spacing w:before="160" w:after="40" w:line="240" w:lineRule="auto"/>
      </w:pPr>
      <w:r>
        <w:rPr>
          <w:b/>
        </w:rPr>
        <w:t xml:space="preserve">[127] </w:t>
      </w:r>
      <w:hyperlink r:id="rId184">
        <w:r>
          <w:rPr>
            <w:color w:val="1155CC"/>
            <w:u w:val="single"/>
          </w:rPr>
          <w:t>Alpha氧气-从量子化学角度来说,一个独特的氧化活性场地</w:t>
        </w:r>
      </w:hyperlink>
    </w:p>
    <w:p>
      <w:pPr>
        <w:spacing w:before="0" w:after="80"/>
      </w:pPr>
      <w:r>
        <w:rPr>
          <w:i/>
          <w:sz w:val="20"/>
        </w:rPr>
        <w:t>EN: Alpha oxygen – a unique oxidation active site from a quantum chemical viewpoint</w:t>
      </w:r>
    </w:p>
    <w:p>
      <w:pPr>
        <w:spacing w:before="0" w:after="120"/>
      </w:pPr>
      <w:r>
        <w:rPr>
          <w:b/>
        </w:rPr>
        <w:t xml:space="preserve">Source: </w:t>
      </w:r>
      <w:r>
        <w:t>RSC - Chem. Soc. Rev. latest articles</w:t>
      </w:r>
      <w:r>
        <w:t xml:space="preserve">    </w:t>
      </w:r>
      <w:r>
        <w:rPr>
          <w:b/>
        </w:rPr>
        <w:t xml:space="preserve">Pub date: </w:t>
      </w:r>
      <w:r>
        <w:t>2026-01-19 00:00:00+00:00</w:t>
      </w:r>
    </w:p>
    <w:p>
      <w:pPr>
        <w:spacing w:before="0" w:after="120"/>
      </w:pPr>
      <w:r>
        <w:rPr>
          <w:b/>
        </w:rPr>
        <w:t xml:space="preserve">Notes: </w:t>
      </w:r>
      <w:r>
        <w:t>abstract_source=rsc_html</w:t>
      </w:r>
    </w:p>
    <w:p>
      <w:pPr>
        <w:spacing w:before="0" w:after="80" w:lineRule="auto" w:line="276"/>
      </w:pPr>
      <w:r>
        <w:rPr>
          <w:b/>
        </w:rPr>
        <w:t xml:space="preserve">摘要（ZH）: </w:t>
      </w:r>
      <w:r>
        <w:t>甲型氧(亦为α-O、Fe(IV)O和Fe(III)-O-□)稳定在基质中的甲型氧(亦为α-O、Fe(IV)O)和Fe(III)-O-□)具有独特的反应性。例如,它能够在室温下将甲烷氧化为甲醇。这样高的氧化活动使得甲型氧从氧化催解的角度来看是一种极具吸引力的物种。甲型氧也可以在低温下将N2O或O2分解于不同过渡性金属凝聚物中,这些金属凝聚点以孤立的cations或两个合作性形成遥远的双核基点的形式稳定下来。甲型氧主要是根据其反应性而定义的,直到现在,有关其结构的实验数据相当稀少。量化学计算用于相互作用。</w:t>
      </w:r>
    </w:p>
    <w:p>
      <w:pPr>
        <w:spacing w:before="0" w:after="200" w:lineRule="auto" w:line="276"/>
      </w:pPr>
      <w:r>
        <w:rPr>
          <w:b/>
        </w:rPr>
        <w:t xml:space="preserve">Abstract (EN): </w:t>
      </w:r>
      <w:r>
        <w:t>The alpha oxygen (also α-O, Fe(IV)O, and Fe(III)–O−˙) stabilized in zeolite matrices exhibits a unique reactivity. It is, for example, able to oxidize methane to methanol at room temperature. Such a high oxidation activity makes the alpha oxygen an extremely attractive species from the point of view of oxidation catalysis. The alpha oxygen can be prepared by splitting either N2O or O2 also at low temperatures over different transition metal cations stabilized in extra-framework cationic sites of zeolites in the form of either isolated cations or two cooperating cations forming distant binuclear cationic sites. The alpha oxygen was primarily defined by its reactivity, and up to now, experimental data concerning its structure are rather scarce. Quantum chemical calculations are used to interpret experimental data and thus yield significantly deeper insights into the preparation, structure, and reactivity of this otherwise omitted active species with enormous potential for applications. This review represents the first collection and systematic interpretation of experimental data and quantum chemical calculations to provide a complex description of the alpha oxygen and its structure, reactivity, and properties.</w:t>
      </w:r>
    </w:p>
    <w:p>
      <w:pPr>
        <w:spacing w:before="120" w:after="120"/>
      </w:pPr>
      <w:r>
        <w:rPr>
          <w:sz w:val="18"/>
        </w:rPr>
        <w:t>——————————————————————————————————————————————————————————————————————</w:t>
      </w:r>
    </w:p>
    <w:p>
      <w:pPr>
        <w:spacing w:before="160" w:after="40" w:line="240" w:lineRule="auto"/>
      </w:pPr>
      <w:r>
        <w:rPr>
          <w:b/>
        </w:rPr>
        <w:t xml:space="preserve">[128] </w:t>
      </w:r>
      <w:hyperlink r:id="rId185">
        <w:r>
          <w:rPr>
            <w:color w:val="1155CC"/>
            <w:u w:val="single"/>
          </w:rPr>
          <w:t>量子阶段转变:从订购磁铁到旋转眼镜</w:t>
        </w:r>
      </w:hyperlink>
    </w:p>
    <w:p>
      <w:pPr>
        <w:spacing w:before="0" w:after="80"/>
      </w:pPr>
      <w:r>
        <w:rPr>
          <w:i/>
          <w:sz w:val="20"/>
        </w:rPr>
        <w:t>EN: Quantum phase transitions: from ordered magnets to spin glasses</w:t>
      </w:r>
    </w:p>
    <w:p>
      <w:pPr>
        <w:spacing w:before="0" w:after="120"/>
      </w:pPr>
      <w:r>
        <w:rPr>
          <w:b/>
        </w:rPr>
        <w:t xml:space="preserve">Source: </w:t>
      </w:r>
      <w:r>
        <w:t>National Science Review Advance Access</w:t>
      </w:r>
      <w:r>
        <w:t xml:space="preserve">    </w:t>
      </w:r>
      <w:r>
        <w:rPr>
          <w:b/>
        </w:rPr>
        <w:t xml:space="preserve">Pub date: </w:t>
      </w:r>
      <w:r>
        <w:t>2026-01-19 00:00:00+00:00</w:t>
      </w:r>
      <w:r>
        <w:t xml:space="preserve">    </w:t>
      </w:r>
      <w:r>
        <w:rPr>
          <w:b/>
        </w:rPr>
        <w:t xml:space="preserve">DOI: </w:t>
      </w:r>
      <w:hyperlink r:id="rId186">
        <w:r>
          <w:rPr>
            <w:color w:val="1155CC"/>
            <w:u w:val="single"/>
          </w:rPr>
          <w:t>10.1093/nsr/nwag038/8429790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[129] </w:t>
      </w:r>
      <w:hyperlink r:id="rId187">
        <w:r>
          <w:rPr>
            <w:color w:val="1155CC"/>
            <w:u w:val="single"/>
          </w:rPr>
          <w:t>自组自成两面的两面性天线中天线测量测量确定对肿瘤的细胞和时尚豁免的平衡</w:t>
        </w:r>
      </w:hyperlink>
    </w:p>
    <w:p>
      <w:pPr>
        <w:spacing w:before="0" w:after="80"/>
      </w:pPr>
      <w:r>
        <w:rPr>
          <w:i/>
          <w:sz w:val="20"/>
        </w:rPr>
        <w:t>EN: Self‐Assembled Two‐Dimensional Chiral Meso‐Topography Determines the Balance of Cellular and Humoral Immunity Against Tumors</w:t>
      </w:r>
    </w:p>
    <w:p>
      <w:pPr>
        <w:spacing w:before="0" w:after="120"/>
      </w:pPr>
      <w:r>
        <w:rPr>
          <w:b/>
        </w:rPr>
        <w:t xml:space="preserve">Source: </w:t>
      </w:r>
      <w:r>
        <w:t>Wiley: Advanced Materials: Table of Contents</w:t>
      </w:r>
      <w:r>
        <w:t xml:space="preserve">    </w:t>
      </w:r>
      <w:r>
        <w:rPr>
          <w:b/>
        </w:rPr>
        <w:t xml:space="preserve">Pub date: </w:t>
      </w:r>
      <w:r>
        <w:t>2026-01-19 07:28:30+00:00</w:t>
      </w:r>
      <w:r>
        <w:t xml:space="preserve">    </w:t>
      </w:r>
      <w:r>
        <w:rPr>
          <w:b/>
        </w:rPr>
        <w:t xml:space="preserve">DOI: </w:t>
      </w:r>
      <w:hyperlink r:id="rId188">
        <w:r>
          <w:rPr>
            <w:color w:val="1155CC"/>
            <w:u w:val="single"/>
          </w:rPr>
          <w:t>10.1002/adma.202520552</w:t>
        </w:r>
      </w:hyperlink>
    </w:p>
    <w:p>
      <w:pPr>
        <w:spacing w:before="0" w:after="120"/>
      </w:pPr>
      <w:r>
        <w:rPr>
          <w:b/>
        </w:rPr>
        <w:t xml:space="preserve">Notes: </w:t>
      </w:r>
      <w:r>
        <w:t>abstract_source=crossref</w:t>
      </w:r>
    </w:p>
    <w:p>
      <w:pPr>
        <w:spacing w:before="0" w:after="80" w:lineRule="auto" w:line="276"/>
      </w:pPr>
      <w:r>
        <w:rPr>
          <w:b/>
        </w:rPr>
        <w:t xml:space="preserve">摘要（ZH）: </w:t>
      </w:r>
      <w:r>
        <w:t>基于纳米纳米材料的癌症疫苗的研制扩大了免疫疗法的范围。具有手性、2D和灵活性等特性的纳米材料吸引了广泛的关注,因为它们能够使材料和免疫细胞之间的接口最大化。在这里,我们报告用手性中间成像术制作了2-D中聚硅纳米碎片,作为疫苗的辅助剂。直径为200纳米至1微米的这些统一的纳米碎片具有独特的螺旋性中聚体型态10纳米。手性中聚氨的厚度可以精确地控制在一层单元(7纳米)中,从而在表层表层、尺寸和灵活性方面实现精确的调节。独特的2D 基因结构源于1-10纳米。</w:t>
      </w:r>
    </w:p>
    <w:p>
      <w:pPr>
        <w:spacing w:before="0" w:after="200" w:lineRule="auto" w:line="276"/>
      </w:pPr>
      <w:r>
        <w:rPr>
          <w:b/>
        </w:rPr>
        <w:t xml:space="preserve">Abstract (EN): </w:t>
      </w:r>
      <w:r>
        <w:t>The development of nanomaterials‐based cancer vaccines has broadened the scope of immunotherapy. Nanomaterials with characteristics such as chirality, 2D, and flexibility have attracted widespread attention because they can maximize the interface between the materials and immune cells. Here, we report the fabrication of 2‐D mesoporous silica nanodisks with a chiral meso‐topography as vaccine adjuvants. These uniform nanodisks, with diameters from 200 nm to 1 µm, possess unique spiral mesoporous patterns of ∼ 10 nm. The thickness of the chiral mesoporous nanodisks can be precisely controlled in units of one layer (∼ 7 nm), thereby achieving precise regulation in surface topology, dimension and flexibility. The unique 2‐D chiral mesoporous structure originates from the maximum occupancy of confined space of micellar helical arrangement, which is distinct from conventional methods based on internal tension. The combination of flexibility, 2‐D structure and chirality enhances nanodisks’ interaction with dendritic cells (DCs), significantly improving DC maturation via Toll‐like receptors/Nuclear Factor‐kappa B (TLR/NF‐κB), Mitogen‐Activated Protein Kinase (MAPK) and Focal Adhesion Kinase (FAK) signaling pathways. Upon nanovaccines’ activation of DCs in vivo, DCs further presents antigen for activating T cells to trigger balanced cellular and humoral immunity. Subcutaneous injection of the nanodisks‐adjuvanted cancer vaccine can significantly inhibit the tumor growth and extend the survival of melanoma‐bearing mice to more than 60 days, about three times higher than that of the PBS‐treated group. When combined with PD‐1 antibody, the cancer vaccines maximize tumor suppression, achieving a tumor‐free outcome in one‐third of the cases.</w:t>
      </w:r>
    </w:p>
    <w:p>
      <w:pPr>
        <w:spacing w:before="120" w:after="120"/>
      </w:pPr>
      <w:r>
        <w:rPr>
          <w:sz w:val="18"/>
        </w:rPr>
        <w:t>——————————————————————————————————————————————————————————————————————</w:t>
      </w:r>
    </w:p>
    <w:p>
      <w:pPr>
        <w:spacing w:before="160" w:after="40" w:line="240" w:lineRule="auto"/>
      </w:pPr>
      <w:r>
        <w:rPr>
          <w:b/>
        </w:rPr>
        <w:t xml:space="preserve">[130] </w:t>
      </w:r>
      <w:hyperlink r:id="rId189">
        <w:r>
          <w:rPr>
            <w:color w:val="1155CC"/>
            <w:u w:val="single"/>
          </w:rPr>
          <w:t>通过流动电池自下向上阶段反转中继战略, 构造集成二氧化- 皮肤Layer Porous Membranes</w:t>
        </w:r>
      </w:hyperlink>
    </w:p>
    <w:p>
      <w:pPr>
        <w:spacing w:before="0" w:after="80"/>
      </w:pPr>
      <w:r>
        <w:rPr>
          <w:i/>
          <w:sz w:val="20"/>
        </w:rPr>
        <w:t>EN: Constructing Integrated Dual‐Skin‐Layer Porous Membranes via a Bottom‐Up Phase Inversion Relay Strategy for Flow Batteries</w:t>
      </w:r>
    </w:p>
    <w:p>
      <w:pPr>
        <w:spacing w:before="0" w:after="120"/>
      </w:pPr>
      <w:r>
        <w:rPr>
          <w:b/>
        </w:rPr>
        <w:t xml:space="preserve">Source: </w:t>
      </w:r>
      <w:r>
        <w:t>Wiley: Advanced Energy Materials: Table of Contents</w:t>
      </w:r>
      <w:r>
        <w:t xml:space="preserve">    </w:t>
      </w:r>
      <w:r>
        <w:rPr>
          <w:b/>
        </w:rPr>
        <w:t xml:space="preserve">Pub date: </w:t>
      </w:r>
      <w:r>
        <w:t>2026-01-19 07:29:00+00:00</w:t>
      </w:r>
      <w:r>
        <w:t xml:space="preserve">    </w:t>
      </w:r>
      <w:r>
        <w:rPr>
          <w:b/>
        </w:rPr>
        <w:t xml:space="preserve">DOI: </w:t>
      </w:r>
      <w:hyperlink r:id="rId190">
        <w:r>
          <w:rPr>
            <w:color w:val="1155CC"/>
            <w:u w:val="single"/>
          </w:rPr>
          <w:t>10.1002/aenm.202506085</w:t>
        </w:r>
      </w:hyperlink>
    </w:p>
    <w:p>
      <w:pPr>
        <w:spacing w:before="0" w:after="120"/>
      </w:pPr>
      <w:r>
        <w:rPr>
          <w:b/>
        </w:rPr>
        <w:t xml:space="preserve">Notes: </w:t>
      </w:r>
      <w:r>
        <w:t>abstract_source=crossref</w:t>
      </w:r>
    </w:p>
    <w:p>
      <w:pPr>
        <w:spacing w:before="0" w:after="80" w:lineRule="auto" w:line="276"/>
      </w:pPr>
      <w:r>
        <w:rPr>
          <w:b/>
        </w:rPr>
        <w:t xml:space="preserve">摘要（ZH）: </w:t>
      </w:r>
      <w:r>
        <w:t>ABSTALCT A BOSTACT 下游中继战略首先提出通过巧妙地引入非溶液载体,来制造双层双层多孔膜(双边皮肤层之间的显微膜层),从而巧妙地引入一种非溶液载体,从相向反转中继流程中,双边皮肤层可以自由定制,非溶液载体中的乙烯甘醇通过调整自由水与装水的比例,有效地调节底层结构。因此,双层层薄膜被设计和应用于一个有亚纳米仪(4.5)孔孔的抗流电池(VFB),具有对称性皮肤层(600纳米)和亚纳米仪。该对称结构减少了通过车辆机制转移质体所需的压力,并减少了子纳米。</w:t>
      </w:r>
    </w:p>
    <w:p>
      <w:pPr>
        <w:spacing w:before="0" w:after="200" w:lineRule="auto" w:line="276"/>
      </w:pPr>
      <w:r>
        <w:rPr>
          <w:b/>
        </w:rPr>
        <w:t xml:space="preserve">Abstract (EN): </w:t>
      </w:r>
      <w:r>
        <w:t>A bottom‐up relay strategy is first proposed to fabricate integrated dual‐skin‐layer porous membranes (macropore layer between bilateral skin layers) by ingeniously introducing a non‐solvent carrier. Benefiting from the phase inversion relay process, bilateral skin layers can be tailored freely, where ethylene glycol in the non‐solvent carrier effectively regulates the structure of the bottom skin layer by adjusting the ratio of free water to bound water. Thus, a dual‐skin‐layer membrane is designed and applied in a vanadium flow battery (VFB), that features symmetric skin layers (∼600 nm) with sub‐nanometer (∼4.5 Å) pores. The symmetric structure reduces the pressure required for proton migration via the Vehicle mechanism, and the sub‐nanometer pores effectively separate vanadium ions from protons by size exclusion, breaking the trade‐off in traditional membranes. Moreover, the bilateral skin layers protect the macropore layer against the vanadium fouling and mechanical damage. Furthermore, the formation mechanism and ion transport dynamics of the dual‐skin‐layer membrane are analyzed by molecular dynamics and multi‐physical field simulation. As a result, the optimized membrane enables stable VFB operation for over 6000 cycles at 200 mA cm</w:t>
      </w:r>
      <w:r>
        <w:t xml:space="preserve"> </w:t>
      </w:r>
      <w:r>
        <w:t>−</w:t>
      </w:r>
      <w:r>
        <w:rPr>
          <w:vertAlign w:val="subscript"/>
        </w:rPr>
        <w:t>2</w:t>
      </w:r>
      <w:r>
        <w:t>with energy efficiency of ∼83.6%. This work provides an effective approach to prepare integrated symmetric membranes with bilateral skin layers.</w:t>
      </w:r>
    </w:p>
    <w:p>
      <w:pPr>
        <w:spacing w:before="120" w:after="120"/>
      </w:pPr>
      <w:r>
        <w:rPr>
          <w:sz w:val="18"/>
        </w:rPr>
        <w:t>——————————————————————————————————————————————————————————————————————</w:t>
      </w:r>
    </w:p>
    <w:p>
      <w:pPr>
        <w:spacing w:before="160" w:after="40" w:line="240" w:lineRule="auto"/>
      </w:pPr>
      <w:r>
        <w:rPr>
          <w:b/>
        </w:rPr>
        <w:t xml:space="preserve">[131] </w:t>
      </w:r>
      <w:hyperlink r:id="rId191">
        <w:r>
          <w:rPr>
            <w:color w:val="1155CC"/>
            <w:u w:val="single"/>
          </w:rPr>
          <w:t>低成本层低电费煤炭,以生产实用的钠电池:科学挑战、解决战略和经济效率</w:t>
        </w:r>
      </w:hyperlink>
    </w:p>
    <w:p>
      <w:pPr>
        <w:spacing w:before="0" w:after="80"/>
      </w:pPr>
      <w:r>
        <w:rPr>
          <w:i/>
          <w:sz w:val="20"/>
        </w:rPr>
        <w:t>EN: Low‐Cost Layered Cathodes Toward Practical Sodium‐Ion Batteries: Scientific Challenges, Resolution Strategies, and Economic Efficiency</w:t>
      </w:r>
    </w:p>
    <w:p>
      <w:pPr>
        <w:spacing w:before="0" w:after="120"/>
      </w:pPr>
      <w:r>
        <w:rPr>
          <w:b/>
        </w:rPr>
        <w:t xml:space="preserve">Source: </w:t>
      </w:r>
      <w:r>
        <w:t>Wiley: Advanced Energy Materials: Table of Contents</w:t>
      </w:r>
      <w:r>
        <w:t xml:space="preserve">    </w:t>
      </w:r>
      <w:r>
        <w:rPr>
          <w:b/>
        </w:rPr>
        <w:t xml:space="preserve">Pub date: </w:t>
      </w:r>
      <w:r>
        <w:t>2026-01-19 07:31:50+00:00</w:t>
      </w:r>
      <w:r>
        <w:t xml:space="preserve">    </w:t>
      </w:r>
      <w:r>
        <w:rPr>
          <w:b/>
        </w:rPr>
        <w:t xml:space="preserve">DOI: </w:t>
      </w:r>
      <w:hyperlink r:id="rId192">
        <w:r>
          <w:rPr>
            <w:color w:val="1155CC"/>
            <w:u w:val="single"/>
          </w:rPr>
          <w:t>10.1002/aenm.202506411</w:t>
        </w:r>
      </w:hyperlink>
    </w:p>
    <w:p>
      <w:pPr>
        <w:spacing w:before="0" w:after="120"/>
      </w:pPr>
      <w:r>
        <w:rPr>
          <w:b/>
        </w:rPr>
        <w:t xml:space="preserve">Notes: </w:t>
      </w:r>
      <w:r>
        <w:t>abstract_source=crossref</w:t>
      </w:r>
    </w:p>
    <w:p>
      <w:pPr>
        <w:spacing w:before="0" w:after="80" w:lineRule="auto" w:line="276"/>
      </w:pPr>
      <w:r>
        <w:rPr>
          <w:b/>
        </w:rPr>
        <w:t xml:space="preserve">摘要（ZH）: </w:t>
      </w:r>
      <w:r>
        <w:t>锂离子电池(LIBs)是最广泛使用的商业可再充电电池,但锂、镍和钴等关键原材料的稳定供应面临挑战,由于类似工作原则和钠资源丰富,钠电池被视为潜在的替代物,补充液离子电池(SIBs)的潜在替代品和补充。由于成熟的合成技术和令人满意的能量密度,多氧化二氮阴极材料(LOCMs)被认为是SIBs最有希望的实用阴极之一。然而,镍在离聚乙烯中用于镍生产过程中的环境污染和广泛使用高镍聚氨酯引起的价格波动风险引起了对镍离子生产过程中的环境污染的关切。</w:t>
      </w:r>
    </w:p>
    <w:p>
      <w:pPr>
        <w:spacing w:before="0" w:after="200" w:lineRule="auto" w:line="276"/>
      </w:pPr>
      <w:r>
        <w:rPr>
          <w:b/>
        </w:rPr>
        <w:t xml:space="preserve">Abstract (EN): </w:t>
      </w:r>
      <w:r>
        <w:t>Lithium‐ion batteries (LIBs) are the most widely used commercial rechargeable batteries, but the stable supply of key raw materials such as lithium, nickel, and cobalt faces challenges. Sodium‐ion batteries (SIBs) are considered as potential alternatives and complements to LIBs due to similar working principles and the abundance of sodium resources. Layered oxide cathode materials (LOCMs) are recognized as one of the most promising practical cathodes for SIBs because of mature synthesis technology and satisfactory energy density. However, the use of nickel in LOCMs for SIBs has raised concerns about environmental pollution during nickel production and the risk of price volatility stemming from the widespread application of high‐nickel LOCMs for LIBs. Therefore, developing low‐cost nickel‐free LOCMs is crucial for enhancing the environmental friendliness and cost advantages of SIBs. For low‐cost LOCMs, this review discusses the feasibility of replacing Ni</w:t>
      </w:r>
      <w:r>
        <w:t xml:space="preserve"> </w:t>
      </w:r>
      <w:r>
        <w:t>2+</w:t>
      </w:r>
      <w:r>
        <w:t xml:space="preserve"> </w:t>
      </w:r>
      <w:r>
        <w:t>/Ni</w:t>
      </w:r>
      <w:r>
        <w:t xml:space="preserve"> </w:t>
      </w:r>
      <w:r>
        <w:t>4+</w:t>
      </w:r>
      <w:r>
        <w:t xml:space="preserve"> </w:t>
      </w:r>
      <w:r>
        <w:t>with Fe</w:t>
      </w:r>
      <w:r>
        <w:t xml:space="preserve"> </w:t>
      </w:r>
      <w:r>
        <w:t>3+</w:t>
      </w:r>
      <w:r>
        <w:t xml:space="preserve"> </w:t>
      </w:r>
      <w:r>
        <w:t>/Fe</w:t>
      </w:r>
      <w:r>
        <w:t xml:space="preserve"> </w:t>
      </w:r>
      <w:r>
        <w:t>4+</w:t>
      </w:r>
      <w:r>
        <w:t xml:space="preserve"> </w:t>
      </w:r>
      <w:r>
        <w:t>and Mn</w:t>
      </w:r>
      <w:r>
        <w:t xml:space="preserve"> </w:t>
      </w:r>
      <w:r>
        <w:t>3+</w:t>
      </w:r>
      <w:r>
        <w:t xml:space="preserve"> </w:t>
      </w:r>
      <w:r>
        <w:t>/Mn</w:t>
      </w:r>
      <w:r>
        <w:t xml:space="preserve"> </w:t>
      </w:r>
      <w:r>
        <w:t>4+</w:t>
      </w:r>
      <w:r>
        <w:t xml:space="preserve"> </w:t>
      </w:r>
      <w:r>
        <w:t>for charge compensation in SIBs, and summarizes the resulting critical scientific challenges (Fe migration, Mn dissolution, Jahn‐Teller effect, Na deficiency, and thermal instability). Economic efficiency assessment based on cost and electrochemical properties indicates that low‐cost LOCMs exhibit the highest cost‐performance ratio. Finally, to accelerate the commercialization of cost‐effective SIBs technologies, this review outlines promising development pathways of low‐cost LOCMs.</w:t>
      </w:r>
    </w:p>
    <w:p>
      <w:pPr>
        <w:spacing w:before="120" w:after="120"/>
      </w:pPr>
      <w:r>
        <w:rPr>
          <w:sz w:val="18"/>
        </w:rPr>
        <w:t>——————————————————————————————————————————————————————————————————————</w:t>
      </w:r>
    </w:p>
    <w:p>
      <w:pPr>
        <w:spacing w:before="160" w:after="40" w:line="240" w:lineRule="auto"/>
      </w:pPr>
      <w:r>
        <w:rPr>
          <w:b/>
        </w:rPr>
        <w:t xml:space="preserve">[132] </w:t>
      </w:r>
      <w:hyperlink r:id="rId193">
        <w:r>
          <w:rPr>
            <w:color w:val="1155CC"/>
            <w:u w:val="single"/>
          </w:rPr>
          <w:t>将RNA降解转化为准确的RNA检测:RNase I - 协助临床样本的滚圈放大</w:t>
        </w:r>
      </w:hyperlink>
    </w:p>
    <w:p>
      <w:pPr>
        <w:spacing w:before="0" w:after="80"/>
      </w:pPr>
      <w:r>
        <w:rPr>
          <w:i/>
          <w:sz w:val="20"/>
        </w:rPr>
        <w:t>EN: Transforming RNA Degradation into Accurate RNA Detection: RNase I–Assisted Rolling Circle Amplification for Clinical Samples</w:t>
      </w:r>
    </w:p>
    <w:p>
      <w:pPr>
        <w:spacing w:before="0" w:after="120"/>
      </w:pPr>
      <w:r>
        <w:rPr>
          <w:b/>
        </w:rPr>
        <w:t xml:space="preserve">Source: </w:t>
      </w:r>
      <w:r>
        <w:t>Wiley: Angewandte Chemie International Edition: Table of Contents</w:t>
      </w:r>
      <w:r>
        <w:t xml:space="preserve">    </w:t>
      </w:r>
      <w:r>
        <w:rPr>
          <w:b/>
        </w:rPr>
        <w:t xml:space="preserve">Pub date: </w:t>
      </w:r>
      <w:r>
        <w:t>2026-01-19 07:33:11+00:00</w:t>
      </w:r>
      <w:r>
        <w:t xml:space="preserve">    </w:t>
      </w:r>
      <w:r>
        <w:rPr>
          <w:b/>
        </w:rPr>
        <w:t xml:space="preserve">DOI: </w:t>
      </w:r>
      <w:hyperlink r:id="rId194">
        <w:r>
          <w:rPr>
            <w:color w:val="1155CC"/>
            <w:u w:val="single"/>
          </w:rPr>
          <w:t>10.1002/anie.202525591</w:t>
        </w:r>
      </w:hyperlink>
    </w:p>
    <w:p>
      <w:pPr>
        <w:spacing w:before="0" w:after="120"/>
      </w:pPr>
      <w:r>
        <w:rPr>
          <w:b/>
        </w:rPr>
        <w:t xml:space="preserve">Notes: </w:t>
      </w:r>
      <w:r>
        <w:t>abstract_source=crossref</w:t>
      </w:r>
    </w:p>
    <w:p>
      <w:pPr>
        <w:spacing w:before="0" w:after="80" w:lineRule="auto" w:line="276"/>
      </w:pPr>
      <w:r>
        <w:rPr>
          <w:b/>
        </w:rPr>
        <w:t xml:space="preserve">摘要（ZH）: </w:t>
      </w:r>
      <w:r>
        <w:t>抽象Ribonuclelease是强大的降解性酶,迅速割裂RNA, 长期以来一直被视为RNA诊断的障碍。 生物样本中大型、结构化RNA分子的检测由于广泛的二级结构和丰富的背景RNA而更加复杂。 我们在这里通过RNase I - 辅助滚动循环增殖(RIRCA)战略将这种破坏性活动转化为诊断优势,该战略将酶RNA消化与循环DNA模板(CDTs)相结合,以实现直接的、逆向的无RNA检测。 在这个系统中,Escherichichia coli RNase I — 一种可广泛得到的内核核素释放 — 选择性消化(Enteroribonuclease I) 结构,以揭示相配套的CDTQ。</w:t>
      </w:r>
    </w:p>
    <w:p>
      <w:pPr>
        <w:spacing w:before="0" w:after="200" w:lineRule="auto" w:line="276"/>
      </w:pPr>
      <w:r>
        <w:rPr>
          <w:b/>
        </w:rPr>
        <w:t xml:space="preserve">Abstract (EN): </w:t>
      </w:r>
      <w:r>
        <w:t>Ribonucleases are powerful degradative enzymes that rapidly cleave RNA and have long been regarded as obstacles to RNA diagnostics. Detecting large, structured RNA molecules in biological samples is further complicated by extensive secondary structures and abundant background RNA. Here we transform this destructive activity into a diagnostic advantage through a RNase I–assisted rolling circle amplification (RI‐RCA) strategy that integrates enzymatic RNA digestion with circular DNA templates (CDTs) to achieve direct, reverse‐transcription‐free RNA detection. In this system,</w:t>
      </w:r>
      <w:r>
        <w:t xml:space="preserve"> </w:t>
      </w:r>
      <w:r>
        <w:t>Escherichia coli</w:t>
      </w:r>
      <w:r>
        <w:t xml:space="preserve"> </w:t>
      </w:r>
      <w:r>
        <w:t>RNase I—a widely available endoribonuclease—selectively digests structured RNA to expose complementary CDT‐binding sites, which are immediately protected through duplex formation and converted into primers for RCA. The resulting reaction proceeds isothermally at room temperature in linear, quasi‐exponential, and exponential modes, achieving quantitative signal generation across concentrations from 50 aM to 50 fM and maintaining performance in 50% pooled human saliva. Applied to clinical saliva samples from SARS‐CoV‐2–positive and –negative individuals, RI‐RCA achieved near‐perfect sensitivity and 98–100% diagnostic accuracy. By coupling enzymatic RNA digestion with sequence‐specific protection via CDT hybridization, this strategy converts RNA instability from a liability into an analytical advantage, providing a simple, robust, and clinically translatable platform for accurate detection of structured RNA targets.</w:t>
      </w:r>
    </w:p>
    <w:p>
      <w:pPr>
        <w:spacing w:before="120" w:after="120"/>
      </w:pPr>
      <w:r>
        <w:rPr>
          <w:sz w:val="18"/>
        </w:rPr>
        <w:t>——————————————————————————————————————————————————————————————————————</w:t>
      </w:r>
    </w:p>
    <w:p>
      <w:pPr>
        <w:spacing w:before="160" w:after="40" w:line="240" w:lineRule="auto"/>
      </w:pPr>
      <w:r>
        <w:rPr>
          <w:b/>
        </w:rPr>
        <w:t xml:space="preserve">[133] </w:t>
      </w:r>
      <w:hyperlink r:id="rId195">
        <w:r>
          <w:rPr>
            <w:color w:val="1155CC"/>
            <w:u w:val="single"/>
          </w:rPr>
          <w:t>由序列功能组迁移启用的未激活高原的1,3-迪卡尔博功能化</w:t>
        </w:r>
      </w:hyperlink>
    </w:p>
    <w:p>
      <w:pPr>
        <w:spacing w:before="0" w:after="80"/>
      </w:pPr>
      <w:r>
        <w:rPr>
          <w:i/>
          <w:sz w:val="20"/>
        </w:rPr>
        <w:t>EN: Homologative Radical 1,3‐Dicarbofunctionalization of Unactivated Alkenes Enabled by Sequential Functional Group Migrations</w:t>
      </w:r>
    </w:p>
    <w:p>
      <w:pPr>
        <w:spacing w:before="0" w:after="120"/>
      </w:pPr>
      <w:r>
        <w:rPr>
          <w:b/>
        </w:rPr>
        <w:t xml:space="preserve">Source: </w:t>
      </w:r>
      <w:r>
        <w:t>Wiley: Angewandte Chemie International Edition: Table of Contents</w:t>
      </w:r>
      <w:r>
        <w:t xml:space="preserve">    </w:t>
      </w:r>
      <w:r>
        <w:rPr>
          <w:b/>
        </w:rPr>
        <w:t xml:space="preserve">Pub date: </w:t>
      </w:r>
      <w:r>
        <w:t>2026-01-19 07:35:41+00:00</w:t>
      </w:r>
      <w:r>
        <w:t xml:space="preserve">    </w:t>
      </w:r>
      <w:r>
        <w:rPr>
          <w:b/>
        </w:rPr>
        <w:t xml:space="preserve">DOI: </w:t>
      </w:r>
      <w:hyperlink r:id="rId196">
        <w:r>
          <w:rPr>
            <w:color w:val="1155CC"/>
            <w:u w:val="single"/>
          </w:rPr>
          <w:t>10.1002/anie.202525903</w:t>
        </w:r>
      </w:hyperlink>
    </w:p>
    <w:p>
      <w:pPr>
        <w:spacing w:before="0" w:after="120"/>
      </w:pPr>
      <w:r>
        <w:rPr>
          <w:b/>
        </w:rPr>
        <w:t xml:space="preserve">Notes: </w:t>
      </w:r>
      <w:r>
        <w:t>abstract_source=crossref</w:t>
      </w:r>
    </w:p>
    <w:p>
      <w:pPr>
        <w:spacing w:before="0" w:after="80" w:lineRule="auto" w:line="276"/>
      </w:pPr>
      <w:r>
        <w:rPr>
          <w:b/>
        </w:rPr>
        <w:t xml:space="preserve">摘要（ZH）: </w:t>
      </w:r>
      <w:r>
        <w:t>摘要摘要:尽管过去十年来在常规的1,2-对高原的1,2-半功能化方面取得了显著进展,但1,3-半功能化的同质性仍然基本不发达。在此,我们报告通过连续的功能群体迁移,通过单碳链延展实现的未经活化的阿尔肯体的1,3-二子机能化的新照片诱发的同质性1,3-二子机能化。通过战略设计的三级酒精和肝素作为多功能组合伙伴,这种方法为结构多样化、高密度替代液态金酮和中等规模的环球鱼提供了独家化和再生选择性。这种转变适应了广泛的移徙群体,包括各种异血球、联苯和艾肯穆提夫斯等。</w:t>
      </w:r>
    </w:p>
    <w:p>
      <w:pPr>
        <w:spacing w:before="0" w:after="200" w:lineRule="auto" w:line="276"/>
      </w:pPr>
      <w:r>
        <w:rPr>
          <w:b/>
        </w:rPr>
        <w:t xml:space="preserve">Abstract (EN): </w:t>
      </w:r>
      <w:r>
        <w:t>Despite significant advances in conventional radical‐mediated 1,2‐difunctionalization of alkenes over the past decade, homologative 1,3‐difunctionalization remains largely underdeveloped. Herein, we report a novel photoinduced homologative 1,3‐dicarbofunctionalization of unactivated alkenes via one‐carbon chain elongation, achieved through sequential functional group migrations. By employing strategically designed tertiary alcohols and heteroarylsulfones as versatile coupling partners, this method affords structurally diverse, densely substituted aliphatic ketones and medium‐sized cyclic scaffolds with exclusive chemo‐ and regioselectivity. The transformation accommodates a broad range of migrating groups, including various heteroaryl, phenyl, and alkenyl motifs, and exhibits excellent functional group tolerance.</w:t>
      </w:r>
    </w:p>
    <w:p>
      <w:pPr>
        <w:spacing w:before="120" w:after="120"/>
      </w:pPr>
      <w:r>
        <w:rPr>
          <w:sz w:val="18"/>
        </w:rPr>
        <w:t>——————————————————————————————————————————————————————————————————————</w:t>
      </w:r>
    </w:p>
    <w:p>
      <w:pPr>
        <w:spacing w:before="160" w:after="40" w:line="240" w:lineRule="auto"/>
      </w:pPr>
      <w:r>
        <w:rPr>
          <w:b/>
        </w:rPr>
        <w:t xml:space="preserve">[134] </w:t>
      </w:r>
      <w:hyperlink r:id="rId197">
        <w:r>
          <w:rPr>
            <w:color w:val="1155CC"/>
            <w:u w:val="single"/>
          </w:rPr>
          <w:t>编程 区域间聚合:机器学习联合单元 微胶囊及以后的定量合理设计规则</w:t>
        </w:r>
      </w:hyperlink>
    </w:p>
    <w:p>
      <w:pPr>
        <w:spacing w:before="0" w:after="80"/>
      </w:pPr>
      <w:r>
        <w:rPr>
          <w:i/>
          <w:sz w:val="20"/>
        </w:rPr>
        <w:t>EN: Programming Interfacial Polymerization: Machine Learning Unveils Quantitative Rational Design Rules for Microcapsules and Beyond</w:t>
      </w:r>
    </w:p>
    <w:p>
      <w:pPr>
        <w:spacing w:before="0" w:after="120"/>
      </w:pPr>
      <w:r>
        <w:rPr>
          <w:b/>
        </w:rPr>
        <w:t xml:space="preserve">Source: </w:t>
      </w:r>
      <w:r>
        <w:t>Wiley: Advanced Materials: Table of Contents</w:t>
      </w:r>
      <w:r>
        <w:t xml:space="preserve">    </w:t>
      </w:r>
      <w:r>
        <w:rPr>
          <w:b/>
        </w:rPr>
        <w:t xml:space="preserve">Pub date: </w:t>
      </w:r>
      <w:r>
        <w:t>2026-01-19 07:36:27+00:00</w:t>
      </w:r>
      <w:r>
        <w:t xml:space="preserve">    </w:t>
      </w:r>
      <w:r>
        <w:rPr>
          <w:b/>
        </w:rPr>
        <w:t xml:space="preserve">DOI: </w:t>
      </w:r>
      <w:hyperlink r:id="rId198">
        <w:r>
          <w:rPr>
            <w:color w:val="1155CC"/>
            <w:u w:val="single"/>
          </w:rPr>
          <w:t>10.1002/adma.202517708</w:t>
        </w:r>
      </w:hyperlink>
    </w:p>
    <w:p>
      <w:pPr>
        <w:spacing w:before="0" w:after="120"/>
      </w:pPr>
      <w:r>
        <w:rPr>
          <w:b/>
        </w:rPr>
        <w:t xml:space="preserve">Notes: </w:t>
      </w:r>
      <w:r>
        <w:t>abstract_source=crossref</w:t>
      </w:r>
    </w:p>
    <w:p>
      <w:pPr>
        <w:spacing w:before="0" w:after="80" w:lineRule="auto" w:line="276"/>
      </w:pPr>
      <w:r>
        <w:rPr>
          <w:b/>
        </w:rPr>
        <w:t xml:space="preserve">摘要（ZH）: </w:t>
      </w:r>
      <w:r>
        <w:t>ABSTACT 合成聚合物(IP) 是一种用于设计聚合膜的多功能平台技术,但主要由于缺乏定量合理设计原则,经验方法仍然阻碍其推广到微囊(MIP)等应用,这主要是因为缺乏定量合理设计原则。 与将纳米结构控制作为优先事项的分离膜不同,MIP强调封装效率(EE%),使传统膜衍生理论和热力描述器不足。 在这项工作中,我们通过使用可解释的机器学习来编程间聚合,从而破解机制的知情定量设计规则,超越了这些限制。我们的数据驱动平台将分子热力动力、聚合结合起来。</w:t>
      </w:r>
    </w:p>
    <w:p>
      <w:pPr>
        <w:spacing w:before="0" w:after="200" w:lineRule="auto" w:line="276"/>
      </w:pPr>
      <w:r>
        <w:rPr>
          <w:b/>
        </w:rPr>
        <w:t xml:space="preserve">Abstract (EN): </w:t>
      </w:r>
      <w:r>
        <w:t>Interfacial polymerization (IP) serves as a versatile platform technology for designing polymeric membranes, yet its extension to applications such as microencapsulation (MIP) remains hindered by empirical methodologies, largely due to the absence of quantitative rational design principles. Unlike separation membranes, which prioritize nanostructural control, MIP emphasizes encapsulation efficiency (EE%), rendering conventional membrane‐derived theories and thermodynamic descriptors insufficient. In this work, we transcend these limitations by employing interpretable machine learning to program interfacial polymerization, thereby deciphering mechanism‐informed quantitative design rules. Our data‐driven platform integrates molecular thermodynamics, polymerization kinetics, and emulsion‐stabilized interfacial parameters to identify previously overlooked descriptors governing microcapsule formation. We establish a predictive chemical–process–structure–performance relationship and demonstrate programmable control over key performances, including EE% (30%–95%), particle size (100–400 µm), and shell thickness‐to‐radius ratios (0.005–1) for diverse payloads spanning hydrophobic, hydrophilic, and highly reactive compounds such as toluene diisocyanate and amines. This work not only resolves long‐standing challenges in understanding complex multiphase interactions in MIP but also establishes a new paradigm for the quantitative design of polymeric microcapsules, with broad implications for functional particles, catalytic microreactors, digital cells, and membranes.</w:t>
      </w:r>
    </w:p>
    <w:p>
      <w:pPr>
        <w:spacing w:before="120" w:after="120"/>
      </w:pPr>
      <w:r>
        <w:rPr>
          <w:sz w:val="18"/>
        </w:rPr>
        <w:t>——————————————————————————————————————————————————————————————————————</w:t>
      </w:r>
    </w:p>
    <w:p>
      <w:pPr>
        <w:spacing w:before="160" w:after="40" w:line="240" w:lineRule="auto"/>
      </w:pPr>
      <w:r>
        <w:rPr>
          <w:b/>
        </w:rPr>
        <w:t xml:space="preserve">[135] </w:t>
      </w:r>
      <w:hyperlink r:id="rId199">
        <w:r>
          <w:rPr>
            <w:color w:val="1155CC"/>
            <w:u w:val="single"/>
          </w:rPr>
          <w:t>硬质波状空间分离金属有机气体隔离框架设计原则</w:t>
        </w:r>
      </w:hyperlink>
    </w:p>
    <w:p>
      <w:pPr>
        <w:spacing w:before="0" w:after="80"/>
      </w:pPr>
      <w:r>
        <w:rPr>
          <w:i/>
          <w:sz w:val="20"/>
        </w:rPr>
        <w:t>EN: Aliphatic Ligand Design Principles for Rigid Pore‐Space‐Partitioned Metal‐Organic Frameworks for Gas Separation</w:t>
      </w:r>
    </w:p>
    <w:p>
      <w:pPr>
        <w:spacing w:before="0" w:after="120"/>
      </w:pPr>
      <w:r>
        <w:rPr>
          <w:b/>
        </w:rPr>
        <w:t xml:space="preserve">Source: </w:t>
      </w:r>
      <w:r>
        <w:t>Wiley: Angewandte Chemie International Edition: Table of Contents</w:t>
      </w:r>
      <w:r>
        <w:t xml:space="preserve">    </w:t>
      </w:r>
      <w:r>
        <w:rPr>
          <w:b/>
        </w:rPr>
        <w:t xml:space="preserve">Pub date: </w:t>
      </w:r>
      <w:r>
        <w:t>2026-01-19 07:37:20+00:00</w:t>
      </w:r>
      <w:r>
        <w:t xml:space="preserve">    </w:t>
      </w:r>
      <w:r>
        <w:rPr>
          <w:b/>
        </w:rPr>
        <w:t xml:space="preserve">DOI: </w:t>
      </w:r>
      <w:hyperlink r:id="rId200">
        <w:r>
          <w:rPr>
            <w:color w:val="1155CC"/>
            <w:u w:val="single"/>
          </w:rPr>
          <w:t>10.1002/anie.202521262</w:t>
        </w:r>
      </w:hyperlink>
    </w:p>
    <w:p>
      <w:pPr>
        <w:spacing w:before="0" w:after="120"/>
      </w:pPr>
      <w:r>
        <w:rPr>
          <w:b/>
        </w:rPr>
        <w:t xml:space="preserve">Notes: </w:t>
      </w:r>
      <w:r>
        <w:t>abstract_source=crossref</w:t>
      </w:r>
    </w:p>
    <w:p>
      <w:pPr>
        <w:spacing w:before="0" w:after="80" w:lineRule="auto" w:line="276"/>
      </w:pPr>
      <w:r>
        <w:rPr>
          <w:b/>
        </w:rPr>
        <w:t xml:space="preserve">摘要（ZH）: </w:t>
      </w:r>
      <w:r>
        <w:t>在框架材料的设计中,抽象等离子体在结构材料的设计中往往被置于次要位置,因为它们的相容灵活性可能助长难以结晶、孔隙度低和稳定性等问题。 试图通过悬浮和延展增加孔隙性通常会使这些问题更加恶化。 在这里,我们提议扩大生物分泌替代(eBIS)概念,既可以扩大,也可以将静态悬离体放大和硬化。 我们展示了通过将两个环形环形环形系列连接起来而实现的一个例子,它通过分子内非共价相互作用限制离子体和灵活性,为基于“conjugation”的僵硬性提供了替代。 由此产生的离子显示在多个MOF平台上一贯的僵硬性。 在 Pa 上,我们展示了一个例子,它通过连接两个环状环形环形环形环而限制了离子体的灵活度。</w:t>
      </w:r>
    </w:p>
    <w:p>
      <w:pPr>
        <w:spacing w:before="0" w:after="200" w:lineRule="auto" w:line="276"/>
      </w:pPr>
      <w:r>
        <w:rPr>
          <w:b/>
        </w:rPr>
        <w:t xml:space="preserve">Abstract (EN): </w:t>
      </w:r>
      <w:r>
        <w:t>Aliphatic ligands are often sidelined in the design of framework materials because their conformational flexibility can contribute to problems such as difficult crystallization, low porosity, and stability. Attempts to boost porosity by ligand elongation usually worsen these problems. Here we propose an expanded bioisosteric replacement (eBIS) concept capable of both scaling up and rigidifying aliphatic ligands. We demonstrate one example realized via linking two cyclohexyl rings in series, which restricts ligand flexibility through intramolecular non‐covalent interactions providing an alternative to the π‐conjugation‐based rigidity. The resulting ligand displays consistent rigidity across multiple MOF platforms. On the</w:t>
      </w:r>
      <w:r>
        <w:t xml:space="preserve"> </w:t>
      </w:r>
      <w:r>
        <w:t>pacs</w:t>
      </w:r>
      <w:r>
        <w:t xml:space="preserve"> </w:t>
      </w:r>
      <w:r>
        <w:t>platform, it can realize extreme pore geometry with the highest hexagonal</w:t>
      </w:r>
      <w:r>
        <w:t xml:space="preserve"> </w:t>
      </w:r>
      <w:r>
        <w:t>c</w:t>
      </w:r>
      <w:r>
        <w:t xml:space="preserve"> </w:t>
      </w:r>
      <w:r>
        <w:t>/</w:t>
      </w:r>
      <w:r>
        <w:t>a</w:t>
      </w:r>
      <w:r>
        <w:t xml:space="preserve"> </w:t>
      </w:r>
      <w:r>
        <w:t>ratio and new metal‐cluster chemistry such as the first synthesis of nickel‐titanium oxocluster. It can boost the BET surface area to as high as 2810 m</w:t>
      </w:r>
      <w:r>
        <w:rPr>
          <w:vertAlign w:val="subscript"/>
        </w:rPr>
        <w:t>2</w:t>
      </w:r>
      <w:r>
        <w:t>g</w:t>
      </w:r>
      <w:r>
        <w:t xml:space="preserve"> </w:t>
      </w:r>
      <w:r>
        <w:t>−1</w:t>
      </w:r>
      <w:r>
        <w:t xml:space="preserve"> </w:t>
      </w:r>
      <w:r>
        <w:t>, likely the highest among aliphatic‐dicarboxylate MOFs. Furthermore, it leads to possibly largest C</w:t>
      </w:r>
      <w:r>
        <w:rPr>
          <w:vertAlign w:val="subscript"/>
        </w:rPr>
        <w:t>2</w:t>
      </w:r>
      <w:r>
        <w:t>H</w:t>
      </w:r>
      <w:r>
        <w:rPr>
          <w:vertAlign w:val="subscript"/>
        </w:rPr>
        <w:t>6</w:t>
      </w:r>
      <w:r>
        <w:t>/C</w:t>
      </w:r>
      <w:r>
        <w:rPr>
          <w:vertAlign w:val="subscript"/>
        </w:rPr>
        <w:t>2</w:t>
      </w:r>
      <w:r>
        <w:t>H</w:t>
      </w:r>
      <w:r>
        <w:rPr>
          <w:vertAlign w:val="subscript"/>
        </w:rPr>
        <w:t>4</w:t>
      </w:r>
      <w:r>
        <w:t>uptake differences (88 cm</w:t>
      </w:r>
      <w:r>
        <w:rPr>
          <w:vertAlign w:val="subscript"/>
        </w:rPr>
        <w:t>3</w:t>
      </w:r>
      <w:r>
        <w:t>g</w:t>
      </w:r>
      <w:r>
        <w:t xml:space="preserve"> </w:t>
      </w:r>
      <w:r>
        <w:t>−1</w:t>
      </w:r>
      <w:r>
        <w:t xml:space="preserve"> </w:t>
      </w:r>
      <w:r>
        <w:t>, uptake ratio of 1.83, 273 K) among rigid MOFs, a desired property for C</w:t>
      </w:r>
      <w:r>
        <w:rPr>
          <w:vertAlign w:val="subscript"/>
        </w:rPr>
        <w:t>2</w:t>
      </w:r>
      <w:r>
        <w:t>H</w:t>
      </w:r>
      <w:r>
        <w:rPr>
          <w:vertAlign w:val="subscript"/>
        </w:rPr>
        <w:t>6</w:t>
      </w:r>
      <w:r>
        <w:t>‐selective separation, which is confirmed by breakthrough experiments. The remarkably low adsorption enthalpies for C</w:t>
      </w:r>
      <w:r>
        <w:rPr>
          <w:vertAlign w:val="subscript"/>
        </w:rPr>
        <w:t>2</w:t>
      </w:r>
      <w:r>
        <w:t>H</w:t>
      </w:r>
      <w:r>
        <w:rPr>
          <w:vertAlign w:val="subscript"/>
        </w:rPr>
        <w:t>6</w:t>
      </w:r>
      <w:r>
        <w:t>(14.7 kJ mol</w:t>
      </w:r>
      <w:r>
        <w:t xml:space="preserve"> </w:t>
      </w:r>
      <w:r>
        <w:t>−1</w:t>
      </w:r>
      <w:r>
        <w:t xml:space="preserve"> </w:t>
      </w:r>
      <w:r>
        <w:t>) and C</w:t>
      </w:r>
      <w:r>
        <w:rPr>
          <w:vertAlign w:val="subscript"/>
        </w:rPr>
        <w:t>2</w:t>
      </w:r>
      <w:r>
        <w:t>H</w:t>
      </w:r>
      <w:r>
        <w:rPr>
          <w:vertAlign w:val="subscript"/>
        </w:rPr>
        <w:t>4</w:t>
      </w:r>
      <w:r>
        <w:t>(15.1 kJ mol</w:t>
      </w:r>
      <w:r>
        <w:t xml:space="preserve"> </w:t>
      </w:r>
      <w:r>
        <w:t>−1</w:t>
      </w:r>
      <w:r>
        <w:t xml:space="preserve"> </w:t>
      </w:r>
      <w:r>
        <w:t>) enables low‐energy adsorbent regeneration benefitting practical separation.</w:t>
      </w:r>
    </w:p>
    <w:p>
      <w:pPr>
        <w:spacing w:before="120" w:after="120"/>
      </w:pPr>
      <w:r>
        <w:rPr>
          <w:sz w:val="18"/>
        </w:rPr>
        <w:t>——————————————————————————————————————————————————————————————————————</w:t>
      </w:r>
    </w:p>
    <w:p>
      <w:pPr>
        <w:spacing w:before="160" w:after="40" w:line="240" w:lineRule="auto"/>
      </w:pPr>
      <w:r>
        <w:rPr>
          <w:b/>
        </w:rPr>
        <w:t xml:space="preserve">[136] </w:t>
      </w:r>
      <w:hyperlink r:id="rId201">
        <w:r>
          <w:rPr>
            <w:color w:val="1155CC"/>
            <w:u w:val="single"/>
          </w:rPr>
          <w:t>通过高性能锂电池原子级氟集成改造硅水晶结构的几何改造</w:t>
        </w:r>
      </w:hyperlink>
    </w:p>
    <w:p>
      <w:pPr>
        <w:spacing w:before="0" w:after="80"/>
      </w:pPr>
      <w:r>
        <w:rPr>
          <w:i/>
          <w:sz w:val="20"/>
        </w:rPr>
        <w:t>EN: Geometric Remodeling of Silicon Crystal Structure Through Atomic‐Level Fluorine Incorporation for High‐Performance Lithium‐Ion Batteries</w:t>
      </w:r>
    </w:p>
    <w:p>
      <w:pPr>
        <w:spacing w:before="0" w:after="120"/>
      </w:pPr>
      <w:r>
        <w:rPr>
          <w:b/>
        </w:rPr>
        <w:t xml:space="preserve">Source: </w:t>
      </w:r>
      <w:r>
        <w:t>Wiley: Advanced Energy Materials: Table of Contents</w:t>
      </w:r>
      <w:r>
        <w:t xml:space="preserve">    </w:t>
      </w:r>
      <w:r>
        <w:rPr>
          <w:b/>
        </w:rPr>
        <w:t xml:space="preserve">Pub date: </w:t>
      </w:r>
      <w:r>
        <w:t>2026-01-19 07:38:50+00:00</w:t>
      </w:r>
      <w:r>
        <w:t xml:space="preserve">    </w:t>
      </w:r>
      <w:r>
        <w:rPr>
          <w:b/>
        </w:rPr>
        <w:t xml:space="preserve">DOI: </w:t>
      </w:r>
      <w:hyperlink r:id="rId202">
        <w:r>
          <w:rPr>
            <w:color w:val="1155CC"/>
            <w:u w:val="single"/>
          </w:rPr>
          <w:t>10.1002/aenm.202504961</w:t>
        </w:r>
      </w:hyperlink>
    </w:p>
    <w:p>
      <w:pPr>
        <w:spacing w:before="0" w:after="120"/>
      </w:pPr>
      <w:r>
        <w:rPr>
          <w:b/>
        </w:rPr>
        <w:t xml:space="preserve">Notes: </w:t>
      </w:r>
      <w:r>
        <w:t>abstract_source=crossref</w:t>
      </w:r>
    </w:p>
    <w:p>
      <w:pPr>
        <w:spacing w:before="0" w:after="80" w:lineRule="auto" w:line="276"/>
      </w:pPr>
      <w:r>
        <w:rPr>
          <w:b/>
        </w:rPr>
        <w:t xml:space="preserve">摘要（ZH）: </w:t>
      </w:r>
      <w:r>
        <w:t>可持续电气化继续促使人们日益关注高性能锂锂电池(LIBs ), 高性能锂电池(LIBs)是这一转型的关键能源储存系统。 然而,基于常规石墨的LIB无法满足下一代应用的严格要求,因此需要先进的替代品。 在这里,我们通过一种新型固态 — — 蒸气 — — 综合合成方法报告了氟化硅(FIS)纳米结构的设计,该方法将所有替代物的减少与上下自下自上而下和下自上而上的综合过程结合起来。 关键是,氟原子(F)在硅(Si)板和粒子表面的中间地点都具有内在位置。</w:t>
      </w:r>
    </w:p>
    <w:p>
      <w:pPr>
        <w:spacing w:before="0" w:after="200" w:lineRule="auto" w:line="276"/>
      </w:pPr>
      <w:r>
        <w:rPr>
          <w:b/>
        </w:rPr>
        <w:t xml:space="preserve">Abstract (EN): </w:t>
      </w:r>
      <w:r>
        <w:t>Sustainable electrification continues to drive growing interest in high‐performance lithium‐ion batteries (LIBs), which are essential energy storage systems for this transition. However, conventional graphite‐based LIBs cannot meet the stringent requirements of next‐generation applications, necessitating advanced alternatives. Herein, we report the design of fluorine‐incorporated silicon (FIS) nanostructures through a novel solid–vapor–solid synthesis method that integrates metallothermic reduction with combined top‐down and bottom‐up processes. Crucially, fluorine (F) atoms are inherently positioned both at interstitial sites within the silicon (Si) lattice and on the particle surface. Interstitial F modifies the direct‐allowed band structure of Si and expands lithium penetration pathways, thereby enhancing charge transport through improved electronic conductivity and ion migration. Meanwhile, surface‐bound F induces superhydrophobicity, enabling hydrofluoric acid‐free processing during both synthesis and electrode fabrication. Comprehensively, unveiled features of FIS offer a cost‐effective manufacturing, improved structural and electrochemical stability, and superior performance, leading to cycle‐stable, fast‐charging Si anodes for advanced LIBs.</w:t>
      </w:r>
    </w:p>
    <w:p>
      <w:pPr>
        <w:spacing w:before="120" w:after="120"/>
      </w:pPr>
      <w:r>
        <w:rPr>
          <w:sz w:val="18"/>
        </w:rPr>
        <w:t>——————————————————————————————————————————————————————————————————————</w:t>
      </w:r>
    </w:p>
    <w:p>
      <w:pPr>
        <w:spacing w:before="160" w:after="40" w:line="240" w:lineRule="auto"/>
      </w:pPr>
      <w:r>
        <w:rPr>
          <w:b/>
        </w:rPr>
        <w:t xml:space="preserve">[137] </w:t>
      </w:r>
      <w:hyperlink r:id="rId203">
        <w:r>
          <w:rPr>
            <w:color w:val="1155CC"/>
            <w:u w:val="single"/>
          </w:rPr>
          <w:t>共同有机框架和复合物作为促进可持续减少二氧化碳的光电催化剂</w:t>
        </w:r>
      </w:hyperlink>
    </w:p>
    <w:p>
      <w:pPr>
        <w:spacing w:before="0" w:after="80"/>
      </w:pPr>
      <w:r>
        <w:rPr>
          <w:i/>
          <w:sz w:val="20"/>
        </w:rPr>
        <w:t>EN: Covalent Organic Framework and Composite as Photocatalysts Toward Sustainable CO2 Reduction</w:t>
      </w:r>
    </w:p>
    <w:p>
      <w:pPr>
        <w:spacing w:before="0" w:after="120"/>
      </w:pPr>
      <w:r>
        <w:rPr>
          <w:b/>
        </w:rPr>
        <w:t xml:space="preserve">Source: </w:t>
      </w:r>
      <w:r>
        <w:t>Wiley: Angewandte Chemie International Edition: Table of Contents</w:t>
      </w:r>
      <w:r>
        <w:t xml:space="preserve">    </w:t>
      </w:r>
      <w:r>
        <w:rPr>
          <w:b/>
        </w:rPr>
        <w:t xml:space="preserve">Pub date: </w:t>
      </w:r>
      <w:r>
        <w:t>2026-01-19 07:40:07+00:00</w:t>
      </w:r>
      <w:r>
        <w:t xml:space="preserve">    </w:t>
      </w:r>
      <w:r>
        <w:rPr>
          <w:b/>
        </w:rPr>
        <w:t xml:space="preserve">DOI: </w:t>
      </w:r>
      <w:hyperlink r:id="rId204">
        <w:r>
          <w:rPr>
            <w:color w:val="1155CC"/>
            <w:u w:val="single"/>
          </w:rPr>
          <w:t>10.1002/anie.202515840</w:t>
        </w:r>
      </w:hyperlink>
    </w:p>
    <w:p>
      <w:pPr>
        <w:spacing w:before="0" w:after="120"/>
      </w:pPr>
      <w:r>
        <w:rPr>
          <w:b/>
        </w:rPr>
        <w:t xml:space="preserve">Notes: </w:t>
      </w:r>
      <w:r>
        <w:t>abstract_source=crossref</w:t>
      </w:r>
    </w:p>
    <w:p>
      <w:pPr>
        <w:spacing w:before="0" w:after="80" w:lineRule="auto" w:line="276"/>
      </w:pPr>
      <w:r>
        <w:rPr>
          <w:b/>
        </w:rPr>
        <w:t xml:space="preserve">摘要（ZH）: </w:t>
      </w:r>
      <w:r>
        <w:t>气候紧急情况加剧的总结摘要迫使人们从化石燃料为基础的能源系统向可持续、碳中中立的替代能源迅速范式转变。 在新出现的战略中,通过适当的光催化剂将CO2光催性稳定化为能源密集燃料和商品化学品,为温室气体缓解和可再生能源储存提供了一个直接的、经济上可行的解决办法。在这方面,共价有机框架(COFs)已成为极有希望的晶体、多孔半导体光催化剂类别,因为CO2的结构性反应(CO2 RR)减少二氧化碳反应(CO2 RR)。</w:t>
      </w:r>
    </w:p>
    <w:p>
      <w:pPr>
        <w:spacing w:before="0" w:after="200" w:lineRule="auto" w:line="276"/>
      </w:pPr>
      <w:r>
        <w:rPr>
          <w:b/>
        </w:rPr>
        <w:t xml:space="preserve">Abstract (EN): </w:t>
      </w:r>
      <w:r>
        <w:t>The intensifying climate emergency compels a rapid paradigm shift from fossil fuel‐based energy systems toward sustainable, carbon‐neutral alternatives. Among emerging strategies, the photocatalytic valorization of CO</w:t>
      </w:r>
      <w:r>
        <w:rPr>
          <w:vertAlign w:val="subscript"/>
        </w:rPr>
        <w:t>2</w:t>
      </w:r>
      <w:r>
        <w:t>into energy‐dense fuels and commodity chemicals by suitable photocatalysts presents a straightforward and economically viable solution for both greenhouse gas mitigation and renewable energy storage. In this context, covalent organic frameworks (COFs) have emerged as a highly promising class of crystalline, porous semiconductor photocatalysts for CO</w:t>
      </w:r>
      <w:r>
        <w:rPr>
          <w:vertAlign w:val="subscript"/>
        </w:rPr>
        <w:t>2</w:t>
      </w:r>
      <w:r>
        <w:t>reduction reactions (CO</w:t>
      </w:r>
      <w:r>
        <w:rPr>
          <w:vertAlign w:val="subscript"/>
        </w:rPr>
        <w:t>2</w:t>
      </w:r>
      <w:r>
        <w:t>RR), owing to their structural regularity, modularity, and optoelectronic tunability. In this review, we comprehensively outline the recent progress in three distinct categories of COF‐based photocatalytic systems: metal‐free COFs, single‐metal‐atom based COFs, and COF‐based composites. Key strategies such as the judicious incorporation of donor–acceptor architectures, rational post‐synthetic functionalization, and heterojunction engineering are discussed. Insights from in situ operando characterization and theoretical calculations are also presented to highlight the roles of exciton dynamics, charge separation, active site engineering, and structure–function relationship in CO</w:t>
      </w:r>
      <w:r>
        <w:rPr>
          <w:vertAlign w:val="subscript"/>
        </w:rPr>
        <w:t>2</w:t>
      </w:r>
      <w:r>
        <w:t>RR. Finally, we propose future research directions for better utilization of COFs in solar fuel/chemical generation. Overall, this review aims to provide a comprehensive discussion on the advancement of COF‐based photocatalysts and next‐generation CO</w:t>
      </w:r>
      <w:r>
        <w:rPr>
          <w:vertAlign w:val="subscript"/>
        </w:rPr>
        <w:t>2</w:t>
      </w:r>
      <w:r>
        <w:t>valorization materials.</w:t>
      </w:r>
    </w:p>
    <w:p>
      <w:pPr>
        <w:spacing w:before="120" w:after="120"/>
      </w:pPr>
      <w:r>
        <w:rPr>
          <w:sz w:val="18"/>
        </w:rPr>
        <w:t>——————————————————————————————————————————————————————————————————————</w:t>
      </w:r>
    </w:p>
    <w:p>
      <w:pPr>
        <w:spacing w:before="160" w:after="40" w:line="240" w:lineRule="auto"/>
      </w:pPr>
      <w:r>
        <w:rPr>
          <w:b/>
        </w:rPr>
        <w:t xml:space="preserve">[138] </w:t>
      </w:r>
      <w:hyperlink r:id="rId205">
        <w:r>
          <w:rPr>
            <w:color w:val="1155CC"/>
            <w:u w:val="single"/>
          </w:rPr>
          <w:t>多晶体X射线碎片(MCXRD)连接化学和材料科学中的晶体特征差距:对财政部的应用</w:t>
        </w:r>
      </w:hyperlink>
    </w:p>
    <w:p>
      <w:pPr>
        <w:spacing w:before="0" w:after="80"/>
      </w:pPr>
      <w:r>
        <w:rPr>
          <w:i/>
          <w:sz w:val="20"/>
        </w:rPr>
        <w:t>EN: Multi‐Crystal X‐Ray Diffraction (MCXRD) Bridges the Crystallographic Characterisation Gap in Chemistry and Materials Science: Application to MOFs</w:t>
      </w:r>
    </w:p>
    <w:p>
      <w:pPr>
        <w:spacing w:before="0" w:after="120"/>
      </w:pPr>
      <w:r>
        <w:rPr>
          <w:b/>
        </w:rPr>
        <w:t xml:space="preserve">Source: </w:t>
      </w:r>
      <w:r>
        <w:t>Wiley: Angewandte Chemie International Edition: Table of Contents</w:t>
      </w:r>
      <w:r>
        <w:t xml:space="preserve">    </w:t>
      </w:r>
      <w:r>
        <w:rPr>
          <w:b/>
        </w:rPr>
        <w:t xml:space="preserve">Pub date: </w:t>
      </w:r>
      <w:r>
        <w:t>2026-01-19 07:44:10+00:00</w:t>
      </w:r>
      <w:r>
        <w:t xml:space="preserve">    </w:t>
      </w:r>
      <w:r>
        <w:rPr>
          <w:b/>
        </w:rPr>
        <w:t xml:space="preserve">DOI: </w:t>
      </w:r>
      <w:hyperlink r:id="rId206">
        <w:r>
          <w:rPr>
            <w:color w:val="1155CC"/>
            <w:u w:val="single"/>
          </w:rPr>
          <w:t>10.1002/anie.202523233</w:t>
        </w:r>
      </w:hyperlink>
    </w:p>
    <w:p>
      <w:pPr>
        <w:spacing w:before="0" w:after="120"/>
      </w:pPr>
      <w:r>
        <w:rPr>
          <w:b/>
        </w:rPr>
        <w:t xml:space="preserve">Notes: </w:t>
      </w:r>
      <w:r>
        <w:t>abstract_source=crossref</w:t>
      </w:r>
    </w:p>
    <w:p>
      <w:pPr>
        <w:spacing w:before="0" w:after="80" w:lineRule="auto" w:line="276"/>
      </w:pPr>
      <w:r>
        <w:rPr>
          <w:b/>
        </w:rPr>
        <w:t xml:space="preserve">摘要（ZH）: </w:t>
      </w:r>
      <w:r>
        <w:t>利用非常强烈的X射线辐射进行辐射损害时,X射线结构的抽象结构确定受到晶体大小的限制,并可能受到辐射损害。从由多个晶体组成的部分折射数据集中进行X射线结构确定是一个潜在的解决办法,但在化学和材料科学中利用X射线进行的情况基本上没有实现。我们在这里报告了为确定晶体尺寸过小的金属有机框架材料的结构而调整的多晶体射线XXRD(MCXRD)用于多晶体体射线X射线的同步原子辐射(MCXRD)的使用情况,这种材料的晶体尺寸太小,无法进行常规的单晶体分射法研究。我们进一步表明,辐射引起的化学变化和碎片质量的退化是可以减轻的。我们的方法包括:</w:t>
      </w:r>
    </w:p>
    <w:p>
      <w:pPr>
        <w:spacing w:before="0" w:after="200" w:lineRule="auto" w:line="276"/>
      </w:pPr>
      <w:r>
        <w:rPr>
          <w:b/>
        </w:rPr>
        <w:t xml:space="preserve">Abstract (EN): </w:t>
      </w:r>
      <w:r>
        <w:t>Structure determination by X‐ray diffraction is limited by crystal size and can be compromised by radiation damage when using very intense X‐ray radiation. X‐ray structure determination from partial diffraction data sets combined from multiple crystals is a potential solution, but its exploitation in chemistry and materials science is largely unrealized. Here we report the use of synchrotron radiation for multi‐crystal X‐ray diffraction (MCXRD) adapted for structure determination of metal‐organic framework (MOF) materials with crystal dimensions too small for conventional single‐crystal diffraction studies. We further show that radiation‐induced chemical changes and degradation of diffraction quality can be alleviated. Our approach encompasses both rotation‐ and stationary‐MCXRD measurements for 10 to 1000s of crystals with software‐optimized combination of the multiple data sets. We report the crystal structures of six MOFs: MOF‐919(Sc/Cu), MET‐2, MIL‐88B(Cr)‐1,4‐NDC, PCN‐260(Sc), UiO‐66, and UiO‐66‐MoO</w:t>
      </w:r>
      <w:r>
        <w:rPr>
          <w:vertAlign w:val="subscript"/>
        </w:rPr>
        <w:t>4</w:t>
      </w:r>
      <w:r>
        <w:t>with unit cell dimensions ranging from 18−114 Å and crystal sizes from 0.5−480 µm</w:t>
      </w:r>
      <w:r>
        <w:rPr>
          <w:vertAlign w:val="subscript"/>
        </w:rPr>
        <w:t>3</w:t>
      </w:r>
      <w:r>
        <w:t>. This approach can address the challenges of structure determination in a regime of particle size and sample radiation sensitivity that lies between existing single‐crystal X‐ray diffraction and the emerging field of electron diffraction. MCXRD can provide accurate atomic‐resolution structure determination for some of the most challenging cases in chemistry and materials science.</w:t>
      </w:r>
    </w:p>
    <w:p>
      <w:pPr>
        <w:spacing w:before="120" w:after="120"/>
      </w:pPr>
      <w:r>
        <w:rPr>
          <w:sz w:val="18"/>
        </w:rPr>
        <w:t>——————————————————————————————————————————————————————————————————————</w:t>
      </w:r>
    </w:p>
    <w:p>
      <w:pPr>
        <w:spacing w:before="160" w:after="40" w:line="240" w:lineRule="auto"/>
      </w:pPr>
      <w:r>
        <w:rPr>
          <w:b/>
        </w:rPr>
        <w:t xml:space="preserve">[139] </w:t>
      </w:r>
      <w:hyperlink r:id="rId207">
        <w:r>
          <w:rPr>
            <w:color w:val="1155CC"/>
            <w:u w:val="single"/>
          </w:rPr>
          <w:t>电解解器设计:碳酸氟乙烯和碳聚氨酯在稳定金属金属电池电池电极电解器电解器中的溶解剂</w:t>
        </w:r>
      </w:hyperlink>
    </w:p>
    <w:p>
      <w:pPr>
        <w:spacing w:before="0" w:after="80"/>
      </w:pPr>
      <w:r>
        <w:rPr>
          <w:i/>
          <w:sz w:val="20"/>
        </w:rPr>
        <w:t>EN: Synergy‐Driven Electrolyte Design: Fluoroethylene Carbonate and Succinonitrile Co‐Solvation in a Eutectic Electrolyte for Stable Sodium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2026-01-19 07:45:00+00:00</w:t>
      </w:r>
      <w:r>
        <w:t xml:space="preserve">    </w:t>
      </w:r>
      <w:r>
        <w:rPr>
          <w:b/>
        </w:rPr>
        <w:t xml:space="preserve">DOI: </w:t>
      </w:r>
      <w:hyperlink r:id="rId208">
        <w:r>
          <w:rPr>
            <w:color w:val="1155CC"/>
            <w:u w:val="single"/>
          </w:rPr>
          <w:t>10.1002/anie.202524216</w:t>
        </w:r>
      </w:hyperlink>
    </w:p>
    <w:p>
      <w:pPr>
        <w:spacing w:before="0" w:after="120"/>
      </w:pPr>
      <w:r>
        <w:rPr>
          <w:b/>
        </w:rPr>
        <w:t xml:space="preserve">Notes: </w:t>
      </w:r>
      <w:r>
        <w:t>abstract_source=crossref</w:t>
      </w:r>
    </w:p>
    <w:p>
      <w:pPr>
        <w:spacing w:before="0" w:after="80" w:lineRule="auto" w:line="276"/>
      </w:pPr>
      <w:r>
        <w:rPr>
          <w:b/>
        </w:rPr>
        <w:t xml:space="preserve">摘要（ZH）: </w:t>
      </w:r>
      <w:r>
        <w:t>抽象金属金属电池(SMBs)由于其高能量密度和丰富的钠资源,是锂电池(SMBs)的有前途的替代品,可替代锂金属电池(SMBs),但金属钠阳极的高回活性对实际应用提出了重大挑战。在这里,我们报告了一种多功能的多功能双离电电电解解解液,称为NSF5, 包括二氧化钠(氟硫磺基)酰胺(NSFFSI)、二氯硝酸钠(SNN)和碳酸氟乙烯碳酸氟(FEC),比例为1:1:5,这提高了SMAs的循环稳定性。综合实验和计算研究证实FEC和SN之间具有协同效应,FEC在N+溶液层中结合,调节解溶过程和推进剂。</w:t>
      </w:r>
    </w:p>
    <w:p>
      <w:pPr>
        <w:spacing w:before="0" w:after="200" w:lineRule="auto" w:line="276"/>
      </w:pPr>
      <w:r>
        <w:rPr>
          <w:b/>
        </w:rPr>
        <w:t xml:space="preserve">Abstract (EN): </w:t>
      </w:r>
      <w:r>
        <w:t>Sodium metal batteries (SMBs) are promising alternatives to lithium‐ion batteries due to their high energy density and abundant sodium resources. However, high reactivity of sodium metal anodes (SMAs) presents significant challenges for practical application. Herein, we report a multifunctional ternary eutectic electrolyte, termed NSF‐5, comprising sodium bis(fluorosulfonyl)imide (NaFSI), succinonitrile (SN), and fluoroethylene carbonate (FEC) in a 1:1:5 molar ratio, which enhances the cycling stability of SMAs. Combined experimental and computational studies confirm a synergistic effect between FEC and SN, where FEC integrates into the Na</w:t>
      </w:r>
      <w:r>
        <w:t xml:space="preserve"> </w:t>
      </w:r>
      <w:r>
        <w:t>+</w:t>
      </w:r>
      <w:r>
        <w:t xml:space="preserve"> </w:t>
      </w:r>
      <w:r>
        <w:t>solvation sheath, regulates the desolvation process, and promotes the formation of a robust, inorganic‐rich solid electrolyte interphase, thereby suppressing sodium dendrite growth. Consequently, SMBs with NSF‐5 demonstrate desirable cyclability under demanding conditions. Full cells coupled with Na</w:t>
      </w:r>
      <w:r>
        <w:rPr>
          <w:vertAlign w:val="subscript"/>
        </w:rPr>
        <w:t>3</w:t>
      </w:r>
      <w:r>
        <w:t>V</w:t>
      </w:r>
      <w:r>
        <w:rPr>
          <w:vertAlign w:val="subscript"/>
        </w:rPr>
        <w:t>2</w:t>
      </w:r>
      <w:r>
        <w:t>(PO</w:t>
      </w:r>
      <w:r>
        <w:rPr>
          <w:vertAlign w:val="subscript"/>
        </w:rPr>
        <w:t>4</w:t>
      </w:r>
      <w:r>
        <w:t>)</w:t>
      </w:r>
      <w:r>
        <w:rPr>
          <w:vertAlign w:val="subscript"/>
        </w:rPr>
        <w:t>3</w:t>
      </w:r>
      <w:r>
        <w:t>achieve over 1650 cycles with 90.5% capacity retention at 0.5 C and 3715 cycles with 80.2% retention at 10 C. Even at 0 °C, the cell maintains 87.9 mAh g</w:t>
      </w:r>
      <w:r>
        <w:t xml:space="preserve"> </w:t>
      </w:r>
      <w:r>
        <w:t>‒1</w:t>
      </w:r>
      <w:r>
        <w:t xml:space="preserve"> </w:t>
      </w:r>
      <w:r>
        <w:t>capacity after 3500 cycles with 81.4% retention. Moreover, this versatile electrolyte formulation can be adapted to other alkali metal battery systems, underscoring its broad applicability. This work highlights the importance of electrolyte engineering in regulating the electrode−electrolyte interphase, offering valuable insights into achieving long‐term cyclability of SMBs.</w:t>
      </w:r>
    </w:p>
    <w:p>
      <w:pPr>
        <w:spacing w:before="120" w:after="120"/>
      </w:pPr>
      <w:r>
        <w:rPr>
          <w:sz w:val="18"/>
        </w:rPr>
        <w:t>——————————————————————————————————————————————————————————————————————</w:t>
      </w:r>
    </w:p>
    <w:p>
      <w:pPr>
        <w:spacing w:before="160" w:after="40" w:line="240" w:lineRule="auto"/>
      </w:pPr>
      <w:r>
        <w:rPr>
          <w:b/>
        </w:rPr>
        <w:t xml:space="preserve">[140] </w:t>
      </w:r>
      <w:hyperlink r:id="rId209">
        <w:r>
          <w:rPr>
            <w:color w:val="1155CC"/>
            <w:u w:val="single"/>
          </w:rPr>
          <w:t>BandgapBroken Fe Spinel 电动催化器能够综合海水电解</w:t>
        </w:r>
      </w:hyperlink>
    </w:p>
    <w:p>
      <w:pPr>
        <w:spacing w:before="0" w:after="80"/>
      </w:pPr>
      <w:r>
        <w:rPr>
          <w:i/>
          <w:sz w:val="20"/>
        </w:rPr>
        <w:t>EN: Bandgap‐Broken Fe Spinel Electrocatalyst Enables Integrated Seawater Electrolysis</w:t>
      </w:r>
    </w:p>
    <w:p>
      <w:pPr>
        <w:spacing w:before="0" w:after="120"/>
      </w:pPr>
      <w:r>
        <w:rPr>
          <w:b/>
        </w:rPr>
        <w:t xml:space="preserve">Source: </w:t>
      </w:r>
      <w:r>
        <w:t>Wiley: Angewandte Chemie International Edition: Table of Contents</w:t>
      </w:r>
      <w:r>
        <w:t xml:space="preserve">    </w:t>
      </w:r>
      <w:r>
        <w:rPr>
          <w:b/>
        </w:rPr>
        <w:t xml:space="preserve">Pub date: </w:t>
      </w:r>
      <w:r>
        <w:t>2026-01-19 07:45:08+00:00</w:t>
      </w:r>
      <w:r>
        <w:t xml:space="preserve">    </w:t>
      </w:r>
      <w:r>
        <w:rPr>
          <w:b/>
        </w:rPr>
        <w:t xml:space="preserve">DOI: </w:t>
      </w:r>
      <w:hyperlink r:id="rId210">
        <w:r>
          <w:rPr>
            <w:color w:val="1155CC"/>
            <w:u w:val="single"/>
          </w:rPr>
          <w:t>10.1002/anie.202521993</w:t>
        </w:r>
      </w:hyperlink>
    </w:p>
    <w:p>
      <w:pPr>
        <w:spacing w:before="0" w:after="120"/>
      </w:pPr>
      <w:r>
        <w:rPr>
          <w:b/>
        </w:rPr>
        <w:t xml:space="preserve">Notes: </w:t>
      </w:r>
      <w:r>
        <w:t>abstract_source=crossref</w:t>
      </w:r>
    </w:p>
    <w:p>
      <w:pPr>
        <w:spacing w:before="0" w:after="80" w:lineRule="auto" w:line="276"/>
      </w:pPr>
      <w:r>
        <w:rPr>
          <w:b/>
        </w:rPr>
        <w:t xml:space="preserve">摘要（ZH）: </w:t>
      </w:r>
      <w:r>
        <w:t>摘要:尽管人们相当关注电解中的脊髓催化剂,但在原子规模上实现了其独特的红氧化活动,用于阴性海水分解和无污染废水净化,这是一项巨大的挑战;在这项工作中,我们通过将减少的ZnFe 2 O 4 和氧化的CoFe 2 O 4 在脊椎结构 Zn x Co 1 x Fe 2 O 中整合,建造带宽Zn-Broken Zn x Co 1 xx Fe 2 O 来解决这一问题。</w:t>
      </w:r>
    </w:p>
    <w:p>
      <w:pPr>
        <w:spacing w:before="0" w:after="200" w:lineRule="auto" w:line="276"/>
      </w:pPr>
      <w:r>
        <w:rPr>
          <w:b/>
        </w:rPr>
        <w:t xml:space="preserve">Abstract (EN): </w:t>
      </w:r>
      <w:r>
        <w:t>Despite considerable attention on spinel catalysts in electrocatalysis, achieving their distinct redox activity at the atomic scale for cathodic seawater splitting and anodic wastewater purification represents a huge challenge. In this work, we address this issue by constructing bandgap‐broken Zn─O─Fe─O─Co heteroatomic bonds through the integration of reduced ZnFe</w:t>
      </w:r>
      <w:r>
        <w:rPr>
          <w:vertAlign w:val="subscript"/>
        </w:rPr>
        <w:t>2</w:t>
      </w:r>
      <w:r>
        <w:t>O</w:t>
      </w:r>
      <w:r>
        <w:rPr>
          <w:vertAlign w:val="subscript"/>
        </w:rPr>
        <w:t>4</w:t>
      </w:r>
      <w:r>
        <w:t>and oxidized CoFe</w:t>
      </w:r>
      <w:r>
        <w:rPr>
          <w:vertAlign w:val="subscript"/>
        </w:rPr>
        <w:t>2</w:t>
      </w:r>
      <w:r>
        <w:t>O</w:t>
      </w:r>
      <w:r>
        <w:rPr>
          <w:vertAlign w:val="subscript"/>
        </w:rPr>
        <w:t>4</w:t>
      </w:r>
      <w:r>
        <w:t>semiconductors within spinel‐structured Zn</w:t>
      </w:r>
      <w:r>
        <w:t xml:space="preserve"> </w:t>
      </w:r>
      <w:r>
        <w:t>x</w:t>
      </w:r>
      <w:r>
        <w:t xml:space="preserve"> </w:t>
      </w:r>
      <w:r>
        <w:t>Co</w:t>
      </w:r>
      <w:r>
        <w:t xml:space="preserve"> </w:t>
      </w:r>
      <w:r>
        <w:t>1‐x</w:t>
      </w:r>
      <w:r>
        <w:t xml:space="preserve"> </w:t>
      </w:r>
      <w:r>
        <w:t>Fe</w:t>
      </w:r>
      <w:r>
        <w:rPr>
          <w:vertAlign w:val="subscript"/>
        </w:rPr>
        <w:t>2</w:t>
      </w:r>
      <w:r>
        <w:t>O</w:t>
      </w:r>
      <w:r>
        <w:rPr>
          <w:vertAlign w:val="subscript"/>
        </w:rPr>
        <w:t>4</w:t>
      </w:r>
      <w:r>
        <w:t>. The overlapping conduction and valence bands at Fe 3</w:t>
      </w:r>
      <w:r>
        <w:t xml:space="preserve"> </w:t>
      </w:r>
      <w:r>
        <w:t>d</w:t>
      </w:r>
      <w:r>
        <w:t xml:space="preserve"> </w:t>
      </w:r>
      <w:r>
        <w:t>orbitals promote electron redistribution at Fe centers, leading to electron depletion, exposure of empty</w:t>
      </w:r>
      <w:r>
        <w:t xml:space="preserve"> </w:t>
      </w:r>
      <w:r>
        <w:t>d</w:t>
      </w:r>
      <w:r>
        <w:t xml:space="preserve"> </w:t>
      </w:r>
      <w:r>
        <w:t>orbitals, and modulation of the d‐band center. These electronic modifications enhance the adsorption kinetics of H</w:t>
      </w:r>
      <w:r>
        <w:rPr>
          <w:vertAlign w:val="subscript"/>
        </w:rPr>
        <w:t>2</w:t>
      </w:r>
      <w:r>
        <w:t>O in seawater and S</w:t>
      </w:r>
      <w:r>
        <w:t xml:space="preserve"> </w:t>
      </w:r>
      <w:r>
        <w:t>2−</w:t>
      </w:r>
      <w:r>
        <w:t>species in wastewater through</w:t>
      </w:r>
      <w:r>
        <w:t xml:space="preserve"> </w:t>
      </w:r>
      <w:r>
        <w:t>d–p</w:t>
      </w:r>
      <w:r>
        <w:t xml:space="preserve"> </w:t>
      </w:r>
      <w:r>
        <w:t>orbital coupling, lowering the energy barriers for the Volmer step in hydrogen evolution reaction and the rate‐limiting *S─*S</w:t>
      </w:r>
      <w:r>
        <w:rPr>
          <w:vertAlign w:val="subscript"/>
        </w:rPr>
        <w:t>2</w:t>
      </w:r>
      <w:r>
        <w:t>process in sulfur oxidation reaction. As a result, the rational design enables efficient bifunctional activity, achieving simultaneous seawater splitting and industrial pollutant degradation in a single electrolyzer at an ultralow cell voltage of 1.07 V (10 mA cm</w:t>
      </w:r>
      <w:r>
        <w:t xml:space="preserve"> </w:t>
      </w:r>
      <w:r>
        <w:t>−2</w:t>
      </w:r>
      <w:r>
        <w:t xml:space="preserve"> </w:t>
      </w:r>
      <w:r>
        <w:t>), operable under solar energy. This study provides a fundamental design strategy for bifunctional catalysts toward integrated energy and environmental applications.</w:t>
      </w:r>
    </w:p>
    <w:p>
      <w:pPr>
        <w:spacing w:before="120" w:after="120"/>
      </w:pPr>
      <w:r>
        <w:rPr>
          <w:sz w:val="18"/>
        </w:rPr>
        <w:t>——————————————————————————————————————————————————————————————————————</w:t>
      </w:r>
    </w:p>
    <w:p>
      <w:pPr>
        <w:spacing w:before="160" w:after="40" w:line="240" w:lineRule="auto"/>
      </w:pPr>
      <w:r>
        <w:rPr>
          <w:b/>
        </w:rPr>
        <w:t xml:space="preserve">[141] </w:t>
      </w:r>
      <w:hyperlink r:id="rId211">
        <w:r>
          <w:rPr>
            <w:color w:val="1155CC"/>
            <w:u w:val="single"/>
          </w:rPr>
          <w:t>利用碳南层中碳气层高效ZincAir电池的浓缩活性聚氨酯中心</w:t>
        </w:r>
      </w:hyperlink>
    </w:p>
    <w:p>
      <w:pPr>
        <w:spacing w:before="0" w:after="80"/>
      </w:pPr>
      <w:r>
        <w:rPr>
          <w:i/>
          <w:sz w:val="20"/>
        </w:rPr>
        <w:t>EN: Monomer‐Ratio Controlled Pyridinic‐N Enrichment Modulating p‐Band Centers in Carbon Nanospheres for Efficient Zinc‐Air Batteries</w:t>
      </w:r>
    </w:p>
    <w:p>
      <w:pPr>
        <w:spacing w:before="0" w:after="120"/>
      </w:pPr>
      <w:r>
        <w:rPr>
          <w:b/>
        </w:rPr>
        <w:t xml:space="preserve">Source: </w:t>
      </w:r>
      <w:r>
        <w:t>Wiley: Angewandte Chemie International Edition: Table of Contents</w:t>
      </w:r>
      <w:r>
        <w:t xml:space="preserve">    </w:t>
      </w:r>
      <w:r>
        <w:rPr>
          <w:b/>
        </w:rPr>
        <w:t xml:space="preserve">Pub date: </w:t>
      </w:r>
      <w:r>
        <w:t>2026-01-19 07:48:19+00:00</w:t>
      </w:r>
      <w:r>
        <w:t xml:space="preserve">    </w:t>
      </w:r>
      <w:r>
        <w:rPr>
          <w:b/>
        </w:rPr>
        <w:t xml:space="preserve">DOI: </w:t>
      </w:r>
      <w:hyperlink r:id="rId212">
        <w:r>
          <w:rPr>
            <w:color w:val="1155CC"/>
            <w:u w:val="single"/>
          </w:rPr>
          <w:t>10.1002/anie.202515992</w:t>
        </w:r>
      </w:hyperlink>
    </w:p>
    <w:p>
      <w:pPr>
        <w:spacing w:before="0" w:after="120"/>
      </w:pPr>
      <w:r>
        <w:rPr>
          <w:b/>
        </w:rPr>
        <w:t xml:space="preserve">Notes: </w:t>
      </w:r>
      <w:r>
        <w:t>abstract_source=crossref</w:t>
      </w:r>
    </w:p>
    <w:p>
      <w:pPr>
        <w:spacing w:before="0" w:after="80" w:lineRule="auto" w:line="276"/>
      </w:pPr>
      <w:r>
        <w:rPr>
          <w:b/>
        </w:rPr>
        <w:t xml:space="preserve">摘要（ZH）: </w:t>
      </w:r>
      <w:r>
        <w:t>高性能、低成本减少氧反应(ORR)催化剂的抽象合理设计对推进锌-空气电池(ZABs)至关重要。本研究提出了一种封闭的环状模型,其中结合了第一原则主动地点识别、前体控制合成和装置验证,以开发高级无金属ORR电催化器。密度功能理论(DFT)计算结果确定,pyridinicN是最佳的兴奋剂配置,显示了确定速度步骤的最低能量屏障(RDS, *O 2  * * OOH)。进一步的电子结构分析显示,这种增强源自于皮里迪尼基带中心附近的碳的上升。</w:t>
      </w:r>
    </w:p>
    <w:p>
      <w:pPr>
        <w:spacing w:before="0" w:after="200" w:lineRule="auto" w:line="276"/>
      </w:pPr>
      <w:r>
        <w:rPr>
          <w:b/>
        </w:rPr>
        <w:t xml:space="preserve">Abstract (EN): </w:t>
      </w:r>
      <w:r>
        <w:t>Rational design of high‐performance, low‐cost oxygen reduction reaction (ORR) catalysts is critical for advancing zinc‐air batteries (ZABs). This study proposed a closed‐loop paradigm integrating first‐principles active site identification, precursor‐ratio‐controlled synthesis, and device validation to develop superior metal‐free ORR electrocatalysts. Density functional theory (DFT) calculations identify pyridinic‐N as the optimal doping configuration, exhibiting the lowest energy barrier (0.17 eV) for the rate‐determining step (RDS, *O</w:t>
      </w:r>
      <w:r>
        <w:rPr>
          <w:vertAlign w:val="subscript"/>
        </w:rPr>
        <w:t>2</w:t>
      </w:r>
      <w:r>
        <w:t>→ *OOH). Further electronic structure analyses revealed that this enhancement originates from pyridinic‐N‐induced upward shifts in the p‐band center of adjacent carbon atoms during the RDS, establishing this shift as a universal activity descriptor. Guided by these insights, aniline(A)/pyrrole(P) co‐polymerization with precise monomer molar ratio control yielded a series of N‐doped carbon materials (A</w:t>
      </w:r>
      <w:r>
        <w:t xml:space="preserve"> </w:t>
      </w:r>
      <w:r>
        <w:t>x</w:t>
      </w:r>
      <w:r>
        <w:t xml:space="preserve"> </w:t>
      </w:r>
      <w:r>
        <w:t>P</w:t>
      </w:r>
      <w:r>
        <w:t xml:space="preserve"> </w:t>
      </w:r>
      <w:r>
        <w:t>y</w:t>
      </w:r>
      <w:r>
        <w:t xml:space="preserve"> </w:t>
      </w:r>
      <w:r>
        <w:t>‐NC). A</w:t>
      </w:r>
      <w:r>
        <w:t xml:space="preserve"> </w:t>
      </w:r>
      <w:r>
        <w:t>0.5</w:t>
      </w:r>
      <w:r>
        <w:t xml:space="preserve"> </w:t>
      </w:r>
      <w:r>
        <w:t>P</w:t>
      </w:r>
      <w:r>
        <w:t xml:space="preserve"> </w:t>
      </w:r>
      <w:r>
        <w:t>0.5</w:t>
      </w:r>
      <w:r>
        <w:t xml:space="preserve"> </w:t>
      </w:r>
      <w:r>
        <w:t>‐NC achieved the highest pyridinic‐N content (38.91%), demonstrating exceptional ORR activity that surpasses other A</w:t>
      </w:r>
      <w:r>
        <w:t xml:space="preserve"> </w:t>
      </w:r>
      <w:r>
        <w:t>x</w:t>
      </w:r>
      <w:r>
        <w:t xml:space="preserve"> </w:t>
      </w:r>
      <w:r>
        <w:t>P</w:t>
      </w:r>
      <w:r>
        <w:t xml:space="preserve"> </w:t>
      </w:r>
      <w:r>
        <w:t>y</w:t>
      </w:r>
      <w:r>
        <w:t xml:space="preserve"> </w:t>
      </w:r>
      <w:r>
        <w:t>‐NC variants and the benchmark 20 wt.% Pt/C. The optimized catalyst enabled transformative ZAB performance in liquid and flexible configurations, achieving enhanced open‐circuit voltage, superior power densities, high specific capacities, and prolonged durability compared to commercial 20 wt.% Pt/C. This work establishes a catalyst development paradigm bridging mechanistic understanding, controllable synthesis, and practical application for next‐generation energy storage devices.</w:t>
      </w:r>
    </w:p>
    <w:p>
      <w:pPr>
        <w:spacing w:before="120" w:after="120"/>
      </w:pPr>
      <w:r>
        <w:rPr>
          <w:sz w:val="18"/>
        </w:rPr>
        <w:t>——————————————————————————————————————————————————————————————————————</w:t>
      </w:r>
    </w:p>
    <w:p>
      <w:pPr>
        <w:spacing w:before="160" w:after="40" w:line="240" w:lineRule="auto"/>
      </w:pPr>
      <w:r>
        <w:rPr>
          <w:b/>
        </w:rPr>
        <w:t xml:space="preserve">[142] </w:t>
      </w:r>
      <w:hyperlink r:id="rId213">
        <w:r>
          <w:rPr>
            <w:color w:val="1155CC"/>
            <w:u w:val="single"/>
          </w:rPr>
          <w:t>《无定形、胚胎或超光化的Zeoporized Zeolites?中间合成阶段概览:定义、特性和应用》。</w:t>
        </w:r>
      </w:hyperlink>
    </w:p>
    <w:p>
      <w:pPr>
        <w:spacing w:before="0" w:after="80"/>
      </w:pPr>
      <w:r>
        <w:rPr>
          <w:i/>
          <w:sz w:val="20"/>
        </w:rPr>
        <w:t>EN: Amorphous, Embryonic or Mesoporized Zeolites? An Overview of Intermediate Synthetic Phases: Definitions, Characterization, and Application.</w:t>
      </w:r>
    </w:p>
    <w:p>
      <w:pPr>
        <w:spacing w:before="0" w:after="120"/>
      </w:pPr>
      <w:r>
        <w:rPr>
          <w:b/>
        </w:rPr>
        <w:t xml:space="preserve">Source: </w:t>
      </w:r>
      <w:r>
        <w:t>Wiley: Angewandte Chemie International Edition: Table of Contents</w:t>
      </w:r>
      <w:r>
        <w:t xml:space="preserve">    </w:t>
      </w:r>
      <w:r>
        <w:rPr>
          <w:b/>
        </w:rPr>
        <w:t xml:space="preserve">Pub date: </w:t>
      </w:r>
      <w:r>
        <w:t>2026-01-19 07:50:31+00:00</w:t>
      </w:r>
      <w:r>
        <w:t xml:space="preserve">    </w:t>
      </w:r>
      <w:r>
        <w:rPr>
          <w:b/>
        </w:rPr>
        <w:t xml:space="preserve">DOI: </w:t>
      </w:r>
      <w:hyperlink r:id="rId214">
        <w:r>
          <w:rPr>
            <w:color w:val="1155CC"/>
            <w:u w:val="single"/>
          </w:rPr>
          <w:t>10.1002/anie.202523144</w:t>
        </w:r>
      </w:hyperlink>
    </w:p>
    <w:p>
      <w:pPr>
        <w:spacing w:before="0" w:after="120"/>
      </w:pPr>
      <w:r>
        <w:rPr>
          <w:b/>
        </w:rPr>
        <w:t xml:space="preserve">Notes: </w:t>
      </w:r>
      <w:r>
        <w:t>abstract_source=crossref</w:t>
      </w:r>
    </w:p>
    <w:p>
      <w:pPr>
        <w:spacing w:before="0" w:after="80" w:lineRule="auto" w:line="276"/>
      </w:pPr>
      <w:r>
        <w:rPr>
          <w:b/>
        </w:rPr>
        <w:t xml:space="preserve">摘要（ZH）: </w:t>
      </w:r>
      <w:r>
        <w:t>合成努力往往被不公正地(部分地)忽视(部分地)不固定的中间合成阶段(ISPs),包括胚胎、间热分解转化介质和中流化热素,作为“失败”并排除了它们进一步定性工作。最近,这种认识已经改变,更好的定性技术导致更深入地了解这些材料的结构和(可能)具有的催化潜力。在这项工作中,我们将简要概述在合成、定性和开发方面进行的艺术研究的现状。</w:t>
      </w:r>
    </w:p>
    <w:p>
      <w:pPr>
        <w:spacing w:before="0" w:after="200" w:lineRule="auto" w:line="276"/>
      </w:pPr>
      <w:r>
        <w:rPr>
          <w:b/>
        </w:rPr>
        <w:t xml:space="preserve">Abstract (EN): </w:t>
      </w:r>
      <w:r>
        <w:t>The success of zeolites as catalysts has long been attributed to their high thermal stability and strict shape selectivity flowing from their network of well‐defined channels and cages. Synthetic efforts often unjustly disregarded (partially) amorphous intermediate synthetic phases (ISPs), including embryonic zeolite, interzeolite conversion intermediates and mesoporized zeolites, as “failed” and excluded them from further characterization efforts. Recently, this perception has changed and better characterization techniques have led to a deeper understanding of the structure and catalytic potential these materials (may) hold. In this work, we will give a brief overview of the state of the art research being conducted in synthesis, characterization and exploitation of ISPs, as well as clarifying some definitions, hoping to set the stage for future generations of zeolite scientists.</w:t>
      </w:r>
    </w:p>
    <w:p>
      <w:pPr>
        <w:spacing w:before="120" w:after="120"/>
      </w:pPr>
      <w:r>
        <w:rPr>
          <w:sz w:val="18"/>
        </w:rPr>
        <w:t>——————————————————————————————————————————————————————————————————————</w:t>
      </w:r>
    </w:p>
    <w:p>
      <w:pPr>
        <w:spacing w:before="160" w:after="40" w:line="240" w:lineRule="auto"/>
      </w:pPr>
      <w:r>
        <w:rPr>
          <w:b/>
        </w:rPr>
        <w:t xml:space="preserve">[143] </w:t>
      </w:r>
      <w:hyperlink r:id="rId215">
        <w:r>
          <w:rPr>
            <w:color w:val="1155CC"/>
            <w:u w:val="single"/>
          </w:rPr>
          <w:t>控制债役破除和青药活化的非相配的点击释放战略</w:t>
        </w:r>
      </w:hyperlink>
    </w:p>
    <w:p>
      <w:pPr>
        <w:spacing w:before="0" w:after="80"/>
      </w:pPr>
      <w:r>
        <w:rPr>
          <w:i/>
          <w:sz w:val="20"/>
        </w:rPr>
        <w:t>EN: A Noncovalent Click‐to‐Release Strategy to Control Bond Cleavage and Prodrug Activation</w:t>
      </w:r>
    </w:p>
    <w:p>
      <w:pPr>
        <w:spacing w:before="0" w:after="120"/>
      </w:pPr>
      <w:r>
        <w:rPr>
          <w:b/>
        </w:rPr>
        <w:t xml:space="preserve">Source: </w:t>
      </w:r>
      <w:r>
        <w:t>Wiley: Angewandte Chemie International Edition: Table of Contents</w:t>
      </w:r>
      <w:r>
        <w:t xml:space="preserve">    </w:t>
      </w:r>
      <w:r>
        <w:rPr>
          <w:b/>
        </w:rPr>
        <w:t xml:space="preserve">Pub date: </w:t>
      </w:r>
      <w:r>
        <w:t>2026-01-19 07:51:52+00:00</w:t>
      </w:r>
      <w:r>
        <w:t xml:space="preserve">    </w:t>
      </w:r>
      <w:r>
        <w:rPr>
          <w:b/>
        </w:rPr>
        <w:t xml:space="preserve">DOI: </w:t>
      </w:r>
      <w:hyperlink r:id="rId216">
        <w:r>
          <w:rPr>
            <w:color w:val="1155CC"/>
            <w:u w:val="single"/>
          </w:rPr>
          <w:t>10.1002/anie.202515594</w:t>
        </w:r>
      </w:hyperlink>
    </w:p>
    <w:p>
      <w:pPr>
        <w:spacing w:before="0" w:after="120"/>
      </w:pPr>
      <w:r>
        <w:rPr>
          <w:b/>
        </w:rPr>
        <w:t xml:space="preserve">Notes: </w:t>
      </w:r>
      <w:r>
        <w:t>abstract_source=crossref</w:t>
      </w:r>
    </w:p>
    <w:p>
      <w:pPr>
        <w:spacing w:before="0" w:after="80" w:lineRule="auto" w:line="276"/>
      </w:pPr>
      <w:r>
        <w:rPr>
          <w:b/>
        </w:rPr>
        <w:t xml:space="preserve">摘要（ZH）: </w:t>
      </w:r>
      <w:r>
        <w:t>抽象的 Clickto- release 化学使生物- oordoconomic 连接裂开和通过点击型结扎反应控制释放,作为触发和定位的触发和手段。把这个概念扩大到共价结扎反应之外,我们引入了基于 ccurbit[7uril- adamantane (CBAd) 协会的非covalent click_to-releleent fielt 战略。 CB主机分子与自我模拟嘉宾(SIG) SIG1 组成了一个预先组合的东道主群。 隐藏的 SIG1 仍然在那里。 引入高贴近度客人 Ad 启动 CBAd 非covalent 点击反应, 拆解 SIG1 并触发其自我膨胀和货物释放。 作为证据,我们使用原型Prodrug SIG2 来展示我们受控治疗释放的战略的潜力。</w:t>
      </w:r>
    </w:p>
    <w:p>
      <w:pPr>
        <w:spacing w:before="0" w:after="200" w:lineRule="auto" w:line="276"/>
      </w:pPr>
      <w:r>
        <w:rPr>
          <w:b/>
        </w:rPr>
        <w:t xml:space="preserve">Abstract (EN): </w:t>
      </w:r>
      <w:r>
        <w:t>Click‐to‐release chemistry enables bioorthogonal bond cleavage and controlled release via a click‐type ligation reaction serving as both the trigger and means of localization. Extending this concept beyond covalent ligation reactions, we introduce a noncovalent click‐to‐release strategy based on cucurbit[7]uril‐adamantane (CB‐Ad) association. The CB host molecule forms a pre‐assembled host‐guest complex with a self‐immolative guest (SIG) SIG1, where the masked SIG remains inert. Introduction of a high‐affinity guest Ad initiates the CB‐Ad noncovalent click reaction, displacing SIG1 and triggering its self‐immolation and cargo release. As a proof‐of‐concept, we used a prototype prodrug SIG2 to demonstrate our strategy's potential for controlled therapeutic release, effectively regulating the photodynamic cell killing in vitro. This noncovalent click‐to‐release approach broadens the structural and functional scope of bioorthogonal cleavage strategies with promising implications for stimuli‐responsive materials and biomedical applications.</w:t>
      </w:r>
    </w:p>
    <w:p>
      <w:pPr>
        <w:spacing w:before="120" w:after="120"/>
      </w:pPr>
      <w:r>
        <w:rPr>
          <w:sz w:val="18"/>
        </w:rPr>
        <w:t>——————————————————————————————————————————————————————————————————————</w:t>
      </w:r>
    </w:p>
    <w:p>
      <w:pPr>
        <w:spacing w:before="160" w:after="40" w:line="240" w:lineRule="auto"/>
      </w:pPr>
      <w:r>
        <w:rPr>
          <w:b/>
        </w:rPr>
        <w:t xml:space="preserve">[144] </w:t>
      </w:r>
      <w:hyperlink r:id="rId217">
        <w:r>
          <w:rPr>
            <w:color w:val="1155CC"/>
            <w:u w:val="single"/>
          </w:rPr>
          <w:t>主机Guest Dopping 使来自三亚里尔博兰的 室温温度增强</w:t>
        </w:r>
      </w:hyperlink>
    </w:p>
    <w:p>
      <w:pPr>
        <w:spacing w:before="0" w:after="80"/>
      </w:pPr>
      <w:r>
        <w:rPr>
          <w:i/>
          <w:sz w:val="20"/>
        </w:rPr>
        <w:t>EN: Host‐Guest Doping Enables Room Temperature Phosphorescence from Triarylboranes</w:t>
      </w:r>
    </w:p>
    <w:p>
      <w:pPr>
        <w:spacing w:before="0" w:after="120"/>
      </w:pPr>
      <w:r>
        <w:rPr>
          <w:b/>
        </w:rPr>
        <w:t xml:space="preserve">Source: </w:t>
      </w:r>
      <w:r>
        <w:t>Wiley: Angewandte Chemie International Edition: Table of Contents</w:t>
      </w:r>
      <w:r>
        <w:t xml:space="preserve">    </w:t>
      </w:r>
      <w:r>
        <w:rPr>
          <w:b/>
        </w:rPr>
        <w:t xml:space="preserve">Pub date: </w:t>
      </w:r>
      <w:r>
        <w:t>2026-01-19 07:54:23+00:00</w:t>
      </w:r>
      <w:r>
        <w:t xml:space="preserve">    </w:t>
      </w:r>
      <w:r>
        <w:rPr>
          <w:b/>
        </w:rPr>
        <w:t xml:space="preserve">DOI: </w:t>
      </w:r>
      <w:hyperlink r:id="rId218">
        <w:r>
          <w:rPr>
            <w:color w:val="1155CC"/>
            <w:u w:val="single"/>
          </w:rPr>
          <w:t>10.1002/anie.202524578</w:t>
        </w:r>
      </w:hyperlink>
    </w:p>
    <w:p>
      <w:pPr>
        <w:spacing w:before="0" w:after="120"/>
      </w:pPr>
      <w:r>
        <w:rPr>
          <w:b/>
        </w:rPr>
        <w:t xml:space="preserve">Notes: </w:t>
      </w:r>
      <w:r>
        <w:t>abstract_source=crossref</w:t>
      </w:r>
    </w:p>
    <w:p>
      <w:pPr>
        <w:spacing w:before="0" w:after="80" w:lineRule="auto" w:line="276"/>
      </w:pPr>
      <w:r>
        <w:rPr>
          <w:b/>
        </w:rPr>
        <w:t xml:space="preserve">摘要（ZH）: </w:t>
      </w:r>
      <w:r>
        <w:t>在回顾我们先前关于RTP在三亚里伯兰州的报告时,我们发现,纯晶三亚里博兰州并没有像最初所报告的那样出现RTP,尽管除一个纯化的化合物外,所有纯化的化合物都显示在Annealed PMMA矩阵中的RTP。 受之前观察到的RTP的杂质影响,我们设计了一个二进制宿主-访客-RTP系统组,通过配对不同的三亚里博兰州构建。 通过调整宿主和宾客结构以及剂量比率,在肉眼可见的8秒之后,可以在环境条件下在晶状材料中达到摄取水平低到10亿分之一的水平。 超长的后光层使这些材料充满了信息加密的希望,而它们对于非纯化的PMMA胶片高端氧的高度敏感度。</w:t>
      </w:r>
    </w:p>
    <w:p>
      <w:pPr>
        <w:spacing w:before="0" w:after="200" w:lineRule="auto" w:line="276"/>
      </w:pPr>
      <w:r>
        <w:rPr>
          <w:b/>
        </w:rPr>
        <w:t xml:space="preserve">Abstract (EN): </w:t>
      </w:r>
      <w:r>
        <w:t>Revisiting our previous report of RTP in triarylboranes, we found that pure crystalline triarylboranes do not exhibit RTP as initially reported, although all but one purified compound shows RTP in annealed PMMA matrices. Inspired by the impurity responsible for the previously observed RTP, we designed a family of binary host–guest RTP systems constructed by pairing distinct triarylboranes. By tuning the host and guest structures and doping ratios, afterglow visible to the naked eye for up to 8 s can be achieved in crystalline materials under ambient conditions, at doping levels as low as one part per billion. The ultra‐long afterglow makes these materials promising for information encryption, while their high sensitivity to oxygen in non‐annealed PMMA films highlights their potential for sensing applications. Trends in the phosphorescence intensities and lifetimes, dependent on guest molecular structure, are rationalized by computed triplet‐triplet energy transfer rates between the hosts and guests, providing a concrete design strategy for optimizing host‐guest RTP. Overall, this work underscores the critical importance of material purity and advances understanding of the host‐guest interactions governing efficient organic RTP.</w:t>
      </w:r>
    </w:p>
    <w:p>
      <w:pPr>
        <w:spacing w:before="120" w:after="120"/>
      </w:pPr>
      <w:r>
        <w:rPr>
          <w:sz w:val="18"/>
        </w:rPr>
        <w:t>——————————————————————————————————————————————————————————————————————</w:t>
      </w:r>
    </w:p>
    <w:p>
      <w:pPr>
        <w:spacing w:before="160" w:after="40" w:line="240" w:lineRule="auto"/>
      </w:pPr>
      <w:r>
        <w:rPr>
          <w:b/>
        </w:rPr>
        <w:t xml:space="preserve">[145] </w:t>
      </w:r>
      <w:hyperlink r:id="rId219">
        <w:r>
          <w:rPr>
            <w:color w:val="1155CC"/>
            <w:u w:val="single"/>
          </w:rPr>
          <w:t>热热能转换促进对易碎 C-N 债券形成的挑战性SNAr</w:t>
        </w:r>
      </w:hyperlink>
    </w:p>
    <w:p>
      <w:pPr>
        <w:spacing w:before="0" w:after="80"/>
      </w:pPr>
      <w:r>
        <w:rPr>
          <w:i/>
          <w:sz w:val="20"/>
        </w:rPr>
        <w:t>EN: Photothermal Conversion Promotes Challenging SNAr for Facile C─N Bond Formation</w:t>
      </w:r>
    </w:p>
    <w:p>
      <w:pPr>
        <w:spacing w:before="0" w:after="120"/>
      </w:pPr>
      <w:r>
        <w:rPr>
          <w:b/>
        </w:rPr>
        <w:t xml:space="preserve">Source: </w:t>
      </w:r>
      <w:r>
        <w:t>Wiley: Angewandte Chemie International Edition: Table of Contents</w:t>
      </w:r>
      <w:r>
        <w:t xml:space="preserve">    </w:t>
      </w:r>
      <w:r>
        <w:rPr>
          <w:b/>
        </w:rPr>
        <w:t xml:space="preserve">Pub date: </w:t>
      </w:r>
      <w:r>
        <w:t>2026-01-19 07:56:55+00:00</w:t>
      </w:r>
      <w:r>
        <w:t xml:space="preserve">    </w:t>
      </w:r>
      <w:r>
        <w:rPr>
          <w:b/>
        </w:rPr>
        <w:t xml:space="preserve">DOI: </w:t>
      </w:r>
      <w:hyperlink r:id="rId220">
        <w:r>
          <w:rPr>
            <w:color w:val="1155CC"/>
            <w:u w:val="single"/>
          </w:rPr>
          <w:t>10.1002/anie.202522296</w:t>
        </w:r>
      </w:hyperlink>
    </w:p>
    <w:p>
      <w:pPr>
        <w:spacing w:before="0" w:after="120"/>
      </w:pPr>
      <w:r>
        <w:rPr>
          <w:b/>
        </w:rPr>
        <w:t xml:space="preserve">Notes: </w:t>
      </w:r>
      <w:r>
        <w:t>abstract_source=crossref</w:t>
      </w:r>
    </w:p>
    <w:p>
      <w:pPr>
        <w:spacing w:before="0" w:after="80" w:lineRule="auto" w:line="276"/>
      </w:pPr>
      <w:r>
        <w:rPr>
          <w:b/>
        </w:rPr>
        <w:t xml:space="preserve">摘要（ZH）: </w:t>
      </w:r>
      <w:r>
        <w:t>抽象核动力替代(SN Ar)是一种广泛使用的方法,用于形成对产业和学术界都有兴趣的芳香 C-N 债券。然而,由于转型状态的负电荷积累导致高活性能源壁垒,目前的做法往往无法获取较不活跃的电极,因为转型状态的负电荷积累导致高活性能源壁垒。受我们关于Newman Kwart重新排列(NKR)的工作的启发,我们试图利用光热转换来挑战C-N 粘合成S N Ar 反应。这里,我们证明,采用低价光热剂、碳黑和红光辐照等低价热剂可以提供几台低能候发器。</w:t>
      </w:r>
    </w:p>
    <w:p>
      <w:pPr>
        <w:spacing w:before="0" w:after="200" w:lineRule="auto" w:line="276"/>
      </w:pPr>
      <w:r>
        <w:rPr>
          <w:b/>
        </w:rPr>
        <w:t xml:space="preserve">Abstract (EN): </w:t>
      </w:r>
      <w:r>
        <w:t>Nucleophilic aromatic substitution (S</w:t>
      </w:r>
      <w:r>
        <w:t xml:space="preserve"> </w:t>
      </w:r>
      <w:r>
        <w:t>N</w:t>
      </w:r>
      <w:r>
        <w:t xml:space="preserve"> </w:t>
      </w:r>
      <w:r>
        <w:t>Ar) is a widely used method for forming aromatic C─N bonds, which are of interest in both industry and academia. However, current approaches are often unable to access less activated electrophiles, due to negative charge buildup in the transition state, resulting in high activation energy barriers. Inspired by our work on the Newman Kwart Rearrangement (NKR), we sought to leverage photothermal conversion for challenging C─N bond‐forming S</w:t>
      </w:r>
      <w:r>
        <w:t xml:space="preserve"> </w:t>
      </w:r>
      <w:r>
        <w:t>N</w:t>
      </w:r>
      <w:r>
        <w:t xml:space="preserve"> </w:t>
      </w:r>
      <w:r>
        <w:t>Ar reactions. Here, we demonstrate that the incorporation of an inexpensive photothermal agent, carbon black, and irradiation with red light affords several poorly activated intermolecular substitution reactions. Application to less activated aryl halides resulted in unproductive reactivity, leading us to examine the reaction barriers. Computations revealed barriers within the range previously achieved during our photothermally mediated NKR. Electronically neutral intramolecular analogs were synthesized and underwent productive reactivity in short time frames (≤20 min), indicating that the inhomogeneous nature of photothermal heating was a challenge in terms of colocalizing reactants sufficiently close to the particle. This concept was leveraged into a sequential S</w:t>
      </w:r>
      <w:r>
        <w:t xml:space="preserve"> </w:t>
      </w:r>
      <w:r>
        <w:t>N</w:t>
      </w:r>
      <w:r>
        <w:t xml:space="preserve"> </w:t>
      </w:r>
      <w:r>
        <w:t>Ar, where an initial intermolecular reaction occurs which then primes the substrate for a more difficult intramolecular substitution. This approach afforded a diverse scope of fused heterocycles.</w:t>
      </w:r>
    </w:p>
    <w:p>
      <w:pPr>
        <w:spacing w:before="120" w:after="120"/>
      </w:pPr>
      <w:r>
        <w:rPr>
          <w:sz w:val="18"/>
        </w:rPr>
        <w:t>——————————————————————————————————————————————————————————————————————</w:t>
      </w:r>
    </w:p>
    <w:p>
      <w:pPr>
        <w:spacing w:before="160" w:after="40" w:line="240" w:lineRule="auto"/>
      </w:pPr>
      <w:r>
        <w:rPr>
          <w:b/>
        </w:rPr>
        <w:t xml:space="preserve">[146] </w:t>
      </w:r>
      <w:hyperlink r:id="rId221">
        <w:r>
          <w:rPr>
            <w:color w:val="1155CC"/>
            <w:u w:val="single"/>
          </w:rPr>
          <w:t>Na4Fe3(PO4)(PO4)2P2O7通过氧气加速电化学动力学</w:t>
        </w:r>
      </w:hyperlink>
    </w:p>
    <w:p>
      <w:pPr>
        <w:spacing w:before="0" w:after="80"/>
      </w:pPr>
      <w:r>
        <w:rPr>
          <w:i/>
          <w:sz w:val="20"/>
        </w:rPr>
        <w:t>EN: Accelerating Electrochemical Kinetics in Na4Fe3(PO4)2P2O7 Cathodes Through Oxygen Vacancy Modulation for Wide‐Temperature Ah‐Level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2026-01-19 07:56:58+00:00</w:t>
      </w:r>
      <w:r>
        <w:t xml:space="preserve">    </w:t>
      </w:r>
      <w:r>
        <w:rPr>
          <w:b/>
        </w:rPr>
        <w:t xml:space="preserve">DOI: </w:t>
      </w:r>
      <w:hyperlink r:id="rId222">
        <w:r>
          <w:rPr>
            <w:color w:val="1155CC"/>
            <w:u w:val="single"/>
          </w:rPr>
          <w:t>10.1002/anie.202525531</w:t>
        </w:r>
      </w:hyperlink>
    </w:p>
    <w:p>
      <w:pPr>
        <w:spacing w:before="0" w:after="120"/>
      </w:pPr>
      <w:r>
        <w:rPr>
          <w:b/>
        </w:rPr>
        <w:t xml:space="preserve">Notes: </w:t>
      </w:r>
      <w:r>
        <w:t>abstract_source=crossref</w:t>
      </w:r>
    </w:p>
    <w:p>
      <w:pPr>
        <w:spacing w:before="0" w:after="80" w:lineRule="auto" w:line="276"/>
      </w:pPr>
      <w:r>
        <w:rPr>
          <w:b/>
        </w:rPr>
        <w:t xml:space="preserve">摘要（ZH）: </w:t>
      </w:r>
      <w:r>
        <w:t>摘要 Na 4 Fe 3 (PO 4) 2 P 2 O 7 (NFPPP) 是一种极有前途的钠电池阴极材料,提供了操作电压和理论能力的有利组合,但其商业可行性受到两个主要因素的极大阻碍:普遍形成电化学惰性杂质阶段,如Maricite NaFePO 4和低能量密度Na 2。</w:t>
      </w:r>
    </w:p>
    <w:p>
      <w:pPr>
        <w:spacing w:before="0" w:after="200" w:lineRule="auto" w:line="276"/>
      </w:pPr>
      <w:r>
        <w:rPr>
          <w:b/>
        </w:rPr>
        <w:t xml:space="preserve">Abstract (EN): </w:t>
      </w:r>
      <w:r>
        <w:t>Na</w:t>
      </w:r>
      <w:r>
        <w:rPr>
          <w:vertAlign w:val="subscript"/>
        </w:rPr>
        <w:t>4</w:t>
      </w:r>
      <w:r>
        <w:t>Fe</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(NFPP) stands as a highly promising cathode material for sodium‐ion batteries, offering a favorable combination of operating voltage and theoretical capacity. Nevertheless, its commercial viability is significantly hindered by two primary factors: the prevalent formation of electrochemically inert impurity phases, such as</w:t>
      </w:r>
      <w:r>
        <w:t xml:space="preserve"> </w:t>
      </w:r>
      <w:r>
        <w:t>maricite</w:t>
      </w:r>
      <w:r>
        <w:t xml:space="preserve"> </w:t>
      </w:r>
      <w:r>
        <w:t>‐NaFePO</w:t>
      </w:r>
      <w:r>
        <w:rPr>
          <w:vertAlign w:val="subscript"/>
        </w:rPr>
        <w:t>4</w:t>
      </w:r>
      <w:r>
        <w:t>and low‐energy‐density Na</w:t>
      </w:r>
      <w:r>
        <w:rPr>
          <w:vertAlign w:val="subscript"/>
        </w:rPr>
        <w:t>2</w:t>
      </w:r>
      <w:r>
        <w:t>FeP</w:t>
      </w:r>
      <w:r>
        <w:rPr>
          <w:vertAlign w:val="subscript"/>
        </w:rPr>
        <w:t>2</w:t>
      </w:r>
      <w:r>
        <w:t>O</w:t>
      </w:r>
      <w:r>
        <w:rPr>
          <w:vertAlign w:val="subscript"/>
        </w:rPr>
        <w:t>7</w:t>
      </w:r>
      <w:r>
        <w:t>, during conventional synthesis, coupled with its intrinsically poor electronic conductivity. Herein, we demonstrate a rational defect‐engineering strategy to enhance the electrochemical kinetics of NFPP cathodes through controlled oxygen vacancy formation. The optimized Na</w:t>
      </w:r>
      <w:r>
        <w:rPr>
          <w:vertAlign w:val="subscript"/>
        </w:rPr>
        <w:t>4</w:t>
      </w:r>
      <w:r>
        <w:t>Fe</w:t>
      </w:r>
      <w:r>
        <w:t xml:space="preserve"> </w:t>
      </w:r>
      <w:r>
        <w:t>2.79</w:t>
      </w:r>
      <w:r>
        <w:t xml:space="preserve"> </w:t>
      </w:r>
      <w:r>
        <w:t>(PO</w:t>
      </w:r>
      <w:r>
        <w:rPr>
          <w:vertAlign w:val="subscript"/>
        </w:rPr>
        <w:t>4</w:t>
      </w:r>
      <w:r>
        <w:t>)</w:t>
      </w:r>
      <w:r>
        <w:rPr>
          <w:vertAlign w:val="subscript"/>
        </w:rPr>
        <w:t>2</w:t>
      </w:r>
      <w:r>
        <w:t>P</w:t>
      </w:r>
      <w:r>
        <w:rPr>
          <w:vertAlign w:val="subscript"/>
        </w:rPr>
        <w:t>2</w:t>
      </w:r>
      <w:r>
        <w:t>O</w:t>
      </w:r>
      <w:r>
        <w:rPr>
          <w:vertAlign w:val="subscript"/>
        </w:rPr>
        <w:t>7</w:t>
      </w:r>
      <w:r>
        <w:t>(NFPP‐2.79) exhibits superior phase purity, enhanced electronic conductivity, and facilitated Na</w:t>
      </w:r>
      <w:r>
        <w:t xml:space="preserve"> </w:t>
      </w:r>
      <w:r>
        <w:t>+</w:t>
      </w:r>
      <w:r>
        <w:t xml:space="preserve"> </w:t>
      </w:r>
      <w:r>
        <w:t>diffusion, as confirmed by multi‐scale characterization techniques. The NFPP‐2.79 cathode delivers a remarkable reversible capacity of 89.51 mAh g</w:t>
      </w:r>
      <w:r>
        <w:t xml:space="preserve"> </w:t>
      </w:r>
      <w:r>
        <w:t>−1</w:t>
      </w:r>
      <w:r>
        <w:t xml:space="preserve"> </w:t>
      </w:r>
      <w:r>
        <w:t>at 10C and retains 96.42% capacity after 1500 cycles at 2C. Moreover, kilogram‐scale synthesis using cost‐effective raw precursors has been achieved via a sand‐milling‐assisted spray‐drying route. When assembled into Ah‐level pouch cells with hard carbon anodes, the NFPP‐2.79‐based cell demonstrates excellent rate capability (93.75% capacity retention from 0.5C to 4C), outstanding cyclability (75.63% retention after 3000 cycles), and superior safety under extreme conditions (overheating, crushing, nail penetration, overcharge, and external short‐circuit). This work highlights oxygen vacancy modulation as an effective pathway for advancing polyanionic cathodes toward practical applications.</w:t>
      </w:r>
    </w:p>
    <w:p>
      <w:pPr>
        <w:spacing w:before="120" w:after="120"/>
      </w:pPr>
      <w:r>
        <w:rPr>
          <w:sz w:val="18"/>
        </w:rPr>
        <w:t>——————————————————————————————————————————————————————————————————————</w:t>
      </w:r>
    </w:p>
    <w:p>
      <w:pPr>
        <w:spacing w:before="160" w:after="40" w:line="240" w:lineRule="auto"/>
      </w:pPr>
      <w:r>
        <w:rPr>
          <w:b/>
        </w:rPr>
        <w:t xml:space="preserve">[147] </w:t>
      </w:r>
      <w:hyperlink r:id="rId223">
        <w:r>
          <w:rPr>
            <w:color w:val="1155CC"/>
            <w:u w:val="single"/>
          </w:rPr>
          <w:t>具有奇拉微环境的连续低温模质反应堆加强新肾上腺素的生物催化合成</w:t>
        </w:r>
      </w:hyperlink>
    </w:p>
    <w:p>
      <w:pPr>
        <w:spacing w:before="0" w:after="80"/>
      </w:pPr>
      <w:r>
        <w:rPr>
          <w:i/>
          <w:sz w:val="20"/>
        </w:rPr>
        <w:t>EN: Continuous‐Flow Modular Reactor with a Chiral Microenvironment Enhances the Biocatalytic Synthesis of Norepinephrine</w:t>
      </w:r>
    </w:p>
    <w:p>
      <w:pPr>
        <w:spacing w:before="0" w:after="120"/>
      </w:pPr>
      <w:r>
        <w:rPr>
          <w:b/>
        </w:rPr>
        <w:t xml:space="preserve">Source: </w:t>
      </w:r>
      <w:r>
        <w:t>Wiley: Angewandte Chemie International Edition: Table of Contents</w:t>
      </w:r>
      <w:r>
        <w:t xml:space="preserve">    </w:t>
      </w:r>
      <w:r>
        <w:rPr>
          <w:b/>
        </w:rPr>
        <w:t xml:space="preserve">Pub date: </w:t>
      </w:r>
      <w:r>
        <w:t>2026-01-19 07:59:18+00:00</w:t>
      </w:r>
      <w:r>
        <w:t xml:space="preserve">    </w:t>
      </w:r>
      <w:r>
        <w:rPr>
          <w:b/>
        </w:rPr>
        <w:t xml:space="preserve">DOI: </w:t>
      </w:r>
      <w:hyperlink r:id="rId224">
        <w:r>
          <w:rPr>
            <w:color w:val="1155CC"/>
            <w:u w:val="single"/>
          </w:rPr>
          <w:t>10.1002/anie.202514462</w:t>
        </w:r>
      </w:hyperlink>
    </w:p>
    <w:p>
      <w:pPr>
        <w:spacing w:before="0" w:after="120"/>
      </w:pPr>
      <w:r>
        <w:rPr>
          <w:b/>
        </w:rPr>
        <w:t xml:space="preserve">Notes: </w:t>
      </w:r>
      <w:r>
        <w:t>abstract_source=crossref</w:t>
      </w:r>
    </w:p>
    <w:p>
      <w:pPr>
        <w:spacing w:before="0" w:after="80" w:lineRule="auto" w:line="276"/>
      </w:pPr>
      <w:r>
        <w:rPr>
          <w:b/>
        </w:rPr>
        <w:t xml:space="preserve">摘要（ZH）: </w:t>
      </w:r>
      <w:r>
        <w:t>化学分裂性是制药分子设计的核心。多酶级联催化为构建此类分子提供了高立体选择性。在这里,我们提出一个连续流模块式反应堆,为鼻肾上腺素的生物催化合成而设计了一个手性微环境,这个系统包含两个功能单元:一个手性催化反应堆,目的是加强L-threonine aldolase的C立体选择性,另一个解剖箱式反应堆,以平衡催化速率。</w:t>
      </w:r>
    </w:p>
    <w:p>
      <w:pPr>
        <w:spacing w:before="0" w:after="200" w:lineRule="auto" w:line="276"/>
      </w:pPr>
      <w:r>
        <w:rPr>
          <w:b/>
        </w:rPr>
        <w:t xml:space="preserve">Abstract (EN): </w:t>
      </w:r>
      <w:r>
        <w:t>Chirality lies at the core of pharmaceutical molecular design. Multi‐enzyme cascade catalysis offers high stereoselectivity for constructing such molecules. Here, we present a continuous‐flow modular reactor engineered with a chiral microenvironment for the biocatalytic synthesis of norepinephrine. This system incorporates two functional modules: a chiral catalytic reactor, designed to enhance the</w:t>
      </w:r>
      <w:r>
        <w:t xml:space="preserve"> </w:t>
      </w:r>
      <w:r>
        <w:t>C</w:t>
      </w:r>
      <w:r>
        <w:t xml:space="preserve"> </w:t>
      </w:r>
      <w:r>
        <w:t>β</w:t>
      </w:r>
      <w:r>
        <w:t xml:space="preserve"> </w:t>
      </w:r>
      <w:r>
        <w:t>stereoselectivity of L‐threonine aldolase (L‐TA), and a decarboxylation reactor to balance catalytic rates. Modifying the microenvironment surrounding L‐TA significantly enhanced its stereoselectivity, with 4.1 times increased the</w:t>
      </w:r>
      <w:r>
        <w:t xml:space="preserve"> </w:t>
      </w:r>
      <w:r>
        <w:t>de</w:t>
      </w:r>
      <w:r>
        <w:t xml:space="preserve"> </w:t>
      </w:r>
      <w:r>
        <w:t>value (from 18.4% to 75.01%). Seen from molecular dynamics simulations, these modifications reshaped the spatial conformation of the enzyme's active site. Moreover, at an optimal column height ratio of 3:5 between the chiral and decarboxylation modules, norepinephrine yield reached 3.07 g/L. This modular reactor strategy, enhanced by a tailored chiral microenvironment, offers substantial promise for the stereoselective synthesis of pharmaceutical intermediates.</w:t>
      </w:r>
    </w:p>
    <w:p>
      <w:pPr>
        <w:spacing w:before="120" w:after="120"/>
      </w:pPr>
      <w:r>
        <w:rPr>
          <w:sz w:val="18"/>
        </w:rPr>
        <w:t>——————————————————————————————————————————————————————————————————————</w:t>
      </w:r>
    </w:p>
    <w:p>
      <w:pPr>
        <w:spacing w:before="160" w:after="40" w:line="240" w:lineRule="auto"/>
      </w:pPr>
      <w:r>
        <w:rPr>
          <w:b/>
        </w:rPr>
        <w:t xml:space="preserve">[148] </w:t>
      </w:r>
      <w:hyperlink r:id="rId225">
        <w:r>
          <w:rPr>
            <w:color w:val="1155CC"/>
            <w:u w:val="single"/>
          </w:rPr>
          <w:t>Palladadium Complicates:动态行为和自发光电开关</w:t>
        </w:r>
      </w:hyperlink>
    </w:p>
    <w:p>
      <w:pPr>
        <w:spacing w:before="0" w:after="80"/>
      </w:pPr>
      <w:r>
        <w:rPr>
          <w:i/>
          <w:sz w:val="20"/>
        </w:rPr>
        <w:t>EN: Bis‐NHC‐Diarylethene Palladium Complexes: Dynamic Behavior and Self‐Tuning Photoswitching</w:t>
      </w:r>
    </w:p>
    <w:p>
      <w:pPr>
        <w:spacing w:before="0" w:after="120"/>
      </w:pPr>
      <w:r>
        <w:rPr>
          <w:b/>
        </w:rPr>
        <w:t xml:space="preserve">Source: </w:t>
      </w:r>
      <w:r>
        <w:t>Wiley: Angewandte Chemie International Edition: Table of Contents</w:t>
      </w:r>
      <w:r>
        <w:t xml:space="preserve">    </w:t>
      </w:r>
      <w:r>
        <w:rPr>
          <w:b/>
        </w:rPr>
        <w:t xml:space="preserve">Pub date: </w:t>
      </w:r>
      <w:r>
        <w:t>2026-01-19 08:06:13+00:00</w:t>
      </w:r>
      <w:r>
        <w:t xml:space="preserve">    </w:t>
      </w:r>
      <w:r>
        <w:rPr>
          <w:b/>
        </w:rPr>
        <w:t xml:space="preserve">DOI: </w:t>
      </w:r>
      <w:hyperlink r:id="rId226">
        <w:r>
          <w:rPr>
            <w:color w:val="1155CC"/>
            <w:u w:val="single"/>
          </w:rPr>
          <w:t>10.1002/anie.202522849</w:t>
        </w:r>
      </w:hyperlink>
    </w:p>
    <w:p>
      <w:pPr>
        <w:spacing w:before="0" w:after="120"/>
      </w:pPr>
      <w:r>
        <w:rPr>
          <w:b/>
        </w:rPr>
        <w:t xml:space="preserve">Notes: </w:t>
      </w:r>
      <w:r>
        <w:t>abstract_source=crossref</w:t>
      </w:r>
    </w:p>
    <w:p>
      <w:pPr>
        <w:spacing w:before="0" w:after="80" w:lineRule="auto" w:line="276"/>
      </w:pPr>
      <w:r>
        <w:rPr>
          <w:b/>
        </w:rPr>
        <w:t xml:space="preserve">摘要（ZH）: </w:t>
      </w:r>
      <w:r>
        <w:t>抽象光为高精度控制物质提供了一种独特的手段,然而,开发强大的光反应光转换金属综合体仍是一项挑战。我们在此报告一个基于日记的自调光色系统。转基因综合体(1oo)经过高效的分步光环化,在金属中心出现了前所未有的光-诱导的反转/分立。Cisanti异构体(2oo)的分解和晶体定性揭示了热力学。</w:t>
      </w:r>
    </w:p>
    <w:p>
      <w:pPr>
        <w:spacing w:before="0" w:after="200" w:lineRule="auto" w:line="276"/>
      </w:pPr>
      <w:r>
        <w:rPr>
          <w:b/>
        </w:rPr>
        <w:t xml:space="preserve">Abstract (EN): </w:t>
      </w:r>
      <w:r>
        <w:t>Light offers a unique means of controlling matter with high precision, yet the development of robust photoresponsive transition‐metal complexes remains a challenge. Here we report a self‐tuning photochromic system based on a diarylethene‐derived bis‐NHC‐palladium complex. The trans‐anti complex (</w:t>
      </w:r>
      <w:r>
        <w:t xml:space="preserve"> </w:t>
      </w:r>
      <w:r>
        <w:rPr>
          <w:vertAlign w:val="subscript"/>
        </w:rPr>
        <w:t>1</w:t>
      </w:r>
      <w:r>
        <w:t>oo</w:t>
      </w:r>
      <w:r>
        <w:t xml:space="preserve"> </w:t>
      </w:r>
      <w:r>
        <w:t>) undergoes efficient stepwise photocyclization as well as unprecedented light‐induced trans/cis isomerization at the metal center. Isolation and crystallographic characterization of the cis‐anti isomer (</w:t>
      </w:r>
      <w:r>
        <w:t xml:space="preserve"> </w:t>
      </w:r>
      <w:r>
        <w:rPr>
          <w:vertAlign w:val="subscript"/>
        </w:rPr>
        <w:t>2</w:t>
      </w:r>
      <w:r>
        <w:t>oo</w:t>
      </w:r>
      <w:r>
        <w:t xml:space="preserve"> </w:t>
      </w:r>
      <w:r>
        <w:t>) reveal a thermodynamically more stable structure with enhanced photochromic performance and reversible multistate switching. Thermal studies uncover interconversion with additional rotamer, establishing a dynamic equilibrium among several photoactive palladium species. Spectroscopic and computational investigations elucidate the electronic transitions that drive both diarylethene cyclization and Pd─NHC geometric rearrangements. We demonstrate that the catalytic activity in the Suzuki‐Miyaura coupling reaction can be reversibly switched by light, with the photocyclized catalyst forms showing negligible catalytic activity, while the open forms achieve high efficiency. This establishes a direct link between photoisomerization and predicted catalytic performance. Pre‐catalyst evolution demonstrates that the geometry of the complex controls the balance between nanoparticle‐mediated and homogeneous reactivity, delineating a novel strategy for adaptive catalysis.</w:t>
      </w:r>
    </w:p>
    <w:p>
      <w:pPr>
        <w:spacing w:before="120" w:after="120"/>
      </w:pPr>
      <w:r>
        <w:rPr>
          <w:sz w:val="18"/>
        </w:rPr>
        <w:t>——————————————————————————————————————————————————————————————————————</w:t>
      </w:r>
    </w:p>
    <w:p>
      <w:pPr>
        <w:spacing w:before="160" w:after="40" w:line="240" w:lineRule="auto"/>
      </w:pPr>
      <w:r>
        <w:rPr>
          <w:b/>
        </w:rPr>
        <w:t xml:space="preserve">[149] </w:t>
      </w:r>
      <w:hyperlink r:id="rId227">
        <w:r>
          <w:rPr>
            <w:color w:val="1155CC"/>
            <w:u w:val="single"/>
          </w:rPr>
          <w:t>维沃成像生物医学自组(Aza)BODIPY</w:t>
        </w:r>
      </w:hyperlink>
    </w:p>
    <w:p>
      <w:pPr>
        <w:spacing w:before="0" w:after="80"/>
      </w:pPr>
      <w:r>
        <w:rPr>
          <w:i/>
          <w:sz w:val="20"/>
        </w:rPr>
        <w:t>EN: Self‐Assembled (Aza)BODIPY Dyes for Biomedical in Vivo Imaging</w:t>
      </w:r>
    </w:p>
    <w:p>
      <w:pPr>
        <w:spacing w:before="0" w:after="120"/>
      </w:pPr>
      <w:r>
        <w:rPr>
          <w:b/>
        </w:rPr>
        <w:t xml:space="preserve">Source: </w:t>
      </w:r>
      <w:r>
        <w:t>Wiley: Angewandte Chemie International Edition: Table of Contents</w:t>
      </w:r>
      <w:r>
        <w:t xml:space="preserve">    </w:t>
      </w:r>
      <w:r>
        <w:rPr>
          <w:b/>
        </w:rPr>
        <w:t xml:space="preserve">Pub date: </w:t>
      </w:r>
      <w:r>
        <w:t>2026-01-19 08:14:09+00:00</w:t>
      </w:r>
      <w:r>
        <w:t xml:space="preserve">    </w:t>
      </w:r>
      <w:r>
        <w:rPr>
          <w:b/>
        </w:rPr>
        <w:t xml:space="preserve">DOI: </w:t>
      </w:r>
      <w:hyperlink r:id="rId228">
        <w:r>
          <w:rPr>
            <w:color w:val="1155CC"/>
            <w:u w:val="single"/>
          </w:rPr>
          <w:t>10.1002/anie.202525491</w:t>
        </w:r>
      </w:hyperlink>
    </w:p>
    <w:p>
      <w:pPr>
        <w:spacing w:before="0" w:after="120"/>
      </w:pPr>
      <w:r>
        <w:rPr>
          <w:b/>
        </w:rPr>
        <w:t xml:space="preserve">Notes: </w:t>
      </w:r>
      <w:r>
        <w:t>abstract_source=crossref</w:t>
      </w:r>
    </w:p>
    <w:p>
      <w:pPr>
        <w:spacing w:before="0" w:after="80" w:lineRule="auto" w:line="276"/>
      </w:pPr>
      <w:r>
        <w:rPr>
          <w:b/>
        </w:rPr>
        <w:t xml:space="preserve">摘要（ZH）: </w:t>
      </w:r>
      <w:r>
        <w:t>4,4-二氟4-4-Bora-bora-3a,4a-diazas-sindacenes(BODIPY)及其含NZ的模拟(ASABODIPY)是多种用途的有机染料,这些染料结合了极好的光物理、电子和超分子特性,具有高度化学稳定性,这些特征使得它们能够用于生物成像、定向药物投送和功能性自组材料等多种应用,其广泛的结构模块化允许在自我组装期间采用不同堆叠模式,与受控的突变组合,从而产生具有金枪鱼分光谱和形态特性的超分子材料,这在水介质中特别相关,在这些水介质中,近红金枪鱼的吸收和排放对于先进的对比原至关重要。</w:t>
      </w:r>
    </w:p>
    <w:p>
      <w:pPr>
        <w:spacing w:before="0" w:after="200" w:lineRule="auto" w:line="276"/>
      </w:pPr>
      <w:r>
        <w:rPr>
          <w:b/>
        </w:rPr>
        <w:t xml:space="preserve">Abstract (EN): </w:t>
      </w:r>
      <w:r>
        <w:t>4,4‐difluoro‐4‐bora‐3a,4a‐diaza‐s‐indacenes (BODIPYs) and their N‐containing analogs (aza‐BODIPYs) are highly versatile organic dyes that combine excellent photophysical, electronic, and supramolecular properties with high chemical stability. These features have enabled their use in diverse applications such as bioimaging, targeted drug delivery, and functional self‐assembled materials. Their broad structural modularity allows different stacking modes with controlled exciton coupling during self‐assembly, resulting in supramolecular materials with tunable spectroscopic and morphological properties. This is particularly relevant in aqueous media, where tunable near‐infrared (NIR) absorption and emission are essential for advanced contrast agents (CAs) in biomedical imaging. Besides</w:t>
      </w:r>
      <w:r>
        <w:t xml:space="preserve"> </w:t>
      </w:r>
      <w:r>
        <w:t>meso</w:t>
      </w:r>
      <w:r>
        <w:t xml:space="preserve"> </w:t>
      </w:r>
      <w:r>
        <w:t>‐heteroatom modification, J‐aggregation stands out as especially advantageous for achieving red‐shifted absorption and emission, thereby improving tissue penetration and reducing autofluorescence and light scattering. Of particular promise is the concept of pathway complexity, whereby a single (aza)BODIPY scaffold can access multiple aggregated states with distinct photophysical signatures, enabling stimuli‐responsive and multifunctional imaging behavior. Hence, understanding the interplay between (aza)BODIPY molecular design, exciton coupling in aqueous media and their resulting supramolecular and bioimaging properties is of utmost importance. This minireview discusses recent advances in (aza)BODIPY‐based self‐assembled structures used as CA platforms for in vivo biomedical imaging and highlights the structure–property relationships that govern their performance.</w:t>
      </w:r>
    </w:p>
    <w:p>
      <w:pPr>
        <w:spacing w:before="120" w:after="120"/>
      </w:pPr>
      <w:r>
        <w:rPr>
          <w:sz w:val="18"/>
        </w:rPr>
        <w:t>——————————————————————————————————————————————————————————————————————</w:t>
      </w:r>
    </w:p>
    <w:p>
      <w:pPr>
        <w:spacing w:before="160" w:after="40" w:line="240" w:lineRule="auto"/>
      </w:pPr>
      <w:r>
        <w:rPr>
          <w:b/>
        </w:rPr>
        <w:t xml:space="preserve">[150] </w:t>
      </w:r>
      <w:hyperlink r:id="rId229">
        <w:r>
          <w:rPr>
            <w:color w:val="1155CC"/>
            <w:u w:val="single"/>
          </w:rPr>
          <w:t>高性能半透明有机太阳电池和能耗最小化单元的偏偏近近粒粒子接受器分子工程</w:t>
        </w:r>
      </w:hyperlink>
    </w:p>
    <w:p>
      <w:pPr>
        <w:spacing w:before="0" w:after="80"/>
      </w:pPr>
      <w:r>
        <w:rPr>
          <w:i/>
          <w:sz w:val="20"/>
        </w:rPr>
        <w:t>EN: Molecular Engineering of Asymmetric Narrow‐Gap Acceptors for High‐Performance Semitransparent Organic Solar Cells and Modules with Minimized Energy Losses</w:t>
      </w:r>
    </w:p>
    <w:p>
      <w:pPr>
        <w:spacing w:before="0" w:after="120"/>
      </w:pPr>
      <w:r>
        <w:rPr>
          <w:b/>
        </w:rPr>
        <w:t xml:space="preserve">Source: </w:t>
      </w:r>
      <w:r>
        <w:t>Wiley: Advanced Energy Materials: Table of Contents</w:t>
      </w:r>
      <w:r>
        <w:t xml:space="preserve">    </w:t>
      </w:r>
      <w:r>
        <w:rPr>
          <w:b/>
        </w:rPr>
        <w:t xml:space="preserve">Pub date: </w:t>
      </w:r>
      <w:r>
        <w:t>2026-01-19 09:04:15+00:00</w:t>
      </w:r>
      <w:r>
        <w:t xml:space="preserve">    </w:t>
      </w:r>
      <w:r>
        <w:rPr>
          <w:b/>
        </w:rPr>
        <w:t xml:space="preserve">DOI: </w:t>
      </w:r>
      <w:hyperlink r:id="rId230">
        <w:r>
          <w:rPr>
            <w:color w:val="1155CC"/>
            <w:u w:val="single"/>
          </w:rPr>
          <w:t>10.1002/aenm.202505706</w:t>
        </w:r>
      </w:hyperlink>
    </w:p>
    <w:p>
      <w:pPr>
        <w:spacing w:before="0" w:after="120"/>
      </w:pPr>
      <w:r>
        <w:rPr>
          <w:b/>
        </w:rPr>
        <w:t xml:space="preserve">Notes: </w:t>
      </w:r>
      <w:r>
        <w:t>abstract_source=crossref</w:t>
      </w:r>
    </w:p>
    <w:p>
      <w:pPr>
        <w:spacing w:before="0" w:after="80" w:lineRule="auto" w:line="276"/>
      </w:pPr>
      <w:r>
        <w:rPr>
          <w:b/>
        </w:rPr>
        <w:t xml:space="preserve">摘要（ZH）: </w:t>
      </w:r>
      <w:r>
        <w:t>ABSTACT 克服红外光子集成附近光子集成与散装热聚变混合物的高开路电压损失之间的内在平衡,对于推进半透明有机太阳能电池(STOSC)至关重要。在这里,我们提出了一个分子设计,结合了桥集成和终端组卤化,使能量水平对齐和混合形态与 PCE10 捐赠者相适应。这些设计材料(eC9V2Cl(4Cl)和eC9DV2Cl)展出扩大NIR吸收(高达1020纳米),并显著减少非放射性再融合电压损失,与标准 PCE10:BTPeC9 设备相比,最大为100毫瓦。从绿色溶液中加工的优化PCE10:eC9V2Cl混合物。</w:t>
      </w:r>
    </w:p>
    <w:p>
      <w:pPr>
        <w:spacing w:before="0" w:after="200" w:lineRule="auto" w:line="276"/>
      </w:pPr>
      <w:r>
        <w:rPr>
          <w:b/>
        </w:rPr>
        <w:t xml:space="preserve">Abstract (EN): </w:t>
      </w:r>
      <w:r>
        <w:t>Overcoming the inherent trade‐off between near‐infrared photon harvesting and high open‐circuit voltage losses in bulk‐heterojunction blends is critical for advancing semi‐transparent organic solar cells (ST‐OSC). Herein, we present a molecular design that combines vinylene</w:t>
      </w:r>
      <w:r>
        <w:t xml:space="preserve"> </w:t>
      </w:r>
      <w:r>
        <w:t>π</w:t>
      </w:r>
      <w:r>
        <w:t xml:space="preserve"> </w:t>
      </w:r>
      <w:r>
        <w:t>‐bridge incorporation and terminal‐group halogenation to tailor energy level alignment and blend morphology with PCE10 donor. These designed materials (eC9‐V‐2Cl(‐4Cl) and eC9‐DV‐2Cl) exhibit broadened NIR absorption (up to 1020 nm) and significantly reduce non‐radiative recombination voltage loss by a maximum of ∼100 mV compared to the standard PCE10:BTP‐eC9 device. The optimized PCE10:eC9‐V‐2Cl blend, processed from a green solvent in an inverted structure, achieves a remarkable power conversion efficiency (PCE) of 14.2% for opaque devices with a minimal voltage loss of ∼250 mV. Furthermore, a simply 1D double‐layered nano‐photoinc structure (LiF/MoO</w:t>
      </w:r>
      <w:r>
        <w:rPr>
          <w:vertAlign w:val="subscript"/>
        </w:rPr>
        <w:t>3</w:t>
      </w:r>
      <w:r>
        <w:t>) as an optical out‐coupling layer was integrated into the ST‐OSC, delivering a PCE of 9.9% with an average visible transmittance (AVT) of 42.6%, and yielding a light utilization efficiency (LUE) of 4.3%. Scaling to 5 × 5 cm</w:t>
      </w:r>
      <w:r>
        <w:rPr>
          <w:vertAlign w:val="subscript"/>
        </w:rPr>
        <w:t>2</w:t>
      </w:r>
      <w:r>
        <w:t>ST‐OSC modules, an active‐area efficiency of ≈9% was reached with a remarkably high geometric fill factor of 96.5%. These findings provide new molecular design principles for high‐performance ST‐OSCs, making these devices highly attractive for sustainable and scalable applications like energy‐saving agrivoltaic systems and aesthetically transparent solar windows.</w:t>
      </w:r>
    </w:p>
    <w:p>
      <w:pPr>
        <w:spacing w:before="120" w:after="120"/>
      </w:pPr>
      <w:r>
        <w:rPr>
          <w:sz w:val="18"/>
        </w:rPr>
        <w:t>——————————————————————————————————————————————————————————————————————</w:t>
      </w:r>
    </w:p>
    <w:p>
      <w:pPr>
        <w:spacing w:before="160" w:after="40" w:line="240" w:lineRule="auto"/>
      </w:pPr>
      <w:r>
        <w:rPr>
          <w:b/>
        </w:rPr>
        <w:t xml:space="preserve">[151] </w:t>
      </w:r>
      <w:hyperlink r:id="rId231">
        <w:r>
          <w:rPr>
            <w:color w:val="1155CC"/>
            <w:u w:val="single"/>
          </w:rPr>
          <w:t>新甲基乙基丁分离受体内成像中</w:t>
        </w:r>
      </w:hyperlink>
    </w:p>
    <w:p>
      <w:pPr>
        <w:spacing w:before="0" w:after="80"/>
      </w:pPr>
      <w:r>
        <w:rPr>
          <w:i/>
          <w:sz w:val="20"/>
        </w:rPr>
        <w:t>EN: Bioorthogonally Activatable Chemiluminescence for the N‐Methyl‐d‐aspartate Receptors Intravital Imaging</w:t>
      </w:r>
    </w:p>
    <w:p>
      <w:pPr>
        <w:spacing w:before="0" w:after="120"/>
      </w:pPr>
      <w:r>
        <w:rPr>
          <w:b/>
        </w:rPr>
        <w:t xml:space="preserve">Source: </w:t>
      </w:r>
      <w:r>
        <w:t>Wiley: Angewandte Chemie International Edition: Table of Contents</w:t>
      </w:r>
      <w:r>
        <w:t xml:space="preserve">    </w:t>
      </w:r>
      <w:r>
        <w:rPr>
          <w:b/>
        </w:rPr>
        <w:t xml:space="preserve">Pub date: </w:t>
      </w:r>
      <w:r>
        <w:t>2026-01-19 09:05:19+00:00</w:t>
      </w:r>
      <w:r>
        <w:t xml:space="preserve">    </w:t>
      </w:r>
      <w:r>
        <w:rPr>
          <w:b/>
        </w:rPr>
        <w:t xml:space="preserve">DOI: </w:t>
      </w:r>
      <w:hyperlink r:id="rId232">
        <w:r>
          <w:rPr>
            <w:color w:val="1155CC"/>
            <w:u w:val="single"/>
          </w:rPr>
          <w:t>10.1002/anie.202523648</w:t>
        </w:r>
      </w:hyperlink>
    </w:p>
    <w:p>
      <w:pPr>
        <w:spacing w:before="0" w:after="120"/>
      </w:pPr>
      <w:r>
        <w:rPr>
          <w:b/>
        </w:rPr>
        <w:t xml:space="preserve">Notes: </w:t>
      </w:r>
      <w:r>
        <w:t>abstract_source=crossref</w:t>
      </w:r>
    </w:p>
    <w:p>
      <w:pPr>
        <w:spacing w:before="0" w:after="80" w:lineRule="auto" w:line="276"/>
      </w:pPr>
      <w:r>
        <w:rPr>
          <w:b/>
        </w:rPr>
        <w:t xml:space="preserve">摘要（ZH）: </w:t>
      </w:r>
      <w:r>
        <w:t>中枢神经系统(CNS)受体成像中,由头骨/脊椎骨成像引起的信号衰减仍然是中枢神经系统(CNS)受体成像中的一项挑战。不受外部刺激的乳光素(CL)在光学成像中提供了无与伦比的组织渗透,然而,现有的1,2-二氧乙烷CL系统受到两个限制的束缚:(一) 快速二氧乙烷分解的短半衰期( &amp;lt;2 h),以及(二) 依赖反应性生物分子,如活性氧物种和酶引发二氧乙烷分解,使其与成像受体蛋白一样的非活性生物分子不相容。我们在这里报告了一种生物动力活性染光学(BACL)战略,该战略将点击1,2-二氧乙烷发霉素与致光植物结合。</w:t>
      </w:r>
    </w:p>
    <w:p>
      <w:pPr>
        <w:spacing w:before="0" w:after="200" w:lineRule="auto" w:line="276"/>
      </w:pPr>
      <w:r>
        <w:rPr>
          <w:b/>
        </w:rPr>
        <w:t xml:space="preserve">Abstract (EN): </w:t>
      </w:r>
      <w:r>
        <w:t>The signal attenuation caused by skull/vertebrae remains a challenge in central nervous system (CNS) receptor imaging. Chemiluminescence (CL), free from external excitation, offers unparalleled tissue penetration in optical imaging. However, existing 1,2‐dioxetane CL systems are shackled by two limitations: (i) short half‐lives (&amp;lt;2 h) from rapid dioxetane decomposition and (ii) dependence on reactive biomolecules such as reactive oxygen species and enzymes to trigger dioxetane decomposition, rendering them incompatible with imaging nonreactive biomolecules like receptor proteins. Here we report a bioorthogonally activatable chemiluminescence (BACL) strategy that integrates click‐to‐release reactions with 1,2‐dioxetane luminophores to enable tetrazine‐triggered OFF–ON CL signals and bioorthogonally tunable half‐lives (5.2–18 h). The tissue penetration depth was up to 6 cm. Through a tetrazine‐conjugated specific ligand, BACL imaged</w:t>
      </w:r>
      <w:r>
        <w:t xml:space="preserve"> </w:t>
      </w:r>
      <w:r>
        <w:t>N</w:t>
      </w:r>
      <w:r>
        <w:t xml:space="preserve"> </w:t>
      </w:r>
      <w:r>
        <w:t>‐methyl‐</w:t>
      </w:r>
      <w:r>
        <w:t xml:space="preserve"> </w:t>
      </w:r>
      <w:r>
        <w:t>d</w:t>
      </w:r>
      <w:r>
        <w:t xml:space="preserve"> </w:t>
      </w:r>
      <w:r>
        <w:t>‐aspartate receptors (NMDARs) in vivo with a signal background ratio of ∼182, allowing clear</w:t>
      </w:r>
      <w:r>
        <w:t xml:space="preserve"> </w:t>
      </w:r>
      <w:r>
        <w:t>d</w:t>
      </w:r>
      <w:r>
        <w:t xml:space="preserve"> </w:t>
      </w:r>
      <w:r>
        <w:t>ifferentiation of NMDAR expression levels between Alzheimer's disease model mice and normal controls. Beyond imaging, the bioorthogonally spatiotemporally controlled CL emission positions BACL as a potential internal light source for deep‐tissue precision phototherapeutics, bypassing external irradiation.</w:t>
      </w:r>
    </w:p>
    <w:p>
      <w:pPr>
        <w:spacing w:before="120" w:after="120"/>
      </w:pPr>
      <w:r>
        <w:rPr>
          <w:sz w:val="18"/>
        </w:rPr>
        <w:t>——————————————————————————————————————————————————————————————————————</w:t>
      </w:r>
    </w:p>
    <w:p>
      <w:pPr>
        <w:spacing w:before="160" w:after="40" w:line="240" w:lineRule="auto"/>
      </w:pPr>
      <w:r>
        <w:rPr>
          <w:b/>
        </w:rPr>
        <w:t xml:space="preserve">[152] </w:t>
      </w:r>
      <w:hyperlink r:id="rId233">
        <w:r>
          <w:rPr>
            <w:color w:val="1155CC"/>
            <w:u w:val="single"/>
          </w:rPr>
          <w:t>利用浓缩锂盐酸盐的优先分解,产生稳定的SEI层,防止铝目前的收集器腐蚀</w:t>
        </w:r>
      </w:hyperlink>
    </w:p>
    <w:p>
      <w:pPr>
        <w:spacing w:before="0" w:after="80"/>
      </w:pPr>
      <w:r>
        <w:rPr>
          <w:i/>
          <w:sz w:val="20"/>
        </w:rPr>
        <w:t>EN: Deriving Stable SEI Layer and Preventing Aluminum Current Collector Corrosion via Preferential Decomposition of Concentrated Lithium Salt for Lithium‐Ion Batteries</w:t>
      </w:r>
    </w:p>
    <w:p>
      <w:pPr>
        <w:spacing w:before="0" w:after="120"/>
      </w:pPr>
      <w:r>
        <w:rPr>
          <w:b/>
        </w:rPr>
        <w:t xml:space="preserve">Source: </w:t>
      </w:r>
      <w:r>
        <w:t>Wiley: Advanced Energy Materials: Table of Contents</w:t>
      </w:r>
      <w:r>
        <w:t xml:space="preserve">    </w:t>
      </w:r>
      <w:r>
        <w:rPr>
          <w:b/>
        </w:rPr>
        <w:t xml:space="preserve">Pub date: </w:t>
      </w:r>
      <w:r>
        <w:t>2026-01-19 09:06:12+00:00</w:t>
      </w:r>
      <w:r>
        <w:t xml:space="preserve">    </w:t>
      </w:r>
      <w:r>
        <w:rPr>
          <w:b/>
        </w:rPr>
        <w:t xml:space="preserve">DOI: </w:t>
      </w:r>
      <w:hyperlink r:id="rId234">
        <w:r>
          <w:rPr>
            <w:color w:val="1155CC"/>
            <w:u w:val="single"/>
          </w:rPr>
          <w:t>10.1002/aenm.202504436</w:t>
        </w:r>
      </w:hyperlink>
    </w:p>
    <w:p>
      <w:pPr>
        <w:spacing w:before="0" w:after="120"/>
      </w:pPr>
      <w:r>
        <w:rPr>
          <w:b/>
        </w:rPr>
        <w:t xml:space="preserve">Notes: </w:t>
      </w:r>
      <w:r>
        <w:t>abstract_source=crossref</w:t>
      </w:r>
    </w:p>
    <w:p>
      <w:pPr>
        <w:spacing w:before="0" w:after="80" w:lineRule="auto" w:line="276"/>
      </w:pPr>
      <w:r>
        <w:rPr>
          <w:b/>
        </w:rPr>
        <w:t xml:space="preserve">摘要（ZH）: </w:t>
      </w:r>
      <w:r>
        <w:t>ABSTACT 在有前途的锂电池(LIBs)中用于电解电解剂的锂盐中,锂二(三氟乙烷磺酰胺)形成一个更稳定的无机富SEI层,但其实施受到重铝当前收集器腐蚀的限制,因为六氟磷酸锂(LiPF 6)为铝提供了一个稳定的消化层,一个简单混合的LIPF 6 LiTFSI双层电解解液提供了减少腐蚀的能力,然而,其腐蚀抑制能力尚不完全。我们提议采用SEI稳定与腐蚀预防层(SCL),实现盐的空间分离,该层将聚液化液化物限制在聚乙基内。</w:t>
      </w:r>
    </w:p>
    <w:p>
      <w:pPr>
        <w:spacing w:before="0" w:after="200" w:lineRule="auto" w:line="276"/>
      </w:pPr>
      <w:r>
        <w:rPr>
          <w:b/>
        </w:rPr>
        <w:t xml:space="preserve">Abstract (EN): </w:t>
      </w:r>
      <w:r>
        <w:t>Among promising lithium salts for electrolyte in lithium‐ion batteries (LIBs), lithium bis(trifluoromethanesulfonyl)imide (LiTFSI) forms a more stable inorganic‐rich SEI layer. However, its implementation is limited by severe aluminum current collector corrosion. Since lithium hexafluorophosphate (LiPF</w:t>
      </w:r>
      <w:r>
        <w:rPr>
          <w:vertAlign w:val="subscript"/>
        </w:rPr>
        <w:t>6</w:t>
      </w:r>
      <w:r>
        <w:t>) contributes a stable passivation layer for aluminum, a simply‐mixed LiPF</w:t>
      </w:r>
      <w:r>
        <w:rPr>
          <w:vertAlign w:val="subscript"/>
        </w:rPr>
        <w:t>6</w:t>
      </w:r>
      <w:r>
        <w:t>‐LiTFSI dual‐salt electrolyte offers reduced corrosion. However, its corrosion inhibition capability is not complete. Herein, we propose a SEI‐stabilizing and corrosion‐preventing layer (SCL) that realizes spatial separation of salts, which confines concentrated LiTFSI within a polyethylene glycol dimethacrylate (PEGDMA) network at the anode‐LiPF</w:t>
      </w:r>
      <w:r>
        <w:rPr>
          <w:vertAlign w:val="subscript"/>
        </w:rPr>
        <w:t>6</w:t>
      </w:r>
      <w:r>
        <w:t>electrolyte interface. The locally high concentration of LiTFSI in SCL induces a kinetic preference that overrides the thermodynamic preference of LiPF</w:t>
      </w:r>
      <w:r>
        <w:rPr>
          <w:vertAlign w:val="subscript"/>
        </w:rPr>
        <w:t>6</w:t>
      </w:r>
      <w:r>
        <w:t>, which enables targeted decomposition of LiTFSI to form a robust SEI layer, while using only a small amount of LiTFSI. Furthermore, SCL demonstrates excellent corrosion‐inhibiting behavior compared to a simply‐mixed LiPF</w:t>
      </w:r>
      <w:r>
        <w:rPr>
          <w:vertAlign w:val="subscript"/>
        </w:rPr>
        <w:t>6</w:t>
      </w:r>
      <w:r>
        <w:t>‐LiTFSI dual‐salt electrolyte. Consequently, SCL enables stable cycling of high‐loading (21.4 mg cm</w:t>
      </w:r>
      <w:r>
        <w:t xml:space="preserve"> </w:t>
      </w:r>
      <w:r>
        <w:t>−2</w:t>
      </w:r>
      <w:r>
        <w:t xml:space="preserve"> </w:t>
      </w:r>
      <w:r>
        <w:t>) practical NCM811/graphite full cells with 93.57% capacity retention after 100 cycles at a high current density of 2.2 mA cm</w:t>
      </w:r>
      <w:r>
        <w:t xml:space="preserve"> </w:t>
      </w:r>
      <w:r>
        <w:t>−2</w:t>
      </w:r>
      <w:r>
        <w:t xml:space="preserve"> </w:t>
      </w:r>
      <w:r>
        <w:t>. This strategy enables selective electrochemical reactions through spatial confinement to enhance LIB performance, while suppressing side reactions and reducing costs, providing a scalable approach for next‐generation electrolyte design.</w:t>
      </w:r>
    </w:p>
    <w:p>
      <w:pPr>
        <w:spacing w:before="120" w:after="120"/>
      </w:pPr>
      <w:r>
        <w:rPr>
          <w:sz w:val="18"/>
        </w:rPr>
        <w:t>——————————————————————————————————————————————————————————————————————</w:t>
      </w:r>
    </w:p>
    <w:p>
      <w:pPr>
        <w:spacing w:before="160" w:after="40" w:line="240" w:lineRule="auto"/>
      </w:pPr>
      <w:r>
        <w:rPr>
          <w:b/>
        </w:rPr>
        <w:t xml:space="preserve">[153] </w:t>
      </w:r>
      <w:hyperlink r:id="rId235">
        <w:r>
          <w:rPr>
            <w:color w:val="1155CC"/>
            <w:u w:val="single"/>
          </w:rPr>
          <w:t>利用温度-经检测的斯特兰管理实现纳扬电池中的超常氧化碳煤化石化</w:t>
        </w:r>
      </w:hyperlink>
    </w:p>
    <w:p>
      <w:pPr>
        <w:spacing w:before="0" w:after="80"/>
      </w:pPr>
      <w:r>
        <w:rPr>
          <w:i/>
          <w:sz w:val="20"/>
        </w:rPr>
        <w:t>EN: Harnessing Temperature‐Mediated Strain Management to Realize Ultra‐Stable Oxide Cathodes in Na‐Ion Batteries</w:t>
      </w:r>
    </w:p>
    <w:p>
      <w:pPr>
        <w:spacing w:before="0" w:after="120"/>
      </w:pPr>
      <w:r>
        <w:rPr>
          <w:b/>
        </w:rPr>
        <w:t xml:space="preserve">Source: </w:t>
      </w:r>
      <w:r>
        <w:t>Wiley: Advanced Energy Materials: Table of Contents</w:t>
      </w:r>
      <w:r>
        <w:t xml:space="preserve">    </w:t>
      </w:r>
      <w:r>
        <w:rPr>
          <w:b/>
        </w:rPr>
        <w:t xml:space="preserve">Pub date: </w:t>
      </w:r>
      <w:r>
        <w:t>2026-01-19 09:14:08+00:00</w:t>
      </w:r>
      <w:r>
        <w:t xml:space="preserve">    </w:t>
      </w:r>
      <w:r>
        <w:rPr>
          <w:b/>
        </w:rPr>
        <w:t xml:space="preserve">DOI: </w:t>
      </w:r>
      <w:hyperlink r:id="rId236">
        <w:r>
          <w:rPr>
            <w:color w:val="1155CC"/>
            <w:u w:val="single"/>
          </w:rPr>
          <w:t>10.1002/aenm.202506239</w:t>
        </w:r>
      </w:hyperlink>
    </w:p>
    <w:p>
      <w:pPr>
        <w:spacing w:before="0" w:after="120"/>
      </w:pPr>
      <w:r>
        <w:rPr>
          <w:b/>
        </w:rPr>
        <w:t xml:space="preserve">Notes: </w:t>
      </w:r>
      <w:r>
        <w:t>abstract_source=crossref</w:t>
      </w:r>
    </w:p>
    <w:p>
      <w:pPr>
        <w:spacing w:before="0" w:after="80" w:lineRule="auto" w:line="276"/>
      </w:pPr>
      <w:r>
        <w:rPr>
          <w:b/>
        </w:rPr>
        <w:t xml:space="preserve">摘要（ZH）: </w:t>
      </w:r>
      <w:r>
        <w:t>Sodium (Na) 电池(NIBs)正在成为大规模能源储存应用的一个有希望的解决方案,在各种阴极化学中,O3-分层过渡层氧化金属因其高能量密度而显得突出,然而其实际部署却受到复杂的阶段过渡的限制,这些过渡导致花织扭曲、压力积累和粒子破碎,导致快速性能退化。在这里,我们提议了一个温度中位质压力管理战略,以改善O3-分级氧化铁球管的阶段可逆性和结构稳定性。全面的结构和动态分析表明,最佳热调节有利于拉蒂菌释放,减轻挥发的有害压力积累。</w:t>
      </w:r>
    </w:p>
    <w:p>
      <w:pPr>
        <w:spacing w:before="0" w:after="200" w:lineRule="auto" w:line="276"/>
      </w:pPr>
      <w:r>
        <w:rPr>
          <w:b/>
        </w:rPr>
        <w:t xml:space="preserve">Abstract (EN): </w:t>
      </w:r>
      <w:r>
        <w:t>Sodium (Na)‐ion batteries (NIBs) are emerging as a promising solution for large scale energy storage applications. Among various cathode chemistries, O3‐phase layered transition‐metal oxides stand out for their high energy density, yet their practical deployment is restricted by intricate phase transitions that induce lattice distortion, stress accumulation, and particle cracking, leading to rapid performance degradation. Here, we propose a temperature‐mediated strain‐management strategy to improve the phase reversibility and structural stability of O3‐phase oxide cathodes. Comprehensive structural and dynamic analyses reveal that optimal thermal regulation facilitates lattice strain release, mitigates detrimental stress accumulation that drives irreversible phase transitions, and accelerates Na</w:t>
      </w:r>
      <w:r>
        <w:t xml:space="preserve"> </w:t>
      </w:r>
      <w:r>
        <w:t>+</w:t>
      </w:r>
      <w:r>
        <w:t xml:space="preserve"> </w:t>
      </w:r>
      <w:r>
        <w:t>diffusion kinetics. As a result, structural degradation, transition‐metal dissolution, and capacity fading are effectively suppressed. This work provides a new perspective on employing external fields to overcome the intrinsic structural instability of layered oxides, offering fundamental insights for rational cathode design and reliable operation of practical NIBs for energy storage.</w:t>
      </w:r>
    </w:p>
    <w:p>
      <w:pPr>
        <w:spacing w:before="120" w:after="120"/>
      </w:pPr>
      <w:r>
        <w:rPr>
          <w:sz w:val="18"/>
        </w:rPr>
        <w:t>——————————————————————————————————————————————————————————————————————</w:t>
      </w:r>
    </w:p>
    <w:p>
      <w:pPr>
        <w:spacing w:before="160" w:after="40" w:line="240" w:lineRule="auto"/>
      </w:pPr>
      <w:r>
        <w:rPr>
          <w:b/>
        </w:rPr>
        <w:t xml:space="preserve">[154] </w:t>
      </w:r>
      <w:hyperlink r:id="rId237">
        <w:r>
          <w:rPr>
            <w:color w:val="1155CC"/>
            <w:u w:val="single"/>
          </w:rPr>
          <w:t>用于印刷在Plane micro-Peedoconvators的能动快速质子储存的 Ti3C2Tx</w:t>
        </w:r>
      </w:hyperlink>
    </w:p>
    <w:p>
      <w:pPr>
        <w:spacing w:before="0" w:after="80"/>
      </w:pPr>
      <w:r>
        <w:rPr>
          <w:i/>
          <w:sz w:val="20"/>
        </w:rPr>
        <w:t>EN: Nitrogen‐Directed Ti3C2Tx Enabling Rapid Proton Storage for Printed in‐Plane Micro‐Pseudocapacitors</w:t>
      </w:r>
    </w:p>
    <w:p>
      <w:pPr>
        <w:spacing w:before="0" w:after="120"/>
      </w:pPr>
      <w:r>
        <w:rPr>
          <w:b/>
        </w:rPr>
        <w:t xml:space="preserve">Source: </w:t>
      </w:r>
      <w:r>
        <w:t>Wiley: Advanced Energy Materials: Table of Contents</w:t>
      </w:r>
      <w:r>
        <w:t xml:space="preserve">    </w:t>
      </w:r>
      <w:r>
        <w:rPr>
          <w:b/>
        </w:rPr>
        <w:t xml:space="preserve">Pub date: </w:t>
      </w:r>
      <w:r>
        <w:t>2026-01-19 09:20:57+00:00</w:t>
      </w:r>
      <w:r>
        <w:t xml:space="preserve">    </w:t>
      </w:r>
      <w:r>
        <w:rPr>
          <w:b/>
        </w:rPr>
        <w:t xml:space="preserve">DOI: </w:t>
      </w:r>
      <w:hyperlink r:id="rId238">
        <w:r>
          <w:rPr>
            <w:color w:val="1155CC"/>
            <w:u w:val="single"/>
          </w:rPr>
          <w:t>10.1002/aenm.202505587</w:t>
        </w:r>
      </w:hyperlink>
    </w:p>
    <w:p>
      <w:pPr>
        <w:spacing w:before="0" w:after="120"/>
      </w:pPr>
      <w:r>
        <w:rPr>
          <w:b/>
        </w:rPr>
        <w:t xml:space="preserve">Notes: </w:t>
      </w:r>
      <w:r>
        <w:t>abstract_source=crossref</w:t>
      </w:r>
    </w:p>
    <w:p>
      <w:pPr>
        <w:spacing w:before="0" w:after="80" w:lineRule="auto" w:line="276"/>
      </w:pPr>
      <w:r>
        <w:rPr>
          <w:b/>
        </w:rPr>
        <w:t xml:space="preserve">摘要（ZH）: </w:t>
      </w:r>
      <w:r>
        <w:t>MXene基质子变电器由于其高度可移动性和高功率密度,是微型电子装置的有前途的候选体,但它们的进步却因缺乏高效电极材料而受到限制。因此,用氮引导的Ti 3 C 2 T x MXene和用氮替代终端功能组,被建议为质子伪电容器提供高效率电极材料。这一战略引入了多表层活性场地和快速质子储存的新途径,以实现高特定电能。 令人印象深刻的是,氮引导质子储存机制是不光的。</w:t>
      </w:r>
    </w:p>
    <w:p>
      <w:pPr>
        <w:spacing w:before="0" w:after="200" w:lineRule="auto" w:line="276"/>
      </w:pPr>
      <w:r>
        <w:rPr>
          <w:b/>
        </w:rPr>
        <w:t xml:space="preserve">Abstract (EN): </w:t>
      </w:r>
      <w:r>
        <w:t>MXene‐based proton pseudocapacitors are promising candidates for microscale electronic devices due to their superior portability and high‐power density, yet their advancement is constrained by the scarcity of efficient electrode materials. Herein, a nitrogen‐directed Ti</w:t>
      </w:r>
      <w:r>
        <w:rPr>
          <w:vertAlign w:val="subscript"/>
        </w:rPr>
        <w:t>3</w:t>
      </w:r>
      <w:r>
        <w:t>C</w:t>
      </w:r>
      <w:r>
        <w:rPr>
          <w:vertAlign w:val="subscript"/>
        </w:rPr>
        <w:t>2</w:t>
      </w:r>
      <w:r>
        <w:t>T</w:t>
      </w:r>
      <w:r>
        <w:t xml:space="preserve"> </w:t>
      </w:r>
      <w:r>
        <w:t>x</w:t>
      </w:r>
      <w:r>
        <w:t xml:space="preserve"> </w:t>
      </w:r>
      <w:r>
        <w:t>MXene with substitution of terminal functional groups by nitrogen is proposed as a high‐efficiency electrode material for proton pseudocapacitors. This strategy introduces multiple surface‐active sites and a new pathway for fast proton storage for achieving high specific capacitance. Impressively, a nitrogen‐directed proton storage mechanism is unraveled in the terminal N groups can preferentially interact with protons and lower the diffusion energy barrier toward adjacent active‐sites, substantially facilitating the storage of protons. As a result, the N300‐Ti</w:t>
      </w:r>
      <w:r>
        <w:rPr>
          <w:vertAlign w:val="subscript"/>
        </w:rPr>
        <w:t>3</w:t>
      </w:r>
      <w:r>
        <w:t>C</w:t>
      </w:r>
      <w:r>
        <w:rPr>
          <w:vertAlign w:val="subscript"/>
        </w:rPr>
        <w:t>2</w:t>
      </w:r>
      <w:r>
        <w:t>T</w:t>
      </w:r>
      <w:r>
        <w:t xml:space="preserve"> </w:t>
      </w:r>
      <w:r>
        <w:t>x</w:t>
      </w:r>
      <w:r>
        <w:t xml:space="preserve"> </w:t>
      </w:r>
      <w:r>
        <w:t>delivers excellent capacitance retention of 84.48% after 30,000 cycles at 2 A g</w:t>
      </w:r>
      <w:r>
        <w:t xml:space="preserve"> </w:t>
      </w:r>
      <w:r>
        <w:t>−1</w:t>
      </w:r>
      <w:r>
        <w:t xml:space="preserve"> </w:t>
      </w:r>
      <w:r>
        <w:t>. Furthermore, in‐plane proton pseudocapacitors are fabricated via direct ink writing, which shows great compatibility with various connection configurations, validating the superior potential in application feasibility of the N‐directed Ti</w:t>
      </w:r>
      <w:r>
        <w:rPr>
          <w:vertAlign w:val="subscript"/>
        </w:rPr>
        <w:t>3</w:t>
      </w:r>
      <w:r>
        <w:t>C</w:t>
      </w:r>
      <w:r>
        <w:rPr>
          <w:vertAlign w:val="subscript"/>
        </w:rPr>
        <w:t>2</w:t>
      </w:r>
      <w:r>
        <w:t>T</w:t>
      </w:r>
      <w:r>
        <w:t xml:space="preserve"> </w:t>
      </w:r>
      <w:r>
        <w:t>x</w:t>
      </w:r>
      <w:r>
        <w:t xml:space="preserve"> </w:t>
      </w:r>
      <w:r>
        <w:t>on proton storage.</w:t>
      </w:r>
    </w:p>
    <w:p>
      <w:pPr>
        <w:spacing w:before="120" w:after="120"/>
      </w:pPr>
      <w:r>
        <w:rPr>
          <w:sz w:val="18"/>
        </w:rPr>
        <w:t>——————————————————————————————————————————————————————————————————————</w:t>
      </w:r>
    </w:p>
    <w:p>
      <w:pPr>
        <w:spacing w:before="160" w:after="40" w:line="240" w:lineRule="auto"/>
      </w:pPr>
      <w:r>
        <w:rPr>
          <w:b/>
        </w:rPr>
        <w:t xml:space="preserve">[155] </w:t>
      </w:r>
      <w:hyperlink r:id="rId239">
        <w:r>
          <w:rPr>
            <w:color w:val="1155CC"/>
            <w:u w:val="single"/>
          </w:rPr>
          <w:t>具有高度内在伸展性且具有高度内在伸展性的导导聚合体</w:t>
        </w:r>
      </w:hyperlink>
    </w:p>
    <w:p>
      <w:pPr>
        <w:spacing w:before="0" w:after="80"/>
      </w:pPr>
      <w:r>
        <w:rPr>
          <w:i/>
          <w:sz w:val="20"/>
        </w:rPr>
        <w:t>EN: Environmentally Stable N‐Type Conducting Polymer with High Intrinsic Stretchability</w:t>
      </w:r>
    </w:p>
    <w:p>
      <w:pPr>
        <w:spacing w:before="0" w:after="120"/>
      </w:pPr>
      <w:r>
        <w:rPr>
          <w:b/>
        </w:rPr>
        <w:t xml:space="preserve">Source: </w:t>
      </w:r>
      <w:r>
        <w:t>Wiley: Advanced Materials: Table of Contents</w:t>
      </w:r>
      <w:r>
        <w:t xml:space="preserve">    </w:t>
      </w:r>
      <w:r>
        <w:rPr>
          <w:b/>
        </w:rPr>
        <w:t xml:space="preserve">Pub date: </w:t>
      </w:r>
      <w:r>
        <w:t>2026-01-19 09:24:36+00:00</w:t>
      </w:r>
      <w:r>
        <w:t xml:space="preserve">    </w:t>
      </w:r>
      <w:r>
        <w:rPr>
          <w:b/>
        </w:rPr>
        <w:t xml:space="preserve">DOI: </w:t>
      </w:r>
      <w:hyperlink r:id="rId240">
        <w:r>
          <w:rPr>
            <w:color w:val="1155CC"/>
            <w:u w:val="single"/>
          </w:rPr>
          <w:t>10.1002/adma.202518190</w:t>
        </w:r>
      </w:hyperlink>
    </w:p>
    <w:p>
      <w:pPr>
        <w:spacing w:before="0" w:after="120"/>
      </w:pPr>
      <w:r>
        <w:rPr>
          <w:b/>
        </w:rPr>
        <w:t xml:space="preserve">Notes: </w:t>
      </w:r>
      <w:r>
        <w:t>abstract_source=crossref</w:t>
      </w:r>
    </w:p>
    <w:p>
      <w:pPr>
        <w:spacing w:before="0" w:after="80" w:lineRule="auto" w:line="276"/>
      </w:pPr>
      <w:r>
        <w:rPr>
          <w:b/>
        </w:rPr>
        <w:t xml:space="preserve">摘要（ZH）: </w:t>
      </w:r>
      <w:r>
        <w:t>发展灵活的电子产品催生了进行将特殊电力性能与机械适应性相结合的聚合物的迫切需求。在建造补充电路的过程中,将聚聚物和N型聚物结合起来至关重要,但开发可伸缩的N型聚合物长期以来仍是一个挑战。我们利用对聚合聚合物相互作用的完善监管来提高PBFDO的内在伸缩性(裂缝强度高达100%)和环境稳定性(5倍的稳定性增强相对于纯净PBFDO),同时在1000个周期后稳定恢复,使2 165 S/cm的传导性达到100%,同时在1000个周期后稳定恢复。</w:t>
      </w:r>
    </w:p>
    <w:p>
      <w:pPr>
        <w:spacing w:before="0" w:after="200" w:lineRule="auto" w:line="276"/>
      </w:pPr>
      <w:r>
        <w:rPr>
          <w:b/>
        </w:rPr>
        <w:t xml:space="preserve">Abstract (EN): </w:t>
      </w:r>
      <w:r>
        <w:t>The development of flexible electronics has driven an urgent demand for conducting polymers that combine exceptional electrical performance with mechanical adaptability. In the construction of complementary circuits, integrating p‐type and n‐type conducting polymers is critical, yet developing stretchable n‐type ones has long remained a challenge. We employ the refined regulation of polymer‐polymer interaction to enhance PBFDO's intrinsic stretchability (crack‐onset strain up to 100%) and environmental stability (5‐fold stability enhancement vs. pristine PBFDO), while achieving 2265 S/cm conductivity at 100% strain with stable recovery after 1000 cycles. Building on these advancements, we have successfully developed stretchable epidermal electrophysiological electrodes and organic thermoelectric devices—each conclusively validating the material's practical utility. The epidermal electrodes enable high signal‐to‐noise ratio recording of electrophysiological signals, while the thermoelectric devices operate stably under 60% bidirectional tensile strain. This work thus establishes new fundamental principles for engineering high‐performance stretchable n‐type conducting polymers, paving the way for next‐generation flexible electronics.</w:t>
      </w:r>
    </w:p>
    <w:p>
      <w:pPr>
        <w:spacing w:before="120" w:after="120"/>
      </w:pPr>
      <w:r>
        <w:rPr>
          <w:sz w:val="18"/>
        </w:rPr>
        <w:t>——————————————————————————————————————————————————————————————————————</w:t>
      </w:r>
    </w:p>
    <w:p>
      <w:pPr>
        <w:spacing w:before="160" w:after="40" w:line="240" w:lineRule="auto"/>
      </w:pPr>
      <w:r>
        <w:rPr>
          <w:b/>
        </w:rPr>
        <w:t xml:space="preserve">[156] </w:t>
      </w:r>
      <w:hyperlink r:id="rId241">
        <w:r>
          <w:rPr>
            <w:color w:val="1155CC"/>
            <w:u w:val="single"/>
          </w:rPr>
          <w:t>超硫氧化物原子层沉积对Perovskite Oxygen电极反应性和可变性的影响</w:t>
        </w:r>
      </w:hyperlink>
    </w:p>
    <w:p>
      <w:pPr>
        <w:spacing w:before="0" w:after="80"/>
      </w:pPr>
      <w:r>
        <w:rPr>
          <w:i/>
          <w:sz w:val="20"/>
        </w:rPr>
        <w:t>EN: Effect of Atomic Layer Deposition of Ultra‐Thin Oxide on Reactivity and Durability of Perovskite Oxygen Electrodes</w:t>
      </w:r>
    </w:p>
    <w:p>
      <w:pPr>
        <w:spacing w:before="0" w:after="120"/>
      </w:pPr>
      <w:r>
        <w:rPr>
          <w:b/>
        </w:rPr>
        <w:t xml:space="preserve">Source: </w:t>
      </w:r>
      <w:r>
        <w:t>Wiley: Advanced Materials: Table of Contents</w:t>
      </w:r>
      <w:r>
        <w:t xml:space="preserve">    </w:t>
      </w:r>
      <w:r>
        <w:rPr>
          <w:b/>
        </w:rPr>
        <w:t xml:space="preserve">Pub date: </w:t>
      </w:r>
      <w:r>
        <w:t>2026-01-19 09:32:14+00:00</w:t>
      </w:r>
      <w:r>
        <w:t xml:space="preserve">    </w:t>
      </w:r>
      <w:r>
        <w:rPr>
          <w:b/>
        </w:rPr>
        <w:t xml:space="preserve">DOI: </w:t>
      </w:r>
      <w:hyperlink r:id="rId242">
        <w:r>
          <w:rPr>
            <w:color w:val="1155CC"/>
            <w:u w:val="single"/>
          </w:rPr>
          <w:t>10.1002/adma.202513655</w:t>
        </w:r>
      </w:hyperlink>
    </w:p>
    <w:p>
      <w:pPr>
        <w:spacing w:before="0" w:after="120"/>
      </w:pPr>
      <w:r>
        <w:rPr>
          <w:b/>
        </w:rPr>
        <w:t xml:space="preserve">Notes: </w:t>
      </w:r>
      <w:r>
        <w:t>abstract_source=crossref</w:t>
      </w:r>
    </w:p>
    <w:p>
      <w:pPr>
        <w:spacing w:before="0" w:after="80" w:lineRule="auto" w:line="276"/>
      </w:pPr>
      <w:r>
        <w:rPr>
          <w:b/>
        </w:rPr>
        <w:t xml:space="preserve">摘要（ZH）: </w:t>
      </w:r>
      <w:r>
        <w:t>ABSTACT ABSTACT 传导过氧化物(ABO 3)是能源转换应用的关键氧电极材料,但由于地表化学不稳定性,在高温下由于地表化学不稳定而出现不可逆转的性能退化。我们在这次研究中调查了薄膜L0.6 Sr 0.4 COO 3的表层化学环境和氧交换动力如何受到二氧化物原子层沉降的影响,特别是HfO 2 和 Al 2 O 3 的原子层沉降。我们观察到,二氧化物的原子层沉降,特别是HfO 2 和 Al 2 O 3 。</w:t>
      </w:r>
    </w:p>
    <w:p>
      <w:pPr>
        <w:spacing w:before="0" w:after="200" w:lineRule="auto" w:line="276"/>
      </w:pPr>
      <w:r>
        <w:rPr>
          <w:b/>
        </w:rPr>
        <w:t xml:space="preserve">Abstract (EN): </w:t>
      </w:r>
      <w:r>
        <w:t>Conductive perovskite oxides (ABO</w:t>
      </w:r>
      <w:r>
        <w:rPr>
          <w:vertAlign w:val="subscript"/>
        </w:rPr>
        <w:t>3</w:t>
      </w:r>
      <w:r>
        <w:t>) are key oxygen electrode materials for energy conversion applications, but they suffer from irreversible performance degradation at elevated temperatures due to surface chemical instability. In this study, we investigate how the surface chemical environment and oxygen exchange kinetics of thin‐film La</w:t>
      </w:r>
      <w:r>
        <w:t xml:space="preserve"> </w:t>
      </w:r>
      <w:r>
        <w:t>0.6</w:t>
      </w:r>
      <w:r>
        <w:t xml:space="preserve"> </w:t>
      </w:r>
      <w:r>
        <w:t>Sr</w:t>
      </w:r>
      <w:r>
        <w:t xml:space="preserve"> </w:t>
      </w:r>
      <w:r>
        <w:t>0.4</w:t>
      </w:r>
      <w:r>
        <w:t xml:space="preserve"> </w:t>
      </w:r>
      <w:r>
        <w:t>CoO</w:t>
      </w:r>
      <w:r>
        <w:rPr>
          <w:vertAlign w:val="subscript"/>
        </w:rPr>
        <w:t>3</w:t>
      </w:r>
      <w:r>
        <w:t>are affected by the atomic layer deposition of binary oxides—specifically HfO</w:t>
      </w:r>
      <w:r>
        <w:rPr>
          <w:vertAlign w:val="subscript"/>
        </w:rPr>
        <w:t>2</w:t>
      </w:r>
      <w:r>
        <w:t>and Al</w:t>
      </w:r>
      <w:r>
        <w:rPr>
          <w:vertAlign w:val="subscript"/>
        </w:rPr>
        <w:t>2</w:t>
      </w:r>
      <w:r>
        <w:t>O</w:t>
      </w:r>
      <w:r>
        <w:rPr>
          <w:vertAlign w:val="subscript"/>
        </w:rPr>
        <w:t>3</w:t>
      </w:r>
      <w:r>
        <w:t>. We observe that both HfO</w:t>
      </w:r>
      <w:r>
        <w:rPr>
          <w:vertAlign w:val="subscript"/>
        </w:rPr>
        <w:t>2</w:t>
      </w:r>
      <w:r>
        <w:t>and Al</w:t>
      </w:r>
      <w:r>
        <w:rPr>
          <w:vertAlign w:val="subscript"/>
        </w:rPr>
        <w:t>2</w:t>
      </w:r>
      <w:r>
        <w:t>O</w:t>
      </w:r>
      <w:r>
        <w:rPr>
          <w:vertAlign w:val="subscript"/>
        </w:rPr>
        <w:t>3</w:t>
      </w:r>
      <w:r>
        <w:t>overcoats successfully maintain the rapid oxygen exchange rate on the electrode surface. Interestingly, however, their effects on the electrode surface chemistry differ significantly, as do the ideal coating thicknesses, as revealed by X‐ray photoelectron spectroscopy, secondary ion mass spectrometry, and transmission electron microscopy analyses. These findings suggest two distinct mechanisms for stabilizing the perovskite surface: the oxide overcoats (1) reduce oxygen vacancies that attract Sr ions to the surface and (2) act as a scavenger, consuming excess surface Sr, and suggest the design principle of a new strategy based on atomic layer deposition to improve perovskite surface durability.</w:t>
      </w:r>
    </w:p>
    <w:p>
      <w:pPr>
        <w:spacing w:before="120" w:after="120"/>
      </w:pPr>
      <w:r>
        <w:rPr>
          <w:sz w:val="18"/>
        </w:rPr>
        <w:t>——————————————————————————————————————————————————————————————————————</w:t>
      </w:r>
    </w:p>
    <w:p>
      <w:pPr>
        <w:spacing w:before="160" w:after="40" w:line="240" w:lineRule="auto"/>
      </w:pPr>
      <w:r>
        <w:rPr>
          <w:b/>
        </w:rPr>
        <w:t xml:space="preserve">[157] </w:t>
      </w:r>
      <w:hyperlink r:id="rId243">
        <w:r>
          <w:rPr>
            <w:color w:val="1155CC"/>
            <w:u w:val="single"/>
          </w:rPr>
          <w:t>SnP2O7@PC 通过MF耐久的钾/硅电池的Kirkendall效应而实现的阳极</w:t>
        </w:r>
      </w:hyperlink>
    </w:p>
    <w:p>
      <w:pPr>
        <w:spacing w:before="0" w:after="80"/>
      </w:pPr>
      <w:r>
        <w:rPr>
          <w:i/>
          <w:sz w:val="20"/>
        </w:rPr>
        <w:t>EN: Solid Electrolyte Interphase Stabilized Pomegranate SnP2O7@PC Anodes Realized Through Kirkendall Effect of MOF for Durable Potassium/Sodium‐Ion Batteries</w:t>
      </w:r>
    </w:p>
    <w:p>
      <w:pPr>
        <w:spacing w:before="0" w:after="120"/>
      </w:pPr>
      <w:r>
        <w:rPr>
          <w:b/>
        </w:rPr>
        <w:t xml:space="preserve">Source: </w:t>
      </w:r>
      <w:r>
        <w:t>Wiley: Advanced Energy Materials: Table of Contents</w:t>
      </w:r>
      <w:r>
        <w:t xml:space="preserve">    </w:t>
      </w:r>
      <w:r>
        <w:rPr>
          <w:b/>
        </w:rPr>
        <w:t xml:space="preserve">Pub date: </w:t>
      </w:r>
      <w:r>
        <w:t>2026-01-19 09:32:38+00:00</w:t>
      </w:r>
      <w:r>
        <w:t xml:space="preserve">    </w:t>
      </w:r>
      <w:r>
        <w:rPr>
          <w:b/>
        </w:rPr>
        <w:t xml:space="preserve">DOI: </w:t>
      </w:r>
      <w:hyperlink r:id="rId244">
        <w:r>
          <w:rPr>
            <w:color w:val="1155CC"/>
            <w:u w:val="single"/>
          </w:rPr>
          <w:t>10.1002/aenm.202505082</w:t>
        </w:r>
      </w:hyperlink>
    </w:p>
    <w:p>
      <w:pPr>
        <w:spacing w:before="0" w:after="120"/>
      </w:pPr>
      <w:r>
        <w:rPr>
          <w:b/>
        </w:rPr>
        <w:t xml:space="preserve">Notes: </w:t>
      </w:r>
      <w:r>
        <w:t>abstract_source=crossref</w:t>
      </w:r>
    </w:p>
    <w:p>
      <w:pPr>
        <w:spacing w:before="0" w:after="80" w:lineRule="auto" w:line="276"/>
      </w:pPr>
      <w:r>
        <w:rPr>
          <w:b/>
        </w:rPr>
        <w:t xml:space="preserve">摘要（ZH）: </w:t>
      </w:r>
      <w:r>
        <w:t>ABSTACT 锅炉电池(PIBs)和钠电池(SIBs)由于原料丰富且成本低廉,因此下一代能源储存技术充满希望,然而,PIBs/SIBs的阳极往往缺乏循环稳定性,主要原因是粒子碎裂、电力连通性丧失和重复性固态电解介相相(SEI)形成连续电解分解。为了应对这些挑战,通过锡的热解作用合成了生物模拟石榴酸类似核心核壳SnP 2 O 7@PC anode(CSPSnP 2 O 7@PC)。</w:t>
      </w:r>
    </w:p>
    <w:p>
      <w:pPr>
        <w:spacing w:before="0" w:after="200" w:lineRule="auto" w:line="276"/>
      </w:pPr>
      <w:r>
        <w:rPr>
          <w:b/>
        </w:rPr>
        <w:t xml:space="preserve">Abstract (EN): </w:t>
      </w:r>
      <w:r>
        <w:t>Potassium‐ion batteries (PIBs) and sodium‐ion batteries (SIBs) are promising next‐generation energy storage technologies because of their abundant and low‐cost raw materials. However, anodes for PIBs/SIBs often exhibit poor cycling stability, mainly due to particle fragmentation, loss of electrical connectivity, and continuous electrolyte decomposition from repetitive solid electrolyte interphase (SEI) formation. To address these challenges, a biomimetic pomegranate‐like core‐shell SnP</w:t>
      </w:r>
      <w:r>
        <w:rPr>
          <w:vertAlign w:val="subscript"/>
        </w:rPr>
        <w:t>2</w:t>
      </w:r>
      <w:r>
        <w:t>O</w:t>
      </w:r>
      <w:r>
        <w:rPr>
          <w:vertAlign w:val="subscript"/>
        </w:rPr>
        <w:t>7</w:t>
      </w:r>
      <w:r>
        <w:t>@PC anode (CSP‐SnP</w:t>
      </w:r>
      <w:r>
        <w:rPr>
          <w:vertAlign w:val="subscript"/>
        </w:rPr>
        <w:t>2</w:t>
      </w:r>
      <w:r>
        <w:t>O</w:t>
      </w:r>
      <w:r>
        <w:rPr>
          <w:vertAlign w:val="subscript"/>
        </w:rPr>
        <w:t>7</w:t>
      </w:r>
      <w:r>
        <w:t>@PC) is synthesised through pyrolysis‐driven Kirkendall effect of tin‐based phosphonate metal‐organic framework (MOF). This multi‐scale design integrates several key features. At the molecular scale, the in situ formation of Sn‐P‐O bonds reduces K</w:t>
      </w:r>
      <w:r>
        <w:t xml:space="preserve"> </w:t>
      </w:r>
      <w:r>
        <w:t>+</w:t>
      </w:r>
      <w:r>
        <w:t xml:space="preserve"> </w:t>
      </w:r>
      <w:r>
        <w:t>diffusion barriers. The nanoscale dispersion of SnP</w:t>
      </w:r>
      <w:r>
        <w:rPr>
          <w:vertAlign w:val="subscript"/>
        </w:rPr>
        <w:t>2</w:t>
      </w:r>
      <w:r>
        <w:t>O</w:t>
      </w:r>
      <w:r>
        <w:rPr>
          <w:vertAlign w:val="subscript"/>
        </w:rPr>
        <w:t>7</w:t>
      </w:r>
      <w:r>
        <w:t>within conductive carbon matrix promotes efficient electron and ion transport. Furthermore, microscale structural engineering creates pre‐reserved voids to accommodate volume expansion, suppress SEI overgrowth, and prevent cracking. The optimised anode demonstrates exceptional cycling stability, exhibiting ultralow capacity decay rate of 0.0015% per cycle over 16 000 cycles at 5 A g</w:t>
      </w:r>
      <w:r>
        <w:t xml:space="preserve"> </w:t>
      </w:r>
      <w:r>
        <w:t>−1</w:t>
      </w:r>
      <w:r>
        <w:t xml:space="preserve"> </w:t>
      </w:r>
      <w:r>
        <w:t>, and also delivers excellent performance in SIBs. Density functional theory and finite element simulations further reveal beneficial electronic structures and stress distribution, providing fundamental insights for designing durable electrodes through crystal and electronic optimisation. Overall, this study presents an innovative strategy for mitigating volume expansion in high‐capacity battery materials.</w:t>
      </w:r>
    </w:p>
    <w:p>
      <w:pPr>
        <w:spacing w:before="120" w:after="120"/>
      </w:pPr>
      <w:r>
        <w:rPr>
          <w:sz w:val="18"/>
        </w:rPr>
        <w:t>——————————————————————————————————————————————————————————————————————</w:t>
      </w:r>
    </w:p>
    <w:p>
      <w:pPr>
        <w:spacing w:before="160" w:after="40" w:line="240" w:lineRule="auto"/>
      </w:pPr>
      <w:r>
        <w:rPr>
          <w:b/>
        </w:rPr>
        <w:t xml:space="preserve">[158] </w:t>
      </w:r>
      <w:hyperlink r:id="rId245">
        <w:r>
          <w:rPr>
            <w:color w:val="1155CC"/>
            <w:u w:val="single"/>
          </w:rPr>
          <w:t>生物材料工程,以重建Stromal-Parrenchymal相互作用,促进后天神经再生</w:t>
        </w:r>
      </w:hyperlink>
    </w:p>
    <w:p>
      <w:pPr>
        <w:spacing w:before="0" w:after="80"/>
      </w:pPr>
      <w:r>
        <w:rPr>
          <w:i/>
          <w:sz w:val="20"/>
        </w:rPr>
        <w:t>EN: Bioinspired Engineering of Living Materials to Reconstruct Stromal‐Parenchymal Interactions for Post‐Stroke Neural Regeneration</w:t>
      </w:r>
    </w:p>
    <w:p>
      <w:pPr>
        <w:spacing w:before="0" w:after="120"/>
      </w:pPr>
      <w:r>
        <w:rPr>
          <w:b/>
        </w:rPr>
        <w:t xml:space="preserve">Source: </w:t>
      </w:r>
      <w:r>
        <w:t>Wiley: Advanced Materials: Table of Contents</w:t>
      </w:r>
      <w:r>
        <w:t xml:space="preserve">    </w:t>
      </w:r>
      <w:r>
        <w:rPr>
          <w:b/>
        </w:rPr>
        <w:t xml:space="preserve">Pub date: </w:t>
      </w:r>
      <w:r>
        <w:t>2026-01-19 09:33:52+00:00</w:t>
      </w:r>
      <w:r>
        <w:t xml:space="preserve">    </w:t>
      </w:r>
      <w:r>
        <w:rPr>
          <w:b/>
        </w:rPr>
        <w:t xml:space="preserve">DOI: </w:t>
      </w:r>
      <w:hyperlink r:id="rId246">
        <w:r>
          <w:rPr>
            <w:color w:val="1155CC"/>
            <w:u w:val="single"/>
          </w:rPr>
          <w:t>10.1002/adma.202512404</w:t>
        </w:r>
      </w:hyperlink>
    </w:p>
    <w:p>
      <w:pPr>
        <w:spacing w:before="0" w:after="120"/>
      </w:pPr>
      <w:r>
        <w:rPr>
          <w:b/>
        </w:rPr>
        <w:t xml:space="preserve">Notes: </w:t>
      </w:r>
      <w:r>
        <w:t>abstract_source=crossref</w:t>
      </w:r>
    </w:p>
    <w:p>
      <w:pPr>
        <w:spacing w:before="0" w:after="80" w:lineRule="auto" w:line="276"/>
      </w:pPr>
      <w:r>
        <w:rPr>
          <w:b/>
        </w:rPr>
        <w:t xml:space="preserve">摘要（ZH）: </w:t>
      </w:r>
      <w:r>
        <w:t>Stroke仍然是造成全世界神经残疾的主要原因。 中风后脑组织再生的主要障碍是局部持续炎症和无足部腔内缺乏外细胞矩阵支持,这严重妨碍了大脑的内脏修复。 受强温细胞和近距离细胞之间自然相互作用的启发,我们开发了一种工程活材料,以在中风腔内重建再生位置。这个系统将一个可编程的超分子DNA流化凝胶与内部液态10 — 保密工程工程的日脑神经干细胞和神经干细胞(NSCs)结合起来。 水文凝胶模拟了本地脑细胞的结构和机械特性,增强了转基因的留存性和可行性。</w:t>
      </w:r>
    </w:p>
    <w:p>
      <w:pPr>
        <w:spacing w:before="0" w:after="200" w:lineRule="auto" w:line="276"/>
      </w:pPr>
      <w:r>
        <w:rPr>
          <w:b/>
        </w:rPr>
        <w:t xml:space="preserve">Abstract (EN): </w:t>
      </w:r>
      <w:r>
        <w:t>Stroke remains a leading cause of neurological disability worldwide. A major obstacle to brain tissue regeneration after stroke is the persistent local inflammation and the absence of extracellular matrix (ECM) support within the infarct cavity, which severely impedes the brain's endogenous repair. Inspired by the natural interactions between stromal and parenchymal cells, we developed an engineered living material to recreate a regenerative niche within the stroke cavity. This system integrates a programmable supramolecular DNA hydrogel with interleukin‐10–secreting engineered‐mesenchymal stem cells (eMSCs) and neural stem cells (NSCs). The hydrogel mimics the structural and mechanical properties of the native ECM, enhancing the retention and viability of transplanted cells. Meanwhile, eMSCs modulate the inflammatory environment, suppress glial scar formation, and promote vascular regeneration, thereby facilitating the neuronal differentiation of NSCs. In a rat model of ischemic stroke, these engineered living materials significantly promote neuronal regeneration, synaptic remodeling, and neovascularization, leading to improved motor and cognitive function. These findings highlight a modular strategy for repairing damaged neural tissues by re‐establishing stromal–parenchymal interactions, offering a promising therapeutic avenue for post‐stroke brain regeneration.</w:t>
      </w:r>
    </w:p>
    <w:p>
      <w:pPr>
        <w:spacing w:before="120" w:after="120"/>
      </w:pPr>
      <w:r>
        <w:rPr>
          <w:sz w:val="18"/>
        </w:rPr>
        <w:t>——————————————————————————————————————————————————————————————————————</w:t>
      </w:r>
    </w:p>
    <w:p>
      <w:pPr>
        <w:spacing w:before="160" w:after="40" w:line="240" w:lineRule="auto"/>
      </w:pPr>
      <w:r>
        <w:rPr>
          <w:b/>
        </w:rPr>
        <w:t xml:space="preserve">[159] </w:t>
      </w:r>
      <w:hyperlink r:id="rId247">
        <w:r>
          <w:rPr>
            <w:color w:val="1155CC"/>
            <w:u w:val="single"/>
          </w:rPr>
          <w:t>具有短期相继和大型特困集团反应的深海UVNLO水晶的功能单位设计</w:t>
        </w:r>
      </w:hyperlink>
    </w:p>
    <w:p>
      <w:pPr>
        <w:spacing w:before="0" w:after="80"/>
      </w:pPr>
      <w:r>
        <w:rPr>
          <w:i/>
          <w:sz w:val="20"/>
        </w:rPr>
        <w:t>EN: Functional Unit Design of Deep‐UV NLO Crystals With Short Phase‐Matching and Large SHG Response</w:t>
      </w:r>
    </w:p>
    <w:p>
      <w:pPr>
        <w:spacing w:before="0" w:after="120"/>
      </w:pPr>
      <w:r>
        <w:rPr>
          <w:b/>
        </w:rPr>
        <w:t xml:space="preserve">Source: </w:t>
      </w:r>
      <w:r>
        <w:t>Wiley: Advanced Materials: Table of Contents</w:t>
      </w:r>
      <w:r>
        <w:t xml:space="preserve">    </w:t>
      </w:r>
      <w:r>
        <w:rPr>
          <w:b/>
        </w:rPr>
        <w:t xml:space="preserve">Pub date: </w:t>
      </w:r>
      <w:r>
        <w:t>2026-01-19 09:35:32+00:00</w:t>
      </w:r>
      <w:r>
        <w:t xml:space="preserve">    </w:t>
      </w:r>
      <w:r>
        <w:rPr>
          <w:b/>
        </w:rPr>
        <w:t xml:space="preserve">DOI: </w:t>
      </w:r>
      <w:hyperlink r:id="rId248">
        <w:r>
          <w:rPr>
            <w:color w:val="1155CC"/>
            <w:u w:val="single"/>
          </w:rPr>
          <w:t>10.1002/adma.202520790</w:t>
        </w:r>
      </w:hyperlink>
    </w:p>
    <w:p>
      <w:pPr>
        <w:spacing w:before="0" w:after="120"/>
      </w:pPr>
      <w:r>
        <w:rPr>
          <w:b/>
        </w:rPr>
        <w:t xml:space="preserve">Notes: </w:t>
      </w:r>
      <w:r>
        <w:t>abstract_source=crossref</w:t>
      </w:r>
    </w:p>
    <w:p>
      <w:pPr>
        <w:spacing w:before="0" w:after="80" w:lineRule="auto" w:line="276"/>
      </w:pPr>
      <w:r>
        <w:rPr>
          <w:b/>
        </w:rPr>
        <w:t xml:space="preserve">摘要（ZH）: </w:t>
      </w:r>
      <w:r>
        <w:t>非线性光学晶体对产生深紫紫外线激光器至关重要,其性能取决于微型NLO功能单位的类型、比例和安排。目前,没有合适的材料能够通过在148.3纳米左右的第二代直接声波生成(SHG)实现深紫紫外相相相相对激光输出,这是2 2 9个核钟的关键要求。在这里,我们提出了解决这一瓶颈的功能单位设计原则。我们将这一战略应用于LiBOF系统,我们设计了两种新构件,即LiB 3 O 4。</w:t>
      </w:r>
    </w:p>
    <w:p>
      <w:pPr>
        <w:spacing w:before="0" w:after="200" w:lineRule="auto" w:line="276"/>
      </w:pPr>
      <w:r>
        <w:rPr>
          <w:b/>
        </w:rPr>
        <w:t xml:space="preserve">Abstract (EN): </w:t>
      </w:r>
      <w:r>
        <w:t>Deep‐ultraviolet (deep‐UV) nonlinear optical (NLO) crystals are crucial for generating deep‐UV lasers, and their performance is determined by the type, ratio, and arrangement of microscopic NLO functional units. Currently, there are no suitable materials capable of achieving deep‐UV phase‐matching (PM) laser output via direct second harmonic generation (SHG) at around 148.3 nm — a key requirement for the</w:t>
      </w:r>
      <w:r>
        <w:rPr>
          <w:vertAlign w:val="subscript"/>
        </w:rPr>
        <w:t>2</w:t>
      </w:r>
      <w:r>
        <w:rPr>
          <w:vertAlign w:val="subscript"/>
        </w:rPr>
        <w:t>2</w:t>
      </w:r>
      <w:r>
        <w:rPr>
          <w:vertAlign w:val="subscript"/>
        </w:rPr>
        <w:t>9</w:t>
      </w:r>
      <w:r>
        <w:t>Th nuclear clock. Here, we proposed a functional‐units‐ratio design principle to address this bottleneck. Applying this strategy to the Li‐B‐O‐F system, we designed two novel compositions, LiB</w:t>
      </w:r>
      <w:r>
        <w:rPr>
          <w:vertAlign w:val="subscript"/>
        </w:rPr>
        <w:t>3</w:t>
      </w:r>
      <w:r>
        <w:t>O</w:t>
      </w:r>
      <w:r>
        <w:rPr>
          <w:vertAlign w:val="subscript"/>
        </w:rPr>
        <w:t>4</w:t>
      </w:r>
      <w:r>
        <w:t>F</w:t>
      </w:r>
      <w:r>
        <w:rPr>
          <w:vertAlign w:val="subscript"/>
        </w:rPr>
        <w:t>2</w:t>
      </w:r>
      <w:r>
        <w:t>and Li</w:t>
      </w:r>
      <w:r>
        <w:rPr>
          <w:vertAlign w:val="subscript"/>
        </w:rPr>
        <w:t>2</w:t>
      </w:r>
      <w:r>
        <w:t>B</w:t>
      </w:r>
      <w:r>
        <w:rPr>
          <w:vertAlign w:val="subscript"/>
        </w:rPr>
        <w:t>4</w:t>
      </w:r>
      <w:r>
        <w:t>O</w:t>
      </w:r>
      <w:r>
        <w:rPr>
          <w:vertAlign w:val="subscript"/>
        </w:rPr>
        <w:t>5</w:t>
      </w:r>
      <w:r>
        <w:t>F</w:t>
      </w:r>
      <w:r>
        <w:rPr>
          <w:vertAlign w:val="subscript"/>
        </w:rPr>
        <w:t>4</w:t>
      </w:r>
      <w:r>
        <w:t>. Subsequent crystal structure prediction identified</w:t>
      </w:r>
      <w:r>
        <w:t xml:space="preserve"> </w:t>
      </w:r>
      <w:r>
        <w:t>C</w:t>
      </w:r>
      <w:r>
        <w:t xml:space="preserve"> </w:t>
      </w:r>
      <w:r>
        <w:t>2‐LiB</w:t>
      </w:r>
      <w:r>
        <w:rPr>
          <w:vertAlign w:val="subscript"/>
        </w:rPr>
        <w:t>3</w:t>
      </w:r>
      <w:r>
        <w:t>O</w:t>
      </w:r>
      <w:r>
        <w:rPr>
          <w:vertAlign w:val="subscript"/>
        </w:rPr>
        <w:t>4</w:t>
      </w:r>
      <w:r>
        <w:t>F</w:t>
      </w:r>
      <w:r>
        <w:rPr>
          <w:vertAlign w:val="subscript"/>
        </w:rPr>
        <w:t>2</w:t>
      </w:r>
      <w:r>
        <w:t>as an exceptional candidate, exhibiting a record‐short PM wavelength of 145.2 nm and a strong SHG response of 3.4 × KH</w:t>
      </w:r>
      <w:r>
        <w:rPr>
          <w:vertAlign w:val="subscript"/>
        </w:rPr>
        <w:t>2</w:t>
      </w:r>
      <w:r>
        <w:t>PO</w:t>
      </w:r>
      <w:r>
        <w:rPr>
          <w:vertAlign w:val="subscript"/>
        </w:rPr>
        <w:t>4</w:t>
      </w:r>
      <w:r>
        <w:t>. The prediction also revealed several other metastable phases with outstanding performance, including</w:t>
      </w:r>
      <w:r>
        <w:t xml:space="preserve"> </w:t>
      </w:r>
      <w:r>
        <w:t>Cc</w:t>
      </w:r>
      <w:r>
        <w:t xml:space="preserve"> </w:t>
      </w:r>
      <w:r>
        <w:t>‐LiB</w:t>
      </w:r>
      <w:r>
        <w:rPr>
          <w:vertAlign w:val="subscript"/>
        </w:rPr>
        <w:t>3</w:t>
      </w:r>
      <w:r>
        <w:t>O</w:t>
      </w:r>
      <w:r>
        <w:rPr>
          <w:vertAlign w:val="subscript"/>
        </w:rPr>
        <w:t>4</w:t>
      </w:r>
      <w:r>
        <w:t>F</w:t>
      </w:r>
      <w:r>
        <w:rPr>
          <w:vertAlign w:val="subscript"/>
        </w:rPr>
        <w:t>2</w:t>
      </w:r>
      <w:r>
        <w:t>(149.7 nm),</w:t>
      </w:r>
      <w:r>
        <w:t xml:space="preserve"> </w:t>
      </w:r>
      <w:r>
        <w:t>P</w:t>
      </w:r>
      <w:r>
        <w:rPr>
          <w:vertAlign w:val="subscript"/>
        </w:rPr>
        <w:t>2</w:t>
      </w:r>
      <w:r>
        <w:rPr>
          <w:vertAlign w:val="subscript"/>
        </w:rPr>
        <w:t>1</w:t>
      </w:r>
      <w:r>
        <w:t>‐Li</w:t>
      </w:r>
      <w:r>
        <w:rPr>
          <w:vertAlign w:val="subscript"/>
        </w:rPr>
        <w:t>2</w:t>
      </w:r>
      <w:r>
        <w:t>B</w:t>
      </w:r>
      <w:r>
        <w:rPr>
          <w:vertAlign w:val="subscript"/>
        </w:rPr>
        <w:t>4</w:t>
      </w:r>
      <w:r>
        <w:t>O</w:t>
      </w:r>
      <w:r>
        <w:rPr>
          <w:vertAlign w:val="subscript"/>
        </w:rPr>
        <w:t>5</w:t>
      </w:r>
      <w:r>
        <w:t>F</w:t>
      </w:r>
      <w:r>
        <w:rPr>
          <w:vertAlign w:val="subscript"/>
        </w:rPr>
        <w:t>4</w:t>
      </w:r>
      <w:r>
        <w:t>(151.6 nm),</w:t>
      </w:r>
      <w:r>
        <w:t xml:space="preserve"> </w:t>
      </w:r>
      <w:r>
        <w:t>P</w:t>
      </w:r>
      <w:r>
        <w:rPr>
          <w:vertAlign w:val="subscript"/>
        </w:rPr>
        <w:t>2</w:t>
      </w:r>
      <w:r>
        <w:rPr>
          <w:vertAlign w:val="subscript"/>
        </w:rPr>
        <w:t>1</w:t>
      </w:r>
      <w:r>
        <w:t>‐LiB</w:t>
      </w:r>
      <w:r>
        <w:rPr>
          <w:vertAlign w:val="subscript"/>
        </w:rPr>
        <w:t>3</w:t>
      </w:r>
      <w:r>
        <w:t>O</w:t>
      </w:r>
      <w:r>
        <w:rPr>
          <w:vertAlign w:val="subscript"/>
        </w:rPr>
        <w:t>4</w:t>
      </w:r>
      <w:r>
        <w:t>F</w:t>
      </w:r>
      <w:r>
        <w:rPr>
          <w:vertAlign w:val="subscript"/>
        </w:rPr>
        <w:t>2</w:t>
      </w:r>
      <w:r>
        <w:t>‐5 (156.1 nm),</w:t>
      </w:r>
      <w:r>
        <w:t xml:space="preserve"> </w:t>
      </w:r>
      <w:r>
        <w:t>P</w:t>
      </w:r>
      <w:r>
        <w:rPr>
          <w:vertAlign w:val="subscript"/>
        </w:rPr>
        <w:t>2</w:t>
      </w:r>
      <w:r>
        <w:rPr>
          <w:vertAlign w:val="subscript"/>
        </w:rPr>
        <w:t>1</w:t>
      </w:r>
      <w:r>
        <w:t>‐LiB</w:t>
      </w:r>
      <w:r>
        <w:rPr>
          <w:vertAlign w:val="subscript"/>
        </w:rPr>
        <w:t>3</w:t>
      </w:r>
      <w:r>
        <w:t>O</w:t>
      </w:r>
      <w:r>
        <w:rPr>
          <w:vertAlign w:val="subscript"/>
        </w:rPr>
        <w:t>4</w:t>
      </w:r>
      <w:r>
        <w:t>F</w:t>
      </w:r>
      <w:r>
        <w:rPr>
          <w:vertAlign w:val="subscript"/>
        </w:rPr>
        <w:t>2</w:t>
      </w:r>
      <w:r>
        <w:t>‐9 (156.8 nm), and</w:t>
      </w:r>
      <w:r>
        <w:t xml:space="preserve"> </w:t>
      </w:r>
      <w:r>
        <w:t>Cm</w:t>
      </w:r>
      <w:r>
        <w:t xml:space="preserve"> </w:t>
      </w:r>
      <w:r>
        <w:t>‐LiB</w:t>
      </w:r>
      <w:r>
        <w:rPr>
          <w:vertAlign w:val="subscript"/>
        </w:rPr>
        <w:t>3</w:t>
      </w:r>
      <w:r>
        <w:t>O</w:t>
      </w:r>
      <w:r>
        <w:rPr>
          <w:vertAlign w:val="subscript"/>
        </w:rPr>
        <w:t>4</w:t>
      </w:r>
      <w:r>
        <w:t>F</w:t>
      </w:r>
      <w:r>
        <w:rPr>
          <w:vertAlign w:val="subscript"/>
        </w:rPr>
        <w:t>2</w:t>
      </w:r>
      <w:r>
        <w:t>‐7 (158.2 nm), all of which surpass the previous record and have a high synthesis probability. Crucially, the combination of [BO</w:t>
      </w:r>
      <w:r>
        <w:rPr>
          <w:vertAlign w:val="subscript"/>
        </w:rPr>
        <w:t>3</w:t>
      </w:r>
      <w:r>
        <w:t>]  and [BO</w:t>
      </w:r>
      <w:r>
        <w:rPr>
          <w:vertAlign w:val="subscript"/>
        </w:rPr>
        <w:t>2</w:t>
      </w:r>
      <w:r>
        <w:t>F</w:t>
      </w:r>
      <w:r>
        <w:rPr>
          <w:vertAlign w:val="subscript"/>
        </w:rPr>
        <w:t>2</w:t>
      </w:r>
      <w:r>
        <w:t>] functional units enables deep‐UV PM with a moderate birefringence (∼0.05 @1064 nm), effectively circumventing the traditional performance trade‐off. This work provides a generalizable design strategy for next‐generation deep‐UV NLO materials and paves the way for the practical development of the</w:t>
      </w:r>
      <w:r>
        <w:rPr>
          <w:vertAlign w:val="subscript"/>
        </w:rPr>
        <w:t>229</w:t>
      </w:r>
      <w:r>
        <w:t>Th nuclear clock.</w:t>
      </w:r>
    </w:p>
    <w:p>
      <w:pPr>
        <w:spacing w:before="120" w:after="120"/>
      </w:pPr>
      <w:r>
        <w:rPr>
          <w:sz w:val="18"/>
        </w:rPr>
        <w:t>——————————————————————————————————————————————————————————————————————</w:t>
      </w:r>
    </w:p>
    <w:p>
      <w:pPr>
        <w:spacing w:before="160" w:after="40" w:line="240" w:lineRule="auto"/>
      </w:pPr>
      <w:r>
        <w:rPr>
          <w:b/>
        </w:rPr>
        <w:t xml:space="preserve">[160] </w:t>
      </w:r>
      <w:hyperlink r:id="rId249">
        <w:r>
          <w:rPr>
            <w:color w:val="1155CC"/>
            <w:u w:val="single"/>
          </w:rPr>
          <w:t>解除混合硫化碳磺酸化合物硫化合物和高硫利用秘密</w:t>
        </w:r>
      </w:hyperlink>
    </w:p>
    <w:p>
      <w:pPr>
        <w:spacing w:before="0" w:after="80"/>
      </w:pPr>
      <w:r>
        <w:rPr>
          <w:i/>
          <w:sz w:val="20"/>
        </w:rPr>
        <w:t>EN: Unravelling the Secret of Sulfur Confinement and High Sulfur Utilization in Hybrid Sulfur‐Carbons</w:t>
      </w:r>
    </w:p>
    <w:p>
      <w:pPr>
        <w:spacing w:before="0" w:after="120"/>
      </w:pPr>
      <w:r>
        <w:rPr>
          <w:b/>
        </w:rPr>
        <w:t xml:space="preserve">Source: </w:t>
      </w:r>
      <w:r>
        <w:t>Wiley: Advanced Materials: Table of Contents</w:t>
      </w:r>
      <w:r>
        <w:t xml:space="preserve">    </w:t>
      </w:r>
      <w:r>
        <w:rPr>
          <w:b/>
        </w:rPr>
        <w:t xml:space="preserve">Pub date: </w:t>
      </w:r>
      <w:r>
        <w:t>2026-01-19 09:37:00+00:00</w:t>
      </w:r>
      <w:r>
        <w:t xml:space="preserve">    </w:t>
      </w:r>
      <w:r>
        <w:rPr>
          <w:b/>
        </w:rPr>
        <w:t xml:space="preserve">DOI: </w:t>
      </w:r>
      <w:hyperlink r:id="rId250">
        <w:r>
          <w:rPr>
            <w:color w:val="1155CC"/>
            <w:u w:val="single"/>
          </w:rPr>
          <w:t>10.1002/adma.202513346</w:t>
        </w:r>
      </w:hyperlink>
    </w:p>
    <w:p>
      <w:pPr>
        <w:spacing w:before="0" w:after="120"/>
      </w:pPr>
      <w:r>
        <w:rPr>
          <w:b/>
        </w:rPr>
        <w:t xml:space="preserve">Notes: </w:t>
      </w:r>
      <w:r>
        <w:t>abstract_source=crossref</w:t>
      </w:r>
    </w:p>
    <w:p>
      <w:pPr>
        <w:spacing w:before="0" w:after="80" w:lineRule="auto" w:line="276"/>
      </w:pPr>
      <w:r>
        <w:rPr>
          <w:b/>
        </w:rPr>
        <w:t xml:space="preserve">摘要（ZH）: </w:t>
      </w:r>
      <w:r>
        <w:t>ABSTACT 理解硫化封存和混合硫碳材料的化学转化对于推进金属硫化电池至关重要。在这里,我们调查硫化富聚物通过反硫化和热凝聚而演变成混合硫化碳的结构演变。多尺度分析显示,从在°175°C出现硫基开始,逐步转化,随后逐步开发一个超过300°C的碳矩阵,稳定激进物种。大约450°C是一种过渡阶段形式,由混凝碳聚集组成,与硫化链连接在一起。这种混合结构将硫化材料限制在伪化学纳米材料中,有效地抑制聚硫化物的溶解和增强。</w:t>
      </w:r>
    </w:p>
    <w:p>
      <w:pPr>
        <w:spacing w:before="0" w:after="200" w:lineRule="auto" w:line="276"/>
      </w:pPr>
      <w:r>
        <w:rPr>
          <w:b/>
        </w:rPr>
        <w:t xml:space="preserve">Abstract (EN): </w:t>
      </w:r>
      <w:r>
        <w:t>Understanding sulfur confinement and chemical transformation in hybrid sulfur‐carbon materials is critical for advancing metal‐sulfur batteries. Here, we investigate the structural evolution of a sulfur‐rich polymer into a hybrid sulfur‐carbon via inverse vulcanization and thermal condensation. Multiscale analyses reveal a stepwise transformation, beginning with the emergence of sulfur radicals at ∼175°C, followed by the progressive development of a carbon matrix above 300°C that stabilizes the radical species. Around 450°C, a transitional phase forms, consisting of conjugated carbon clusters covalently bonded to sulfur chains. This hybrid structure confines sulfur within pseudo‐graphitic nanodomains, effectively suppressing polysulfide dissolution and enhancing redox stability. DFT simulations show how sulfur confinement modulates Na‐S reaction energetics, while electrochemical testing confirms high sulfur utilization, delivering ∼1000 mAh  and 1200 Wh , setting a new performance benchmark for room‐temperature Na─S batteries. These findings provide critical insights into the correlation between structural evolution and electrochemical performance, offering design principles for next‐generation sulfur‐based electrodes.</w:t>
      </w:r>
    </w:p>
    <w:p>
      <w:pPr>
        <w:spacing w:before="120" w:after="120"/>
      </w:pPr>
      <w:r>
        <w:rPr>
          <w:sz w:val="18"/>
        </w:rPr>
        <w:t>——————————————————————————————————————————————————————————————————————</w:t>
      </w:r>
    </w:p>
    <w:p>
      <w:pPr>
        <w:spacing w:before="160" w:after="40" w:line="240" w:lineRule="auto"/>
      </w:pPr>
      <w:r>
        <w:rPr>
          <w:b/>
        </w:rPr>
        <w:t xml:space="preserve">[161] </w:t>
      </w:r>
      <w:hyperlink r:id="rId251">
        <w:r>
          <w:rPr>
            <w:color w:val="1155CC"/>
            <w:u w:val="single"/>
          </w:rPr>
          <w:t>通过对可编程光学编码的混合三联式和Excciplus持久性排放, 碳点的余生后演化</w:t>
        </w:r>
      </w:hyperlink>
    </w:p>
    <w:p>
      <w:pPr>
        <w:spacing w:before="0" w:after="80"/>
      </w:pPr>
      <w:r>
        <w:rPr>
          <w:i/>
          <w:sz w:val="20"/>
        </w:rPr>
        <w:t>EN: Photoactivatable Time‐Evolving Afterglow of Carbon Dots via Coupled Triplet and Exciplex Persistent Emission for Programmable Photonic Encoding</w:t>
      </w:r>
    </w:p>
    <w:p>
      <w:pPr>
        <w:spacing w:before="0" w:after="120"/>
      </w:pPr>
      <w:r>
        <w:rPr>
          <w:b/>
        </w:rPr>
        <w:t xml:space="preserve">Source: </w:t>
      </w:r>
      <w:r>
        <w:t>Wiley: Angewandte Chemie International Edition: Table of Contents</w:t>
      </w:r>
      <w:r>
        <w:t xml:space="preserve">    </w:t>
      </w:r>
      <w:r>
        <w:rPr>
          <w:b/>
        </w:rPr>
        <w:t xml:space="preserve">Pub date: </w:t>
      </w:r>
      <w:r>
        <w:t>2026-01-19 09:41:02+00:00</w:t>
      </w:r>
      <w:r>
        <w:t xml:space="preserve">    </w:t>
      </w:r>
      <w:r>
        <w:rPr>
          <w:b/>
        </w:rPr>
        <w:t xml:space="preserve">DOI: </w:t>
      </w:r>
      <w:hyperlink r:id="rId252">
        <w:r>
          <w:rPr>
            <w:color w:val="1155CC"/>
            <w:u w:val="single"/>
          </w:rPr>
          <w:t>10.1002/anie.202524898</w:t>
        </w:r>
      </w:hyperlink>
    </w:p>
    <w:p>
      <w:pPr>
        <w:spacing w:before="0" w:after="120"/>
      </w:pPr>
      <w:r>
        <w:rPr>
          <w:b/>
        </w:rPr>
        <w:t xml:space="preserve">Notes: </w:t>
      </w:r>
      <w:r>
        <w:t>abstract_source=crossref</w:t>
      </w:r>
    </w:p>
    <w:p>
      <w:pPr>
        <w:spacing w:before="0" w:after="80" w:lineRule="auto" w:line="276"/>
      </w:pPr>
      <w:r>
        <w:rPr>
          <w:b/>
        </w:rPr>
        <w:t xml:space="preserve">摘要（ZH）: </w:t>
      </w:r>
      <w:r>
        <w:t>光活性闪光后彩色(TEAC)材料的抽象光活性变化时间为动态光度应用提供可编程的延迟排放,然而,在无金属系统中实现轻触控和多状态后光控仍是一项艰巨的挑战。 我们在此报告一个碳点聚合复合物(CDs@ABS)(CDs@ABS ), 显示具有不同寿命的双光活延迟排放, 产生具有光学内存的可逆转的TEAC。 在短暂的紫外线接触后, 影片显示没有可见的紫外线; 长期辐照引发一种动态排放, 从红到橙色、 黄色, 最后是绿色, 其记忆期最长为40分钟, 并且具有极好的长期稳定性。 在这个结构中, 电子丰富的CDs作为三重发射者和捐赠者, 而电子则作为三重发射者和捐赠者。</w:t>
      </w:r>
    </w:p>
    <w:p>
      <w:pPr>
        <w:spacing w:before="0" w:after="200" w:lineRule="auto" w:line="276"/>
      </w:pPr>
      <w:r>
        <w:rPr>
          <w:b/>
        </w:rPr>
        <w:t xml:space="preserve">Abstract (EN): </w:t>
      </w:r>
      <w:r>
        <w:t>Photoactivatable time‐evolving afterglow color (TEAC) materials offer programmable delayed emission for dynamic photonic applications. However, achieving light‐triggered and multistate afterglow control in metal‐free systems remains a formidable challenge. Here we report a carbon dot‐polymer composite (CDs@ABS) that exhibits dual photoactivatable delayed emissions with distinct lifetimes, generating reversible TEAC with optical memory. Upon brief UV exposure, the film shows no visible afterglow; prolonged irradiation activates a dynamic emission that evolves from red to orange, yellow, and finally green, with a memory duration of up to 40 min and excellent long‐term stability. In this architecture, electron‐rich CDs act as triplet emitters and donors, while the electron‐deficient, oxygen‐permeable ABS matrix serves as both acceptor and regulator of exciton dynamics. The coupled emissive channels originate from oxygen‐regulated red phosphorescence of CDs triplet excitons and green long‐persistent luminescence from donor–acceptor exciplexes, which is progressively enhanced by photoinduced charge accumulation and strengthened hydrogen bonding. Their cooperative interplay produces light‐triggered, reversible TEAC behavior. Leveraging this functionality, the CDs@ABS film enables programmable and multilevel photonic encryption and dynamic anti‐counterfeiting. This work presents a generalizable strategy for cost‐effective, metal‐free, photoactivatable afterglow systems, opening avenues toward next‐generation dynamic information security and spatiotemporal photonics.</w:t>
      </w:r>
    </w:p>
    <w:p>
      <w:pPr>
        <w:spacing w:before="120" w:after="120"/>
      </w:pPr>
      <w:r>
        <w:rPr>
          <w:sz w:val="18"/>
        </w:rPr>
        <w:t>——————————————————————————————————————————————————————————————————————</w:t>
      </w:r>
    </w:p>
    <w:p>
      <w:pPr>
        <w:spacing w:before="160" w:after="40" w:line="240" w:lineRule="auto"/>
      </w:pPr>
      <w:r>
        <w:rPr>
          <w:b/>
        </w:rPr>
        <w:t xml:space="preserve">[162] </w:t>
      </w:r>
      <w:hyperlink r:id="rId253">
        <w:r>
          <w:rPr>
            <w:color w:val="1155CC"/>
            <w:u w:val="single"/>
          </w:rPr>
          <w:t>多功能多功能跨分子桥梁,以高效和机械强力高效益、高机械强力的 蓝色 Perovskite Light-Emitte Light-Light-Emittee二极管</w:t>
        </w:r>
      </w:hyperlink>
    </w:p>
    <w:p>
      <w:pPr>
        <w:spacing w:before="0" w:after="80"/>
      </w:pPr>
      <w:r>
        <w:rPr>
          <w:i/>
          <w:sz w:val="20"/>
        </w:rPr>
        <w:t>EN: Multifunctional Interfacial Molecular Bridge for Highly Efficient and Mechanically Robust Flexible Blue Perovskite Light‐Emitting Diodes</w:t>
      </w:r>
    </w:p>
    <w:p>
      <w:pPr>
        <w:spacing w:before="0" w:after="120"/>
      </w:pPr>
      <w:r>
        <w:rPr>
          <w:b/>
        </w:rPr>
        <w:t xml:space="preserve">Source: </w:t>
      </w:r>
      <w:r>
        <w:t>Wiley: Advanced Materials: Table of Contents</w:t>
      </w:r>
      <w:r>
        <w:t xml:space="preserve">    </w:t>
      </w:r>
      <w:r>
        <w:rPr>
          <w:b/>
        </w:rPr>
        <w:t xml:space="preserve">Pub date: </w:t>
      </w:r>
      <w:r>
        <w:t>2026-01-19 09:46:47+00:00</w:t>
      </w:r>
      <w:r>
        <w:t xml:space="preserve">    </w:t>
      </w:r>
      <w:r>
        <w:rPr>
          <w:b/>
        </w:rPr>
        <w:t xml:space="preserve">DOI: </w:t>
      </w:r>
      <w:hyperlink r:id="rId254">
        <w:r>
          <w:rPr>
            <w:color w:val="1155CC"/>
            <w:u w:val="single"/>
          </w:rPr>
          <w:t>10.1002/adma.202521547</w:t>
        </w:r>
      </w:hyperlink>
    </w:p>
    <w:p>
      <w:pPr>
        <w:spacing w:before="0" w:after="120"/>
      </w:pPr>
      <w:r>
        <w:rPr>
          <w:b/>
        </w:rPr>
        <w:t xml:space="preserve">Notes: </w:t>
      </w:r>
      <w:r>
        <w:t>abstract_source=crossref</w:t>
      </w:r>
    </w:p>
    <w:p>
      <w:pPr>
        <w:spacing w:before="0" w:after="80" w:lineRule="auto" w:line="276"/>
      </w:pPr>
      <w:r>
        <w:rPr>
          <w:b/>
        </w:rPr>
        <w:t xml:space="preserve">摘要（ZH）: </w:t>
      </w:r>
      <w:r>
        <w:t>ABSTACT金属卤化百草枯已逐渐成为灵活光电子的有希望的候选产品,然而,低电荷利用率和机械耐久性差,仍然阻碍着高效的蓝色排放装置的开发。在此,我们提出使用三氟乙酸(TFA-)基分子的多功能分子连接战略,以构建高效和机能强的柔性蓝色透光发射二极管(PeLEDs),TFA-桥可增强气际粘合,在界面上形成压力再分配网络,有效消除弯曲诱发的菌株。与此同时,这一分子桥梁有效地调节了晶体化。</w:t>
      </w:r>
    </w:p>
    <w:p>
      <w:pPr>
        <w:spacing w:before="0" w:after="200" w:lineRule="auto" w:line="276"/>
      </w:pPr>
      <w:r>
        <w:rPr>
          <w:b/>
        </w:rPr>
        <w:t xml:space="preserve">Abstract (EN): </w:t>
      </w:r>
      <w:r>
        <w:t>Metal halide perovskites have emerged as promising candidates for flexible optoelectronics, yet the development of efficient blue‐emitting devices remains hindered by low charge utilization and poor mechanical durability. Herein, we propose a multifunctional molecular bridging strategy using trifluoroacetate (TFA</w:t>
      </w:r>
      <w:r>
        <w:t xml:space="preserve"> </w:t>
      </w:r>
      <w:r>
        <w:t>−</w:t>
      </w:r>
      <w:r>
        <w:t>)‐based molecule to construct efficient and mechanically robust flexible blue perovskite light‐emitting diodes (PeLEDs). The TFA</w:t>
      </w:r>
      <w:r>
        <w:t xml:space="preserve"> </w:t>
      </w:r>
      <w:r>
        <w:t>−</w:t>
      </w:r>
      <w:r>
        <w:t>bridge enhances interfacial adhesion and creates a stress‐redistributing network at the interface, effectively dissipating bending‐induced strain. Concurrently, this molecular bridge effectively modulates the crystallization of low‐dimensional perovskites through competitive coordination and hydrogen bond‐guided phase reorganization, facilitating efficient exciton confinement and energy transfer. The resulting flexible blue PeLEDs achieve an external quantum efficiency of 20.05% and outstanding bending durability, maintaining over 90% of their initial performance after 2000 cycles at a 5 mm radius. This work demonstrates the dual role of biomimetic molecular bridges in simultaneously stabilizing the bulk perovskite phase and the device interface, providing a generalizable route toward high‐performance and mechanically robust flexible optoelectronics.</w:t>
      </w:r>
    </w:p>
    <w:p>
      <w:pPr>
        <w:spacing w:before="120" w:after="120"/>
      </w:pPr>
      <w:r>
        <w:rPr>
          <w:sz w:val="18"/>
        </w:rPr>
        <w:t>——————————————————————————————————————————————————————————————————————</w:t>
      </w:r>
    </w:p>
    <w:p>
      <w:pPr>
        <w:spacing w:before="160" w:after="40" w:line="240" w:lineRule="auto"/>
      </w:pPr>
      <w:r>
        <w:rPr>
          <w:b/>
        </w:rPr>
        <w:t xml:space="preserve">[163] </w:t>
      </w:r>
      <w:hyperlink r:id="rId255">
        <w:r>
          <w:rPr>
            <w:color w:val="1155CC"/>
            <w:u w:val="single"/>
          </w:rPr>
          <w:t>通过超稳定锌金属阳极的理论分子结构,对调控间动态动态自调整疏水层进行自调整</w:t>
        </w:r>
      </w:hyperlink>
    </w:p>
    <w:p>
      <w:pPr>
        <w:spacing w:before="0" w:after="80"/>
      </w:pPr>
      <w:r>
        <w:rPr>
          <w:i/>
          <w:sz w:val="20"/>
        </w:rPr>
        <w:t>EN: Regulating Interfacial Dynamic Self‐Adjusting Hydrophobic Layer via Cationic Molecular Structure for Ultra‐Stable Zinc Metal Anode</w:t>
      </w:r>
    </w:p>
    <w:p>
      <w:pPr>
        <w:spacing w:before="0" w:after="120"/>
      </w:pPr>
      <w:r>
        <w:rPr>
          <w:b/>
        </w:rPr>
        <w:t xml:space="preserve">Source: </w:t>
      </w:r>
      <w:r>
        <w:t>Wiley: Angewandte Chemie International Edition: Table of Contents</w:t>
      </w:r>
      <w:r>
        <w:t xml:space="preserve">    </w:t>
      </w:r>
      <w:r>
        <w:rPr>
          <w:b/>
        </w:rPr>
        <w:t xml:space="preserve">Pub date: </w:t>
      </w:r>
      <w:r>
        <w:t>2026-01-19 09:52:17+00:00</w:t>
      </w:r>
      <w:r>
        <w:t xml:space="preserve">    </w:t>
      </w:r>
      <w:r>
        <w:rPr>
          <w:b/>
        </w:rPr>
        <w:t xml:space="preserve">DOI: </w:t>
      </w:r>
      <w:hyperlink r:id="rId256">
        <w:r>
          <w:rPr>
            <w:color w:val="1155CC"/>
            <w:u w:val="single"/>
          </w:rPr>
          <w:t>10.1002/anie.202522184</w:t>
        </w:r>
      </w:hyperlink>
    </w:p>
    <w:p>
      <w:pPr>
        <w:spacing w:before="0" w:after="120"/>
      </w:pPr>
      <w:r>
        <w:rPr>
          <w:b/>
        </w:rPr>
        <w:t xml:space="preserve">Notes: </w:t>
      </w:r>
      <w:r>
        <w:t>abstract_source=crossref</w:t>
      </w:r>
    </w:p>
    <w:p>
      <w:pPr>
        <w:spacing w:before="0" w:after="80" w:lineRule="auto" w:line="276"/>
      </w:pPr>
      <w:r>
        <w:rPr>
          <w:b/>
        </w:rPr>
        <w:t xml:space="preserve">摘要（ZH）: </w:t>
      </w:r>
      <w:r>
        <w:t>溶性添加剂的抽象结构对金属电池的两极分化和倾斜行为产生了重大影响。在本研究中,我们首次提议采用“水利-日光生物平衡(HLB)价值-空间配置协同调节”战略,选择具有不同结构的聚合物作为添加剂,成功地揭示了添加剂结构与阳极界面吸附层的稳定性之间的结构活性关系。其中,丁基三甲基氯化物添加剂(ADD4)具有较低的HLB值和线性结构,呈现了最稳定的内部结构。由自发聚合和组装形成的稳定的缺水区对水分质产生了令人厌恶的影响。</w:t>
      </w:r>
    </w:p>
    <w:p>
      <w:pPr>
        <w:spacing w:before="0" w:after="200" w:lineRule="auto" w:line="276"/>
      </w:pPr>
      <w:r>
        <w:rPr>
          <w:b/>
        </w:rPr>
        <w:t xml:space="preserve">Abstract (EN): </w:t>
      </w:r>
      <w:r>
        <w:t>The structure of solution additives significantly affects the polarization and dendrite behavior of metal batteries. In this study, we propose, for the first time, the “hydrophilic‐lipophilic balance (HLB) value‐spatial configuration synergistic regulation” strategy by selecting cations with different structures as additives, successfully revealing the structure‐activity relationship between additive structures and the stability of the anode interface adsorption layer. Among them, the butyltrimethylammonium chloride additive (ADD4), which has a low HLB value and a linear structure, exhibits the most stable interfacial structure. The stable hydrophobic region formed by its spontaneous aggregation and assembly shows a repulsive effect on hydrated protons. The constructed protective layer can effectively reduce overpotential and inhibit the formation of by‐products. The battery with ADD4 exhibits excellent stability, with over 1700 cycles and an average Coulombic efficiency of 99.7%. The full laboratory cells and pouch cells can also maintain very good cyclability, verifying their feasibility for practical applications. This study emphasizes that exploring the relationship between the hydrophilic‐hydrophobic properties, microstructure of additive ions, and the stability of the adsorption layer is crucial for designing appropriate electrolyte‐electrode interface layers.</w:t>
      </w:r>
    </w:p>
    <w:p>
      <w:pPr>
        <w:spacing w:before="120" w:after="120"/>
      </w:pPr>
      <w:r>
        <w:rPr>
          <w:sz w:val="18"/>
        </w:rPr>
        <w:t>——————————————————————————————————————————————————————————————————————</w:t>
      </w:r>
    </w:p>
    <w:p>
      <w:pPr>
        <w:spacing w:before="160" w:after="40" w:line="240" w:lineRule="auto"/>
      </w:pPr>
      <w:r>
        <w:rPr>
          <w:b/>
        </w:rPr>
        <w:t xml:space="preserve">[164] </w:t>
      </w:r>
      <w:hyperlink r:id="rId257">
        <w:r>
          <w:rPr>
            <w:color w:val="1155CC"/>
            <w:u w:val="single"/>
          </w:rPr>
          <w:t>利用大规模生产碳碳酸钙来进行水管理,以进行实验性二氧化碳电解</w:t>
        </w:r>
      </w:hyperlink>
    </w:p>
    <w:p>
      <w:pPr>
        <w:spacing w:before="0" w:after="80"/>
      </w:pPr>
      <w:r>
        <w:rPr>
          <w:i/>
          <w:sz w:val="20"/>
        </w:rPr>
        <w:t>EN: Water Management Using Massively Produced Calcium Carbonate for Pilot‐Scale CO2 Electrolysis</w:t>
      </w:r>
    </w:p>
    <w:p>
      <w:pPr>
        <w:spacing w:before="0" w:after="120"/>
      </w:pPr>
      <w:r>
        <w:rPr>
          <w:b/>
        </w:rPr>
        <w:t xml:space="preserve">Source: </w:t>
      </w:r>
      <w:r>
        <w:t>Wiley: Advanced Materials: Table of Contents</w:t>
      </w:r>
      <w:r>
        <w:t xml:space="preserve">    </w:t>
      </w:r>
      <w:r>
        <w:rPr>
          <w:b/>
        </w:rPr>
        <w:t xml:space="preserve">Pub date: </w:t>
      </w:r>
      <w:r>
        <w:t>2026-01-19 09:53:16+00:00</w:t>
      </w:r>
      <w:r>
        <w:t xml:space="preserve">    </w:t>
      </w:r>
      <w:r>
        <w:rPr>
          <w:b/>
        </w:rPr>
        <w:t xml:space="preserve">DOI: </w:t>
      </w:r>
      <w:hyperlink r:id="rId258">
        <w:r>
          <w:rPr>
            <w:color w:val="1155CC"/>
            <w:u w:val="single"/>
          </w:rPr>
          <w:t>10.1002/adma.202519757</w:t>
        </w:r>
      </w:hyperlink>
    </w:p>
    <w:p>
      <w:pPr>
        <w:spacing w:before="0" w:after="120"/>
      </w:pPr>
      <w:r>
        <w:rPr>
          <w:b/>
        </w:rPr>
        <w:t xml:space="preserve">Notes: </w:t>
      </w:r>
      <w:r>
        <w:t>abstract_source=crossref</w:t>
      </w:r>
    </w:p>
    <w:p>
      <w:pPr>
        <w:spacing w:before="0" w:after="80" w:lineRule="auto" w:line="276"/>
      </w:pPr>
      <w:r>
        <w:rPr>
          <w:b/>
        </w:rPr>
        <w:t xml:space="preserve">摘要（ZH）: </w:t>
      </w:r>
      <w:r>
        <w:t>碳酸钙(CaCO 3)是一种土生矿物,这里我们提出了一个基于碳酸钙(CaCO 3)建造理想质子喂养微环境的总体战略。我们利用现场光谱和理论模拟,发现CaCO 3的独特水利生物表面有选择地丰富和稳定更机动和活性液体类似水分子(2HB2O),从而在电极附近建立一个高效质子高速公路。</w:t>
      </w:r>
    </w:p>
    <w:p>
      <w:pPr>
        <w:spacing w:before="0" w:after="200" w:lineRule="auto" w:line="276"/>
      </w:pPr>
      <w:r>
        <w:rPr>
          <w:b/>
        </w:rPr>
        <w:t xml:space="preserve">Abstract (EN): </w:t>
      </w:r>
      <w:r>
        <w:t>The performance of scalable, catholyte‐free membrane electrode assemblies (MEAs) is restricted by insufficient interfacial water and proton supply. Here, we present a general strategy for constructing an ideal proton‐feeding microenvironment based on calcium carbonate (CaCO</w:t>
      </w:r>
      <w:r>
        <w:rPr>
          <w:vertAlign w:val="subscript"/>
        </w:rPr>
        <w:t>3</w:t>
      </w:r>
      <w:r>
        <w:t>), an earth‐abundant mineral. Using in situ spectroscopy and theoretical simulations, we reveal that the uniquely hydrophilic surface of CaCO</w:t>
      </w:r>
      <w:r>
        <w:rPr>
          <w:vertAlign w:val="subscript"/>
        </w:rPr>
        <w:t>3</w:t>
      </w:r>
      <w:r>
        <w:t>selectively enriches and stabilizes the more mobile and reactive liquid‐like water molecules (2‐HB·H</w:t>
      </w:r>
      <w:r>
        <w:rPr>
          <w:vertAlign w:val="subscript"/>
        </w:rPr>
        <w:t>2</w:t>
      </w:r>
      <w:r>
        <w:t>O), thereby establishing an efficient proton highway near the electrode. This enables metal‐loaded CaCO</w:t>
      </w:r>
      <w:r>
        <w:rPr>
          <w:vertAlign w:val="subscript"/>
        </w:rPr>
        <w:t>3</w:t>
      </w:r>
      <w:r>
        <w:t>(M/CaCO</w:t>
      </w:r>
      <w:r>
        <w:rPr>
          <w:vertAlign w:val="subscript"/>
        </w:rPr>
        <w:t>3</w:t>
      </w:r>
      <w:r>
        <w:t>, M = Zn, and Cu) catalysts to achieve exceptional performance at industrial‐relevant current densities. Crucially, we demonstrate that the catalyst can be synthesized on a kilogram scale directly from unpurified cement plant flue gas. This catalyst enables high‐rate CO</w:t>
      </w:r>
      <w:r>
        <w:rPr>
          <w:vertAlign w:val="subscript"/>
        </w:rPr>
        <w:t>2</w:t>
      </w:r>
      <w:r>
        <w:t>conversion to C</w:t>
      </w:r>
      <w:r>
        <w:t xml:space="preserve"> </w:t>
      </w:r>
      <w:r>
        <w:t>2+</w:t>
      </w:r>
      <w:r>
        <w:t xml:space="preserve"> </w:t>
      </w:r>
      <w:r>
        <w:t>(FE</w:t>
      </w:r>
      <w:r>
        <w:t xml:space="preserve"> </w:t>
      </w:r>
      <w:r>
        <w:t>C2+</w:t>
      </w:r>
      <w:r>
        <w:t xml:space="preserve"> </w:t>
      </w:r>
      <w:r>
        <w:t>77.97%) or syngas (19 L h</w:t>
      </w:r>
      <w:r>
        <w:t xml:space="preserve"> </w:t>
      </w:r>
      <w:r>
        <w:t>−</w:t>
      </w:r>
      <w:r>
        <w:rPr>
          <w:vertAlign w:val="subscript"/>
        </w:rPr>
        <w:t>1</w:t>
      </w:r>
      <w:r>
        <w:t>; the CO/H</w:t>
      </w:r>
      <w:r>
        <w:rPr>
          <w:vertAlign w:val="subscript"/>
        </w:rPr>
        <w:t>2</w:t>
      </w:r>
      <w:r>
        <w:t>ratio ∼2) in a 100 cm</w:t>
      </w:r>
      <w:r>
        <w:rPr>
          <w:vertAlign w:val="subscript"/>
        </w:rPr>
        <w:t>2</w:t>
      </w:r>
      <w:r>
        <w:t>electrolyzer stack. This work establishes a general paradigm for using natural minerals to manipulate interfacial water dynamics for industrial electrocatalysis.</w:t>
      </w:r>
    </w:p>
    <w:p>
      <w:pPr>
        <w:spacing w:before="120" w:after="120"/>
      </w:pPr>
      <w:r>
        <w:rPr>
          <w:sz w:val="18"/>
        </w:rPr>
        <w:t>——————————————————————————————————————————————————————————————————————</w:t>
      </w:r>
    </w:p>
    <w:p>
      <w:pPr>
        <w:spacing w:before="160" w:after="40" w:line="240" w:lineRule="auto"/>
      </w:pPr>
      <w:r>
        <w:rPr>
          <w:b/>
        </w:rPr>
        <w:t xml:space="preserve">[165] </w:t>
      </w:r>
      <w:hyperlink r:id="rId259">
        <w:r>
          <w:rPr>
            <w:color w:val="1155CC"/>
            <w:u w:val="single"/>
          </w:rPr>
          <w:t>通过Oxypilic Dysprocium Doping的双重管制:稳定氧化支持和定制用于Ampereial Alkaline alkaline 氢进化的催化途径</w:t>
        </w:r>
      </w:hyperlink>
    </w:p>
    <w:p>
      <w:pPr>
        <w:spacing w:before="0" w:after="80"/>
      </w:pPr>
      <w:r>
        <w:rPr>
          <w:i/>
          <w:sz w:val="20"/>
        </w:rPr>
        <w:t>EN: Dual Regulation via Oxyphilic Dysprosium Doping: Stabilizing Oxide Support and Customizing Catalytic Pathway for Ampere‐Level Alkaline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2026-01-19 09:55:09+00:00</w:t>
      </w:r>
      <w:r>
        <w:t xml:space="preserve">    </w:t>
      </w:r>
      <w:r>
        <w:rPr>
          <w:b/>
        </w:rPr>
        <w:t xml:space="preserve">DOI: </w:t>
      </w:r>
      <w:hyperlink r:id="rId260">
        <w:r>
          <w:rPr>
            <w:color w:val="1155CC"/>
            <w:u w:val="single"/>
          </w:rPr>
          <w:t>10.1002/anie.202519688</w:t>
        </w:r>
      </w:hyperlink>
    </w:p>
    <w:p>
      <w:pPr>
        <w:spacing w:before="0" w:after="120"/>
      </w:pPr>
      <w:r>
        <w:rPr>
          <w:b/>
        </w:rPr>
        <w:t xml:space="preserve">Notes: </w:t>
      </w:r>
      <w:r>
        <w:t>abstract_source=crossref</w:t>
      </w:r>
    </w:p>
    <w:p>
      <w:pPr>
        <w:spacing w:before="0" w:after="80" w:lineRule="auto" w:line="276"/>
      </w:pPr>
      <w:r>
        <w:rPr>
          <w:b/>
        </w:rPr>
        <w:t xml:space="preserve">摘要（ZH）: </w:t>
      </w:r>
      <w:r>
        <w:t>摘要:在阴道减少条件下实现氧化物支持的稳健稳定,同时为氢进化反应提供一个高效的VolmerTafel路径,这具有挑战性。在这里,我们报告一个Dydoped CuO支持Rh催化剂(Rh@DyCuO),利用oxyblic Dy作为双重监管手段,加强CuO稳定性,优化其催化路径。Dy结合加强了CuO的联结,并减轻了库矿点的电聚,从而保持了CuO在HH期间的氧化状态,并促进了高效的H 2 O分离以产生吸附氢(*H)。同时,Dy dopping抑制在RhCuO接口的充电蓄积,从而实现了无缝合*H的转移。</w:t>
      </w:r>
    </w:p>
    <w:p>
      <w:pPr>
        <w:spacing w:before="0" w:after="200" w:lineRule="auto" w:line="276"/>
      </w:pPr>
      <w:r>
        <w:rPr>
          <w:b/>
        </w:rPr>
        <w:t xml:space="preserve">Abstract (EN): </w:t>
      </w:r>
      <w:r>
        <w:t>Achieving robust stabilization of oxide supports under cathodic reduction conditions while enabling an efficient Volmer‐Tafel pathway for the hydrogen evolution reaction (HER) is challenging. Herein, we report a Dy‐doped CuO supported Rh catalyst (Rh@Dy‐CuO), leveraging the oxyphilic Dy for dual regulation to enhance CuO stability and optimize the HER catalytic pathway. Dy incorporation strengthens the Cu‐O bond and mitigates electron aggregation at Cu sites, thereby maintaining the oxidized state of CuO during HER and facilitating efficient H</w:t>
      </w:r>
      <w:r>
        <w:rPr>
          <w:vertAlign w:val="subscript"/>
        </w:rPr>
        <w:t>2</w:t>
      </w:r>
      <w:r>
        <w:t>O dissociation to generate adsorbed hydrogen (*H). Concurrently, Dy doping suppresses charge accumulation at the Rh‐CuO interface, enabling seamless *H transfer from CuO to Rh sites. This leads to elevated *H coverage on Rh, promoting rapid *H‐*H coupling via an optimized Tafel step for hydrogen production. As a result, the Rh@Dy‐CuO catalyst delivers a mass activity of 648 mA mg</w:t>
      </w:r>
      <w:r>
        <w:t xml:space="preserve"> </w:t>
      </w:r>
      <w:r>
        <w:t>Rh</w:t>
      </w:r>
      <w:r>
        <w:t xml:space="preserve"> </w:t>
      </w:r>
      <w:r>
        <w:t>−1</w:t>
      </w:r>
      <w:r>
        <w:t xml:space="preserve"> </w:t>
      </w:r>
      <w:r>
        <w:t>at an overpotential of 100 mV, 46 times higher than that of Pt/C. When applied in an anion exchange membrane water electrolyzer, it delivers 1.91 V at 1.0 A cm</w:t>
      </w:r>
      <w:r>
        <w:t xml:space="preserve"> </w:t>
      </w:r>
      <w:r>
        <w:t>−2</w:t>
      </w:r>
      <w:r>
        <w:t xml:space="preserve"> </w:t>
      </w:r>
      <w:r>
        <w:t>with 1000‐hour stability. This Dy‐driven dual regulation offers a novel approach to stabilizing oxide supports and tailoring HER pathways, advancing rare earth‐mediated electrocatalyst design.</w:t>
      </w:r>
    </w:p>
    <w:p>
      <w:pPr>
        <w:spacing w:before="120" w:after="120"/>
      </w:pPr>
      <w:r>
        <w:rPr>
          <w:sz w:val="18"/>
        </w:rPr>
        <w:t>——————————————————————————————————————————————————————————————————————</w:t>
      </w:r>
    </w:p>
    <w:p>
      <w:pPr>
        <w:spacing w:before="160" w:after="40" w:line="240" w:lineRule="auto"/>
      </w:pPr>
      <w:r>
        <w:rPr>
          <w:b/>
        </w:rPr>
        <w:t xml:space="preserve">[166] </w:t>
      </w:r>
      <w:hyperlink r:id="rId261">
        <w:r>
          <w:rPr>
            <w:color w:val="1155CC"/>
            <w:u w:val="single"/>
          </w:rPr>
          <w:t>重新发明磷光阳极:通过斯特拉因诱导的相互结合来控制脉冲化</w:t>
        </w:r>
      </w:hyperlink>
    </w:p>
    <w:p>
      <w:pPr>
        <w:spacing w:before="0" w:after="80"/>
      </w:pPr>
      <w:r>
        <w:rPr>
          <w:i/>
          <w:sz w:val="20"/>
        </w:rPr>
        <w:t>EN: Reinventing Phosphorus Anodes: Taming Pulverization via Strain‐Induced Interfacial Coupling</w:t>
      </w:r>
    </w:p>
    <w:p>
      <w:pPr>
        <w:spacing w:before="0" w:after="120"/>
      </w:pPr>
      <w:r>
        <w:rPr>
          <w:b/>
        </w:rPr>
        <w:t xml:space="preserve">Source: </w:t>
      </w:r>
      <w:r>
        <w:t>Wiley: Angewandte Chemie International Edition: Table of Contents</w:t>
      </w:r>
      <w:r>
        <w:t xml:space="preserve">    </w:t>
      </w:r>
      <w:r>
        <w:rPr>
          <w:b/>
        </w:rPr>
        <w:t xml:space="preserve">Pub date: </w:t>
      </w:r>
      <w:r>
        <w:t>2026-01-19 09:55:54+00:00</w:t>
      </w:r>
      <w:r>
        <w:t xml:space="preserve">    </w:t>
      </w:r>
      <w:r>
        <w:rPr>
          <w:b/>
        </w:rPr>
        <w:t xml:space="preserve">DOI: </w:t>
      </w:r>
      <w:hyperlink r:id="rId262">
        <w:r>
          <w:rPr>
            <w:color w:val="1155CC"/>
            <w:u w:val="single"/>
          </w:rPr>
          <w:t>10.1002/anie.202523513</w:t>
        </w:r>
      </w:hyperlink>
    </w:p>
    <w:p>
      <w:pPr>
        <w:spacing w:before="0" w:after="120"/>
      </w:pPr>
      <w:r>
        <w:rPr>
          <w:b/>
        </w:rPr>
        <w:t xml:space="preserve">Notes: </w:t>
      </w:r>
      <w:r>
        <w:t>abstract_source=crossref</w:t>
      </w:r>
    </w:p>
    <w:p>
      <w:pPr>
        <w:spacing w:before="0" w:after="80" w:lineRule="auto" w:line="276"/>
      </w:pPr>
      <w:r>
        <w:rPr>
          <w:b/>
        </w:rPr>
        <w:t xml:space="preserve">摘要（ZH）: </w:t>
      </w:r>
      <w:r>
        <w:t>抽象合金型阳极具有很高的理论能力,然而其实际应用却受到大量体积扩张和粒子脉冲的阻碍。在这项工作中,建议采取一项积极主动的战略,将固有的体积变化从一个有害问题转变为一个内在体积变化的驱动力,实现内部稳定。通过利用强固的单壁碳纳米管的灵活性和点光时磷的巨大变异,SWCNT中诱发的抗拉菌株加强了它们与碎裂合金颗粒的相互作用,促进了相互联动和形成P-C债券。Ogendo Raman光谱和密度功能理论(DFT)的计算证实了thi。</w:t>
      </w:r>
    </w:p>
    <w:p>
      <w:pPr>
        <w:spacing w:before="0" w:after="200" w:lineRule="auto" w:line="276"/>
      </w:pPr>
      <w:r>
        <w:rPr>
          <w:b/>
        </w:rPr>
        <w:t xml:space="preserve">Abstract (EN): </w:t>
      </w:r>
      <w:r>
        <w:t>Alloy‐type anodes offer high theoretical capacity, yet their practical application is hindered by substantial volume expansion and particle pulverization. In this work, a proactive strategy is proposed to converts the inherent volume change from a detrimental issue into a driving force for interfacial stabilization. By leveraging the flexibility of robust single‐walled carbon nanotubes (SWCNTs) and the large volume variation of phosphorus upon lithiation, the induced tensile strain in SWCNTs enhances their interaction with fragmented alloy particles, promoting interfacial coupling and the formation of P─C bonds.</w:t>
      </w:r>
      <w:r>
        <w:t xml:space="preserve"> </w:t>
      </w:r>
      <w:r>
        <w:t>Operando</w:t>
      </w:r>
      <w:r>
        <w:t xml:space="preserve"> </w:t>
      </w:r>
      <w:r>
        <w:t>Raman spectroscopy and density functional theory (DFT) calculations corroborate this chemomechanical coupling mechanism, which effectively stabilizes fractured phosphorus clusters, suppresses intermediate dissolution, and facilitates the reconstruction of a robust conductive network. As a result, the phosphorus anode incorporating only 1 wt% SWCNT delivers a high specific capacity of 1981.6 mAh g</w:t>
      </w:r>
      <w:r>
        <w:t xml:space="preserve"> </w:t>
      </w:r>
      <w:r>
        <w:t>−1</w:t>
      </w:r>
      <w:r>
        <w:t xml:space="preserve"> </w:t>
      </w:r>
      <w:r>
        <w:t>at 0.1C, 1235.6 mAh g</w:t>
      </w:r>
      <w:r>
        <w:t xml:space="preserve"> </w:t>
      </w:r>
      <w:r>
        <w:t>−1</w:t>
      </w:r>
      <w:r>
        <w:t xml:space="preserve"> </w:t>
      </w:r>
      <w:r>
        <w:t>at 5C, and maintains 1301.9 mAh g</w:t>
      </w:r>
      <w:r>
        <w:t xml:space="preserve"> </w:t>
      </w:r>
      <w:r>
        <w:t>−1</w:t>
      </w:r>
      <w:r>
        <w:t xml:space="preserve"> </w:t>
      </w:r>
      <w:r>
        <w:t>(78.1% retention) after 500 cycles at 1C. Moreover, the NCM811//BP─SWCNT full cell achieves 507 Wh kg</w:t>
      </w:r>
      <w:r>
        <w:t xml:space="preserve"> </w:t>
      </w:r>
      <w:r>
        <w:t>−1</w:t>
      </w:r>
      <w:r>
        <w:t xml:space="preserve"> </w:t>
      </w:r>
      <w:r>
        <w:t>and 1459.7 mAh g</w:t>
      </w:r>
      <w:r>
        <w:t xml:space="preserve"> </w:t>
      </w:r>
      <w:r>
        <w:t>−1</w:t>
      </w:r>
      <w:r>
        <w:t xml:space="preserve"> </w:t>
      </w:r>
      <w:r>
        <w:t>after 500 cycles at 1C. This study establishes an active stress‐utilization design principle, providing new perspectives for developing high‐energy‐density alloy‐type anodes.</w:t>
      </w:r>
    </w:p>
    <w:p>
      <w:pPr>
        <w:spacing w:before="120" w:after="120"/>
      </w:pPr>
      <w:r>
        <w:rPr>
          <w:sz w:val="18"/>
        </w:rPr>
        <w:t>——————————————————————————————————————————————————————————————————————</w:t>
      </w:r>
    </w:p>
    <w:p>
      <w:pPr>
        <w:spacing w:before="160" w:after="40" w:line="240" w:lineRule="auto"/>
      </w:pPr>
      <w:r>
        <w:rPr>
          <w:b/>
        </w:rPr>
        <w:t xml:space="preserve">[167] </w:t>
      </w:r>
      <w:hyperlink r:id="rId263">
        <w:r>
          <w:rPr>
            <w:color w:val="1155CC"/>
            <w:u w:val="single"/>
          </w:rPr>
          <w:t>Zn-M乙醇-Air电池中围绕Pd 增强氧氧减少动能的重新定向的交互水结构</w:t>
        </w:r>
      </w:hyperlink>
    </w:p>
    <w:p>
      <w:pPr>
        <w:spacing w:before="0" w:after="80"/>
      </w:pPr>
      <w:r>
        <w:rPr>
          <w:i/>
          <w:sz w:val="20"/>
        </w:rPr>
        <w:t>EN: Reoriented Interfacial Water Structure Around Pd Enhances Oxygen Reduction Kinetics in Zn–Methanol–Air Batteries</w:t>
      </w:r>
    </w:p>
    <w:p>
      <w:pPr>
        <w:spacing w:before="0" w:after="120"/>
      </w:pPr>
      <w:r>
        <w:rPr>
          <w:b/>
        </w:rPr>
        <w:t xml:space="preserve">Source: </w:t>
      </w:r>
      <w:r>
        <w:t>Wiley: Angewandte Chemie International Edition: Table of Contents</w:t>
      </w:r>
      <w:r>
        <w:t xml:space="preserve">    </w:t>
      </w:r>
      <w:r>
        <w:rPr>
          <w:b/>
        </w:rPr>
        <w:t xml:space="preserve">Pub date: </w:t>
      </w:r>
      <w:r>
        <w:t>2026-01-19 10:03:21+00:00</w:t>
      </w:r>
      <w:r>
        <w:t xml:space="preserve">    </w:t>
      </w:r>
      <w:r>
        <w:rPr>
          <w:b/>
        </w:rPr>
        <w:t xml:space="preserve">DOI: </w:t>
      </w:r>
      <w:hyperlink r:id="rId264">
        <w:r>
          <w:rPr>
            <w:color w:val="1155CC"/>
            <w:u w:val="single"/>
          </w:rPr>
          <w:t>10.1002/anie.202523272</w:t>
        </w:r>
      </w:hyperlink>
    </w:p>
    <w:p>
      <w:pPr>
        <w:spacing w:before="0" w:after="120"/>
      </w:pPr>
      <w:r>
        <w:rPr>
          <w:b/>
        </w:rPr>
        <w:t xml:space="preserve">Notes: </w:t>
      </w:r>
      <w:r>
        <w:t>abstract_source=crossref</w:t>
      </w:r>
    </w:p>
    <w:p>
      <w:pPr>
        <w:spacing w:before="0" w:after="80" w:lineRule="auto" w:line="276"/>
      </w:pPr>
      <w:r>
        <w:rPr>
          <w:b/>
        </w:rPr>
        <w:t xml:space="preserve">摘要（ZH）: </w:t>
      </w:r>
      <w:r>
        <w:t>电气双层(EDL)电解电解过程中电源转移管理中,电子双层(EDL)内部的交互水动态在管理电解电解过程中的电源转移方面发挥着关键作用。虽然以前的战略主要侧重于电解成分调节或pH以调节电解成像,但通过催化剂设计对干涉水结构进行裁剪仍然未得到充分探讨。在这里,我们报告了一种混合催化剂,它由嵌入N碳基体和纳米粒子中的原子散化钴点(Co SA ) (PdCo NP@Co SA NC ) 构成,这表明氧气减少反应增强(ORR )。</w:t>
      </w:r>
    </w:p>
    <w:p>
      <w:pPr>
        <w:spacing w:before="0" w:after="200" w:lineRule="auto" w:line="276"/>
      </w:pPr>
      <w:r>
        <w:rPr>
          <w:b/>
        </w:rPr>
        <w:t xml:space="preserve">Abstract (EN): </w:t>
      </w:r>
      <w:r>
        <w:t>The dynamics of interfacial water within the electrical double layer (EDL) play a pivotal role in governing charge transfer during electrocatalysis. While previous strategies primarily focused on modulating electrolyte compositions or pH to tune the EDL, tailoring the interfacial water structure through catalyst design remains underexplored. Herein, we report a composite catalyst comprising atomically dispersed cobalt sites (Co</w:t>
      </w:r>
      <w:r>
        <w:t xml:space="preserve"> </w:t>
      </w:r>
      <w:r>
        <w:t>SA</w:t>
      </w:r>
      <w:r>
        <w:t xml:space="preserve"> </w:t>
      </w:r>
      <w:r>
        <w:t>) embedded in a N‐doped carbon matrix and palladium nanoparticles (PdCo</w:t>
      </w:r>
      <w:r>
        <w:t xml:space="preserve"> </w:t>
      </w:r>
      <w:r>
        <w:t>NP</w:t>
      </w:r>
      <w:r>
        <w:t xml:space="preserve"> </w:t>
      </w:r>
      <w:r>
        <w:t>@Co</w:t>
      </w:r>
      <w:r>
        <w:t xml:space="preserve"> </w:t>
      </w:r>
      <w:r>
        <w:t>SA</w:t>
      </w:r>
      <w:r>
        <w:t xml:space="preserve"> </w:t>
      </w:r>
      <w:r>
        <w:t>NC), which exhibits enhanced oxygen reduction reaction (ORR). In situ spectroscopy and density functional theory calculations reveal that Co</w:t>
      </w:r>
      <w:r>
        <w:t xml:space="preserve"> </w:t>
      </w:r>
      <w:r>
        <w:t>SA</w:t>
      </w:r>
      <w:r>
        <w:t xml:space="preserve"> </w:t>
      </w:r>
      <w:r>
        <w:t>incorporation induces a negative shift in the potential of zero charge (</w:t>
      </w:r>
      <w:r>
        <w:t xml:space="preserve"> </w:t>
      </w:r>
      <w:r>
        <w:t>E</w:t>
      </w:r>
      <w:r>
        <w:t xml:space="preserve"> </w:t>
      </w:r>
      <w:r>
        <w:t>PZC</w:t>
      </w:r>
      <w:r>
        <w:t xml:space="preserve"> </w:t>
      </w:r>
      <w:r>
        <w:t>), causing more positively charged surface under working conditions compared to the Co‐free analogue (Pd</w:t>
      </w:r>
      <w:r>
        <w:t xml:space="preserve"> </w:t>
      </w:r>
      <w:r>
        <w:t>NP</w:t>
      </w:r>
      <w:r>
        <w:t xml:space="preserve"> </w:t>
      </w:r>
      <w:r>
        <w:t>@NC). This charge redistribution reorients interfacial water from H‐down to O‐down configuration, promoting *OH hydrogenation by strengthening electrostatic interaction with the OH</w:t>
      </w:r>
      <w:r>
        <w:t xml:space="preserve"> </w:t>
      </w:r>
      <w:r>
        <w:t>sol</w:t>
      </w:r>
      <w:r>
        <w:t xml:space="preserve"> </w:t>
      </w:r>
      <w:r>
        <w:t>−</w:t>
      </w:r>
      <w:r>
        <w:t>product. Consequently, PdCo</w:t>
      </w:r>
      <w:r>
        <w:t xml:space="preserve"> </w:t>
      </w:r>
      <w:r>
        <w:t>NP</w:t>
      </w:r>
      <w:r>
        <w:t xml:space="preserve"> </w:t>
      </w:r>
      <w:r>
        <w:t>@Co</w:t>
      </w:r>
      <w:r>
        <w:t xml:space="preserve"> </w:t>
      </w:r>
      <w:r>
        <w:t>SA</w:t>
      </w:r>
      <w:r>
        <w:t xml:space="preserve"> </w:t>
      </w:r>
      <w:r>
        <w:t>NC achieves an outstanding half‐wave potential of 0.937 V and a mass activity of 2.58  A mg</w:t>
      </w:r>
      <w:r>
        <w:t xml:space="preserve"> </w:t>
      </w:r>
      <w:r>
        <w:t>Pd</w:t>
      </w:r>
      <w:r>
        <w:t xml:space="preserve"> </w:t>
      </w:r>
      <w:r>
        <w:t>−1</w:t>
      </w:r>
      <w:r>
        <w:t xml:space="preserve"> </w:t>
      </w:r>
      <w:r>
        <w:t>for ORR, along with 6.15  A mg</w:t>
      </w:r>
      <w:r>
        <w:t xml:space="preserve"> </w:t>
      </w:r>
      <w:r>
        <w:t>Pd</w:t>
      </w:r>
      <w:r>
        <w:t xml:space="preserve"> </w:t>
      </w:r>
      <w:r>
        <w:t>−1</w:t>
      </w:r>
      <w:r>
        <w:t xml:space="preserve"> </w:t>
      </w:r>
      <w:r>
        <w:t>for methanol oxidation reaction (MOR), outperforming Pd</w:t>
      </w:r>
      <w:r>
        <w:t xml:space="preserve"> </w:t>
      </w:r>
      <w:r>
        <w:t>NP</w:t>
      </w:r>
      <w:r>
        <w:t xml:space="preserve"> </w:t>
      </w:r>
      <w:r>
        <w:t>@NC and commercial Pd/C. Leveraging its bifunctional ORR/MOR activity, we construct carbonate‐free Zn–methanol–air battery with decent kinetics up to 100 mA cm</w:t>
      </w:r>
      <w:r>
        <w:t xml:space="preserve"> </w:t>
      </w:r>
      <w:r>
        <w:t>−</w:t>
      </w:r>
      <w:r>
        <w:rPr>
          <w:vertAlign w:val="subscript"/>
        </w:rPr>
        <w:t>2</w:t>
      </w:r>
      <w:r>
        <w:t>and stable operation over 2500 h with an energy efficiency of 70%.</w:t>
      </w:r>
    </w:p>
    <w:p>
      <w:pPr>
        <w:spacing w:before="120" w:after="120"/>
      </w:pPr>
      <w:r>
        <w:rPr>
          <w:sz w:val="18"/>
        </w:rPr>
        <w:t>——————————————————————————————————————————————————————————————————————</w:t>
      </w:r>
    </w:p>
    <w:p>
      <w:pPr>
        <w:spacing w:before="160" w:after="40" w:line="240" w:lineRule="auto"/>
      </w:pPr>
      <w:r>
        <w:rPr>
          <w:b/>
        </w:rPr>
        <w:t xml:space="preserve">[168] </w:t>
      </w:r>
      <w:hyperlink r:id="rId265">
        <w:r>
          <w:rPr>
            <w:color w:val="1155CC"/>
            <w:u w:val="single"/>
          </w:rPr>
          <w:t>[ASAP] 高级分子节能器有效针对缺乏多谱抗病毒效率的低胆碱类组群的薄膜</w:t>
        </w:r>
      </w:hyperlink>
    </w:p>
    <w:p>
      <w:pPr>
        <w:spacing w:before="0" w:after="80"/>
      </w:pPr>
      <w:r>
        <w:rPr>
          <w:i/>
          <w:sz w:val="20"/>
        </w:rPr>
        <w:t>EN: [ASAP] Advanced Molecular Tweezers Effectively Target Membranes Lacking Choline Headgroups for Broad-Spectrum Antiviral Efficacy</w:t>
      </w:r>
    </w:p>
    <w:p>
      <w:pPr>
        <w:spacing w:before="0" w:after="120"/>
      </w:pPr>
      <w:r>
        <w:rPr>
          <w:b/>
        </w:rPr>
        <w:t xml:space="preserve">Source: </w:t>
      </w:r>
      <w:r>
        <w:t>Journal of the American Chemical Society: Latest Articles (ACS Publications)</w:t>
      </w:r>
      <w:r>
        <w:t xml:space="preserve">    </w:t>
      </w:r>
      <w:r>
        <w:rPr>
          <w:b/>
        </w:rPr>
        <w:t xml:space="preserve">Pub date: </w:t>
      </w:r>
      <w:r>
        <w:t>2026-01-19 12:28:03+00:00</w:t>
      </w:r>
      <w:r>
        <w:t xml:space="preserve">    </w:t>
      </w:r>
      <w:r>
        <w:rPr>
          <w:b/>
        </w:rPr>
        <w:t xml:space="preserve">DOI: </w:t>
      </w:r>
      <w:hyperlink r:id="rId266">
        <w:r>
          <w:rPr>
            <w:color w:val="1155CC"/>
            <w:u w:val="single"/>
          </w:rPr>
          <w:t>10.1021/jacs.5c19450</w:t>
        </w:r>
      </w:hyperlink>
    </w:p>
    <w:p>
      <w:pPr>
        <w:spacing w:before="0" w:after="120"/>
      </w:pPr>
      <w:r>
        <w:rPr>
          <w:b/>
        </w:rPr>
        <w:t xml:space="preserve">Notes: </w:t>
      </w:r>
      <w:r>
        <w:t>abstract_source=pubmed</w:t>
      </w:r>
    </w:p>
    <w:p>
      <w:pPr>
        <w:spacing w:before="0" w:after="80" w:lineRule="auto" w:line="276"/>
      </w:pPr>
      <w:r>
        <w:rPr>
          <w:b/>
        </w:rPr>
        <w:t xml:space="preserve">摘要（ZH）: </w:t>
      </w:r>
      <w:r>
        <w:t>为了应对当前和新出现的病毒威胁,迫切需要使用广谱抗病毒药物。以前已经表明,亲生分子分子分子Tweezers CLL01和CLR05通过复杂的胆碱酯酶头组破坏病毒封套,而酯功能化的“先进”tweezers则显示出显著增强抗病毒能力。在这里,我们确定这一改良活动的分子基础。利用脂质渗漏实验、巨型单熔素囊、NMR、兰穆尔胶片平衡实验和原子模拟,我们证明先进的tweezers不仅包装了含有胆碱的脂质,而且还通过中转和节制的脱水性插入事件接触缺乏胆碱头组的脂质。这些相互作用以优劣的方式稳定了在斯芬麦林、非斯文中浓缩的膜。</w:t>
      </w:r>
    </w:p>
    <w:p>
      <w:pPr>
        <w:spacing w:before="0" w:after="200" w:lineRule="auto" w:line="276"/>
      </w:pPr>
      <w:r>
        <w:rPr>
          <w:b/>
        </w:rPr>
        <w:t xml:space="preserve">Abstract (EN): </w:t>
      </w:r>
      <w:r>
        <w:t>Broad-spectrum antivirals are urgently required to counter present and emerging viral threats. It has previously been shown that the parental molecular tweezers CLR01 and CLR05 disrupt viral envelopes by complexing choline headgroups and that ester-functionalized "advanced" tweezers display markedly enhanced antiviral potency. Here, we determine the molecular basis of this improved activity. Using liposome leakage assays, giant unilamellar vesicles, NMR, Langmuir film balance experiments, and atomistic simulations, we demonstrate that advanced tweezers not only encapsulate choline-containing lipids but also engage lipids lacking choline headgroups via transient and conserved hydrophobic insertion events. These interactions preferentially destabilize membranes enriched in sphingomyelin, unsaturated acyl chains, or inverted cone-shaped lipids and are especially effective against small, highly curved particles resembling viral particles, explaining their broad antiviral activity for enveloped viruses. Our findings reveal a dual mechanism of action, choline binding and hydrophobic insertion, that underpins the broad-spectrum antiviral activity of advanced molecular tweezers and establish them as a promising new class of membrane-targeting antivirals for prophylactic and therapeutic use.</w:t>
      </w:r>
    </w:p>
    <w:p>
      <w:pPr>
        <w:spacing w:before="120" w:after="120"/>
      </w:pPr>
      <w:r>
        <w:rPr>
          <w:sz w:val="18"/>
        </w:rPr>
        <w:t>——————————————————————————————————————————————————————————————————————</w:t>
      </w:r>
    </w:p>
    <w:p>
      <w:pPr>
        <w:spacing w:before="160" w:after="40" w:line="240" w:lineRule="auto"/>
      </w:pPr>
      <w:r>
        <w:rPr>
          <w:b/>
        </w:rPr>
        <w:t xml:space="preserve">[169] </w:t>
      </w:r>
      <w:hyperlink r:id="rId267">
        <w:r>
          <w:rPr>
            <w:color w:val="1155CC"/>
            <w:u w:val="single"/>
          </w:rPr>
          <w:t>Gcopceptide图书馆的化学酶合成</w:t>
        </w:r>
      </w:hyperlink>
    </w:p>
    <w:p>
      <w:pPr>
        <w:spacing w:before="0" w:after="80"/>
      </w:pPr>
      <w:r>
        <w:rPr>
          <w:i/>
          <w:sz w:val="20"/>
        </w:rPr>
        <w:t>EN: Chemoenzymatic Synthesis of Glycopeptide Library Decodes Sialylation‐Dependent Immunodominance to Enable a Potent Multicomponent Antitumor Vaccine</w:t>
      </w:r>
    </w:p>
    <w:p>
      <w:pPr>
        <w:spacing w:before="0" w:after="120"/>
      </w:pPr>
      <w:r>
        <w:rPr>
          <w:b/>
        </w:rPr>
        <w:t xml:space="preserve">Source: </w:t>
      </w:r>
      <w:r>
        <w:t>Wiley: Angewandte Chemie International Edition: Table of Contents</w:t>
      </w:r>
      <w:r>
        <w:t xml:space="preserve">    </w:t>
      </w:r>
      <w:r>
        <w:rPr>
          <w:b/>
        </w:rPr>
        <w:t xml:space="preserve">Pub date: </w:t>
      </w:r>
      <w:r>
        <w:t>2026-01-19 13:02:22+00:00</w:t>
      </w:r>
      <w:r>
        <w:t xml:space="preserve">    </w:t>
      </w:r>
      <w:r>
        <w:rPr>
          <w:b/>
        </w:rPr>
        <w:t xml:space="preserve">DOI: </w:t>
      </w:r>
      <w:hyperlink r:id="rId268">
        <w:r>
          <w:rPr>
            <w:color w:val="1155CC"/>
            <w:u w:val="single"/>
          </w:rPr>
          <w:t>10.1002/anie.202525026</w:t>
        </w:r>
      </w:hyperlink>
    </w:p>
    <w:p>
      <w:pPr>
        <w:spacing w:before="0" w:after="120"/>
      </w:pPr>
      <w:r>
        <w:rPr>
          <w:b/>
        </w:rPr>
        <w:t xml:space="preserve">Notes: </w:t>
      </w:r>
      <w:r>
        <w:t>abstract_source=crossref</w:t>
      </w:r>
    </w:p>
    <w:p>
      <w:pPr>
        <w:spacing w:before="0" w:after="80" w:lineRule="auto" w:line="276"/>
      </w:pPr>
      <w:r>
        <w:rPr>
          <w:b/>
        </w:rPr>
        <w:t xml:space="preserve">摘要（ZH）: </w:t>
      </w:r>
      <w:r>
        <w:t>白细胞畸变分析是肿瘤相合的标志,它促进恶性进化和免疫规避。硅基碳水化合物是抗癌疫苗的诱人目标,而对甘蓝糖糖的结构性和抗生性洞见仍然受到阻碍,因为难以获得定义明确的结构,因此其免疫性不明确。在这里,我们描述了一个高效的化学酶化平台,用于合成由18个结构组成的甘蓝图书馆,该图书馆在不同的甘蓝地点有不同的O 。基于甘蓝微晶微粒的血清检查显示,癌症患者的血清比非紫色的血清要更倾向于使用硅糖化甘油。</w:t>
      </w:r>
    </w:p>
    <w:p>
      <w:pPr>
        <w:spacing w:before="0" w:after="200" w:lineRule="auto" w:line="276"/>
      </w:pPr>
      <w:r>
        <w:rPr>
          <w:b/>
        </w:rPr>
        <w:t xml:space="preserve">Abstract (EN): </w:t>
      </w:r>
      <w:r>
        <w:t>Aberrant sialylation is a hallmark of tumor glycosylation that promotes malignant progression and immune evasion. While sialylated carbohydrates represent attractive targets for anticancer vaccines, structural and antigenic insights into glycopeptides are still hampered by limited access to well‐defined structures, rendering their immunogenicity unclear. Herein, we describe an efficient chemoenzymatic platform for facile synthesis of a glycopeptide library comprising 18 structures with diverse</w:t>
      </w:r>
      <w:r>
        <w:t xml:space="preserve"> </w:t>
      </w:r>
      <w:r>
        <w:t>O</w:t>
      </w:r>
      <w:r>
        <w:t xml:space="preserve"> </w:t>
      </w:r>
      <w:r>
        <w:t>‐glycans at different glycosylation sites. Glycopeptide microarray‐based serological screening revealed a consistent preference of cancer patient sera for sialylated glycopeptides over their non‐sialylated counterparts. Motivated by this finding, we performed systematic immunological evaluations of sialylated and non‐sialylated glycopeptide‐tetanus toxoid (TT) conjugates, demonstrating that sialylated glycopeptide‐TT conjugates elicit stronger antibody responses, enhanced tumor cell recognition, and more potent tumor growth inhibition through synergistic activation of antigen‐presenting cells and T cell subsets. Furthermore, we developed a multicomponent cocktail vaccine by incorporating four sialylated glycopeptides, which elicited broader and more potent immune activation than single‐antigen formulations. Antisera from the cocktail vaccine exhibited strong binding to human tumor tissues, underscoring the clinical relevance of our findings. This work establishes sialylation as a key determinant of glycopeptide immunogenicity and provides a rational strategy for developing next‐generation glycopeptide‐based cancer vaccines.</w:t>
      </w:r>
    </w:p>
    <w:p>
      <w:pPr>
        <w:spacing w:before="120" w:after="120"/>
      </w:pPr>
      <w:r>
        <w:rPr>
          <w:sz w:val="18"/>
        </w:rPr>
        <w:t>——————————————————————————————————————————————————————————————————————</w:t>
      </w:r>
    </w:p>
    <w:p>
      <w:pPr>
        <w:spacing w:before="160" w:after="40" w:line="240" w:lineRule="auto"/>
      </w:pPr>
      <w:r>
        <w:rPr>
          <w:b/>
        </w:rPr>
        <w:t xml:space="preserve">[170] </w:t>
      </w:r>
      <w:hyperlink r:id="rId269">
        <w:r>
          <w:rPr>
            <w:color w:val="1155CC"/>
            <w:u w:val="single"/>
          </w:rPr>
          <w:t>灵活多式感应器:脱钩战略、制造和应用方面的最新进展</w:t>
        </w:r>
      </w:hyperlink>
    </w:p>
    <w:p>
      <w:pPr>
        <w:spacing w:before="0" w:after="80"/>
      </w:pPr>
      <w:r>
        <w:rPr>
          <w:i/>
          <w:sz w:val="20"/>
        </w:rPr>
        <w:t>EN: Recent Progress on Flexible Multimodal Sensors: Decoupling Strategies, Fabrication and Applications</w:t>
      </w:r>
    </w:p>
    <w:p>
      <w:pPr>
        <w:spacing w:before="0" w:after="120"/>
      </w:pPr>
      <w:r>
        <w:rPr>
          <w:b/>
        </w:rPr>
        <w:t xml:space="preserve">Source: </w:t>
      </w:r>
      <w:r>
        <w:t>Wiley: Advanced Materials: Table of Contents</w:t>
      </w:r>
      <w:r>
        <w:t xml:space="preserve">    </w:t>
      </w:r>
      <w:r>
        <w:rPr>
          <w:b/>
        </w:rPr>
        <w:t xml:space="preserve">Pub date: </w:t>
      </w:r>
      <w:r>
        <w:t>2026-01-19 13:04:56+00:00</w:t>
      </w:r>
      <w:r>
        <w:t xml:space="preserve">    </w:t>
      </w:r>
      <w:r>
        <w:rPr>
          <w:b/>
        </w:rPr>
        <w:t xml:space="preserve">DOI: </w:t>
      </w:r>
      <w:hyperlink r:id="rId270">
        <w:r>
          <w:rPr>
            <w:color w:val="1155CC"/>
            <w:u w:val="single"/>
          </w:rPr>
          <w:t>10.1002/adma.202521375</w:t>
        </w:r>
      </w:hyperlink>
    </w:p>
    <w:p>
      <w:pPr>
        <w:spacing w:before="0" w:after="120"/>
      </w:pPr>
      <w:r>
        <w:rPr>
          <w:b/>
        </w:rPr>
        <w:t xml:space="preserve">Notes: </w:t>
      </w:r>
      <w:r>
        <w:t>abstract_source=crossref</w:t>
      </w:r>
    </w:p>
    <w:p>
      <w:pPr>
        <w:spacing w:before="0" w:after="80" w:lineRule="auto" w:line="276"/>
      </w:pPr>
      <w:r>
        <w:rPr>
          <w:b/>
        </w:rPr>
        <w:t xml:space="preserve">摘要（ZH）: </w:t>
      </w:r>
      <w:r>
        <w:t>灵活机动多式联运传感器在电子皮肤、先进机器人和个性化健康监测等研究领域引起了极大关注,因为它们有能力利用不同感测单位的互补优势,因此,一项主要的脱钩战略利用了所产生信号基本类型的差异,然而,灵活的多式联运传感器持续面临信号交叉交谈和复杂整合过程等挑战,限制了其性能。本审查描述了在以物理原理、结构设计和AI驱动信号脱钩结构为指导的基本材料设计中通过基本材料设计而实现灵活多式联运传感器脱钩的最新进展。此外,我们探索了各种应用。</w:t>
      </w:r>
    </w:p>
    <w:p>
      <w:pPr>
        <w:spacing w:before="0" w:after="200" w:lineRule="auto" w:line="276"/>
      </w:pPr>
      <w:r>
        <w:rPr>
          <w:b/>
        </w:rPr>
        <w:t xml:space="preserve">Abstract (EN): </w:t>
      </w:r>
      <w:r>
        <w:t>Flexible multimodal sensors have garnered significant attention in research areas such as electronic skin, advanced robotics, and personalized health monitoring due to their ability to leverage the complementary advantages of diverse sensing units, thereby a primary decoupling strategy exploits differences in the fundamental types of signals generated. Nevertheless, flexible multimodal sensors persistently face challenges like signal crosstalk and complex integration processes, which constrain their performance. This review delineates recent advances in flexible multimodal sensor decoupling through fundamental material design guided by physical principles, structural design, and AI‐driven signal decoupling architectures. Additionally, we explore the various applications of flexible multimodal sensors, encompassing environmental monitoring, physiological health tracking, human‐machine interaction, and robotic perception. Finally, the conclusion, challenges, and future perspectives for next‐generation flexible multimodal sensing systems are discussed.</w:t>
      </w:r>
    </w:p>
    <w:p>
      <w:pPr>
        <w:spacing w:before="120" w:after="120"/>
      </w:pPr>
      <w:r>
        <w:rPr>
          <w:sz w:val="18"/>
        </w:rPr>
        <w:t>——————————————————————————————————————————————————————————————————————</w:t>
      </w:r>
    </w:p>
    <w:p>
      <w:pPr>
        <w:spacing w:before="160" w:after="40" w:line="240" w:lineRule="auto"/>
      </w:pPr>
      <w:r>
        <w:rPr>
          <w:b/>
        </w:rPr>
        <w:t xml:space="preserve">[171] </w:t>
      </w:r>
      <w:hyperlink r:id="rId271">
        <w:r>
          <w:rPr>
            <w:color w:val="1155CC"/>
            <w:u w:val="single"/>
          </w:rPr>
          <w:t>超低电极电场在Dopped MgTi2O4洞中诱发了挥发性耐力开关</w:t>
        </w:r>
      </w:hyperlink>
    </w:p>
    <w:p>
      <w:pPr>
        <w:spacing w:before="0" w:after="80"/>
      </w:pPr>
      <w:r>
        <w:rPr>
          <w:i/>
          <w:sz w:val="20"/>
        </w:rPr>
        <w:t>EN: Ultra‐Low Electric Field Induced Volatile Resistive Switching in Hole‐Doped MgTi2O4</w:t>
      </w:r>
    </w:p>
    <w:p>
      <w:pPr>
        <w:spacing w:before="0" w:after="120"/>
      </w:pPr>
      <w:r>
        <w:rPr>
          <w:b/>
        </w:rPr>
        <w:t xml:space="preserve">Source: </w:t>
      </w:r>
      <w:r>
        <w:t>Wiley: Advanced Materials: Table of Contents</w:t>
      </w:r>
      <w:r>
        <w:t xml:space="preserve">    </w:t>
      </w:r>
      <w:r>
        <w:rPr>
          <w:b/>
        </w:rPr>
        <w:t xml:space="preserve">Pub date: </w:t>
      </w:r>
      <w:r>
        <w:t>2026-01-19 13:06:45+00:00</w:t>
      </w:r>
      <w:r>
        <w:t xml:space="preserve">    </w:t>
      </w:r>
      <w:r>
        <w:rPr>
          <w:b/>
        </w:rPr>
        <w:t xml:space="preserve">DOI: </w:t>
      </w:r>
      <w:hyperlink r:id="rId272">
        <w:r>
          <w:rPr>
            <w:color w:val="1155CC"/>
            <w:u w:val="single"/>
          </w:rPr>
          <w:t>10.1002/adma.202518981</w:t>
        </w:r>
      </w:hyperlink>
    </w:p>
    <w:p>
      <w:pPr>
        <w:spacing w:before="0" w:after="120"/>
      </w:pPr>
      <w:r>
        <w:rPr>
          <w:b/>
        </w:rPr>
        <w:t xml:space="preserve">Notes: </w:t>
      </w:r>
      <w:r>
        <w:t>abstract_source=crossref</w:t>
      </w:r>
    </w:p>
    <w:p>
      <w:pPr>
        <w:spacing w:before="0" w:after="80" w:lineRule="auto" w:line="276"/>
      </w:pPr>
      <w:r>
        <w:rPr>
          <w:b/>
        </w:rPr>
        <w:t xml:space="preserve">摘要（ZH）: </w:t>
      </w:r>
      <w:r>
        <w:t>ABSTACT ABSTACT 电场诱发摩特绝缘器阻抗性破裂的有趣概念为摩特绝缘器的现代装置和记忆器提供了充满希望的机会,同时作为探索非平衡现象和底微微显微机制的独特平台,然而,在金属脊椎氧化物的过渡阶段,很少使用低阈值场实现阻力转换。</w:t>
      </w:r>
    </w:p>
    <w:p>
      <w:pPr>
        <w:spacing w:before="0" w:after="200" w:lineRule="auto" w:line="276"/>
      </w:pPr>
      <w:r>
        <w:rPr>
          <w:b/>
        </w:rPr>
        <w:t xml:space="preserve">Abstract (EN): </w:t>
      </w:r>
      <w:r>
        <w:t>The intriguing concept of electric‐field‐induced resistive breakdown in Mott insulators offers promising opportunities for Mottronics devices and memristors while serving as a unique platform to explore non‐equilibrium phenomena and underlying microscopic mechanisms. However, achieving resistive switching with a low threshold field is rare in transition metal spinel oxides. Here, a reversible resistive breakdown under the application of DC current as well as DC electric‐field in hole doped MgTi</w:t>
      </w:r>
      <w:r>
        <w:rPr>
          <w:vertAlign w:val="subscript"/>
        </w:rPr>
        <w:t>2</w:t>
      </w:r>
      <w:r>
        <w:t>O</w:t>
      </w:r>
      <w:r>
        <w:rPr>
          <w:vertAlign w:val="subscript"/>
        </w:rPr>
        <w:t>4</w:t>
      </w:r>
      <w:r>
        <w:t>is reported. A remarkably low threshold field of approximately 60 V/cm at 40 K is observed. Additionally, the resistive transition around 260 K observed in stoichiometric system, is suppressed in Mg‐deficient samples. The electric field induced low‐resistance state is meta‐stable, reverting to the insulating phase once the field is removed, indicating a volatile resistive switching (VRS). Interestingly, these systems demonstrate forming‐free, stable threshold switching with minimal cycle‐to‐cycle variation in switching voltages. Experimental results suggest polaronic hopping and collective charge excitation triggered by applied electric field, with subsequent polaronic filament formation as the driving mechanism for the resistive transition. Further, the neuronal functionalities, particularly the leaky‐integrate‐fire behavior of an artificial neuron, are showcased in a single‐component device using these systems as switching layer, suggesting their potential applicability in low‐threshold neuromorphic circuits.</w:t>
      </w:r>
    </w:p>
    <w:p>
      <w:pPr>
        <w:spacing w:before="120" w:after="120"/>
      </w:pPr>
      <w:r>
        <w:rPr>
          <w:sz w:val="18"/>
        </w:rPr>
        <w:t>——————————————————————————————————————————————————————————————————————</w:t>
      </w:r>
    </w:p>
    <w:p>
      <w:pPr>
        <w:spacing w:before="160" w:after="40" w:line="240" w:lineRule="auto"/>
      </w:pPr>
      <w:r>
        <w:rPr>
          <w:b/>
        </w:rPr>
        <w:t xml:space="preserve">[172] </w:t>
      </w:r>
      <w:hyperlink r:id="rId273">
        <w:r>
          <w:rPr>
            <w:color w:val="1155CC"/>
            <w:u w:val="single"/>
          </w:rPr>
          <w:t>高亮度至2020年标准最高亮度最高最高效率的绿色高超荧光有机光线二极管</w:t>
        </w:r>
      </w:hyperlink>
    </w:p>
    <w:p>
      <w:pPr>
        <w:spacing w:before="0" w:after="80"/>
      </w:pPr>
      <w:r>
        <w:rPr>
          <w:i/>
          <w:sz w:val="20"/>
        </w:rPr>
        <w:t>EN: Stable Pure‐Green Hyperfluorescent Organic Light‐Emitting Diodes with Ultimate Efficiency at High Brightness Toward Rec 2020 Standard</w:t>
      </w:r>
    </w:p>
    <w:p>
      <w:pPr>
        <w:spacing w:before="0" w:after="120"/>
      </w:pPr>
      <w:r>
        <w:rPr>
          <w:b/>
        </w:rPr>
        <w:t xml:space="preserve">Source: </w:t>
      </w:r>
      <w:r>
        <w:t>Wiley: Advanced Materials: Table of Contents</w:t>
      </w:r>
      <w:r>
        <w:t xml:space="preserve">    </w:t>
      </w:r>
      <w:r>
        <w:rPr>
          <w:b/>
        </w:rPr>
        <w:t xml:space="preserve">Pub date: </w:t>
      </w:r>
      <w:r>
        <w:t>2026-01-19 13:07:48+00:00</w:t>
      </w:r>
      <w:r>
        <w:t xml:space="preserve">    </w:t>
      </w:r>
      <w:r>
        <w:rPr>
          <w:b/>
        </w:rPr>
        <w:t xml:space="preserve">DOI: </w:t>
      </w:r>
      <w:hyperlink r:id="rId274">
        <w:r>
          <w:rPr>
            <w:color w:val="1155CC"/>
            <w:u w:val="single"/>
          </w:rPr>
          <w:t>10.1002/adma.202518330</w:t>
        </w:r>
      </w:hyperlink>
    </w:p>
    <w:p>
      <w:pPr>
        <w:spacing w:before="0" w:after="120"/>
      </w:pPr>
      <w:r>
        <w:rPr>
          <w:b/>
        </w:rPr>
        <w:t xml:space="preserve">Notes: </w:t>
      </w:r>
      <w:r>
        <w:t>abstract_source=crossref</w:t>
      </w:r>
    </w:p>
    <w:p>
      <w:pPr>
        <w:spacing w:before="0" w:after="80" w:lineRule="auto" w:line="276"/>
      </w:pPr>
      <w:r>
        <w:rPr>
          <w:b/>
        </w:rPr>
        <w:t xml:space="preserve">摘要（ZH）: </w:t>
      </w:r>
      <w:r>
        <w:t>多重热反应热发延缓荧光发射机(MRTADF) 是一个很有希望的平台, 高能效、 宽色- 绿色的 OLED 。 然而, 目前的绿色 MRTADF 发射机在同时实现高色纯度、 高亮度和高设备稳定性方面面临着挑战。 在本研究报告中, 我们报告了新颖的 MMZTADF 发射机( DBFvDABNA)的合成和装置集成。 设计时采用了硬性元苯框架和与两个boron有关的元苯, 分子展示窄带纯绿色排放( FWHM = 16-19 nm) 和高水平低极率( 94% ) 。 此外, MR 核心抑制器的足够地屏蔽能转移会造成外币损失( DET )。</w:t>
      </w:r>
    </w:p>
    <w:p>
      <w:pPr>
        <w:spacing w:before="0" w:after="200" w:lineRule="auto" w:line="276"/>
      </w:pPr>
      <w:r>
        <w:rPr>
          <w:b/>
        </w:rPr>
        <w:t xml:space="preserve">Abstract (EN): </w:t>
      </w:r>
      <w:r>
        <w:t>Multi‐resonance thermally activated delayed fluorescence (MR‐TADF) emitters represent a promising platform for high‐efficiency, wide‐color‐gamut OLEDs. However, current green MR‐TADF emitters face challenges in simultaneously achieving high color purity, high efficiency at high brightness, and high device stability. In this study, we report the synthesis and device integration of a novel MR‐TADF emitter, DBF‐v‐DABNA. Designed with a rigid meta‐dibenzofuran framework and meta‐phenyl related two boron units, the molecule exhibits narrowband pure‐green emission (FWHM = 16–19 nm) and a high horizontal dipole ratio (94%). Moreover, sufficient steric shielding of the MR core suppresses exciton loss from Dexter energy transfer (DET). When incorporated into hyperfluorescent (HF) bottom‐emitting OLED architectures, DBF‐v‐DABNA achieved high external quantum efficiencies (EQE) exceeding 35 % with negligible roll‐off, CIEy ≥ 0.73, superior brightness stability up to 7.2 × 10</w:t>
      </w:r>
      <w:r>
        <w:rPr>
          <w:vertAlign w:val="subscript"/>
        </w:rPr>
        <w:t>5</w:t>
      </w:r>
      <w:r>
        <w:t>cd m</w:t>
      </w:r>
      <w:r>
        <w:t xml:space="preserve"> </w:t>
      </w:r>
      <w:r>
        <w:t>−2</w:t>
      </w:r>
      <w:r>
        <w:t xml:space="preserve"> </w:t>
      </w:r>
      <w:r>
        <w:t>, and device lifetimes exceeding 600 h at 5000 cd m</w:t>
      </w:r>
      <w:r>
        <w:t xml:space="preserve"> </w:t>
      </w:r>
      <w:r>
        <w:t>−2</w:t>
      </w:r>
      <w:r>
        <w:t xml:space="preserve"> </w:t>
      </w:r>
      <w:r>
        <w:t>. The top‐emitting configuration reached BT.2020 green coordinates with record‐setting current efficiency (233 cd A</w:t>
      </w:r>
      <w:r>
        <w:t xml:space="preserve"> </w:t>
      </w:r>
      <w:r>
        <w:t>−</w:t>
      </w:r>
      <w:r>
        <w:rPr>
          <w:vertAlign w:val="subscript"/>
        </w:rPr>
        <w:t>1</w:t>
      </w:r>
      <w:r>
        <w:t>). These results highlight DBF‐v‐DABNA as a promising pure‐green emitter for next‐generation UHD OLED displays requiring high efficiency and color purity.</w:t>
      </w:r>
    </w:p>
    <w:p>
      <w:pPr>
        <w:spacing w:before="120" w:after="120"/>
      </w:pPr>
      <w:r>
        <w:rPr>
          <w:sz w:val="18"/>
        </w:rPr>
        <w:t>——————————————————————————————————————————————————————————————————————</w:t>
      </w:r>
    </w:p>
    <w:p>
      <w:pPr>
        <w:spacing w:before="160" w:after="40" w:line="240" w:lineRule="auto"/>
      </w:pPr>
      <w:r>
        <w:rPr>
          <w:b/>
        </w:rPr>
        <w:t xml:space="preserve">[173] </w:t>
      </w:r>
      <w:hyperlink r:id="rId275">
        <w:r>
          <w:rPr>
            <w:color w:val="1155CC"/>
            <w:u w:val="single"/>
          </w:rPr>
          <w:t>Perovskite Nanocrystal 血压结构:多面片取向、被抑制的等离子体和高效电荷传输</w:t>
        </w:r>
      </w:hyperlink>
    </w:p>
    <w:p>
      <w:pPr>
        <w:spacing w:before="0" w:after="80"/>
      </w:pPr>
      <w:r>
        <w:rPr>
          <w:i/>
          <w:sz w:val="20"/>
        </w:rPr>
        <w:t>EN: Epitaxial Ag‐CsPbBr3 Perovskite Nanocrystal Heterostructures: Multi‐Facets Orientations, Suppressed Plasmon and Efficient Charge Transfer</w:t>
      </w:r>
    </w:p>
    <w:p>
      <w:pPr>
        <w:spacing w:before="0" w:after="120"/>
      </w:pPr>
      <w:r>
        <w:rPr>
          <w:b/>
        </w:rPr>
        <w:t xml:space="preserve">Source: </w:t>
      </w:r>
      <w:r>
        <w:t>Wiley: Angewandte Chemie International Edition: Table of Contents</w:t>
      </w:r>
      <w:r>
        <w:t xml:space="preserve">    </w:t>
      </w:r>
      <w:r>
        <w:rPr>
          <w:b/>
        </w:rPr>
        <w:t xml:space="preserve">Pub date: </w:t>
      </w:r>
      <w:r>
        <w:t>2026-01-19 13:11:36+00:00</w:t>
      </w:r>
      <w:r>
        <w:t xml:space="preserve">    </w:t>
      </w:r>
      <w:r>
        <w:rPr>
          <w:b/>
        </w:rPr>
        <w:t xml:space="preserve">DOI: </w:t>
      </w:r>
      <w:hyperlink r:id="rId276">
        <w:r>
          <w:rPr>
            <w:color w:val="1155CC"/>
            <w:u w:val="single"/>
          </w:rPr>
          <w:t>10.1002/anie.202515019</w:t>
        </w:r>
      </w:hyperlink>
    </w:p>
    <w:p>
      <w:pPr>
        <w:spacing w:before="0" w:after="120"/>
      </w:pPr>
      <w:r>
        <w:rPr>
          <w:b/>
        </w:rPr>
        <w:t xml:space="preserve">Notes: </w:t>
      </w:r>
      <w:r>
        <w:t>abstract_source=crossref</w:t>
      </w:r>
    </w:p>
    <w:p>
      <w:pPr>
        <w:spacing w:before="0" w:after="80" w:lineRule="auto" w:line="276"/>
      </w:pPr>
      <w:r>
        <w:rPr>
          <w:b/>
        </w:rPr>
        <w:t xml:space="preserve">摘要（ZH）: </w:t>
      </w:r>
      <w:r>
        <w:t>十多年来,人们广泛研究Halimide perovskite perovskite 纳米内晶体,将其作为一种高效的光学材料,展示出明亮和金枪鱼可排放物,虽然实现了与其他半导体或金属的各种上层性过密结构,但通过面相连接与质谱Ag或Au纳米粒子的上层集成仍然是一个关键的挑战。为了牢记这些纳米内晶性内分泌结构的重要性,我们在此将Ag纳米粒子与三种不同的CsPbBr 3形态进行上层集成,每一形态都展示一到一连接。</w:t>
      </w:r>
    </w:p>
    <w:p>
      <w:pPr>
        <w:spacing w:before="0" w:after="200" w:lineRule="auto" w:line="276"/>
      </w:pPr>
      <w:r>
        <w:rPr>
          <w:b/>
        </w:rPr>
        <w:t xml:space="preserve">Abstract (EN): </w:t>
      </w:r>
      <w:r>
        <w:t>Halide perovskite nanocrystals have been extensively studied for over a decade as an efficient optical material, exhibiting bright and tunable emissions. While various epitaxial perovskite heterostructures with other semiconductors or metals have been achieved, but epitaxial integration with plasmonic Ag or Au nanoparticles through facet‐specific connections has remained a key challenge. Keeping the importance of these nanocrystal heterostructures in mind, herein, we epitaxially integrated Ag nanoparticles with three different morphologies of CsPbBr</w:t>
      </w:r>
      <w:r>
        <w:rPr>
          <w:vertAlign w:val="subscript"/>
        </w:rPr>
        <w:t>3</w:t>
      </w:r>
      <w:r>
        <w:t>, each exhibiting one‐to‐one connections. The heterostructures were obtained by introducing Ag precursor either before or after CsPbBr</w:t>
      </w:r>
      <w:r>
        <w:rPr>
          <w:vertAlign w:val="subscript"/>
        </w:rPr>
        <w:t>3</w:t>
      </w:r>
      <w:r>
        <w:t>formation, depending on the reaction conditions. The feasibility of the synthesis is attributed to the presence of specific triangular and truncated facets having alternating Pb and Br atom arrangements in CsPbBr</w:t>
      </w:r>
      <w:r>
        <w:rPr>
          <w:vertAlign w:val="subscript"/>
        </w:rPr>
        <w:t>3</w:t>
      </w:r>
      <w:r>
        <w:t>. Electron microscopic analysis confirms two distinct epitaxial interfaces between cubic Ag(0) and orthorhombic CsPbBr</w:t>
      </w:r>
      <w:r>
        <w:t xml:space="preserve"> </w:t>
      </w:r>
      <w:r>
        <w:t>3,</w:t>
      </w:r>
      <w:r>
        <w:t xml:space="preserve"> </w:t>
      </w:r>
      <w:r>
        <w:t>indicating the susceptibility of such nanocrystals to form heterostructures. Ultrafast spectroscopic data suggest the photoluminescence quenching arises from the photogenerated electron transfer from CsPbBr</w:t>
      </w:r>
      <w:r>
        <w:rPr>
          <w:vertAlign w:val="subscript"/>
        </w:rPr>
        <w:t>3</w:t>
      </w:r>
      <w:r>
        <w:t>to Ag. However, no significant plasmon absorption is observed, likely due to plasmon damping. These results provide new insight into plasmonic‐exciton coupling in this type of heterostructure and pave a pathway for designing other plasmonic material based heterostructures for optoelectronic applications.</w:t>
      </w:r>
    </w:p>
    <w:p>
      <w:pPr>
        <w:spacing w:before="120" w:after="120"/>
      </w:pPr>
      <w:r>
        <w:rPr>
          <w:sz w:val="18"/>
        </w:rPr>
        <w:t>——————————————————————————————————————————————————————————————————————</w:t>
      </w:r>
    </w:p>
    <w:p>
      <w:pPr>
        <w:spacing w:before="160" w:after="40" w:line="240" w:lineRule="auto"/>
      </w:pPr>
      <w:r>
        <w:rPr>
          <w:b/>
        </w:rPr>
        <w:t xml:space="preserve">[174] </w:t>
      </w:r>
      <w:hyperlink r:id="rId277">
        <w:r>
          <w:rPr>
            <w:color w:val="1155CC"/>
            <w:u w:val="single"/>
          </w:rPr>
          <w:t>通过协同质子电导传输,解除高能能量密度红毒再散电池聚氧甲酸酯全状态</w:t>
        </w:r>
      </w:hyperlink>
    </w:p>
    <w:p>
      <w:pPr>
        <w:spacing w:before="0" w:after="80"/>
      </w:pPr>
      <w:r>
        <w:rPr>
          <w:i/>
          <w:sz w:val="20"/>
        </w:rPr>
        <w:t>EN: Unlocking Full State‐of‐Charge of Polyoxometalate for High‐Energy‐Density Redox Flow Batteries via Concerted Proton‐Electron Transfer</w:t>
      </w:r>
    </w:p>
    <w:p>
      <w:pPr>
        <w:spacing w:before="0" w:after="120"/>
      </w:pPr>
      <w:r>
        <w:rPr>
          <w:b/>
        </w:rPr>
        <w:t xml:space="preserve">Source: </w:t>
      </w:r>
      <w:r>
        <w:t>Wiley: Angewandte Chemie International Edition: Table of Contents</w:t>
      </w:r>
      <w:r>
        <w:t xml:space="preserve">    </w:t>
      </w:r>
      <w:r>
        <w:rPr>
          <w:b/>
        </w:rPr>
        <w:t xml:space="preserve">Pub date: </w:t>
      </w:r>
      <w:r>
        <w:t>2026-01-19 13:12:30+00:00</w:t>
      </w:r>
      <w:r>
        <w:t xml:space="preserve">    </w:t>
      </w:r>
      <w:r>
        <w:rPr>
          <w:b/>
        </w:rPr>
        <w:t xml:space="preserve">DOI: </w:t>
      </w:r>
      <w:hyperlink r:id="rId278">
        <w:r>
          <w:rPr>
            <w:color w:val="1155CC"/>
            <w:u w:val="single"/>
          </w:rPr>
          <w:t>10.1002/anie.202518906</w:t>
        </w:r>
      </w:hyperlink>
    </w:p>
    <w:p>
      <w:pPr>
        <w:spacing w:before="0" w:after="120"/>
      </w:pPr>
      <w:r>
        <w:rPr>
          <w:b/>
        </w:rPr>
        <w:t xml:space="preserve">Notes: </w:t>
      </w:r>
      <w:r>
        <w:t>abstract_source=crossref</w:t>
      </w:r>
    </w:p>
    <w:p>
      <w:pPr>
        <w:spacing w:before="0" w:after="80" w:lineRule="auto" w:line="276"/>
      </w:pPr>
      <w:r>
        <w:rPr>
          <w:b/>
        </w:rPr>
        <w:t xml:space="preserve">摘要（ZH）: </w:t>
      </w:r>
      <w:r>
        <w:t>抽象多氧元体(POMS)为下一代高能密度红氧化分流电池(RFBs)展示出独特的多电子传输能力,而其可操作状态充电(SoC, 33.3%)通常受到质子冻量条件下普遍大幅减少的元可变性国家的限制。我们通过为[P 2 W 18 O 6-({P 2 W 18 18 })集束建立质子相联电子传输范式(PCET),发现氧场的质子化稳定了通过协同支持而减少的点。</w:t>
      </w:r>
    </w:p>
    <w:p>
      <w:pPr>
        <w:spacing w:before="0" w:after="200" w:lineRule="auto" w:line="276"/>
      </w:pPr>
      <w:r>
        <w:rPr>
          <w:b/>
        </w:rPr>
        <w:t xml:space="preserve">Abstract (EN): </w:t>
      </w:r>
      <w:r>
        <w:t>Polyoxometalates (POMs) exhibit exceptional multi‐electron transfer capacity for next‐generation high‐energy‐density redox flow batteries (RFBs), while their operable state‐of‐charge (SoC, ≤33.3%) is commonly limited by universal highly reduced metastable states under proton‐starved conditions. Herein, by establishing a proton‐coupled electron transfer (PCET) paradigm for [P</w:t>
      </w:r>
      <w:r>
        <w:rPr>
          <w:vertAlign w:val="subscript"/>
        </w:rPr>
        <w:t>2</w:t>
      </w:r>
      <w:r>
        <w:t>W</w:t>
      </w:r>
      <w:r>
        <w:rPr>
          <w:vertAlign w:val="subscript"/>
        </w:rPr>
        <w:t>18</w:t>
      </w:r>
      <w:r>
        <w:t>O</w:t>
      </w:r>
      <w:r>
        <w:rPr>
          <w:vertAlign w:val="subscript"/>
        </w:rPr>
        <w:t>62</w:t>
      </w:r>
      <w:r>
        <w:t>]</w:t>
      </w:r>
      <w:r>
        <w:t xml:space="preserve"> </w:t>
      </w:r>
      <w:r>
        <w:t>6−</w:t>
      </w:r>
      <w:r>
        <w:t>({P</w:t>
      </w:r>
      <w:r>
        <w:rPr>
          <w:vertAlign w:val="subscript"/>
        </w:rPr>
        <w:t>2</w:t>
      </w:r>
      <w:r>
        <w:t>W</w:t>
      </w:r>
      <w:r>
        <w:rPr>
          <w:vertAlign w:val="subscript"/>
        </w:rPr>
        <w:t>18</w:t>
      </w:r>
      <w:r>
        <w:t>}) cluster, we reveal that protonation at oxygen sites stabilizes reduced tungsten sites via concerted proton‐electron transfer (CPET). Marcus theory combined with DFT calculations quantifies the thermodynamic driving force and kinetic barrier for region‐selective CPET processes, and operando analyses by pH monitoring and Raman spectroscopy further confirm this proton‐coupled reversible redox mechanism. Guided by these findings, we engineer the high‐proton‐activity H</w:t>
      </w:r>
      <w:r>
        <w:rPr>
          <w:vertAlign w:val="subscript"/>
        </w:rPr>
        <w:t>6</w:t>
      </w:r>
      <w:r>
        <w:t>{P</w:t>
      </w:r>
      <w:r>
        <w:rPr>
          <w:vertAlign w:val="subscript"/>
        </w:rPr>
        <w:t>2</w:t>
      </w:r>
      <w:r>
        <w:t>W</w:t>
      </w:r>
      <w:r>
        <w:rPr>
          <w:vertAlign w:val="subscript"/>
        </w:rPr>
        <w:t>18</w:t>
      </w:r>
      <w:r>
        <w:t>} negolyte paired with a VOSO</w:t>
      </w:r>
      <w:r>
        <w:rPr>
          <w:vertAlign w:val="subscript"/>
        </w:rPr>
        <w:t>4</w:t>
      </w:r>
      <w:r>
        <w:t>‐based posolyte and stepwise charging‐discharging protocol that enables stable full SoC operation. The resulting RFBs achieve unprecedented performance, which maintains 95.04 Ah L</w:t>
      </w:r>
      <w:r>
        <w:t xml:space="preserve"> </w:t>
      </w:r>
      <w:r>
        <w:t>−1</w:t>
      </w:r>
      <w:r>
        <w:t xml:space="preserve"> </w:t>
      </w:r>
      <w:r>
        <w:t>without decay over 600 cycles (over 1020 h) at 66.7% SoC of 0.3 M H</w:t>
      </w:r>
      <w:r>
        <w:rPr>
          <w:vertAlign w:val="subscript"/>
        </w:rPr>
        <w:t>6</w:t>
      </w:r>
      <w:r>
        <w:t>{P</w:t>
      </w:r>
      <w:r>
        <w:rPr>
          <w:vertAlign w:val="subscript"/>
        </w:rPr>
        <w:t>2</w:t>
      </w:r>
      <w:r>
        <w:t>W</w:t>
      </w:r>
      <w:r>
        <w:rPr>
          <w:vertAlign w:val="subscript"/>
        </w:rPr>
        <w:t>18</w:t>
      </w:r>
      <w:r>
        <w:t>}, and 141.75 Ah L</w:t>
      </w:r>
      <w:r>
        <w:t xml:space="preserve"> </w:t>
      </w:r>
      <w:r>
        <w:t>−1</w:t>
      </w:r>
      <w:r>
        <w:t xml:space="preserve"> </w:t>
      </w:r>
      <w:r>
        <w:t>at 100% SoC of 0.3 M H</w:t>
      </w:r>
      <w:r>
        <w:rPr>
          <w:vertAlign w:val="subscript"/>
        </w:rPr>
        <w:t>6</w:t>
      </w:r>
      <w:r>
        <w:t>{P</w:t>
      </w:r>
      <w:r>
        <w:rPr>
          <w:vertAlign w:val="subscript"/>
        </w:rPr>
        <w:t>2</w:t>
      </w:r>
      <w:r>
        <w:t>W</w:t>
      </w:r>
      <w:r>
        <w:rPr>
          <w:vertAlign w:val="subscript"/>
        </w:rPr>
        <w:t>18</w:t>
      </w:r>
      <w:r>
        <w:t>}, as well as delivers a record‐breaking 236.03 Ah L</w:t>
      </w:r>
      <w:r>
        <w:t xml:space="preserve"> </w:t>
      </w:r>
      <w:r>
        <w:t>−1</w:t>
      </w:r>
      <w:r>
        <w:t xml:space="preserve"> </w:t>
      </w:r>
      <w:r>
        <w:t>and 239.02 Wh L</w:t>
      </w:r>
      <w:r>
        <w:t xml:space="preserve"> </w:t>
      </w:r>
      <w:r>
        <w:t>−1</w:t>
      </w:r>
      <w:r>
        <w:t xml:space="preserve"> </w:t>
      </w:r>
      <w:r>
        <w:t>at 100% SoC of 0.5 M H</w:t>
      </w:r>
      <w:r>
        <w:rPr>
          <w:vertAlign w:val="subscript"/>
        </w:rPr>
        <w:t>6</w:t>
      </w:r>
      <w:r>
        <w:t>{P</w:t>
      </w:r>
      <w:r>
        <w:rPr>
          <w:vertAlign w:val="subscript"/>
        </w:rPr>
        <w:t>2</w:t>
      </w:r>
      <w:r>
        <w:t>W</w:t>
      </w:r>
      <w:r>
        <w:rPr>
          <w:vertAlign w:val="subscript"/>
        </w:rPr>
        <w:t>18</w:t>
      </w:r>
      <w:r>
        <w:t>}. This work unlocks full SoC of {P</w:t>
      </w:r>
      <w:r>
        <w:rPr>
          <w:vertAlign w:val="subscript"/>
        </w:rPr>
        <w:t>2</w:t>
      </w:r>
      <w:r>
        <w:t>W</w:t>
      </w:r>
      <w:r>
        <w:rPr>
          <w:vertAlign w:val="subscript"/>
        </w:rPr>
        <w:t>18</w:t>
      </w:r>
      <w:r>
        <w:t>} by translating CPET mechanistic insights into actionable electrolyte design, establishing a generalizable pathway toward high‐energy‐density POM‐RFBs.</w:t>
      </w:r>
    </w:p>
    <w:p>
      <w:pPr>
        <w:spacing w:before="120" w:after="120"/>
      </w:pPr>
      <w:r>
        <w:rPr>
          <w:sz w:val="18"/>
        </w:rPr>
        <w:t>——————————————————————————————————————————————————————————————————————</w:t>
      </w:r>
    </w:p>
    <w:p>
      <w:pPr>
        <w:spacing w:before="160" w:after="40" w:line="240" w:lineRule="auto"/>
      </w:pPr>
      <w:r>
        <w:rPr>
          <w:b/>
        </w:rPr>
        <w:t xml:space="preserve">[175] </w:t>
      </w:r>
      <w:hyperlink r:id="rId279">
        <w:r>
          <w:rPr>
            <w:color w:val="1155CC"/>
            <w:u w:val="single"/>
          </w:rPr>
          <w:t>高分子互锁生产机械性非尼斯热带、强力和强力生物模拟电离凝胶</w:t>
        </w:r>
      </w:hyperlink>
    </w:p>
    <w:p>
      <w:pPr>
        <w:spacing w:before="0" w:after="80"/>
      </w:pPr>
      <w:r>
        <w:rPr>
          <w:i/>
          <w:sz w:val="20"/>
        </w:rPr>
        <w:t>EN: Supramolecular Interlocking Produces Mechanically Anisotropic, Robust, and Tough Biomimetic Ionogels</w:t>
      </w:r>
    </w:p>
    <w:p>
      <w:pPr>
        <w:spacing w:before="0" w:after="120"/>
      </w:pPr>
      <w:r>
        <w:rPr>
          <w:b/>
        </w:rPr>
        <w:t xml:space="preserve">Source: </w:t>
      </w:r>
      <w:r>
        <w:t>Wiley: Advanced Materials: Table of Contents</w:t>
      </w:r>
      <w:r>
        <w:t xml:space="preserve">    </w:t>
      </w:r>
      <w:r>
        <w:rPr>
          <w:b/>
        </w:rPr>
        <w:t xml:space="preserve">Pub date: </w:t>
      </w:r>
      <w:r>
        <w:t>2026-01-19 13:16:04+00:00</w:t>
      </w:r>
      <w:r>
        <w:t xml:space="preserve">    </w:t>
      </w:r>
      <w:r>
        <w:rPr>
          <w:b/>
        </w:rPr>
        <w:t xml:space="preserve">DOI: </w:t>
      </w:r>
      <w:hyperlink r:id="rId280">
        <w:r>
          <w:rPr>
            <w:color w:val="1155CC"/>
            <w:u w:val="single"/>
          </w:rPr>
          <w:t>10.1002/adma.202511903</w:t>
        </w:r>
      </w:hyperlink>
    </w:p>
    <w:p>
      <w:pPr>
        <w:spacing w:before="0" w:after="120"/>
      </w:pPr>
      <w:r>
        <w:rPr>
          <w:b/>
        </w:rPr>
        <w:t xml:space="preserve">Notes: </w:t>
      </w:r>
      <w:r>
        <w:t>abstract_source=crossref</w:t>
      </w:r>
    </w:p>
    <w:p>
      <w:pPr>
        <w:spacing w:before="0" w:after="80" w:lineRule="auto" w:line="276"/>
      </w:pPr>
      <w:r>
        <w:rPr>
          <w:b/>
        </w:rPr>
        <w:t xml:space="preserve">摘要（ZH）: </w:t>
      </w:r>
      <w:r>
        <w:t>Ionogels由于具有金枪鱼的机械特性和非凡的多功能性,在各个尖端领域引起了人们的极大关注。然而,目前的离子体仍在挣扎,以取得机械坚固和组织如厌异状的结合,阻碍了它们在下一代智能生物模拟材料中的应用。在环形的厌食结构的启发下,我们把平行的、与平行的硬纤维捆放在一个灵活的离子体内,以通过超分子交锁建立紧密的相互扰动联系。这种设计通过平行方向的离子凝胶的切变形,同时保持高的灵活性和可伸缩性,从而能够分散压力和分散能源。</w:t>
      </w:r>
    </w:p>
    <w:p>
      <w:pPr>
        <w:spacing w:before="0" w:after="200" w:lineRule="auto" w:line="276"/>
      </w:pPr>
      <w:r>
        <w:rPr>
          <w:b/>
        </w:rPr>
        <w:t xml:space="preserve">Abstract (EN): </w:t>
      </w:r>
      <w:r>
        <w:t>Ionogels have garnered significant attention in various cutting‐edge fields due to their tunable mechanical properties and remarkable multifunctionality. However, current ionogels still struggle to achieve a combination of mechanical robustness and tissue‐like anisotropy, hindering their application in next‐generation intelligent biomimetic materials. Inspired by the anisotropic structure of tendons, we have embedded parallel‐aligned rigid fiber bundles within a flexible ionogel to establish a tight interfacial bonding through supramolecular interlocking. This design enables the dispersion of stress and dissipation of energy through shear deformation of the ionogel in the parallel direction while maintaining high flexibility and stretchability in the perpendicular direction. Thus, tough anisotropic composite ionogels (ACIGs) can be constructed, which exhibit high strength, high modulus, as well as pronounced strength and stiffness anisotropies. The mechanical properties and anisotropies far surpass those of current anisotropic gel materials. Additionally, ACIG demonstrates excellent crack resistance, a wide operational temperature range, and high adhesiveness. It can serve as a biomimetic ligament to secure artificial joints, maintaining stability even after 10 000 bending cycles. Moreover, the conductive properties enable ACIG to function as a sensor for detecting joint movements and transmitting information, holding significant application potential in fields such as intelligent equipment and wearable devices.</w:t>
      </w:r>
    </w:p>
    <w:p>
      <w:pPr>
        <w:spacing w:before="120" w:after="120"/>
      </w:pPr>
      <w:r>
        <w:rPr>
          <w:sz w:val="18"/>
        </w:rPr>
        <w:t>——————————————————————————————————————————————————————————————————————</w:t>
      </w:r>
    </w:p>
    <w:p>
      <w:pPr>
        <w:spacing w:before="160" w:after="40" w:line="240" w:lineRule="auto"/>
      </w:pPr>
      <w:r>
        <w:rPr>
          <w:b/>
        </w:rPr>
        <w:t xml:space="preserve">[176] </w:t>
      </w:r>
      <w:hyperlink r:id="rId281">
        <w:r>
          <w:rPr>
            <w:color w:val="1155CC"/>
            <w:u w:val="single"/>
          </w:rPr>
          <w:t>利用Self-Cascade 耐久低温温度锌金属电池催化技术加速脱尘 -- -- 传播动力学</w:t>
        </w:r>
      </w:hyperlink>
    </w:p>
    <w:p>
      <w:pPr>
        <w:spacing w:before="0" w:after="80"/>
      </w:pPr>
      <w:r>
        <w:rPr>
          <w:i/>
          <w:sz w:val="20"/>
        </w:rPr>
        <w:t>EN: Expediting Desolvation–Diffusion Kinetics by Self‐Cascade Catalysis for Durable Low‐Temperature Zinc Metal Batteries</w:t>
      </w:r>
    </w:p>
    <w:p>
      <w:pPr>
        <w:spacing w:before="0" w:after="120"/>
      </w:pPr>
      <w:r>
        <w:rPr>
          <w:b/>
        </w:rPr>
        <w:t xml:space="preserve">Source: </w:t>
      </w:r>
      <w:r>
        <w:t>Wiley: Angewandte Chemie International Edition: Table of Contents</w:t>
      </w:r>
      <w:r>
        <w:t xml:space="preserve">    </w:t>
      </w:r>
      <w:r>
        <w:rPr>
          <w:b/>
        </w:rPr>
        <w:t xml:space="preserve">Pub date: </w:t>
      </w:r>
      <w:r>
        <w:t>2026-01-19 13:18:41+00:00</w:t>
      </w:r>
      <w:r>
        <w:t xml:space="preserve">    </w:t>
      </w:r>
      <w:r>
        <w:rPr>
          <w:b/>
        </w:rPr>
        <w:t xml:space="preserve">DOI: </w:t>
      </w:r>
      <w:hyperlink r:id="rId282">
        <w:r>
          <w:rPr>
            <w:color w:val="1155CC"/>
            <w:u w:val="single"/>
          </w:rPr>
          <w:t>10.1002/anie.202522417</w:t>
        </w:r>
      </w:hyperlink>
    </w:p>
    <w:p>
      <w:pPr>
        <w:spacing w:before="0" w:after="120"/>
      </w:pPr>
      <w:r>
        <w:rPr>
          <w:b/>
        </w:rPr>
        <w:t xml:space="preserve">Notes: </w:t>
      </w:r>
      <w:r>
        <w:t>abstract_source=crossref</w:t>
      </w:r>
    </w:p>
    <w:p>
      <w:pPr>
        <w:spacing w:before="0" w:after="80" w:lineRule="auto" w:line="276"/>
      </w:pPr>
      <w:r>
        <w:rPr>
          <w:b/>
        </w:rPr>
        <w:t xml:space="preserve">摘要（ZH）: </w:t>
      </w:r>
      <w:r>
        <w:t>在水锌基电池(AZMBs)的实际应用中,非常希望使用无硬界面的金属阳极,而其稳定性则受到[Zn(H 2 O) 6] 2+溶解和粘积沉积的不满意动因障碍的阻碍,特别是在低温环境中。在此,通过在Zn anode的不足的LaMNO 3.15 perovskite(SABI/ULMO)层内设计原子分散的二层,提出了加速内部脱解和优化扩散的自我卡萨德催化战略。</w:t>
      </w:r>
    </w:p>
    <w:p>
      <w:pPr>
        <w:spacing w:before="0" w:after="200" w:lineRule="auto" w:line="276"/>
      </w:pPr>
      <w:r>
        <w:rPr>
          <w:b/>
        </w:rPr>
        <w:t xml:space="preserve">Abstract (EN): </w:t>
      </w:r>
      <w:r>
        <w:t>Dendrite‐free Zn metal anodes with robust interface are highly desired for the practical application of aqueous zinc‐metal based batteries (AZMBs), while their stability is hindered by the untoward [Zn(H</w:t>
      </w:r>
      <w:r>
        <w:rPr>
          <w:vertAlign w:val="subscript"/>
        </w:rPr>
        <w:t>2</w:t>
      </w:r>
      <w:r>
        <w:t>O)</w:t>
      </w:r>
      <w:r>
        <w:rPr>
          <w:vertAlign w:val="subscript"/>
        </w:rPr>
        <w:t>6</w:t>
      </w:r>
      <w:r>
        <w:t>]</w:t>
      </w:r>
      <w:r>
        <w:t xml:space="preserve"> </w:t>
      </w:r>
      <w:r>
        <w:t>2+</w:t>
      </w:r>
      <w:r>
        <w:t xml:space="preserve"> </w:t>
      </w:r>
      <w:r>
        <w:t>desolvation and succedent deposition with dissatisfactory kinetic barriers, especially under low‐temperature environment. Herein, a self‐cascade catalytic strategy on accelerating interfacial desolvation and optimizing diffusion is proposed by designing an atomically dispersed Bi within the deficient LaMnO</w:t>
      </w:r>
      <w:r>
        <w:t xml:space="preserve"> </w:t>
      </w:r>
      <w:r>
        <w:t>3.15</w:t>
      </w:r>
      <w:r>
        <w:t xml:space="preserve"> </w:t>
      </w:r>
      <w:r>
        <w:t>perovskite (SABi/U‐LMO) layer on Zn anode. Theoretical calculations demonstrate that the</w:t>
      </w:r>
      <w:r>
        <w:t xml:space="preserve"> </w:t>
      </w:r>
      <w:r>
        <w:t>d</w:t>
      </w:r>
      <w:r>
        <w:t xml:space="preserve"> </w:t>
      </w:r>
      <w:r>
        <w:t>‐band center and nonbonding state near the Fermi level of SABi/U‐LMO alleviate the corrosion of H</w:t>
      </w:r>
      <w:r>
        <w:rPr>
          <w:vertAlign w:val="subscript"/>
        </w:rPr>
        <w:t>2</w:t>
      </w:r>
      <w:r>
        <w:t>O and accelerate the dissociation of Zn</w:t>
      </w:r>
      <w:r>
        <w:t xml:space="preserve"> </w:t>
      </w:r>
      <w:r>
        <w:t>2+</w:t>
      </w:r>
      <w:r>
        <w:t xml:space="preserve"> </w:t>
      </w:r>
      <w:r>
        <w:t>─H</w:t>
      </w:r>
      <w:r>
        <w:rPr>
          <w:vertAlign w:val="subscript"/>
        </w:rPr>
        <w:t>2</w:t>
      </w:r>
      <w:r>
        <w:t>O bond by promoting the rapid filling of the empty</w:t>
      </w:r>
      <w:r>
        <w:t xml:space="preserve"> </w:t>
      </w:r>
      <w:r>
        <w:t>4s orbital of the Zn</w:t>
      </w:r>
      <w:r>
        <w:t xml:space="preserve"> </w:t>
      </w:r>
      <w:r>
        <w:t>2+</w:t>
      </w:r>
      <w:r>
        <w:t xml:space="preserve"> </w:t>
      </w:r>
      <w:r>
        <w:t>, as revealed by electrochemical and spectroscopic results. Meanwhile, the redistribution of electric field with SABi/U‐LMO realizes the delocalization and lateral growth of Zn atoms. Consequently, the cells with SABi/U‐LMO render an impressive lifetime up to 5000 h at 1 mA cm</w:t>
      </w:r>
      <w:r>
        <w:t xml:space="preserve"> </w:t>
      </w:r>
      <w:r>
        <w:t>−2</w:t>
      </w:r>
      <w:r>
        <w:t xml:space="preserve"> </w:t>
      </w:r>
      <w:r>
        <w:t>as well as a high Coulombic efficiency of 99.59% over 2000 cycles under 0 °C. Full cell also stabilizes the capacity retention of ∼100% after 900 cycles at 1 A g</w:t>
      </w:r>
      <w:r>
        <w:t xml:space="preserve"> </w:t>
      </w:r>
      <w:r>
        <w:t>−1</w:t>
      </w:r>
      <w:r>
        <w:t xml:space="preserve"> </w:t>
      </w:r>
      <w:r>
        <w:t>under −20 °C, verifying the feasibility of self‐cascade catalysis in realizing high‐performance AZMBs.</w:t>
      </w:r>
    </w:p>
    <w:p>
      <w:pPr>
        <w:spacing w:before="120" w:after="120"/>
      </w:pPr>
      <w:r>
        <w:rPr>
          <w:sz w:val="18"/>
        </w:rPr>
        <w:t>——————————————————————————————————————————————————————————————————————</w:t>
      </w:r>
    </w:p>
    <w:p>
      <w:pPr>
        <w:spacing w:before="160" w:after="40" w:line="240" w:lineRule="auto"/>
      </w:pPr>
      <w:r>
        <w:rPr>
          <w:b/>
        </w:rPr>
        <w:t xml:space="preserve">[177] </w:t>
      </w:r>
      <w:hyperlink r:id="rId283">
        <w:r>
          <w:rPr>
            <w:color w:val="1155CC"/>
            <w:u w:val="single"/>
          </w:rPr>
          <w:t>[ASAP] 金属锂电池的异质电荷转移机制:通过马库斯理论破除异常的光学</w:t>
        </w:r>
      </w:hyperlink>
    </w:p>
    <w:p>
      <w:pPr>
        <w:spacing w:before="0" w:after="80"/>
      </w:pPr>
      <w:r>
        <w:rPr>
          <w:i/>
          <w:sz w:val="20"/>
        </w:rPr>
        <w:t>EN: [ASAP] The Heterogeneous Charge Transfer Mechanism in Lithium Metal Batteries: Revealing Abnormal Lithiophilicity through the Marcus Theory</w:t>
      </w:r>
    </w:p>
    <w:p>
      <w:pPr>
        <w:spacing w:before="0" w:after="120"/>
      </w:pPr>
      <w:r>
        <w:rPr>
          <w:b/>
        </w:rPr>
        <w:t xml:space="preserve">Source: </w:t>
      </w:r>
      <w:r>
        <w:t>Journal of the American Chemical Society: Latest Articles (ACS Publications)</w:t>
      </w:r>
      <w:r>
        <w:t xml:space="preserve">    </w:t>
      </w:r>
      <w:r>
        <w:rPr>
          <w:b/>
        </w:rPr>
        <w:t xml:space="preserve">Pub date: </w:t>
      </w:r>
      <w:r>
        <w:t>2026-01-19 13:38:09+00:00</w:t>
      </w:r>
      <w:r>
        <w:t xml:space="preserve">    </w:t>
      </w:r>
      <w:r>
        <w:rPr>
          <w:b/>
        </w:rPr>
        <w:t xml:space="preserve">DOI: </w:t>
      </w:r>
      <w:hyperlink r:id="rId284">
        <w:r>
          <w:rPr>
            <w:color w:val="1155CC"/>
            <w:u w:val="single"/>
          </w:rPr>
          <w:t>10.1021/jacs.5c12858</w:t>
        </w:r>
      </w:hyperlink>
    </w:p>
    <w:p>
      <w:pPr>
        <w:spacing w:before="0" w:after="120"/>
      </w:pPr>
      <w:r>
        <w:rPr>
          <w:b/>
        </w:rPr>
        <w:t xml:space="preserve">Notes: </w:t>
      </w:r>
      <w:r>
        <w:t>abstract_source=pubmed</w:t>
      </w:r>
    </w:p>
    <w:p>
      <w:pPr>
        <w:spacing w:before="0" w:after="80" w:lineRule="auto" w:line="276"/>
      </w:pPr>
      <w:r>
        <w:rPr>
          <w:b/>
        </w:rPr>
        <w:t xml:space="preserve">摘要（ZH）: </w:t>
      </w:r>
      <w:r>
        <w:t>Li 金属电池具有高能量密度,但受到不统一的Li金属电镀和除尘层形成的影响,限制了实际使用。这些问题来自复杂的跨子电荷转移动力学,这些动力学仍然定义模糊。在这里,我们揭示了利电降解动力学对基底光纤功能学的异常依赖性,这种依赖性是由Marcus-Hush-Chedsey(MHC)理论合理化的。与常规期望相反,对利希奥有恐惧的Cu能够更快地进行电子传输,更稳定地进行高超潜能层的电镀,而利希奥比奥奥则在低潜能层表现更好。这种交叉行为建立了当前依赖密度的框架,重新定义了对光学的经典理解。 电化学特征,基于MHC。</w:t>
      </w:r>
    </w:p>
    <w:p>
      <w:pPr>
        <w:spacing w:before="0" w:after="200" w:lineRule="auto" w:line="276"/>
      </w:pPr>
      <w:r>
        <w:rPr>
          <w:b/>
        </w:rPr>
        <w:t xml:space="preserve">Abstract (EN): </w:t>
      </w:r>
      <w:r>
        <w:t>Li metal batteries offer a high energy density but suffer from nonuniform Li metal electroplating and dendrite formation, limiting practical use. These issues arise from complex interfacial charge transfer kinetics, which are still ambiguously defined. Here, we reveal an abnormal dependence of Li electrodeposition kinetics on substrate lithiophilicity, rationalized by the Marcus-Hush-Chidsey (MHC) theory. Contrary to conventional expectations, lithiophobic Cu enables faster electron transfer and more stable Li electroplating at high overpotentials, whereas lithiophilic Au performs better at low overpotentials. This crossover behavior establishes a current density-dependent framework that redefines the classical understanding of lithiophilicity. Electrochemical characterizations, MHC-based modeling, and crystal orbital Hamilton population analysis attribute the phenomenon to an interplay between reorganization energy and electronic coupling strength. The findings, validated across various substrates and electrolytes, provide general mechanistic insights into heterogeneous charge transfer during Li electroplating and suggest new strategies for interface design in anodeless Li metal batteries.</w:t>
      </w:r>
    </w:p>
    <w:p>
      <w:pPr>
        <w:spacing w:before="120" w:after="120"/>
      </w:pPr>
      <w:r>
        <w:rPr>
          <w:sz w:val="18"/>
        </w:rPr>
        <w:t>——————————————————————————————————————————————————————————————————————</w:t>
      </w:r>
    </w:p>
    <w:p>
      <w:pPr>
        <w:spacing w:before="160" w:after="40" w:line="240" w:lineRule="auto"/>
      </w:pPr>
      <w:r>
        <w:rPr>
          <w:b/>
        </w:rPr>
        <w:t xml:space="preserve">[178] </w:t>
      </w:r>
      <w:hyperlink r:id="rId285">
        <w:r>
          <w:rPr>
            <w:color w:val="1155CC"/>
            <w:u w:val="single"/>
          </w:rPr>
          <w:t>[ASAP] 双工作-电压测量所生成的P-P-InP白化光电图的表面表面潜力</w:t>
        </w:r>
      </w:hyperlink>
    </w:p>
    <w:p>
      <w:pPr>
        <w:spacing w:before="0" w:after="80"/>
      </w:pPr>
      <w:r>
        <w:rPr>
          <w:i/>
          <w:sz w:val="20"/>
        </w:rPr>
        <w:t>EN: [ASAP] Front-Surface Potential of Platinized p-InP Photocathodes Probed by Dual-Working-Electrode Measurements</w:t>
      </w:r>
    </w:p>
    <w:p>
      <w:pPr>
        <w:spacing w:before="0" w:after="120"/>
      </w:pPr>
      <w:r>
        <w:rPr>
          <w:b/>
        </w:rPr>
        <w:t xml:space="preserve">Source: </w:t>
      </w:r>
      <w:r>
        <w:t>ACS Energy Letters: Latest Articles (ACS Publications)</w:t>
      </w:r>
      <w:r>
        <w:t xml:space="preserve">    </w:t>
      </w:r>
      <w:r>
        <w:rPr>
          <w:b/>
        </w:rPr>
        <w:t xml:space="preserve">Pub date: </w:t>
      </w:r>
      <w:r>
        <w:t>2026-01-19 13:38:22+00:00</w:t>
      </w:r>
      <w:r>
        <w:t xml:space="preserve">    </w:t>
      </w:r>
      <w:r>
        <w:rPr>
          <w:b/>
        </w:rPr>
        <w:t xml:space="preserve">DOI: </w:t>
      </w:r>
      <w:hyperlink r:id="rId286">
        <w:r>
          <w:rPr>
            <w:color w:val="1155CC"/>
            <w:u w:val="single"/>
          </w:rPr>
          <w:t>10.1021/acsenergylett.5c04153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287">
        <w:r>
          <w:rPr>
            <w:color w:val="1155CC"/>
            <w:u w:val="single"/>
          </w:rPr>
          <w:t>[ASAP] 无 Diazo 等效无替代碳化物:通过[12/13CH]+插入对纳芬和的直向合成</w:t>
        </w:r>
      </w:hyperlink>
    </w:p>
    <w:p>
      <w:pPr>
        <w:spacing w:before="0" w:after="80"/>
      </w:pPr>
      <w:r>
        <w:rPr>
          <w:i/>
          <w:sz w:val="20"/>
        </w:rPr>
        <w:t>EN: [ASAP] A Diazo-free Equivalent of the Unsubstituted Carbyne Cation: Straightforward Synthesis of Naphthalenes and Pyridines via [12/13CH]+ Insertion</w:t>
      </w:r>
    </w:p>
    <w:p>
      <w:pPr>
        <w:spacing w:before="0" w:after="120"/>
      </w:pPr>
      <w:r>
        <w:rPr>
          <w:b/>
        </w:rPr>
        <w:t xml:space="preserve">Source: </w:t>
      </w:r>
      <w:r>
        <w:t>Journal of the American Chemical Society: Latest Articles (ACS Publications)</w:t>
      </w:r>
      <w:r>
        <w:t xml:space="preserve">    </w:t>
      </w:r>
      <w:r>
        <w:rPr>
          <w:b/>
        </w:rPr>
        <w:t xml:space="preserve">Pub date: </w:t>
      </w:r>
      <w:r>
        <w:t>2026-01-19 14:01:24+00:00</w:t>
      </w:r>
      <w:r>
        <w:t xml:space="preserve">    </w:t>
      </w:r>
      <w:r>
        <w:rPr>
          <w:b/>
        </w:rPr>
        <w:t xml:space="preserve">DOI: </w:t>
      </w:r>
      <w:hyperlink r:id="rId288">
        <w:r>
          <w:rPr>
            <w:color w:val="1155CC"/>
            <w:u w:val="single"/>
          </w:rPr>
          <w:t>10.1021/jacs.5c21901</w:t>
        </w:r>
      </w:hyperlink>
    </w:p>
    <w:p>
      <w:pPr>
        <w:spacing w:before="0" w:after="120"/>
      </w:pPr>
      <w:r>
        <w:rPr>
          <w:b/>
        </w:rPr>
        <w:t xml:space="preserve">Notes: </w:t>
      </w:r>
      <w:r>
        <w:t>abstract_source=pubmed</w:t>
      </w:r>
    </w:p>
    <w:p>
      <w:pPr>
        <w:spacing w:before="0" w:after="80" w:lineRule="auto" w:line="276"/>
      </w:pPr>
      <w:r>
        <w:rPr>
          <w:b/>
        </w:rPr>
        <w:t xml:space="preserve">摘要（ZH）: </w:t>
      </w:r>
      <w:r>
        <w:t>稳定的同位素标签是药物研究中了解新药物候选者的行动模式和新陈代谢的新陈代谢的一种关键技术;然而,由于将同位素标签安装在所研究的结构核心中,其效用往往会受到合成挑战的危害。这里,我们为13C标记的氯化萘和类构件解决这一问题。我们的合成协议使用硫磺二甲二烯盐1,一种不将diazo功能纳入结构的台式稳定试剂;然而,在Rh-催化法下,它有效地相当于简单可想象的碳氢化合物、[CH]+碎片。DFT计算所支持的机械实验表明最初的形成。</w:t>
      </w:r>
    </w:p>
    <w:p>
      <w:pPr>
        <w:spacing w:before="0" w:after="200" w:lineRule="auto" w:line="276"/>
      </w:pPr>
      <w:r>
        <w:rPr>
          <w:b/>
        </w:rPr>
        <w:t xml:space="preserve">Abstract (EN): </w:t>
      </w:r>
      <w:r>
        <w:t>Stable isotope labeling is a crucial technique in pharmaceutical research to understand the mode of action and metabolism of new drug candidates; however, its utility is often jeopardized by the synthetic challenges associated with the installation of the isotopic label into the core of the structures under study. Herein, we address this problem for the case of 13C-labeled naphthalene and pyridine building blocks. Our synthetic protocol utilizes the sulfonium sulfaneylidene salt 1, a benchtop stable reagent that does not incorporate diazo functionalities in its structure; yet, under Rh-catalysis, it efficiently acts as a synthetic equivalent of the simplest conceivable carbynyl cation, the [CH]+ fragment. Mechanistic experiments supported by DFT calculations suggest the initial formation of a sulfonio-substituted Rh(II)-carbene that reacts with indenes or pyrroles to initially form sulfonio-substituted cyclopropanes; the diastereoselectivity of this step being inconsequential because both isomers interconvert under the reaction conditions. Subsequent electrocyclic ring expansion with the concomitant elimination of dibenzothiophene delivers the desired naphthalenes or pyridines.</w:t>
      </w:r>
    </w:p>
    <w:p>
      <w:pPr>
        <w:spacing w:before="120" w:after="120"/>
      </w:pPr>
      <w:r>
        <w:rPr>
          <w:sz w:val="18"/>
        </w:rPr>
        <w:t>——————————————————————————————————————————————————————————————————————</w:t>
      </w:r>
    </w:p>
    <w:p>
      <w:pPr>
        <w:spacing w:before="160" w:after="40" w:line="240" w:lineRule="auto"/>
      </w:pPr>
      <w:r>
        <w:rPr>
          <w:b/>
        </w:rPr>
        <w:t xml:space="preserve">[180] </w:t>
      </w:r>
      <w:hyperlink r:id="rId289">
        <w:r>
          <w:rPr>
            <w:color w:val="1155CC"/>
            <w:u w:val="single"/>
          </w:rPr>
          <w:t>[ASAP] 激进电离沉降 " Eectro " 化学发光量百万倍的三(2,2,2'-双基)(II)和三-n-丙基氨基苯丙胺系统2,2,2'-二)和三-氨-丙基氨的 " Eectro " 化学光度</w:t>
        </w:r>
      </w:hyperlink>
    </w:p>
    <w:p>
      <w:pPr>
        <w:spacing w:before="0" w:after="80"/>
      </w:pPr>
      <w:r>
        <w:rPr>
          <w:i/>
          <w:sz w:val="20"/>
        </w:rPr>
        <w:t>EN: [ASAP] Radical Electroprecipitation Prolongs “Electro”chemiluminescence of the Tris(2,2’-bipyridyl)ruthenium(II) and Tri-n-propylamine System by a Millionfold</w:t>
      </w:r>
    </w:p>
    <w:p>
      <w:pPr>
        <w:spacing w:before="0" w:after="120"/>
      </w:pPr>
      <w:r>
        <w:rPr>
          <w:b/>
        </w:rPr>
        <w:t xml:space="preserve">Source: </w:t>
      </w:r>
      <w:r>
        <w:t>Journal of the American Chemical Society: Latest Articles (ACS Publications)</w:t>
      </w:r>
      <w:r>
        <w:t xml:space="preserve">    </w:t>
      </w:r>
      <w:r>
        <w:rPr>
          <w:b/>
        </w:rPr>
        <w:t xml:space="preserve">Pub date: </w:t>
      </w:r>
      <w:r>
        <w:t>2026-01-19 14:27:56+00:00</w:t>
      </w:r>
      <w:r>
        <w:t xml:space="preserve">    </w:t>
      </w:r>
      <w:r>
        <w:rPr>
          <w:b/>
        </w:rPr>
        <w:t xml:space="preserve">DOI: </w:t>
      </w:r>
      <w:hyperlink r:id="rId290">
        <w:r>
          <w:rPr>
            <w:color w:val="1155CC"/>
            <w:u w:val="single"/>
          </w:rPr>
          <w:t>10.1021/jacs.5c16512</w:t>
        </w:r>
      </w:hyperlink>
    </w:p>
    <w:p>
      <w:pPr>
        <w:spacing w:before="0" w:after="120"/>
      </w:pPr>
      <w:r>
        <w:rPr>
          <w:b/>
        </w:rPr>
        <w:t xml:space="preserve">Notes: </w:t>
      </w:r>
      <w:r>
        <w:t>abstract_source=pubmed</w:t>
      </w:r>
    </w:p>
    <w:p>
      <w:pPr>
        <w:spacing w:before="0" w:after="80" w:lineRule="auto" w:line="276"/>
      </w:pPr>
      <w:r>
        <w:rPr>
          <w:b/>
        </w:rPr>
        <w:t xml:space="preserve">摘要（ZH）: </w:t>
      </w:r>
      <w:r>
        <w:t>三-正丙胺(TPrA)和三(2,2,2'-birdiridyl)二(II)的结合是历史上最相关的电子化学发光系统之一,因为全世界医院都使用这种系统测试心肌梗死。在开发新型诊断工具或改进标准系统时,重要的是以新的方式调查历史系统。我们利用这个历史性的ECL系统展示了ECL活性固体的降水量。即使在潜力终止后,通过这一光光后发光过程,ECL的排放量仍持续100秒,相当于ECL寿命增加100倍,相当于ECL的100倍。这种断裂ECL的狗形形形形形形形形形形形形形形形形形形形形形形形形形形形形形形形形形形形形形形形形形形形形形形形形色色色色色色外的电潜能被假定为光排放的一项要求。</w:t>
      </w:r>
    </w:p>
    <w:p>
      <w:pPr>
        <w:spacing w:before="0" w:after="200" w:lineRule="auto" w:line="276"/>
      </w:pPr>
      <w:r>
        <w:rPr>
          <w:b/>
        </w:rPr>
        <w:t xml:space="preserve">Abstract (EN): </w:t>
      </w:r>
      <w:r>
        <w:t>The combination of tri-n-propylamine (TPrA) and tris(2,2'-bipyridyl)ruthenium(II) is one of the most historically relevant electrochemiluminescence (ECL) systems, as it is used in hospitals all over the world to test for myocardial infarction. In developing novel diagnostic tools or improving upon standard ones, it is important to investigate historic systems in new ways. We demonstrate the precipitation of an ECL-active solid by using this historic ECL system. Even after the potential is ended, an emission persists for 100s of seconds, corresponding to a million times increase in ECL lifetime through this afterglow chemiluminescence process. This fractures the dogma of ECL, where classically an applied electric potential is assumed to be a requirement for light emission. Beyond proof of concept, experimental parameters such as pH, potential waveform, applied potential, TPrA concentration, and supporting electrolyte were changed and showed the ability of this system to be tunable between two regimes: ECL intensity and afterglow chemiluminescence time. Additionally, we offer a probable mechanism for the formation of this precipitate that effectively extends the utility of ECL in space and time. When looking at the necessary technological advancements needed in bioanalysis, fundamental steps forward, such as those presented in this study, are required to enable leaps in applied knowledge.</w:t>
      </w:r>
    </w:p>
    <w:p>
      <w:pPr>
        <w:spacing w:before="120" w:after="120"/>
      </w:pPr>
      <w:r>
        <w:rPr>
          <w:sz w:val="18"/>
        </w:rPr>
        <w:t>——————————————————————————————————————————————————————————————————————</w:t>
      </w:r>
    </w:p>
    <w:p>
      <w:pPr>
        <w:spacing w:before="160" w:after="40" w:line="240" w:lineRule="auto"/>
      </w:pPr>
      <w:r>
        <w:rPr>
          <w:b/>
        </w:rPr>
        <w:t xml:space="preserve">[181] </w:t>
      </w:r>
      <w:hyperlink r:id="rId291">
        <w:r>
          <w:rPr>
            <w:color w:val="1155CC"/>
            <w:u w:val="single"/>
          </w:rPr>
          <w:t>[ASAP]离地和在光刺激超模分子总量中的振动和环境紊乱下的一致性</w:t>
        </w:r>
      </w:hyperlink>
    </w:p>
    <w:p>
      <w:pPr>
        <w:spacing w:before="0" w:after="80"/>
      </w:pPr>
      <w:r>
        <w:rPr>
          <w:i/>
          <w:sz w:val="20"/>
        </w:rPr>
        <w:t>EN: [ASAP] Delocalization versus Coherence under Vibrational and Environmental Disorder in Photoexcited Supramolecular Aggregates</w:t>
      </w:r>
    </w:p>
    <w:p>
      <w:pPr>
        <w:spacing w:before="0" w:after="120"/>
      </w:pPr>
      <w:r>
        <w:rPr>
          <w:b/>
        </w:rPr>
        <w:t xml:space="preserve">Source: </w:t>
      </w:r>
      <w:r>
        <w:t>Journal of the American Chemical Society: Latest Articles (ACS Publications)</w:t>
      </w:r>
      <w:r>
        <w:t xml:space="preserve">    </w:t>
      </w:r>
      <w:r>
        <w:rPr>
          <w:b/>
        </w:rPr>
        <w:t xml:space="preserve">Pub date: </w:t>
      </w:r>
      <w:r>
        <w:t>2026-01-19 14:38:52+00:00</w:t>
      </w:r>
      <w:r>
        <w:t xml:space="preserve">    </w:t>
      </w:r>
      <w:r>
        <w:rPr>
          <w:b/>
        </w:rPr>
        <w:t xml:space="preserve">DOI: </w:t>
      </w:r>
      <w:hyperlink r:id="rId292">
        <w:r>
          <w:rPr>
            <w:color w:val="1155CC"/>
            <w:u w:val="single"/>
          </w:rPr>
          <w:t>10.1021/jacs.5c20341</w:t>
        </w:r>
      </w:hyperlink>
    </w:p>
    <w:p>
      <w:pPr>
        <w:spacing w:before="0" w:after="120"/>
      </w:pPr>
      <w:r>
        <w:rPr>
          <w:b/>
        </w:rPr>
        <w:t xml:space="preserve">Notes: </w:t>
      </w:r>
      <w:r>
        <w:t>abstract_source=openalex</w:t>
      </w:r>
    </w:p>
    <w:p>
      <w:pPr>
        <w:spacing w:before="0" w:after="80" w:lineRule="auto" w:line="276"/>
      </w:pPr>
      <w:r>
        <w:rPr>
          <w:b/>
        </w:rPr>
        <w:t xml:space="preserve">摘要（ZH）: </w:t>
      </w:r>
      <w:r>
        <w:t>光解分子材料的Exciton 和 充电动态取决于离地与结构、振动和环境混乱的相互竞争。然而,在这种“吵闹”的超分子系统中,刺激物和电荷的连贯分布和不连贯分布的起源和程度仍然不为人们所熟知。在这里,我们将全原子古典动态与完全量子振动动态结合,以便将这些相互竞争的效应分解到水体自组的双亚二酰胺堆中。我们的模拟在数量上复制了实验吸收光谱,并揭示了与电源转移状态的强烈异质混合和混合决定了光学反应。</w:t>
      </w:r>
    </w:p>
    <w:p>
      <w:pPr>
        <w:spacing w:before="0" w:after="200" w:lineRule="auto" w:line="276"/>
      </w:pPr>
      <w:r>
        <w:rPr>
          <w:b/>
        </w:rPr>
        <w:t xml:space="preserve">Abstract (EN): </w:t>
      </w:r>
      <w:r>
        <w:t>Exciton and charge dynamics in photoexcited molecular materials depend critically on how delocalization competes with structural, vibrational, and environmental disorder. Yet, the origin and extent of coherent versus incoherent distribution of excitons and charges in such "noisy" supramolecular systems remain poorly understood. Here, we integrate all-atom classical dynamics with fully quantum vibronic dynamics to dissect these competing effects in aqueous self-assembled perylenediimide stacks. Our simulations quantitatively reproduce experimental absorption spectra and reveal that strong excitonic coupling and hybridization with charge-transfer states dictate the optical response. Following photoexcitation, the electronic populations rapidly spread across multiple molecules within tens of femtoseconds, yielding delocalized but largely incoherent exciton, hole, and electron wave function distributions. We find that high-frequency vibrational modes, and, to a lesser extent, the slow environmental and vibrational dynamics, intrinsic to the nature of such solvated supramolecular systems, set a fundamental limit to achieving fully coherent electronic delocalization. These results identify vibrational disorder as a universal constraint on coherent exciton dynamics and indicate that practical design principles for efficient organic optoelectronic and photocatalytic materials should focus on robust equi-distribution of the excited-state population.</w:t>
      </w:r>
    </w:p>
    <w:p>
      <w:pPr>
        <w:spacing w:before="120" w:after="120"/>
      </w:pPr>
      <w:r>
        <w:rPr>
          <w:sz w:val="18"/>
        </w:rPr>
        <w:t>——————————————————————————————————————————————————————————————————————</w:t>
      </w:r>
    </w:p>
    <w:p>
      <w:pPr>
        <w:spacing w:before="160" w:after="40" w:line="240" w:lineRule="auto"/>
      </w:pPr>
      <w:r>
        <w:rPr>
          <w:b/>
        </w:rPr>
        <w:t xml:space="preserve">[182] </w:t>
      </w:r>
      <w:hyperlink r:id="rId293">
        <w:r>
          <w:rPr>
            <w:color w:val="1155CC"/>
            <w:u w:val="single"/>
          </w:rPr>
          <w:t>[ASAP] 高性能 高性能 电化学凝胶单分子晶体管</w:t>
        </w:r>
      </w:hyperlink>
    </w:p>
    <w:p>
      <w:pPr>
        <w:spacing w:before="0" w:after="80"/>
      </w:pPr>
      <w:r>
        <w:rPr>
          <w:i/>
          <w:sz w:val="20"/>
        </w:rPr>
        <w:t>EN: [ASAP] High-Performance Electrochemically Gated Single-Molecule Transistor Enabled by Interfacial Engineering</w:t>
      </w:r>
    </w:p>
    <w:p>
      <w:pPr>
        <w:spacing w:before="0" w:after="120"/>
      </w:pPr>
      <w:r>
        <w:rPr>
          <w:b/>
        </w:rPr>
        <w:t xml:space="preserve">Source: </w:t>
      </w:r>
      <w:r>
        <w:t>Journal of the American Chemical Society: Latest Articles (ACS Publications)</w:t>
      </w:r>
      <w:r>
        <w:t xml:space="preserve">    </w:t>
      </w:r>
      <w:r>
        <w:rPr>
          <w:b/>
        </w:rPr>
        <w:t xml:space="preserve">Pub date: </w:t>
      </w:r>
      <w:r>
        <w:t>2026-01-19 15:28:12+00:00</w:t>
      </w:r>
      <w:r>
        <w:t xml:space="preserve">    </w:t>
      </w:r>
      <w:r>
        <w:rPr>
          <w:b/>
        </w:rPr>
        <w:t xml:space="preserve">DOI: </w:t>
      </w:r>
      <w:hyperlink r:id="rId294">
        <w:r>
          <w:rPr>
            <w:color w:val="1155CC"/>
            <w:u w:val="single"/>
          </w:rPr>
          <w:t>10.1021/jacs.5c12256</w:t>
        </w:r>
      </w:hyperlink>
    </w:p>
    <w:p>
      <w:pPr>
        <w:spacing w:before="0" w:after="120"/>
      </w:pPr>
      <w:r>
        <w:rPr>
          <w:b/>
        </w:rPr>
        <w:t xml:space="preserve">Notes: </w:t>
      </w:r>
      <w:r>
        <w:t>abstract_source=pubmed</w:t>
      </w:r>
    </w:p>
    <w:p>
      <w:pPr>
        <w:spacing w:before="0" w:after="80" w:lineRule="auto" w:line="276"/>
      </w:pPr>
      <w:r>
        <w:rPr>
          <w:b/>
        </w:rPr>
        <w:t xml:space="preserve">摘要（ZH）: </w:t>
      </w:r>
      <w:r>
        <w:t>分子尺度的晶体管,特别是性能高的晶体管,对于推进纳米电子实际应用至关重要,然而,开发高性能单分子晶体管材料仍是一项重大挑战。在这里,我们设计和合成一系列基于顶顶极罗浮质(DPP)的窄带宽带式分子线(DPP),配有量身定制的分子-电子阳极结合。分子线DPP-C-SMe,其特点是分子-电子阳极界面的电子脱钩,在1V型潜在窗口中展示出非凡的电子化学门式调制( &gt; 200倍)和低子电基轮值(105 mV Dec-1),大大超过其组合,并排在迄今报告的最高性单分子电子化学晶体管中。</w:t>
      </w:r>
    </w:p>
    <w:p>
      <w:pPr>
        <w:spacing w:before="0" w:after="200" w:lineRule="auto" w:line="276"/>
      </w:pPr>
      <w:r>
        <w:rPr>
          <w:b/>
        </w:rPr>
        <w:t xml:space="preserve">Abstract (EN): </w:t>
      </w:r>
      <w:r>
        <w:t>Molecular-scale transistors, particularly those with high performance, are critical for advancing nanoelectronics toward practical applications. However, developing high-performance single-molecule transistor materials remains a significant challenge. Here, we design and synthesize a series of diketopyrrolopyrrole (DPP)-based narrow bandgap molecular wires with tailored molecule-electrode coupling. The molecular wire DPP-C-SMe, featuring electronic decoupling at the molecule-electrode interface, exhibits remarkable electrochemical gated modulation (&gt;200-fold) and a low subthreshold swing (105 mV dec-1) within a 1 V potential window─significantly surpassing its coupled counterpart and ranking among the highest-performing single-molecule electrochemical transistors reported to date. Through combined conductance measurements, transition voltage spectroscopy (TVS), and DFT calculations, we elucidate that the electronic decoupling in DPP-C-SMe reduces the off-state conductance by lowering the low-bias transmission coefficient, while the preserved favorable energy alignment enables efficient nonresonant/near-resonant switching under electrochemical gating. This cooperative design principle is the key to its superior transistor performance. These findings provide a new strategic design principle that synergistically integrates a narrow-band gap molecular core with tailored interfacial engineering for high-performance single-molecule electrochemical transistors and advances the molecular-scale control of charge transport in functional nanoelectronics.</w:t>
      </w:r>
    </w:p>
    <w:p>
      <w:pPr>
        <w:spacing w:before="120" w:after="120"/>
      </w:pPr>
      <w:r>
        <w:rPr>
          <w:sz w:val="18"/>
        </w:rPr>
        <w:t>——————————————————————————————————————————————————————————————————————</w:t>
      </w:r>
    </w:p>
    <w:p>
      <w:pPr>
        <w:spacing w:before="160" w:after="40" w:line="240" w:lineRule="auto"/>
      </w:pPr>
      <w:r>
        <w:rPr>
          <w:b/>
        </w:rPr>
        <w:t xml:space="preserve">[183] </w:t>
      </w:r>
      <w:hyperlink r:id="rId295">
        <w:r>
          <w:rPr>
            <w:color w:val="1155CC"/>
            <w:u w:val="single"/>
          </w:rPr>
          <w:t>[ASAP] 多巴胺诱导的改变陶量防止病理磷光突变并产生一个独特的纤维多质体</w:t>
        </w:r>
      </w:hyperlink>
    </w:p>
    <w:p>
      <w:pPr>
        <w:spacing w:before="0" w:after="80"/>
      </w:pPr>
      <w:r>
        <w:rPr>
          <w:i/>
          <w:sz w:val="20"/>
        </w:rPr>
        <w:t>EN: [ASAP] Dopamine-Induced Tau Modification Prevents Pathological Phosphorylation and Generates a Distinct Fibril Polymorph</w:t>
      </w:r>
    </w:p>
    <w:p>
      <w:pPr>
        <w:spacing w:before="0" w:after="120"/>
      </w:pPr>
      <w:r>
        <w:rPr>
          <w:b/>
        </w:rPr>
        <w:t xml:space="preserve">Source: </w:t>
      </w:r>
      <w:r>
        <w:t>Journal of the American Chemical Society: Latest Articles (ACS Publications)</w:t>
      </w:r>
      <w:r>
        <w:t xml:space="preserve">    </w:t>
      </w:r>
      <w:r>
        <w:rPr>
          <w:b/>
        </w:rPr>
        <w:t xml:space="preserve">Pub date: </w:t>
      </w:r>
      <w:r>
        <w:t>2026-01-19 17:32:31+00:00</w:t>
      </w:r>
      <w:r>
        <w:t xml:space="preserve">    </w:t>
      </w:r>
      <w:r>
        <w:rPr>
          <w:b/>
        </w:rPr>
        <w:t xml:space="preserve">DOI: </w:t>
      </w:r>
      <w:hyperlink r:id="rId296">
        <w:r>
          <w:rPr>
            <w:color w:val="1155CC"/>
            <w:u w:val="single"/>
          </w:rPr>
          <w:t>10.1021/jacs.5c22156</w:t>
        </w:r>
      </w:hyperlink>
    </w:p>
    <w:p>
      <w:pPr>
        <w:spacing w:before="0" w:after="120"/>
      </w:pPr>
      <w:r>
        <w:rPr>
          <w:b/>
        </w:rPr>
        <w:t xml:space="preserve">Notes: </w:t>
      </w:r>
      <w:r>
        <w:t>abstract_source=pubmed</w:t>
      </w:r>
    </w:p>
    <w:p>
      <w:pPr>
        <w:spacing w:before="0" w:after="80" w:lineRule="auto" w:line="276"/>
      </w:pPr>
      <w:r>
        <w:rPr>
          <w:b/>
        </w:rPr>
        <w:t xml:space="preserve">摘要（ZH）: </w:t>
      </w:r>
      <w:r>
        <w:t>Tau的Amyloid聚合物是包括阿尔茨海默氏症和Pick病在内的各种图例病症中的关键病理事件。最近,确定剂量用于修改cysteine的图伊,该图伊可以防止图伊病理学,但其结构和功能后果仍不清楚。在这里,我们显示三颗三颗复位(3R)的碎片K19的剂量可以减轻与疾病有关的酸磷化作用并改变陶伊纤维结构。溶液NMR分析显示,在微囊结合区域的若干病原点,Tau抑制磷化物Cys322的多巴胺在Cys322的多巴胺改变。多巴化图伊也显示体外纤维化显著减少,细胞的渗出活动也减少。最后,我们确定了多巴化陶伊纤维纤维的冷冻-EM结构。</w:t>
      </w:r>
    </w:p>
    <w:p>
      <w:pPr>
        <w:spacing w:before="0" w:after="200" w:lineRule="auto" w:line="276"/>
      </w:pPr>
      <w:r>
        <w:rPr>
          <w:b/>
        </w:rPr>
        <w:t xml:space="preserve">Abstract (EN): </w:t>
      </w:r>
      <w:r>
        <w:t>Amyloid aggregation of tau is the key pathological event in various tauopathies including Alzheimer's and Pick's disease. Recently, dopamination was identified to modify tau on cysteine, which protects against tau pathology, yet its structural and functional consequences remain unclear. Here, we show that dopamination of the three-repeat (3R) tau fragment K19 alleviates disease-associated tau phosphorylation and alters the tau fibril structure. Solution NMR analysis reveals that dopamine modification at Cys322 of tau suppresses phosphorylation at several pathogenic sites across the microtubule-binding region. Dopaminated tau also exhibited greatly diminished fibrillization in vitro and reduced seeding activity in cells. Finally, we determined the cryo-EM structure of dopaminated tau fibrils at 3.55 Å resolution, revealing a unique fibril polymorph with the smallest core region reported to date for tau. The dopaminated fibril core comprises only 11 residues (centered on the VQIVYK motif) and is stabilized by a minimal hydrophobic interface, explaining its decreased stability compared to that of unmodified tau fibrils. Our results provide atomic-level insight into how dopamine modification imparts a protective effect on tau and underscore the profound influence of post-translational modifications in modulating amyloid protein structure and pathology.</w:t>
      </w:r>
    </w:p>
    <w:p>
      <w:pPr>
        <w:spacing w:before="120" w:after="120"/>
      </w:pPr>
      <w:r>
        <w:rPr>
          <w:sz w:val="18"/>
        </w:rPr>
        <w:t>——————————————————————————————————————————————————————————————————————</w:t>
      </w:r>
    </w:p>
    <w:p>
      <w:pPr>
        <w:spacing w:before="160" w:after="40" w:line="240" w:lineRule="auto"/>
      </w:pPr>
      <w:r>
        <w:rPr>
          <w:b/>
        </w:rPr>
        <w:t xml:space="preserve">[184] </w:t>
      </w:r>
      <w:hyperlink r:id="rId297">
        <w:r>
          <w:rPr>
            <w:color w:val="1155CC"/>
            <w:u w:val="single"/>
          </w:rPr>
          <w:t>[ASAP]iderophore-Pt(IV)结合作为向克丁丁型细菌交付抗原热层货物的工具</w:t>
        </w:r>
      </w:hyperlink>
    </w:p>
    <w:p>
      <w:pPr>
        <w:spacing w:before="0" w:after="80"/>
      </w:pPr>
      <w:r>
        <w:rPr>
          <w:i/>
          <w:sz w:val="20"/>
        </w:rPr>
        <w:t>EN: [ASAP] Siderophore–Pt(IV) Conjugates as Tools to Probe Cytoplasmic Cargo Delivery to Gram-Negative Bacteria</w:t>
      </w:r>
    </w:p>
    <w:p>
      <w:pPr>
        <w:spacing w:before="0" w:after="120"/>
      </w:pPr>
      <w:r>
        <w:rPr>
          <w:b/>
        </w:rPr>
        <w:t xml:space="preserve">Source: </w:t>
      </w:r>
      <w:r>
        <w:t>Journal of the American Chemical Society: Latest Articles (ACS Publications)</w:t>
      </w:r>
      <w:r>
        <w:t xml:space="preserve">    </w:t>
      </w:r>
      <w:r>
        <w:rPr>
          <w:b/>
        </w:rPr>
        <w:t xml:space="preserve">Pub date: </w:t>
      </w:r>
      <w:r>
        <w:t>2026-01-19 19:38:17+00:00</w:t>
      </w:r>
      <w:r>
        <w:t xml:space="preserve">    </w:t>
      </w:r>
      <w:r>
        <w:rPr>
          <w:b/>
        </w:rPr>
        <w:t xml:space="preserve">DOI: </w:t>
      </w:r>
      <w:hyperlink r:id="rId298">
        <w:r>
          <w:rPr>
            <w:color w:val="1155CC"/>
            <w:u w:val="single"/>
          </w:rPr>
          <w:t>10.1021/jacs.5c17001</w:t>
        </w:r>
      </w:hyperlink>
    </w:p>
    <w:p>
      <w:pPr>
        <w:spacing w:before="0" w:after="120"/>
      </w:pPr>
      <w:r>
        <w:rPr>
          <w:b/>
        </w:rPr>
        <w:t xml:space="preserve">Notes: </w:t>
      </w:r>
      <w:r>
        <w:t>abstract_source=pubmed</w:t>
      </w:r>
    </w:p>
    <w:p>
      <w:pPr>
        <w:spacing w:before="0" w:after="80" w:lineRule="auto" w:line="276"/>
      </w:pPr>
      <w:r>
        <w:rPr>
          <w:b/>
        </w:rPr>
        <w:t xml:space="preserve">摘要（ZH）: </w:t>
      </w:r>
      <w:r>
        <w:t>对细菌侧栖植物的吸收途径和细胞本地化进行解释,对于建立对Fe homestacis 和贩运的基本理解十分重要。对于非native的侧栖植物进行同样的分析,对于“Trojan-Hors”药物运送的副伴生抗生生物共融体的翻译发展来说,是关键考虑。在这里,我们使用本地的三乙二甲二甲二乙二乙二二二二二二二二二二二二二二二乙乙二甲丙二苯酯(Ett)或其合成仿冒型TRENCAM(TC),与基于骨白质的Pt(IV)抗药相融合,以研究这些侧栖息植物在各种Gram-阴性细菌中的本地化。Pt(IV)弹头在交付给细胞图谱、DNA目标时被重新激活,并提供纤维化形态学的读数,将抗癌药物作为细菌的探测器。</w:t>
      </w:r>
    </w:p>
    <w:p>
      <w:pPr>
        <w:spacing w:before="0" w:after="200" w:lineRule="auto" w:line="276"/>
      </w:pPr>
      <w:r>
        <w:rPr>
          <w:b/>
        </w:rPr>
        <w:t xml:space="preserve">Abstract (EN): </w:t>
      </w:r>
      <w:r>
        <w:t>Elucidating the uptake pathways and cellular localization of bacterial siderophores is important for establishing a fundamental understanding of Fe homeostasis and trafficking. Discerning the same for nonnative siderophores is a key consideration in the translational development of siderophore-antibiotic conjugates for "Trojan-horse" drug delivery. Here, we employ the native triscatecholate siderophore enterobactin (Ent) or its synthetic mimic TRENCAM (TC) conjugated to a Pt(IV) prodrug based on cisplatin to study the localization of these siderophores within various Gram-negative bacteria. The Pt(IV) warhead, which is reductively activated upon delivery to the cytoplasm, targets DNA and provides the readout of filamentous morphology, repurposing the anticancer drug as a probe for bacterial cytoplasmic delivery. By applying TC-Pt(IV) as a delivery probe, we establish that uropathogenic Escherichia coli and Salmonella enterica serovar Typhimurium transport TC to the cytoplasm via FepCDG, the inner membrane transport machinery for Ent. Furthermore, we use Ent-Pt(IV) and TC-Pt(IV) to study the cellular localization of triscatecholate siderophores in two ESKAPE pathogens, Pseudomonas aeruginosa and Acinetobacter baumannii, which use Ent as a xeno-siderophore. We uncover the ability of A. baumannii to transport Ent and TC to the cytoplasm and carry out bioinformatic analyses to identify a putative inner membrane transport system. Utilizing siderophore-Pt(IV) prodrug conjugates as probes for cellular localization, our findings provide insights into the location and specificity of siderophore transport machinery, particularly toward nonnative and xeno-siderophores, while illuminating the potential of siderophore-antibiotic conjugates based on Ent or TC for the delivery of cytoplasmic targeting antibiotics in multiple Gram-negative bacterial pathogens.</w:t>
      </w:r>
    </w:p>
    <w:p>
      <w:pPr>
        <w:spacing w:before="120" w:after="120"/>
      </w:pPr>
      <w:r>
        <w:rPr>
          <w:sz w:val="18"/>
        </w:rPr>
        <w:t>——————————————————————————————————————————————————————————————————————</w:t>
      </w:r>
    </w:p>
    <w:p>
      <w:pPr>
        <w:spacing w:before="160" w:after="40" w:line="240" w:lineRule="auto"/>
      </w:pPr>
      <w:r>
        <w:rPr>
          <w:b/>
        </w:rPr>
        <w:t xml:space="preserve">[185] </w:t>
      </w:r>
      <w:hyperlink r:id="rId299">
        <w:r>
          <w:rPr>
            <w:color w:val="1155CC"/>
            <w:u w:val="single"/>
          </w:rPr>
          <w:t>[ASAP]用正式的NiIV中心制作纳米材料</w:t>
        </w:r>
      </w:hyperlink>
    </w:p>
    <w:p>
      <w:pPr>
        <w:spacing w:before="0" w:after="80"/>
      </w:pPr>
      <w:r>
        <w:rPr>
          <w:i/>
          <w:sz w:val="20"/>
        </w:rPr>
        <w:t>EN: [ASAP] Doping a Nanographene with a Formal NiIV Center</w:t>
      </w:r>
    </w:p>
    <w:p>
      <w:pPr>
        <w:spacing w:before="0" w:after="120"/>
      </w:pPr>
      <w:r>
        <w:rPr>
          <w:b/>
        </w:rPr>
        <w:t xml:space="preserve">Source: </w:t>
      </w:r>
      <w:r>
        <w:t>Journal of the American Chemical Society: Latest Articles (ACS Publications)</w:t>
      </w:r>
      <w:r>
        <w:t xml:space="preserve">    </w:t>
      </w:r>
      <w:r>
        <w:rPr>
          <w:b/>
        </w:rPr>
        <w:t xml:space="preserve">Pub date: </w:t>
      </w:r>
      <w:r>
        <w:t>2026-01-19 19:51:27+00:00</w:t>
      </w:r>
      <w:r>
        <w:t xml:space="preserve">    </w:t>
      </w:r>
      <w:r>
        <w:rPr>
          <w:b/>
        </w:rPr>
        <w:t xml:space="preserve">DOI: </w:t>
      </w:r>
      <w:hyperlink r:id="rId300">
        <w:r>
          <w:rPr>
            <w:color w:val="1155CC"/>
            <w:u w:val="single"/>
          </w:rPr>
          <w:t>10.1021/jacs.5c18919</w:t>
        </w:r>
      </w:hyperlink>
    </w:p>
    <w:p>
      <w:pPr>
        <w:spacing w:before="0" w:after="120"/>
      </w:pPr>
      <w:r>
        <w:rPr>
          <w:b/>
        </w:rPr>
        <w:t xml:space="preserve">Notes: </w:t>
      </w:r>
      <w:r>
        <w:t>abstract_source=pubmed</w:t>
      </w:r>
    </w:p>
    <w:p>
      <w:pPr>
        <w:spacing w:before="0" w:after="80" w:lineRule="auto" w:line="276"/>
      </w:pPr>
      <w:r>
        <w:rPr>
          <w:b/>
        </w:rPr>
        <w:t xml:space="preserve">摘要（ZH）: </w:t>
      </w:r>
      <w:r>
        <w:t>3. 值得注意的是,经过CuCl2的治疗,复合3很容易被氧化成正式的NiIV 4种,经X射线光电光谱(XPS)和理论计算证实。</w:t>
      </w:r>
    </w:p>
    <w:p>
      <w:pPr>
        <w:spacing w:before="0" w:after="200" w:lineRule="auto" w:line="276"/>
      </w:pPr>
      <w:r>
        <w:rPr>
          <w:b/>
        </w:rPr>
        <w:t xml:space="preserve">Abstract (EN): </w:t>
      </w:r>
      <w:r>
        <w:t>A new nanographene ligand (2) was synthesized by incorporating a meso-oxo substituted carbaporphyrin(1.1.1.0) unit into the hexa-peri-hexabenzocoronene (HBC) backbone. Compound 2 features an adj-CCNN dianionic core and coordinates with a NiII cation to form organo-NiII complex 3. Notably, complex 3 was readily oxidized to formal NiIV species 4 after treating with CuCl2, as confirmed with X-ray photoelectron spectroscopy (XPS) and theoretical calculations. Complex 4 showed substantial stability in the solid state but reacted rapidly with water at room temperature to yield inner oxygen-inserted complex 5. Demetalation of complex 5 with trifluoroacetic acid afforded an inner oxygen doped free base 6 containing a quinonoid-type ring. These new nanographene-containing compounds 2-6 were thoroughly characterized and studied using NMR spectroscopy, single-crystal X-ray diffraction analysis, UV-vis-NIR spectroscopy, and cyclic voltammetry as well as density functional theory (DFT) calculations. To the best of our knowledge, complex 4 represents the first example of a highly reactive NiIV nanographene complexes. The present work advances the development of metal doping chemistry of nanographenes, which in turn provide new access to postsynthetic heteroatom doping within the carbon networks of nanographenes.</w:t>
      </w:r>
    </w:p>
    <w:p>
      <w:pPr>
        <w:spacing w:before="120" w:after="120"/>
      </w:pPr>
      <w:r>
        <w:rPr>
          <w:sz w:val="18"/>
        </w:rPr>
        <w:t>——————————————————————————————————————————————————————————————————————</w:t>
      </w:r>
    </w:p>
    <w:p>
      <w:pPr>
        <w:spacing w:before="160" w:after="40" w:line="240" w:lineRule="auto"/>
      </w:pPr>
      <w:r>
        <w:rPr>
          <w:b/>
        </w:rPr>
        <w:t xml:space="preserve">[186] </w:t>
      </w:r>
      <w:hyperlink r:id="rId301">
        <w:r>
          <w:rPr>
            <w:color w:val="1155CC"/>
            <w:u w:val="single"/>
          </w:rPr>
          <w:t>2D MoS2晶晶体管具有亚5-亚等效氧化物厚度的Wafer-比例高浓度HfO2电磁膜</w:t>
        </w:r>
      </w:hyperlink>
    </w:p>
    <w:p>
      <w:pPr>
        <w:spacing w:before="0" w:after="80"/>
      </w:pPr>
      <w:r>
        <w:rPr>
          <w:i/>
          <w:sz w:val="20"/>
        </w:rPr>
        <w:t>EN: Wafer-scale high-κ HfO2 dielectric films with sub-5-Å equivalent oxide thickness for 2D MoS2 transistors</w:t>
      </w:r>
    </w:p>
    <w:p>
      <w:pPr>
        <w:spacing w:before="0" w:after="120"/>
      </w:pPr>
      <w:r>
        <w:rPr>
          <w:b/>
        </w:rPr>
        <w:t xml:space="preserve">Source: </w:t>
      </w:r>
      <w:r>
        <w:t>Nature Communications</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在现代晶晶体管技术中,高门绝缘电是现代晶晶晶体技术所不可或缺的,在高效电导和抑制渗漏流中发挥着关键作用,然而,在5-5-等等等量氧化氧化物厚度(EOT)下,实现工业兼容的高端门绝缘仍具有挑战性。我们在此报告,通过工业兼容的200°C多氧化原子层沉降工艺,实现了1.3-纳米厚厚厚厚厚厚厚厚厚厚厚厚厚厚厚厚厚厚厚厚厚厚厚厚厚厚厚厚度二氧化物氧化物(HfO2)的绝缘,金属门的低渗漏流为10-6 A/cm2,电场强断裂为~22.3 MV/cm。</w:t>
      </w:r>
    </w:p>
    <w:p>
      <w:pPr>
        <w:spacing w:before="0" w:after="200" w:lineRule="auto" w:line="276"/>
      </w:pPr>
      <w:r>
        <w:rPr>
          <w:b/>
        </w:rPr>
        <w:t xml:space="preserve">Abstract (EN): </w:t>
      </w:r>
      <w:r>
        <w:t>High-κ gate dielectrics are indispensable in modern transistor technology and play a pivotal role in efficient capacitive gating and suppression of leakage currents. However, the realization of industry-compatible high-κ gate dielectrics at a sub-5-Å equivalent oxide thickness (EOT) remains challenging. Here we report the realization of 1.3-nm thick hafnium oxide (HfO2) dielectrics via an industry-compatible multiple oxidation atomic layer deposition process at 200 °C. A low EOT down to 2.5 Å is demonstrated for 1.3-nm thick HfO2 dielectrics on metal gates with a low leakage current of 10−6 A/cm2 and a robust breakdown electric field of ~22.3 MV/cm. Remarkably, such low EOT high-κ/metal gates can be directly implanted into emerging two-dimensional (2D) transistors and low-power logic circuits on 8-inch wafer scale to showcase their potentials. The as-fabricated molybdenum disulfide (MoS2) transistors exhibit a large on-state current density of 260 µA/µm at source-drain bias of 0.5 V, a high on/off ratio of 108, an average subthreshold slope (SS) of 75 mV/dec, and small capacitance equivalent thickness (CET) values of 0.34 nm for gate-first transistors and 0.50 nm for gate-last transistors. Our ultra-scaled dielectrics hold significant promise for advanced semiconductor fabrication processes towards the angstrom era.</w:t>
      </w:r>
    </w:p>
    <w:p>
      <w:pPr>
        <w:spacing w:before="120" w:after="120"/>
      </w:pPr>
      <w:r>
        <w:rPr>
          <w:sz w:val="18"/>
        </w:rPr>
        <w:t>——————————————————————————————————————————————————————————————————————</w:t>
      </w:r>
    </w:p>
    <w:p>
      <w:pPr>
        <w:spacing w:before="160" w:after="40" w:line="240" w:lineRule="auto"/>
      </w:pPr>
      <w:r>
        <w:rPr>
          <w:b/>
        </w:rPr>
        <w:t xml:space="preserve">[187] </w:t>
      </w:r>
      <w:hyperlink r:id="rId302">
        <w:r>
          <w:rPr>
            <w:color w:val="1155CC"/>
            <w:u w:val="single"/>
          </w:rPr>
          <w:t>美国的资金也削减了对年轻科学家的伤害</w:t>
        </w:r>
      </w:hyperlink>
    </w:p>
    <w:p>
      <w:pPr>
        <w:spacing w:before="0" w:after="80"/>
      </w:pPr>
      <w:r>
        <w:rPr>
          <w:i/>
          <w:sz w:val="20"/>
        </w:rPr>
        <w:t>EN: US funding cuts harm aspiring young scientists, too</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303">
        <w:r>
          <w:rPr>
            <w:color w:val="1155CC"/>
            <w:u w:val="single"/>
          </w:rPr>
          <w:t>2D/3D通过双振动功能化微粒进行2D/3D热相连接的化学连接,以高效、稳定、灵活、可变的 Perovskite太阳能电池</w:t>
        </w:r>
      </w:hyperlink>
    </w:p>
    <w:p>
      <w:pPr>
        <w:spacing w:before="0" w:after="80"/>
      </w:pPr>
      <w:r>
        <w:rPr>
          <w:i/>
          <w:sz w:val="20"/>
        </w:rPr>
        <w:t>EN: Chemical Bridging in 2D/3D Heterojunction via Dual-Anchoring Functionalized Molecules for Efficient, Stable and Flexible Perovskite Solar Cells</w:t>
      </w:r>
    </w:p>
    <w:p>
      <w:pPr>
        <w:spacing w:before="0" w:after="120"/>
      </w:pPr>
      <w:r>
        <w:rPr>
          <w:b/>
        </w:rPr>
        <w:t xml:space="preserve">Source: </w:t>
      </w:r>
      <w:r>
        <w:t>RSC - Energy Environ. Sci. latest articles</w:t>
      </w:r>
      <w:r>
        <w:t xml:space="preserve">    </w:t>
      </w:r>
      <w:r>
        <w:rPr>
          <w:b/>
        </w:rPr>
        <w:t xml:space="preserve">Pub date: </w:t>
      </w:r>
      <w:r>
        <w:t>2026-01-20 00:00:00+00:00</w:t>
      </w:r>
    </w:p>
    <w:p>
      <w:pPr>
        <w:spacing w:before="0" w:after="120"/>
      </w:pPr>
      <w:r>
        <w:rPr>
          <w:b/>
        </w:rPr>
        <w:t xml:space="preserve">Notes: </w:t>
      </w:r>
      <w:r>
        <w:t>abstract_source=rsc_html</w:t>
      </w:r>
    </w:p>
    <w:p>
      <w:pPr>
        <w:spacing w:before="0" w:after="80" w:lineRule="auto" w:line="276"/>
      </w:pPr>
      <w:r>
        <w:rPr>
          <w:b/>
        </w:rPr>
        <w:t xml:space="preserve">摘要（ZH）: </w:t>
      </w:r>
      <w:r>
        <w:t>建造二维/三维(2D/3D)的透气分流器,已成为消化地表缺陷、优化能源水平对齐和抑制离子迁移的有效中间工程战略,但常规的2D层通常由散装有机电解物的表面堆积形成,这往往导致相互间联结不力,并阻碍承运人的运输,从而限制设备性能。在这项工作中,提出了单分子双功能双功能地平流战略,其中5-甲基盐酸盐(Me-TACl)处理在3D 百草枯薄膜顶部建立一个稳定的2D 渗透性吸气层,并在两层之间架起化学桥。这种“化学桥梁式导导体过敏”可增强相互连接。</w:t>
      </w:r>
    </w:p>
    <w:p>
      <w:pPr>
        <w:spacing w:before="0" w:after="200" w:lineRule="auto" w:line="276"/>
      </w:pPr>
      <w:r>
        <w:rPr>
          <w:b/>
        </w:rPr>
        <w:t xml:space="preserve">Abstract (EN): </w:t>
      </w:r>
      <w:r>
        <w:t>Constructing two-dimensional/three-dimensional (2D/3D) perovskite heterojunctions has emerged as an effective interfacial engineering strategy to passivate surface defects, optimize energy-level alignment, and suppress ion migration. However, conventional 2D layers are typically formed by surface stacking of bulky organic cations, which often result in weak interfacial coupling and hindered carrier transport, thereby limiting device performance. In this work, a single-molecule dual-functional surface-passivation strategy is proposed, in which 5-methyltryptamne hydrochloride (Me-TACl) treatment constructs a stable 2D perovskite passivation layer on top of 3D perovskite films and establishes a chemical bridge between them. This "chemically bridged heterojunction passivation" enhances interfacial coupling, suppresses surface defects, and optimizes energy level alignment. As a result, the Me-TACl treated devices exhibit remarkable enhancement in photovoltaic performance. The champion device achieves a power conversion efficiency (PCE) of 26.35%, with a stabilized power output (SPO) of 26.20% over 300 s, outperforming the control device (24.67%). Moreover, the flexible device retains 92% of its initial efficiency (24.12%) after bending at a curvature radius of 5 mm for 5000 cycles, demonstrating outstanding mechanical durability. This post-treatment strategy simultaneously enhances efficiency, stability, and flexibility, offering insights for scalable high-efficiency perovskite photovoltaics and a viable interfacial design for next-generation devices.</w:t>
      </w:r>
    </w:p>
    <w:p>
      <w:pPr>
        <w:spacing w:before="120" w:after="120"/>
      </w:pPr>
      <w:r>
        <w:rPr>
          <w:sz w:val="18"/>
        </w:rPr>
        <w:t>——————————————————————————————————————————————————————————————————————</w:t>
      </w:r>
    </w:p>
    <w:p>
      <w:pPr>
        <w:spacing w:before="160" w:after="40" w:line="240" w:lineRule="auto"/>
      </w:pPr>
      <w:r>
        <w:rPr>
          <w:b/>
        </w:rPr>
        <w:t xml:space="preserve">[189] </w:t>
      </w:r>
      <w:hyperlink r:id="rId304">
        <w:r>
          <w:rPr>
            <w:color w:val="1155CC"/>
            <w:u w:val="single"/>
          </w:rPr>
          <w:t>Endotherlin-3和T型Ca2+ 频道驱动进心神经冠状细胞钙活动、耐体性和迁移</w:t>
        </w:r>
      </w:hyperlink>
    </w:p>
    <w:p>
      <w:pPr>
        <w:spacing w:before="0" w:after="80"/>
      </w:pPr>
      <w:r>
        <w:rPr>
          <w:i/>
          <w:sz w:val="20"/>
        </w:rPr>
        <w:t>EN: Endothelin-3 and T-type Ca2+ channels drive enteric neural crest cell calcium activity, contractility and migration</w:t>
      </w:r>
    </w:p>
    <w:p>
      <w:pPr>
        <w:spacing w:before="0" w:after="120"/>
      </w:pPr>
      <w:r>
        <w:rPr>
          <w:b/>
        </w:rPr>
        <w:t xml:space="preserve">Source: </w:t>
      </w:r>
      <w:r>
        <w:t>Nature Communications</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在胚胎产生和迁移缺陷导致Hirschsprung疾病(HD)期间,内心神经螺旋细胞细胞细胞细胞(ENCCs)将肠胃肠胃割裂。GDNF/RET和EDN3/EDNRB中的突变已知是HD的因果关系。在这里,我们表明,在老鼠体内迁移的ENCCs显示出内在的EDN3/EDNRB带状钙活动,通过氯化渠道、T型Ca2+渠道和Inositol三磷酸性对磷酸盐敏感的细胞内层释放来进行介质。我们发现,抑制Ca2+活动导致ENCC的移徙缺陷,同时通过增加ENCC的合力和牵引力促进向外细胞矩阵的移徙。我们的研究显示,胚胎内内心神经质介质流动和成人内心膜调节血管控制是同一现象之一,发生在不同的细胞中。</w:t>
      </w:r>
    </w:p>
    <w:p>
      <w:pPr>
        <w:spacing w:before="0" w:after="200" w:lineRule="auto" w:line="276"/>
      </w:pPr>
      <w:r>
        <w:rPr>
          <w:b/>
        </w:rPr>
        <w:t xml:space="preserve">Abstract (EN): </w:t>
      </w:r>
      <w:r>
        <w:t>Enteric neural crest cells (ENCCs) colonize the gut during embryogenesis and migration defects give rise to Hirschsprung disease (HD). Mutations in GDNF/RET and EDN3/EDNRB are known to be causal in HD. Here, we show that migrating ENCCs in mice exhibit endogenous EDN3/EDNRB-gated calcium activity, mediated by chloride channels, T-type Ca2+ channels and inositol trisphosphate-sensitive intracellular-store release. We find that inhibiting Ca2+ activity results in ENCC migration defects, while exciting it promotes migration by increasing ENCC contractility and traction force to the extracellular matrix. Our study demonstrates that embryonic endothelin-mediated neural crest migration and adult endothelin-mediated vasoconstriction is one and the same phenomenon, taking place in different cell types. Our results suggest a functional link between rare mutations of CACNA1H (the gene encoding CaV3.2) and HD, and pave the way for understanding neurocristopathies in terms of neural crest cell bioelectric activity deficits.</w:t>
      </w:r>
    </w:p>
    <w:p>
      <w:pPr>
        <w:spacing w:before="120" w:after="120"/>
      </w:pPr>
      <w:r>
        <w:rPr>
          <w:sz w:val="18"/>
        </w:rPr>
        <w:t>——————————————————————————————————————————————————————————————————————</w:t>
      </w:r>
    </w:p>
    <w:p>
      <w:pPr>
        <w:spacing w:before="160" w:after="40" w:line="240" w:lineRule="auto"/>
      </w:pPr>
      <w:r>
        <w:rPr>
          <w:b/>
        </w:rPr>
        <w:t xml:space="preserve">[190] </w:t>
      </w:r>
      <w:hyperlink r:id="rId305">
        <w:r>
          <w:rPr>
            <w:color w:val="1155CC"/>
            <w:u w:val="single"/>
          </w:rPr>
          <w:t>淘汰矿物燃料是不够的:各国必须清除大气碳</w:t>
        </w:r>
      </w:hyperlink>
    </w:p>
    <w:p>
      <w:pPr>
        <w:spacing w:before="0" w:after="80"/>
      </w:pPr>
      <w:r>
        <w:rPr>
          <w:i/>
          <w:sz w:val="20"/>
        </w:rPr>
        <w:t>EN: Fossil-fuel phase out is not enough: countries must remove atmospheric carbon</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306">
        <w:r>
          <w:rPr>
            <w:color w:val="1155CC"/>
            <w:u w:val="single"/>
          </w:rPr>
          <w:t>为了获得公众信任,使艺术成为科学交流的中心</w:t>
        </w:r>
      </w:hyperlink>
    </w:p>
    <w:p>
      <w:pPr>
        <w:spacing w:before="0" w:after="80"/>
      </w:pPr>
      <w:r>
        <w:rPr>
          <w:i/>
          <w:sz w:val="20"/>
        </w:rPr>
        <w:t>EN: To gain public trust, make art central to science communication</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[192] </w:t>
      </w:r>
      <w:hyperlink r:id="rId307">
        <w:r>
          <w:rPr>
            <w:color w:val="1155CC"/>
            <w:u w:val="single"/>
          </w:rPr>
          <w:t>美国国会准备拒绝特朗普全面削减科学预算,</w:t>
        </w:r>
      </w:hyperlink>
    </w:p>
    <w:p>
      <w:pPr>
        <w:spacing w:before="0" w:after="80"/>
      </w:pPr>
      <w:r>
        <w:rPr>
          <w:i/>
          <w:sz w:val="20"/>
        </w:rPr>
        <w:t>EN: US Congress set to reject Trump’s sweeping science budget cuts</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[193] </w:t>
      </w:r>
      <w:hyperlink r:id="rId308">
        <w:r>
          <w:rPr>
            <w:color w:val="1155CC"/>
            <w:u w:val="single"/>
          </w:rPr>
          <w:t>研究决策,以了解技术如何影响行为</w:t>
        </w:r>
      </w:hyperlink>
    </w:p>
    <w:p>
      <w:pPr>
        <w:spacing w:before="0" w:after="80"/>
      </w:pPr>
      <w:r>
        <w:rPr>
          <w:i/>
          <w:sz w:val="20"/>
        </w:rPr>
        <w:t>EN: Study decision-making to understand how technology will affect behaviour</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[194] </w:t>
      </w:r>
      <w:hyperlink r:id="rId309">
        <w:r>
          <w:rPr>
            <w:color w:val="1155CC"/>
            <w:u w:val="single"/>
          </w:rPr>
          <w:t>错误的身份认同和人类认知的心理学</w:t>
        </w:r>
      </w:hyperlink>
    </w:p>
    <w:p>
      <w:pPr>
        <w:spacing w:before="0" w:after="80"/>
      </w:pPr>
      <w:r>
        <w:rPr>
          <w:i/>
          <w:sz w:val="20"/>
        </w:rPr>
        <w:t>EN: Mistaken identity and the psychology of human recognition</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[195] </w:t>
      </w:r>
      <w:hyperlink r:id="rId310">
        <w:r>
          <w:rPr>
            <w:color w:val="1155CC"/>
            <w:u w:val="single"/>
          </w:rPr>
          <w:t>每日简报:第一个记录在牲畜中使用工具的案例</w:t>
        </w:r>
      </w:hyperlink>
    </w:p>
    <w:p>
      <w:pPr>
        <w:spacing w:before="0" w:after="80"/>
      </w:pPr>
      <w:r>
        <w:rPr>
          <w:i/>
          <w:sz w:val="20"/>
        </w:rPr>
        <w:t>EN: Daily briefing: The first documented case of tool use in cattle</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[196] </w:t>
      </w:r>
      <w:hyperlink r:id="rId311">
        <w:r>
          <w:rPr>
            <w:color w:val="1155CC"/>
            <w:u w:val="single"/>
          </w:rPr>
          <w:t>美国退出了66个全球机构:这对科学意味着什么?</w:t>
        </w:r>
      </w:hyperlink>
    </w:p>
    <w:p>
      <w:pPr>
        <w:spacing w:before="0" w:after="80"/>
      </w:pPr>
      <w:r>
        <w:rPr>
          <w:i/>
          <w:sz w:val="20"/>
        </w:rPr>
        <w:t>EN: The US is quitting 66 global agencies: what does it mean for science?</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[197] </w:t>
      </w:r>
      <w:hyperlink r:id="rId312">
        <w:r>
          <w:rPr>
            <w:color w:val="1155CC"/>
            <w:u w:val="single"/>
          </w:rPr>
          <w:t>用于循环氢生产的液体的低温和快速光热氧化</w:t>
        </w:r>
      </w:hyperlink>
    </w:p>
    <w:p>
      <w:pPr>
        <w:spacing w:before="0" w:after="80"/>
      </w:pPr>
      <w:r>
        <w:rPr>
          <w:i/>
          <w:sz w:val="20"/>
        </w:rPr>
        <w:t>EN: Low temperature and rapid photothermal oxidation of liquid gallium for circular hydrogen production</w:t>
      </w:r>
    </w:p>
    <w:p>
      <w:pPr>
        <w:spacing w:before="0" w:after="120"/>
      </w:pPr>
      <w:r>
        <w:rPr>
          <w:b/>
        </w:rPr>
        <w:t xml:space="preserve">Source: </w:t>
      </w:r>
      <w:r>
        <w:t>Nature Communications</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氢氢是清洁能源载体,对可持续的未来有着重大的承诺,然而,许多既定的生产路线是在不良的条件或限制下运作的,这促使人们寻找替代生产途径。这里,我们的方法是利用液态的光热氧化来从淡水和海水中产生氢。对液态的液态滴子进行光热热照射,将液态液液滴子升温到适合快速水相互作用的温度,产生氢氧化氢和氢。光照射还通过在浸入水中的液态表面打破氧化物层,使水分子与液态液滴子的表面能够不断相互作用,从而刺激反应。</w:t>
      </w:r>
    </w:p>
    <w:p>
      <w:pPr>
        <w:spacing w:before="0" w:after="200" w:lineRule="auto" w:line="276"/>
      </w:pPr>
      <w:r>
        <w:rPr>
          <w:b/>
        </w:rPr>
        <w:t xml:space="preserve">Abstract (EN): </w:t>
      </w:r>
      <w:r>
        <w:t>Hydrogen is a clean energy carrier with significant promises for a sustainable future, yet many established production routes operate under undesirable conditions or constraints, motivating the search for alternative production pathways. Here, our approach uses photothermal oxidation of liquid gallium to generate hydrogen from both freshwater and seawater. The exposure to light thermally heats up liquid gallium droplets to a temperature suitable for fast gallium-water interaction, producing gallium oxyhydroxide and hydrogen. The light exposure also boosts the reaction by breaking the oxide layer on the surface of liquid gallium immersed in water, allowing continuous interactions between the water molecules and the surface of liquid gallium droplets. The gallium oxyhydroxide that is produced can be electrochemically reduced, allowing metal regeneration, thereby enabling circular hydrogen production. In this work, we show that photothermal activation of liquid gallium provides a rapid and circular route for generating hydrogen from diverse water sources.</w:t>
      </w:r>
    </w:p>
    <w:p>
      <w:pPr>
        <w:spacing w:before="120" w:after="120"/>
      </w:pPr>
      <w:r>
        <w:rPr>
          <w:sz w:val="18"/>
        </w:rPr>
        <w:t>——————————————————————————————————————————————————————————————————————</w:t>
      </w:r>
    </w:p>
    <w:p>
      <w:pPr>
        <w:spacing w:before="160" w:after="40" w:line="240" w:lineRule="auto"/>
      </w:pPr>
      <w:r>
        <w:rPr>
          <w:b/>
        </w:rPr>
        <w:t xml:space="preserve">[198] </w:t>
      </w:r>
      <w:hyperlink r:id="rId313">
        <w:r>
          <w:rPr>
            <w:color w:val="1155CC"/>
            <w:u w:val="single"/>
          </w:rPr>
          <w:t>2025年百草枯太阳能电池主要进展</w:t>
        </w:r>
      </w:hyperlink>
    </w:p>
    <w:p>
      <w:pPr>
        <w:spacing w:before="0" w:after="80"/>
      </w:pPr>
      <w:r>
        <w:rPr>
          <w:i/>
          <w:sz w:val="20"/>
        </w:rPr>
        <w:t>EN: Key advances in perovskite solar cells in 2025</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[199] </w:t>
      </w:r>
      <w:hyperlink r:id="rId314">
        <w:r>
          <w:rPr>
            <w:color w:val="1155CC"/>
            <w:u w:val="single"/>
          </w:rPr>
          <w:t>2025年在PFAS系统水处理方面的进展</w:t>
        </w:r>
      </w:hyperlink>
    </w:p>
    <w:p>
      <w:pPr>
        <w:spacing w:before="0" w:after="80"/>
      </w:pPr>
      <w:r>
        <w:rPr>
          <w:i/>
          <w:sz w:val="20"/>
        </w:rPr>
        <w:t>EN: Advances in PFAS treatment in water in 2025</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[200] </w:t>
      </w:r>
      <w:hyperlink r:id="rId315">
        <w:r>
          <w:rPr>
            <w:color w:val="1155CC"/>
            <w:u w:val="single"/>
          </w:rPr>
          <w:t>2025年清洁能源技术政策驱动力</w:t>
        </w:r>
      </w:hyperlink>
    </w:p>
    <w:p>
      <w:pPr>
        <w:spacing w:before="0" w:after="80"/>
      </w:pPr>
      <w:r>
        <w:rPr>
          <w:i/>
          <w:sz w:val="20"/>
        </w:rPr>
        <w:t>EN: Policy drivers for clean-energy technology 2025</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[201] </w:t>
      </w:r>
      <w:hyperlink r:id="rId316">
        <w:r>
          <w:rPr>
            <w:color w:val="1155CC"/>
            <w:u w:val="single"/>
          </w:rPr>
          <w:t>2025年及以后的能源需求和去碳化</w:t>
        </w:r>
      </w:hyperlink>
    </w:p>
    <w:p>
      <w:pPr>
        <w:spacing w:before="0" w:after="80"/>
      </w:pPr>
      <w:r>
        <w:rPr>
          <w:i/>
          <w:sz w:val="20"/>
        </w:rPr>
        <w:t>EN: Energy demand and decarbonization in 2025 and beyond</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317">
        <w:r>
          <w:rPr>
            <w:color w:val="1155CC"/>
            <w:u w:val="single"/>
          </w:rPr>
          <w:t>混合分子双层金属金属炸药运输</w:t>
        </w:r>
      </w:hyperlink>
    </w:p>
    <w:p>
      <w:pPr>
        <w:spacing w:before="0" w:after="80"/>
      </w:pPr>
      <w:r>
        <w:rPr>
          <w:i/>
          <w:sz w:val="20"/>
        </w:rPr>
        <w:t>EN: Metallic charge transport in conjugated molecular bilayers</w:t>
      </w:r>
    </w:p>
    <w:p>
      <w:pPr>
        <w:spacing w:before="0" w:after="120"/>
      </w:pPr>
      <w:r>
        <w:rPr>
          <w:b/>
        </w:rPr>
        <w:t xml:space="preserve">Source: </w:t>
      </w:r>
      <w:r>
        <w:t>Nature Electronics</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在高温范围内的单晶体硅中可以观测到现场诱导载体的金属荷载运输,这种行为在已消除的有机半导体中是罕见的,但对于具有先进性能的工程设备是有用的。在这里,我们报告金属荷载运输在相混合的分子双层下至8K,电导率最高达245 Scm-1,20K时大厅的流动性大于100 cm2 V-1 s-1。我们使用有机半导体2-decyl-7-苯[1,Benzothieno[3,2-b][1,Benzothophephene]的分子-晶体双层。我们推断,这种运输行为起源于两个分子层之间的联结,它抑制分子振动和削弱库伦的相互作用。我们开发了一种受控的引入方法。</w:t>
      </w:r>
    </w:p>
    <w:p>
      <w:pPr>
        <w:spacing w:before="0" w:after="200" w:lineRule="auto" w:line="276"/>
      </w:pPr>
      <w:r>
        <w:rPr>
          <w:b/>
        </w:rPr>
        <w:t xml:space="preserve">Abstract (EN): </w:t>
      </w:r>
      <w:r>
        <w:t>Metallic charge transport of field-induced carriers can be observed in single-crystal silicon over a wide temperature range. Such behaviour is rare in undoped organic semiconductors but is beneficial for engineering devices with advanced performance. Here we report metallic charge transport in conjugated molecular bilayers down to 8 K with an electrical conductivity of up to 245 S cm−1 and a Hall mobility larger than 100 cm2 V−1 s−1 at 20 K. We use molecular-crystal bilayers of the organic semiconductor 2-decyl-7-phenyl-[1]benzothieno[3,2-b][1]benzothiophene. We infer that this transport behaviour originates from the phenyl bridge coupling between the two molecular layers, which suppresses molecular vibrations and weakens Coulomb interactions. We develop a controlled method for introducing defects, using which we observe a disorder-driven metal–insulator transition in the molecular crystal.</w:t>
      </w:r>
    </w:p>
    <w:p>
      <w:pPr>
        <w:spacing w:before="120" w:after="120"/>
      </w:pPr>
      <w:r>
        <w:rPr>
          <w:sz w:val="18"/>
        </w:rPr>
        <w:t>——————————————————————————————————————————————————————————————————————</w:t>
      </w:r>
    </w:p>
    <w:p>
      <w:pPr>
        <w:spacing w:before="160" w:after="40" w:line="240" w:lineRule="auto"/>
      </w:pPr>
      <w:r>
        <w:rPr>
          <w:b/>
        </w:rPr>
        <w:t xml:space="preserve">[203] </w:t>
      </w:r>
      <w:hyperlink r:id="rId318">
        <w:r>
          <w:rPr>
            <w:color w:val="1155CC"/>
            <w:u w:val="single"/>
          </w:rPr>
          <w:t>使用 AlInP/GaInP 上皮层在硅上显示一个单状三维集成红色微LED显示器</w:t>
        </w:r>
      </w:hyperlink>
    </w:p>
    <w:p>
      <w:pPr>
        <w:spacing w:before="0" w:after="80"/>
      </w:pPr>
      <w:r>
        <w:rPr>
          <w:i/>
          <w:sz w:val="20"/>
        </w:rPr>
        <w:t>EN: A monolithic three-dimensional integrated red micro-LED display on silicon using AlInP/GaInP epilayers</w:t>
      </w:r>
    </w:p>
    <w:p>
      <w:pPr>
        <w:spacing w:before="0" w:after="120"/>
      </w:pPr>
      <w:r>
        <w:rPr>
          <w:b/>
        </w:rPr>
        <w:t xml:space="preserve">Source: </w:t>
      </w:r>
      <w:r>
        <w:t>Nature Electronics</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单立三维集成技术可以消除驱动电路和发光二氧化像素(LED)等像素(LED)之间机械调整的需要,从而导致超分辨率显示。然而,这对红色微LED(红色微型LED,通常以AlGaInP/GaInP/GaInP为主)具有挑战性,因为当像素尺寸缩小时,其量子效率和性能降低,其量子效率和性能降低。 我们在这里报告了高像素密度(每英寸1,700个像素/英寸)的红活性矩阵显示,由基于上表性 AlInP/GaInP双量态结构的微LELED和硅补充金属-氧化物-半导体集成电路组成的微LELED组成。</w:t>
      </w:r>
    </w:p>
    <w:p>
      <w:pPr>
        <w:spacing w:before="0" w:after="200" w:lineRule="auto" w:line="276"/>
      </w:pPr>
      <w:r>
        <w:rPr>
          <w:b/>
        </w:rPr>
        <w:t xml:space="preserve">Abstract (EN): </w:t>
      </w:r>
      <w:r>
        <w:t>Monolithic three-dimensional integration technology can eliminate the need for mechanical alignment between driving circuits and light-emitting diode (LED) pixels, leading to ultrahigh-resolution displays. However, this is challenging for red micro-LEDs, which are typically based on AlGaInP/GaInP, because of their low quantum efficiency and performance degradation when the pixel size is reduced. Here we report a high-pixel-density (1,700 pixels per inch) red active-matrix display consisting of micro-LEDs based on an epitaxial AlInP/GaInP double-quantum-well structure and silicon complementary metal–oxide–semiconductor integrated circuits. The epitaxial layer exhibits high internal quantum efficiency at low current densities (less than 10 A cm−2) due to a hole-dominant quantum well that reduces the non-radiative Shockley–Read–Hall recombination caused by electron lateral diffusion. We also use thickness fluctuation scattering in the quantum well to minimize the size-dependent quantum efficiency shift to higher current densities when reducing the size of the red micro-LEDs.</w:t>
      </w:r>
    </w:p>
    <w:p>
      <w:pPr>
        <w:spacing w:before="120" w:after="120"/>
      </w:pPr>
      <w:r>
        <w:rPr>
          <w:sz w:val="18"/>
        </w:rPr>
        <w:t>——————————————————————————————————————————————————————————————————————</w:t>
      </w:r>
    </w:p>
    <w:p>
      <w:pPr>
        <w:spacing w:before="160" w:after="40" w:line="240" w:lineRule="auto"/>
      </w:pPr>
      <w:r>
        <w:rPr>
          <w:b/>
        </w:rPr>
        <w:t xml:space="preserve">[204] </w:t>
      </w:r>
      <w:hyperlink r:id="rId319">
        <w:r>
          <w:rPr>
            <w:color w:val="1155CC"/>
            <w:u w:val="single"/>
          </w:rPr>
          <w:t>向后展望和向前展望</w:t>
        </w:r>
      </w:hyperlink>
    </w:p>
    <w:p>
      <w:pPr>
        <w:spacing w:before="0" w:after="80"/>
      </w:pPr>
      <w:r>
        <w:rPr>
          <w:i/>
          <w:sz w:val="20"/>
        </w:rPr>
        <w:t>EN: Looking backwards and forwards</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[205] </w:t>
      </w:r>
      <w:hyperlink r:id="rId320">
        <w:r>
          <w:rPr>
            <w:color w:val="1155CC"/>
            <w:u w:val="single"/>
          </w:rPr>
          <w:t>2025年加强地热系统创新,释放出更大的流量和更高的温度</w:t>
        </w:r>
      </w:hyperlink>
    </w:p>
    <w:p>
      <w:pPr>
        <w:spacing w:before="0" w:after="80"/>
      </w:pPr>
      <w:r>
        <w:rPr>
          <w:i/>
          <w:sz w:val="20"/>
        </w:rPr>
        <w:t>EN: Unlocking larger flow and higher temperature with enhanced geothermal systems innovation in 2025</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[206] </w:t>
      </w:r>
      <w:hyperlink r:id="rId321">
        <w:r>
          <w:rPr>
            <w:color w:val="1155CC"/>
            <w:u w:val="single"/>
          </w:rPr>
          <w:t>海洋数字双对海洋作为蓝色经济创新的催化剂</w:t>
        </w:r>
      </w:hyperlink>
    </w:p>
    <w:p>
      <w:pPr>
        <w:spacing w:before="0" w:after="80"/>
      </w:pPr>
      <w:r>
        <w:rPr>
          <w:i/>
          <w:sz w:val="20"/>
        </w:rPr>
        <w:t>EN: Digital twin of the ocean as a catalyst for blue economy innovation</w:t>
      </w:r>
    </w:p>
    <w:p>
      <w:pPr>
        <w:spacing w:before="0" w:after="120"/>
      </w:pPr>
      <w:r>
        <w:rPr>
          <w:b/>
        </w:rPr>
        <w:t xml:space="preserve">Source: </w:t>
      </w:r>
      <w:r>
        <w:t>National Science Review Advance Access</w:t>
      </w:r>
      <w:r>
        <w:t xml:space="preserve">    </w:t>
      </w:r>
      <w:r>
        <w:rPr>
          <w:b/>
        </w:rPr>
        <w:t xml:space="preserve">Pub date: </w:t>
      </w:r>
      <w:r>
        <w:t>2026-01-20 00:00:00+00:00</w:t>
      </w:r>
      <w:r>
        <w:t xml:space="preserve">    </w:t>
      </w:r>
      <w:r>
        <w:rPr>
          <w:b/>
        </w:rPr>
        <w:t xml:space="preserve">DOI: </w:t>
      </w:r>
      <w:hyperlink r:id="rId322">
        <w:r>
          <w:rPr>
            <w:color w:val="1155CC"/>
            <w:u w:val="single"/>
          </w:rPr>
          <w:t>10.1093/nsr/nwag012/8431396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[207] </w:t>
      </w:r>
      <w:hyperlink r:id="rId323">
        <w:r>
          <w:rPr>
            <w:color w:val="1155CC"/>
            <w:u w:val="single"/>
          </w:rPr>
          <w:t>作者更正:人为因素对重大热带气旋事件的影响</w:t>
        </w:r>
      </w:hyperlink>
    </w:p>
    <w:p>
      <w:pPr>
        <w:spacing w:before="0" w:after="80"/>
      </w:pPr>
      <w:r>
        <w:rPr>
          <w:i/>
          <w:sz w:val="20"/>
        </w:rPr>
        <w:t>EN: Author Correction: Anthropogenic influences on major tropical cyclone events</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324">
        <w:r>
          <w:rPr>
            <w:color w:val="1155CC"/>
            <w:u w:val="single"/>
          </w:rPr>
          <w:t>扭曲双层 MoTe2 中成像 Moiré 平带和假发器分子晶体</w:t>
        </w:r>
      </w:hyperlink>
    </w:p>
    <w:p>
      <w:pPr>
        <w:spacing w:before="0" w:after="80"/>
      </w:pPr>
      <w:r>
        <w:rPr>
          <w:i/>
          <w:sz w:val="20"/>
        </w:rPr>
        <w:t>EN: Imaging moiré flat bands and wigner molecular crystals in twisted bilayer MoTe2</w:t>
      </w:r>
    </w:p>
    <w:p>
      <w:pPr>
        <w:spacing w:before="0" w:after="120"/>
      </w:pPr>
      <w:r>
        <w:rPr>
          <w:b/>
        </w:rPr>
        <w:t xml:space="preserve">Source: </w:t>
      </w:r>
      <w:r>
        <w:t>National Science Review Advance Access</w:t>
      </w:r>
      <w:r>
        <w:t xml:space="preserve">    </w:t>
      </w:r>
      <w:r>
        <w:rPr>
          <w:b/>
        </w:rPr>
        <w:t xml:space="preserve">Pub date: </w:t>
      </w:r>
      <w:r>
        <w:t>2026-01-20 00:00:00+00:00</w:t>
      </w:r>
      <w:r>
        <w:t xml:space="preserve">    </w:t>
      </w:r>
      <w:r>
        <w:rPr>
          <w:b/>
        </w:rPr>
        <w:t xml:space="preserve">DOI: </w:t>
      </w:r>
      <w:hyperlink r:id="rId325">
        <w:r>
          <w:rPr>
            <w:color w:val="1155CC"/>
            <w:u w:val="single"/>
          </w:rPr>
          <w:t>10.1093/nsr/nwag014/8431414</w:t>
        </w:r>
      </w:hyperlink>
    </w:p>
    <w:p>
      <w:pPr>
        <w:spacing w:before="0" w:after="120"/>
      </w:pPr>
      <w:r>
        <w:rPr>
          <w:b/>
        </w:rPr>
        <w:t xml:space="preserve">Notes: </w:t>
      </w:r>
      <w:r>
        <w:t>abstract_source=rss_oup</w:t>
      </w:r>
    </w:p>
    <w:p>
      <w:pPr>
        <w:spacing w:before="0" w:after="80" w:lineRule="auto" w:line="276"/>
      </w:pPr>
      <w:r>
        <w:rPr>
          <w:b/>
        </w:rPr>
        <w:t xml:space="preserve">摘要（ZH）: </w:t>
      </w:r>
      <w:r>
        <w:t>双层双层MoTe2(tMoTe2)最近成为实现紧密关联和地形量级的例外平台,然而,其微小电子结构基本上尚未探索。在这里,我们使用扫描隧道显微镜/分光镜(STM/STS)直接在双层双层的tMoTe2设备中以2.33.8°的旋转角度图像摩尔平底带。一个双关设计可以独立调整波段填充和移位场,从而进行详细的光谱图绘制。我们发现低能量平板波段在MX和XM地点是本地的,并在零电场形成一个顶层蜂窝。一个应用的电场提升了层分层变形能力,推动向两个分解的三角悬浮层和轻微的地表学过渡。我们的结果与fir相匹配。</w:t>
      </w:r>
    </w:p>
    <w:p>
      <w:pPr>
        <w:spacing w:before="0" w:after="200" w:lineRule="auto" w:line="276"/>
      </w:pPr>
      <w:r>
        <w:rPr>
          <w:b/>
        </w:rPr>
        <w:t xml:space="preserve">Abstract (EN): </w:t>
      </w:r>
      <w:r>
        <w:t>Twisted bilayer MoTe2 (tMoTe2) has recently emerged as an exceptional platform for realizing strongly correlated and topological quantum phases. Yet, its microscopic electronic structure remains largely unexplored. Here, we use scanning tunneling microscopy/spectroscopy (STM/STS) to directly image the moiré flat bands in dual-gated tMoTe2 devices with twist angles of 2.3°–3.8°. A dual-gate design allows independent tuning of band filling and displacement field, enabling detailed spectroscopic mapping. We find that the low-energy flat bands are localized at MX and XM sites and form a topological honeycomb lattice at zero electric field. An applied electric field lifts the layer degeneracy, driving a transition to two decoupled triangular lattices with trivial topology. Our results match first-principles calculations, revealing K-valley hybridization as the microscopic origin. At large moiré potential, we observe Wigner molecular crystals forming a Kagome lattice at filling ν</w:t>
      </w:r>
    </w:p>
    <w:p>
      <w:pPr>
        <w:spacing w:before="120" w:after="120"/>
      </w:pPr>
      <w:r>
        <w:rPr>
          <w:sz w:val="18"/>
        </w:rPr>
        <w:t>——————————————————————————————————————————————————————————————————————</w:t>
      </w:r>
    </w:p>
    <w:p>
      <w:pPr>
        <w:spacing w:before="160" w:after="40" w:line="240" w:lineRule="auto"/>
      </w:pPr>
      <w:r>
        <w:rPr>
          <w:b/>
        </w:rPr>
        <w:t xml:space="preserve">[209] </w:t>
      </w:r>
      <w:hyperlink r:id="rId326">
        <w:r>
          <w:rPr>
            <w:color w:val="1155CC"/>
            <w:u w:val="single"/>
          </w:rPr>
          <w:t>为什么城市回收利用比看起来更困难</w:t>
        </w:r>
      </w:hyperlink>
    </w:p>
    <w:p>
      <w:pPr>
        <w:spacing w:before="0" w:after="80"/>
      </w:pPr>
      <w:r>
        <w:rPr>
          <w:i/>
          <w:sz w:val="20"/>
        </w:rPr>
        <w:t>EN: Why urban recycling is harder than it seems</w:t>
      </w:r>
    </w:p>
    <w:p>
      <w:pPr>
        <w:spacing w:before="0" w:after="120"/>
      </w:pPr>
      <w:r>
        <w:rPr>
          <w:b/>
        </w:rPr>
        <w:t xml:space="preserve">Source: </w:t>
      </w:r>
      <w:r>
        <w:t>Nature Reviews Materials</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[210] </w:t>
      </w:r>
      <w:hyperlink r:id="rId327">
        <w:r>
          <w:rPr>
            <w:color w:val="1155CC"/>
            <w:u w:val="single"/>
          </w:rPr>
          <w:t>纳米科学处于光学计算中心</w:t>
        </w:r>
      </w:hyperlink>
    </w:p>
    <w:p>
      <w:pPr>
        <w:spacing w:before="0" w:after="80"/>
      </w:pPr>
      <w:r>
        <w:rPr>
          <w:i/>
          <w:sz w:val="20"/>
        </w:rPr>
        <w:t>EN: Nanoscience at the centre of optical computing</w:t>
      </w:r>
    </w:p>
    <w:p>
      <w:pPr>
        <w:spacing w:before="0" w:after="120"/>
      </w:pPr>
      <w:r>
        <w:rPr>
          <w:b/>
        </w:rPr>
        <w:t xml:space="preserve">Source: </w:t>
      </w:r>
      <w:r>
        <w:t>Nature Nanotechnology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[211] </w:t>
      </w:r>
      <w:hyperlink r:id="rId328">
        <w:r>
          <w:rPr>
            <w:color w:val="1155CC"/>
            <w:u w:val="single"/>
          </w:rPr>
          <w:t>用于可持续降温发电的纳米乳胶膜</w:t>
        </w:r>
      </w:hyperlink>
    </w:p>
    <w:p>
      <w:pPr>
        <w:spacing w:before="0" w:after="80"/>
      </w:pPr>
      <w:r>
        <w:rPr>
          <w:i/>
          <w:sz w:val="20"/>
        </w:rPr>
        <w:t>EN: Ion-selective graphene nanomesh membrane for sustainable osmotic power generation</w:t>
      </w:r>
    </w:p>
    <w:p>
      <w:pPr>
        <w:spacing w:before="0" w:after="120"/>
      </w:pPr>
      <w:r>
        <w:rPr>
          <w:b/>
        </w:rPr>
        <w:t xml:space="preserve">Source: </w:t>
      </w:r>
      <w:r>
        <w:t>National Science Review Advance Access</w:t>
      </w:r>
      <w:r>
        <w:t xml:space="preserve">    </w:t>
      </w:r>
      <w:r>
        <w:rPr>
          <w:b/>
        </w:rPr>
        <w:t xml:space="preserve">Pub date: </w:t>
      </w:r>
      <w:r>
        <w:t>2026-01-20 00:00:00+00:00</w:t>
      </w:r>
      <w:r>
        <w:t xml:space="preserve">    </w:t>
      </w:r>
      <w:r>
        <w:rPr>
          <w:b/>
        </w:rPr>
        <w:t xml:space="preserve">DOI: </w:t>
      </w:r>
      <w:hyperlink r:id="rId329">
        <w:r>
          <w:rPr>
            <w:color w:val="1155CC"/>
            <w:u w:val="single"/>
          </w:rPr>
          <w:t>10.1093/nsr/nwag026/8431501</w:t>
        </w:r>
      </w:hyperlink>
    </w:p>
    <w:p>
      <w:pPr>
        <w:spacing w:before="0" w:after="120"/>
      </w:pPr>
      <w:r>
        <w:rPr>
          <w:b/>
        </w:rPr>
        <w:t xml:space="preserve">Notes: </w:t>
      </w:r>
      <w:r>
        <w:t>abstract_source=rss_oup</w:t>
      </w:r>
    </w:p>
    <w:p>
      <w:pPr>
        <w:spacing w:before="0" w:after="80" w:lineRule="auto" w:line="276"/>
      </w:pPr>
      <w:r>
        <w:rPr>
          <w:b/>
        </w:rPr>
        <w:t xml:space="preserve">摘要（ZH）: </w:t>
      </w:r>
      <w:r>
        <w:t>具有最低离子传输路径和低离子传输阻力的原子薄二维(2D)膜,最适合于为发电建造离子选择性膜,最近引起了相当大的兴趣,然而,由于缺少纳米聚二维膜,其分布狭窄的纳米聚苯乙烯阵列和充电密度较小,这种2D膜用于发电的实际应用受到严重限制。在这里,我们报告了一个具有窄孔尺寸分布(1.5 nm)的超硬石墨纳米模布拉内,以及用于高效温室发电的富含木本体组(GNM-COO)。</w:t>
      </w:r>
    </w:p>
    <w:p>
      <w:pPr>
        <w:spacing w:before="0" w:after="200" w:lineRule="auto" w:line="276"/>
      </w:pPr>
      <w:r>
        <w:rPr>
          <w:b/>
        </w:rPr>
        <w:t xml:space="preserve">Abstract (EN): </w:t>
      </w:r>
      <w:r>
        <w:t>The atomically thin two-dimensional (2D) membranes with minimum ion transport pathways and low ion transport resistance are ideally suited for constructing ion-selective membranes for electric power generation, and have attracted considerable recent interest. However, the practical applications of such 2D membranes for electric power generation have been severely limited due to the lack of nanoporous 2D membranes with narrow distributed nanopore arrays and sufficient charge density. Here, we report a centimeter-scale ultrathin graphene nanomesh membrane with narrow pore size distribution (∼1.5 nm), rich carboxylic groups (GNM-COO‒) for efficient osmotic power generation. The high-density nanometer pores anchored by negatively charged carboxylic groups allow efficient transport of K+ while selectively blocking Cl–. We show that the GNM-COO‒ membrane with asymmetric charge structure exhibits a diode-like ionic rectification property and facilitates the directional ion transport. When employed as an ion-selective membrane for osmotic power generation, the designed GNM-COO‒ membrane delivers an exceptionally large output power density (175.1 W m–2) at a 50-fold salinity gradient, and retains a stable power generation performance for 2 months. This work provides a strategy to develop high performance ion-selective membranes for the sustainable harnessing of blue clean energy.</w:t>
      </w:r>
    </w:p>
    <w:p>
      <w:pPr>
        <w:spacing w:before="120" w:after="120"/>
      </w:pPr>
      <w:r>
        <w:rPr>
          <w:sz w:val="18"/>
        </w:rPr>
        <w:t>——————————————————————————————————————————————————————————————————————</w:t>
      </w:r>
    </w:p>
    <w:p>
      <w:pPr>
        <w:spacing w:before="160" w:after="40" w:line="240" w:lineRule="auto"/>
      </w:pPr>
      <w:r>
        <w:rPr>
          <w:b/>
        </w:rPr>
        <w:t xml:space="preserve">[212] </w:t>
      </w:r>
      <w:hyperlink r:id="rId330">
        <w:r>
          <w:rPr>
            <w:color w:val="1155CC"/>
            <w:u w:val="single"/>
          </w:rPr>
          <w:t>光能降低AI公司对电力的食欲</w:t>
        </w:r>
      </w:hyperlink>
    </w:p>
    <w:p>
      <w:pPr>
        <w:spacing w:before="0" w:after="80"/>
      </w:pPr>
      <w:r>
        <w:rPr>
          <w:i/>
          <w:sz w:val="20"/>
        </w:rPr>
        <w:t>EN: Light could lower AI’s appetite for power</w:t>
      </w:r>
    </w:p>
    <w:p>
      <w:pPr>
        <w:spacing w:before="0" w:after="120"/>
      </w:pPr>
      <w:r>
        <w:rPr>
          <w:b/>
        </w:rPr>
        <w:t xml:space="preserve">Source: </w:t>
      </w:r>
      <w:r>
        <w:t>Nature Nanotechnology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[213] </w:t>
      </w:r>
      <w:hyperlink r:id="rId331">
        <w:r>
          <w:rPr>
            <w:color w:val="1155CC"/>
            <w:u w:val="single"/>
          </w:rPr>
          <w:t>以辣椒为对象的纳米分子中介,改变目标蛋白质降解</w:t>
        </w:r>
      </w:hyperlink>
    </w:p>
    <w:p>
      <w:pPr>
        <w:spacing w:before="0" w:after="80"/>
      </w:pPr>
      <w:r>
        <w:rPr>
          <w:i/>
          <w:sz w:val="20"/>
        </w:rPr>
        <w:t>EN: Nanoparticle-mediated targeting chimeras transform targeted protein degradation</w:t>
      </w:r>
    </w:p>
    <w:p>
      <w:pPr>
        <w:spacing w:before="0" w:after="120"/>
      </w:pPr>
      <w:r>
        <w:rPr>
          <w:b/>
        </w:rPr>
        <w:t xml:space="preserve">Source: </w:t>
      </w:r>
      <w:r>
        <w:t>Nature Nanotechnology</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最近的调查结果表明,纳米粒子(NPs)能够以多种用途和效率对有针对性的蛋白降解(TPD)进行调解。 研究显示,电离改良的NP(TPD)可以通过一个不受NP(NP)和离链(Ligand)两种类型都无关的与自体相关联的降解路径,有效地降解引起关注的外细胞和细胞内蛋白质。 这种现象,即用离链和经过修改的NPT(TPD)穿梭式蛋白导致降解,可能促使研究人员重新考虑离网-NP(TPD)的设计,将TPD(TPD)作为常规交付之外的附加功能。 此外,这一方法还有可能通过从劳动密集型的、针对具体案例的设计转换到一个广泛适应的“插玩”平台,从而充分利用了TPD(TPD)领域。</w:t>
      </w:r>
    </w:p>
    <w:p>
      <w:pPr>
        <w:spacing w:before="0" w:after="200" w:lineRule="auto" w:line="276"/>
      </w:pPr>
      <w:r>
        <w:rPr>
          <w:b/>
        </w:rPr>
        <w:t xml:space="preserve">Abstract (EN): </w:t>
      </w:r>
      <w:r>
        <w:t>Recent findings indicate that nanoparticles (NPs) can mediate targeted protein degradation (TPD) with versatility and efficiency. Studies have shown that ligand-modified NPs can effectively degrade both extracellular and intracellular proteins of interest through an autolysosome-involved degradation pathway, independent of both NPs and ligand types. This phenomenon, where ligand-modified NPs shuttle proteins of interest towards degradation, may prompt researchers to rethink the design of ligand-NPs, incorporating TPD as an additional functionality beyond conventional delivery. Moreover, this approach has the potential to revolutionize the field of TPD by transitioning from labour-intensive, case-specific designs to a broadly adaptable ‘plug-and-play’ platform that makes full use of the in vivo delivery potential of NPs. This Perspective discusses the evolution of current TPD tools, the desired features of next-generation technologies, and the potential and challenges of NP-mediated targeting chimeras for TPD, highlighting emerging trends and raising awareness of this promising field.</w:t>
      </w:r>
    </w:p>
    <w:p>
      <w:pPr>
        <w:spacing w:before="120" w:after="120"/>
      </w:pPr>
      <w:r>
        <w:rPr>
          <w:sz w:val="18"/>
        </w:rPr>
        <w:t>——————————————————————————————————————————————————————————————————————</w:t>
      </w:r>
    </w:p>
    <w:p>
      <w:pPr>
        <w:spacing w:before="160" w:after="40" w:line="240" w:lineRule="auto"/>
      </w:pPr>
      <w:r>
        <w:rPr>
          <w:b/>
        </w:rPr>
        <w:t xml:space="preserve">[214] </w:t>
      </w:r>
      <w:hyperlink r:id="rId332">
        <w:r>
          <w:rPr>
            <w:color w:val="1155CC"/>
            <w:u w:val="single"/>
          </w:rPr>
          <w:t>Ligand-field监管使水锌离电池的高能效电极能够用于水锌离电池</w:t>
        </w:r>
      </w:hyperlink>
    </w:p>
    <w:p>
      <w:pPr>
        <w:spacing w:before="0" w:after="80"/>
      </w:pPr>
      <w:r>
        <w:rPr>
          <w:i/>
          <w:sz w:val="20"/>
        </w:rPr>
        <w:t>EN: Ligand-field regulation enables high energy-efficiency cathodes for aqueous zinc-ion batteries</w:t>
      </w:r>
    </w:p>
    <w:p>
      <w:pPr>
        <w:spacing w:before="0" w:after="120"/>
      </w:pPr>
      <w:r>
        <w:rPr>
          <w:b/>
        </w:rPr>
        <w:t xml:space="preserve">Source: </w:t>
      </w:r>
      <w:r>
        <w:t>RSC - Energy Environ. Sci. latest articles</w:t>
      </w:r>
      <w:r>
        <w:t xml:space="preserve">    </w:t>
      </w:r>
      <w:r>
        <w:rPr>
          <w:b/>
        </w:rPr>
        <w:t xml:space="preserve">Pub date: </w:t>
      </w:r>
      <w:r>
        <w:t>2026-01-20 00:00:00+00:00</w:t>
      </w:r>
    </w:p>
    <w:p>
      <w:pPr>
        <w:spacing w:before="0" w:after="120"/>
      </w:pPr>
      <w:r>
        <w:rPr>
          <w:b/>
        </w:rPr>
        <w:t xml:space="preserve">Notes: </w:t>
      </w:r>
      <w:r>
        <w:t>abstract_source=rsc_html</w:t>
      </w:r>
    </w:p>
    <w:p>
      <w:pPr>
        <w:spacing w:before="0" w:after="80" w:lineRule="auto" w:line="276"/>
      </w:pPr>
      <w:r>
        <w:rPr>
          <w:b/>
        </w:rPr>
        <w:t xml:space="preserve">摘要（ZH）: </w:t>
      </w:r>
      <w:r>
        <w:t>水锌电池(ZIBs)由于安全性高、成本低、环境友好性强,是大规模能源储存的有希望的候选对象,但是,由于能力迅速衰减和电压衰减、电压极极和反应动动动反应迟缓,ZIBs的实际应用仍然受到能源密度低和能源效率低的挑战。</w:t>
      </w:r>
    </w:p>
    <w:p>
      <w:pPr>
        <w:spacing w:before="0" w:after="200" w:lineRule="auto" w:line="276"/>
      </w:pPr>
      <w:r>
        <w:rPr>
          <w:b/>
        </w:rPr>
        <w:t xml:space="preserve">Abstract (EN): </w:t>
      </w:r>
      <w:r>
        <w:t>Aqueous zinc‐ion batteries (ZIBs) are promising candidates for large‐scale energy storage owing to their high safety, low cost, and environmental friendliness. However, the practical application of ZIBs remains challenged by low energy density and energy efficiency owing to the rapid capacity fading and voltage decay, large voltage polarization, and sluggish reaction kinetics. In this work, we introduce a ligand-field engineering strategy that couples pre-intercalated ions interaction with octahedral defects to inhibit energy loss in layered hydrated vanadium pentoxide (V2O5·nH2O, VOH) cathodes. Comprehensive experimental analyses reveal that the introduction of pre-intercalated ions and oxygen vacancies induces [VO6] octahedral distortion and V-O bond elongation, thereby tailoring the ligand field and lowering the V 3d orbital energy level. This structure modulation effectively narrows the voltage hysteresis, stabilizes the voltage plateau and enhances the energy efficiency. In addition, this ligand-engineering strategy in enhancing energy efficiency can be extended to low-temperature conditions and other similar systems. As a result, the Ov-Zn-VOH cathode delivers a high discharge capacity (536 mAh g−1 at 0.1 A g−1) coupled with high energy efficiency (86%) and an energy efficiency retention of 94% after 3000 cycles at 4 A g−1.</w:t>
      </w:r>
    </w:p>
    <w:p>
      <w:pPr>
        <w:spacing w:before="120" w:after="120"/>
      </w:pPr>
      <w:r>
        <w:rPr>
          <w:sz w:val="18"/>
        </w:rPr>
        <w:t>——————————————————————————————————————————————————————————————————————</w:t>
      </w:r>
    </w:p>
    <w:p>
      <w:pPr>
        <w:spacing w:before="160" w:after="40" w:line="240" w:lineRule="auto"/>
      </w:pPr>
      <w:r>
        <w:rPr>
          <w:b/>
        </w:rPr>
        <w:t xml:space="preserve">[215] </w:t>
      </w:r>
      <w:hyperlink r:id="rId333">
        <w:r>
          <w:rPr>
            <w:color w:val="1155CC"/>
            <w:u w:val="single"/>
          </w:rPr>
          <w:t>希格斯以模式驱动的二维百草枯阶段转换</w:t>
        </w:r>
      </w:hyperlink>
    </w:p>
    <w:p>
      <w:pPr>
        <w:spacing w:before="0" w:after="80"/>
      </w:pPr>
      <w:r>
        <w:rPr>
          <w:i/>
          <w:sz w:val="20"/>
        </w:rPr>
        <w:t>EN: Higgs mode-driven phase transitions in two-dimensional perovskites</w:t>
      </w:r>
    </w:p>
    <w:p>
      <w:pPr>
        <w:spacing w:before="0" w:after="120"/>
      </w:pPr>
      <w:r>
        <w:rPr>
          <w:b/>
        </w:rPr>
        <w:t xml:space="preserve">Source: </w:t>
      </w:r>
      <w:r>
        <w:t>Nature Materials</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[216] </w:t>
      </w:r>
      <w:hyperlink r:id="rId334">
        <w:r>
          <w:rPr>
            <w:color w:val="1155CC"/>
            <w:u w:val="single"/>
          </w:rPr>
          <w:t>磁力使氨氧化电催化剂增加一个尺寸</w:t>
        </w:r>
      </w:hyperlink>
    </w:p>
    <w:p>
      <w:pPr>
        <w:spacing w:before="0" w:after="80"/>
      </w:pPr>
      <w:r>
        <w:rPr>
          <w:i/>
          <w:sz w:val="20"/>
        </w:rPr>
        <w:t>EN: Magnetism adds a dimension to ammonia oxidation electrocatalysts</w:t>
      </w:r>
    </w:p>
    <w:p>
      <w:pPr>
        <w:spacing w:before="0" w:after="120"/>
      </w:pPr>
      <w:r>
        <w:rPr>
          <w:b/>
        </w:rPr>
        <w:t xml:space="preserve">Source: </w:t>
      </w:r>
      <w:r>
        <w:t>Nature Chemistry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335">
        <w:r>
          <w:rPr>
            <w:color w:val="1155CC"/>
            <w:u w:val="single"/>
          </w:rPr>
          <w:t>你到底需要多少蛋白质?</w:t>
        </w:r>
      </w:hyperlink>
    </w:p>
    <w:p>
      <w:pPr>
        <w:spacing w:before="0" w:after="80"/>
      </w:pPr>
      <w:r>
        <w:rPr>
          <w:i/>
          <w:sz w:val="20"/>
        </w:rPr>
        <w:t>EN: How much protein do you actually need?</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336">
        <w:r>
          <w:rPr>
            <w:color w:val="1155CC"/>
            <w:u w:val="single"/>
          </w:rPr>
          <w:t>将氢承载网络动态重新配置为 Modlaule Perovskite 晶化</w:t>
        </w:r>
      </w:hyperlink>
    </w:p>
    <w:p>
      <w:pPr>
        <w:spacing w:before="0" w:after="80"/>
      </w:pPr>
      <w:r>
        <w:rPr>
          <w:i/>
          <w:sz w:val="20"/>
        </w:rPr>
        <w:t>EN: Dynamic Reconfiguration of Hydrogen-Bonded Networks to Modulate Perovskite Crystallization</w:t>
      </w:r>
    </w:p>
    <w:p>
      <w:pPr>
        <w:spacing w:before="0" w:after="120"/>
      </w:pPr>
      <w:r>
        <w:rPr>
          <w:b/>
        </w:rPr>
        <w:t xml:space="preserve">Source: </w:t>
      </w:r>
      <w:r>
        <w:t>RSC - Energy Environ. Sci. latest articles</w:t>
      </w:r>
      <w:r>
        <w:t xml:space="preserve">    </w:t>
      </w:r>
      <w:r>
        <w:rPr>
          <w:b/>
        </w:rPr>
        <w:t xml:space="preserve">Pub date: </w:t>
      </w:r>
      <w:r>
        <w:t>2026-01-20 00:00:00+00:00</w:t>
      </w:r>
    </w:p>
    <w:p>
      <w:pPr>
        <w:spacing w:before="0" w:after="120"/>
      </w:pPr>
      <w:r>
        <w:rPr>
          <w:b/>
        </w:rPr>
        <w:t xml:space="preserve">Notes: </w:t>
      </w:r>
      <w:r>
        <w:t>abstract_source=rsc_html</w:t>
      </w:r>
    </w:p>
    <w:p>
      <w:pPr>
        <w:spacing w:before="0" w:after="80" w:lineRule="auto" w:line="276"/>
      </w:pPr>
      <w:r>
        <w:rPr>
          <w:b/>
        </w:rPr>
        <w:t xml:space="preserve">摘要（ZH）: </w:t>
      </w:r>
      <w:r>
        <w:t>对百草枯结晶化的精密控制仍然具有挑战性,因为管辖前体相互作用和核循环途径的氢债券(H-bunds)往往被视为静态实体而不是动态实体。在这里,我们提出一个新的动态H-bond网络战略,通过H-bond捐助者的消毒调节器,在一种深含精电溶剂中对全氟诺夫斯基结晶化进行调节。用N-甲基尿素(NMU)取代N-甲基尿素(NMU)重新配置了NMU-DES的H-bond网络,该网络增加了中度协调点的数量,促进了与H-bonds长寿命的自我联系,从而延长了NMU-DES与PbI2之间的卤化和稳定前体库。基于Urea的DES产生灵活和短暂的相互作用,从而阻塞了NMUZLATIO。</w:t>
      </w:r>
    </w:p>
    <w:p>
      <w:pPr>
        <w:spacing w:before="0" w:after="200" w:lineRule="auto" w:line="276"/>
      </w:pPr>
      <w:r>
        <w:rPr>
          <w:b/>
        </w:rPr>
        <w:t xml:space="preserve">Abstract (EN): </w:t>
      </w:r>
      <w:r>
        <w:t>Precise control of perovskite crystallization remains challenging because hydrogen bonds (H-bonds), which govern precursor interactions and nucleation pathways, are often treated as static rather than dynamic entities. Here, we propose a novel dynamic H-bond network strategy to regulate perovskite crystallization via the steric modulation of the H-bond donor in a deep eutectic solvent (DES). Replacing urea with N-methylurea (NMU) reconfigures the H-bond network of NMU-DES, which increases the number of moderately coordinating sites and promotes self-association with long H-bond lifetimes, thereby prolonging the halide···H interactions between NMU-DES and PbI2，yielding a stable precursor reservoir. Urea-based DES generates flexible and transient interactions that retard perovskite nucleation, whereas NMU-DES induces stronger, spatially localized interactions that self-assemble into an interfacial H-bond network, thereby regulating perovskite nucleation and crystal growth and yielding films with reduced defect densities. As a result, NMU-DES–based devices achieve a power conversion efficiency of 26.33% and outstanding operational stability, retaining &gt;94% of their initial efficiency after 1,570 h of continuous illumination. This dynamic-network strategy transcends static passivation, offering rational control of weak forces as a generalizable pathway toward highly efficient and stable perovskite and other solution-processed optoelectronic materials.</w:t>
      </w:r>
    </w:p>
    <w:p>
      <w:pPr>
        <w:spacing w:before="120" w:after="120"/>
      </w:pPr>
      <w:r>
        <w:rPr>
          <w:sz w:val="18"/>
        </w:rPr>
        <w:t>——————————————————————————————————————————————————————————————————————</w:t>
      </w:r>
    </w:p>
    <w:p>
      <w:pPr>
        <w:spacing w:before="160" w:after="40" w:line="240" w:lineRule="auto"/>
      </w:pPr>
      <w:r>
        <w:rPr>
          <w:b/>
        </w:rPr>
        <w:t xml:space="preserve">[219] </w:t>
      </w:r>
      <w:hyperlink r:id="rId337">
        <w:r>
          <w:rPr>
            <w:color w:val="1155CC"/>
            <w:u w:val="single"/>
          </w:rPr>
          <w:t>迈向单晶晶线二维多元(乙乙烯)共价有机框架</w:t>
        </w:r>
      </w:hyperlink>
    </w:p>
    <w:p>
      <w:pPr>
        <w:spacing w:before="0" w:after="80"/>
      </w:pPr>
      <w:r>
        <w:rPr>
          <w:i/>
          <w:sz w:val="20"/>
        </w:rPr>
        <w:t>EN: Towards single-crystalline two-dimensional poly(arylene vinylene) covalent organic frameworks</w:t>
      </w:r>
    </w:p>
    <w:p>
      <w:pPr>
        <w:spacing w:before="0" w:after="120"/>
      </w:pPr>
      <w:r>
        <w:rPr>
          <w:b/>
        </w:rPr>
        <w:t xml:space="preserve">Source: </w:t>
      </w:r>
      <w:r>
        <w:t>Nature Chemistry</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与二维(二维D)维新相联的共价有机框架,或2D聚(丙烯)共价有机框架,或2D聚(丙烯)共价有机框架,是(多)电子、光催化和电化学的充满希望的聚合物半导体。然而,传统的单热合成往往产生2D双相联的相联的二维双维相联的共价有机框架,但晶线差或难以获取。这里我们引入了一种曼尼切除战略,将8,2D的共价有机框架转换为11个高晶线 2D PAV,但采用可逆的 C=C 债券形成机制,能够进行精确的晶化控制。这种多功能性方法为2D PAVs提供了强大的2维维新,配有蜂窝、平方形或立方方形拉特克,具体表面面积可达2,2,2,000 m2g-1和lattic-mismatch 容忍度可达3.5%。高分辨率传输电子显微和对等高分辨率。</w:t>
      </w:r>
    </w:p>
    <w:p>
      <w:pPr>
        <w:spacing w:before="0" w:after="200" w:lineRule="auto" w:line="276"/>
      </w:pPr>
      <w:r>
        <w:rPr>
          <w:b/>
        </w:rPr>
        <w:t xml:space="preserve">Abstract (EN): </w:t>
      </w:r>
      <w:r>
        <w:t>Vinylene-linked two-dimensional (2D) conjugated covalent organic frameworks, or 2D poly(arylene vinylene)s (2D PAVs), are promising polymer semiconductors for (opto-)electronics, photocatalysis and electrochemistry. However, conventional solvothermal synthesis often produces 2D PAVs that are poorly crystalline or difficult to access. Here we introduce a Mannich-elimination strategy that converts 8 2D imine-covalent organic frameworks into 11 highly crystalline 2D PAVs though a reversible C=C bond formation mechanism enabling precise crystallization control. This versatile approach affords robust 2D PAVs with honeycomb, square or kagome lattices, specific surface area up to ∼2,000 m2 g−1 and lattice-mismatch tolerance up to 3.5%. High-resolution transmission electron microscopy and continuous rotation electron diffraction reveal molecular-level ordering in a 2-µm-sized triphenylbenzene-based single-crystalline 2D PAV. We demonstrate that crystallinity profoundly influences charge transport, with benzotrithiophene-based 2D PAVs exhibiting charge mobilities tenfold higher than their amorphous analogues or 2D polyimine precursors. This work establishes a general route to highly crystalline 2D conjugated polymer materials for robust applications.</w:t>
      </w:r>
    </w:p>
    <w:p>
      <w:pPr>
        <w:spacing w:before="120" w:after="120"/>
      </w:pPr>
      <w:r>
        <w:rPr>
          <w:sz w:val="18"/>
        </w:rPr>
        <w:t>——————————————————————————————————————————————————————————————————————</w:t>
      </w:r>
    </w:p>
    <w:p>
      <w:pPr>
        <w:spacing w:before="160" w:after="40" w:line="240" w:lineRule="auto"/>
      </w:pPr>
      <w:r>
        <w:rPr>
          <w:b/>
        </w:rPr>
        <w:t xml:space="preserve">[220] </w:t>
      </w:r>
      <w:hyperlink r:id="rId338">
        <w:r>
          <w:rPr>
            <w:color w:val="1155CC"/>
            <w:u w:val="single"/>
          </w:rPr>
          <w:t>有机晶状纳米粒子,具有长寿命电荷分离状态,可高效地生产光催化氢</w:t>
        </w:r>
      </w:hyperlink>
    </w:p>
    <w:p>
      <w:pPr>
        <w:spacing w:before="0" w:after="80"/>
      </w:pPr>
      <w:r>
        <w:rPr>
          <w:i/>
          <w:sz w:val="20"/>
        </w:rPr>
        <w:t>EN: Organic crystalline nanoparticles with a long-lived charge-separated state for efficient photocatalytic hydrogen production</w:t>
      </w:r>
    </w:p>
    <w:p>
      <w:pPr>
        <w:spacing w:before="0" w:after="120"/>
      </w:pPr>
      <w:r>
        <w:rPr>
          <w:b/>
        </w:rPr>
        <w:t xml:space="preserve">Source: </w:t>
      </w:r>
      <w:r>
        <w:t>Nature Chemistry</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光化催化为可再生能源转换和储存提供了一种很有希望的方法,但光化催化器中因电费重组而分离的电荷状态短寿命限制了其效用。 在这里,我们报告了一个接受者 — — 捐赠者 — — 接受者 — — 的有机分子,该分子可以自行组装成高晶状纳米粒子。 中度吸收光谱分析显示,这些晶体组件可以引发超长寿命充电分离状态,最多为1.2秒,可归因于最初的对称破裂充电分离,然后排在紧凑的分子中。 这些自组装纳米粒子具有惊人的光化催化H2进速率126mmol g-1h-1,在优化条件下外部量量效率为12 %, 550 nm。</w:t>
      </w:r>
    </w:p>
    <w:p>
      <w:pPr>
        <w:spacing w:before="0" w:after="200" w:lineRule="auto" w:line="276"/>
      </w:pPr>
      <w:r>
        <w:rPr>
          <w:b/>
        </w:rPr>
        <w:t xml:space="preserve">Abstract (EN): </w:t>
      </w:r>
      <w:r>
        <w:t>Photocatalysis offers a promising approach for renewable energy conversion and storage, but short lifetimes of charge-separated states in photocatalysts due to charge recombination limit its utility. Here we report an organic molecule with an acceptor–donor–acceptor configuration that can self assemble into highly crystalline nanoparticles. Transient absorption spectroscopy reveals that these crystalline assemblies can induce an ultra-long-lived charge-separated state of up to 1.2 s, attributed to initial symmetry-breaking charge separation, followed by charge hopping across closely packed molecules. These self-assembled nanoparticles have an impressive photocatalytic H2 evolution rate of 126 mmol g−1 h−1 with an external quantum efficiency of 12% at 550 nm under optimized conditions. This system shows a remarkable stability with 220 million turnover numbers (per particle) over the 77 h of operation. These findings suggest that rational design of organic molecules and their aggregates is vital for improving light-induced charge separation and for developing highly efficient, stable and scalable organic photocatalysts.</w:t>
      </w:r>
    </w:p>
    <w:p>
      <w:pPr>
        <w:spacing w:before="120" w:after="120"/>
      </w:pPr>
      <w:r>
        <w:rPr>
          <w:sz w:val="18"/>
        </w:rPr>
        <w:t>——————————————————————————————————————————————————————————————————————</w:t>
      </w:r>
    </w:p>
    <w:p>
      <w:pPr>
        <w:spacing w:before="160" w:after="40" w:line="240" w:lineRule="auto"/>
      </w:pPr>
      <w:r>
        <w:rPr>
          <w:b/>
        </w:rPr>
        <w:t xml:space="preserve">[221] </w:t>
      </w:r>
      <w:hyperlink r:id="rId339">
        <w:r>
          <w:rPr>
            <w:color w:val="1155CC"/>
            <w:u w:val="single"/>
          </w:rPr>
          <w:t>出版商校正:回声-视觉-FM:回声心心动视频视觉基础模型培训前和微调框架</w:t>
        </w:r>
      </w:hyperlink>
    </w:p>
    <w:p>
      <w:pPr>
        <w:spacing w:before="0" w:after="80"/>
      </w:pPr>
      <w:r>
        <w:rPr>
          <w:i/>
          <w:sz w:val="20"/>
        </w:rPr>
        <w:t>EN: Publisher Correction: Echo-Vision-FM: a pre-training and fine-tuning framework for echocardiogram video vision foundation model</w:t>
      </w:r>
    </w:p>
    <w:p>
      <w:pPr>
        <w:spacing w:before="0" w:after="120"/>
      </w:pPr>
      <w:r>
        <w:rPr>
          <w:b/>
        </w:rPr>
        <w:t xml:space="preserve">Source: </w:t>
      </w:r>
      <w:r>
        <w:t>Nature Communications</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[222] </w:t>
      </w:r>
      <w:hyperlink r:id="rId340">
        <w:r>
          <w:rPr>
            <w:color w:val="1155CC"/>
            <w:u w:val="single"/>
          </w:rPr>
          <w:t>-离子电池中的热分解路径和相互作用:侧重于电解和电极</w:t>
        </w:r>
      </w:hyperlink>
    </w:p>
    <w:p>
      <w:pPr>
        <w:spacing w:before="0" w:after="80"/>
      </w:pPr>
      <w:r>
        <w:rPr>
          <w:i/>
          <w:sz w:val="20"/>
        </w:rPr>
        <w:t>EN: Thermal Decomposition Pathways and Interfacial Reactivity in Potassium-Ion Batteries: Focus on Electrolyte and Anode</w:t>
      </w:r>
    </w:p>
    <w:p>
      <w:pPr>
        <w:spacing w:before="0" w:after="120"/>
      </w:pPr>
      <w:r>
        <w:rPr>
          <w:b/>
        </w:rPr>
        <w:t xml:space="preserve">Source: </w:t>
      </w:r>
      <w:r>
        <w:t>RSC - Energy Environ. Sci. latest articles</w:t>
      </w:r>
      <w:r>
        <w:t xml:space="preserve">    </w:t>
      </w:r>
      <w:r>
        <w:rPr>
          <w:b/>
        </w:rPr>
        <w:t xml:space="preserve">Pub date: </w:t>
      </w:r>
      <w:r>
        <w:t>2026-01-20 00:00:00+00:00</w:t>
      </w:r>
    </w:p>
    <w:p>
      <w:pPr>
        <w:spacing w:before="0" w:after="120"/>
      </w:pPr>
      <w:r>
        <w:rPr>
          <w:b/>
        </w:rPr>
        <w:t xml:space="preserve">Notes: </w:t>
      </w:r>
      <w:r>
        <w:t>abstract_source=rsc_html</w:t>
      </w:r>
    </w:p>
    <w:p>
      <w:pPr>
        <w:spacing w:before="0" w:after="80" w:lineRule="auto" w:line="276"/>
      </w:pPr>
      <w:r>
        <w:rPr>
          <w:b/>
        </w:rPr>
        <w:t xml:space="preserve">摘要（ZH）: </w:t>
      </w:r>
      <w:r>
        <w:t>(K)-离子电池因其资源丰富、石墨-洋的兼容性、可制造性以及减少对关键金属的依赖性而成为锂离子的一种有吸引力的替代物。 然而,它们的热安全仍然定义不清。 在这里,我们调查了一种广泛接受的“安全”阳极-电极对,一种具有低易燃电解酸的石墨阳极,在三乙基磷酸酯(TEP)中为2.5Mo(氟磺酰胺)双(KFSI),以澄清分解路径和相互作用性反应。 这项工作表明,独立的TEP主要是挥发性的,而在KFSI存在的情况下,它通过FSI衍生的中间体进行热解,产生总共~264 J g1 以上200°C的异温反应,并产生有机磷/氟磷化合物(例如二乙基氟磷酸)。</w:t>
      </w:r>
    </w:p>
    <w:p>
      <w:pPr>
        <w:spacing w:before="0" w:after="200" w:lineRule="auto" w:line="276"/>
      </w:pPr>
      <w:r>
        <w:rPr>
          <w:b/>
        </w:rPr>
        <w:t xml:space="preserve">Abstract (EN): </w:t>
      </w:r>
      <w:r>
        <w:t>Potassium(K)-ion batteries are an attractive alternative to lithium-ion due to their resource abundance, graphite-anode compatibility, manufacturability, and reduced reliance on critical metals. Yet their thermal safety remains poorly defined. Here, we investigate a widely accepted “safer” anode–electrolyte pair, a graphite anode with a low-flammable electrolyte, 2.5 M potassium bis(fluorosulfonyl)imide (KFSI) in triethyl phosphate (TEP), to clarify decomposition pathways and interfacial reactivity. This work shows that stand-alone TEP primarily volatilizes, whereas in the presence of KFSI it thermally decomposes via FSI-derived intermediates, producing exothermic reactions totaling ~264 J g‒1 above 200 °C and generating organophosphate/fluorophosphate species (e.g., diethyl fluorophosphate) with SO2, HNO3, and SOF2. This is roughly twice the heat released by a conventional LiPF6 carbonate electrolyte, underscoring that low flammability does not equate to safety. With potassiated graphite (KC8), potassium leaching at ~63–80 °C triggers an early interfacial exotherm that builds an inorganic-rich secondary SEI and temporarily suppresses further anode attack up to ~200 °C. Beyond this temperature, electrolyte and anode–electrolyte reactions contribute a total of ~262 J g‒1, which is lower than that of the Li-ion analogue (~431 J g‒1) but occurs at an earlier onset (~65 vs ~100 °C). Interfacial analysis shows that heating transforms the initially stratified SEI into a K-rich, chemically homogenized interphase. Our findings demonstrate that low flammability alone does not ensure thermal safety; rather, interfacial reactivity governs risk. Engineering the SEI composition, controlling salt–solvent coordination, and selecting suitable binders are essential for suppressing sub-100 °C reactivity while maintaining electrochemical performance.</w:t>
      </w:r>
    </w:p>
    <w:p>
      <w:pPr>
        <w:spacing w:before="120" w:after="120"/>
      </w:pPr>
      <w:r>
        <w:rPr>
          <w:sz w:val="18"/>
        </w:rPr>
        <w:t>——————————————————————————————————————————————————————————————————————</w:t>
      </w:r>
    </w:p>
    <w:p>
      <w:pPr>
        <w:spacing w:before="160" w:after="40" w:line="240" w:lineRule="auto"/>
      </w:pPr>
      <w:r>
        <w:rPr>
          <w:b/>
        </w:rPr>
        <w:t xml:space="preserve">[223] </w:t>
      </w:r>
      <w:hyperlink r:id="rId341">
        <w:r>
          <w:rPr>
            <w:color w:val="1155CC"/>
            <w:u w:val="single"/>
          </w:rPr>
          <w:t>3D印刷脚架用于癌症手术后治疗的三维印刷脚手架,在Situ新一代的登地干细胞疫苗中</w:t>
        </w:r>
      </w:hyperlink>
    </w:p>
    <w:p>
      <w:pPr>
        <w:spacing w:before="0" w:after="80"/>
      </w:pPr>
      <w:r>
        <w:rPr>
          <w:i/>
          <w:sz w:val="20"/>
        </w:rPr>
        <w:t>EN: In Situ generation of dendritic cell vaccines in 3D printing scaffolds for cancer post-surgical therapy</w:t>
      </w:r>
    </w:p>
    <w:p>
      <w:pPr>
        <w:spacing w:before="0" w:after="120"/>
      </w:pPr>
      <w:r>
        <w:rPr>
          <w:b/>
        </w:rPr>
        <w:t xml:space="preserve">Source: </w:t>
      </w:r>
      <w:r>
        <w:t>National Science Review Advance Access</w:t>
      </w:r>
      <w:r>
        <w:t xml:space="preserve">    </w:t>
      </w:r>
      <w:r>
        <w:rPr>
          <w:b/>
        </w:rPr>
        <w:t xml:space="preserve">Pub date: </w:t>
      </w:r>
      <w:r>
        <w:t>2026-01-20 00:00:00+00:00</w:t>
      </w:r>
      <w:r>
        <w:t xml:space="preserve">    </w:t>
      </w:r>
      <w:r>
        <w:rPr>
          <w:b/>
        </w:rPr>
        <w:t xml:space="preserve">DOI: </w:t>
      </w:r>
      <w:hyperlink r:id="rId342">
        <w:r>
          <w:rPr>
            <w:color w:val="1155CC"/>
            <w:u w:val="single"/>
          </w:rPr>
          <w:t>10.1093/nsr/nwag037/8431493</w:t>
        </w:r>
      </w:hyperlink>
    </w:p>
    <w:p>
      <w:pPr>
        <w:spacing w:before="0" w:after="120"/>
      </w:pPr>
      <w:r>
        <w:rPr>
          <w:b/>
        </w:rPr>
        <w:t xml:space="preserve">Notes: </w:t>
      </w:r>
      <w:r>
        <w:t>abstract_source=rss_oup</w:t>
      </w:r>
    </w:p>
    <w:p>
      <w:pPr>
        <w:spacing w:before="0" w:after="80" w:lineRule="auto" w:line="276"/>
      </w:pPr>
      <w:r>
        <w:rPr>
          <w:b/>
        </w:rPr>
        <w:t xml:space="preserve">摘要（ZH）: </w:t>
      </w:r>
      <w:r>
        <w:t>德丁基细胞(DC)疫苗在癌症管理方面表现出很大的希望,而复杂的体外疫苗则十分复杂。</w:t>
      </w:r>
    </w:p>
    <w:p>
      <w:pPr>
        <w:spacing w:before="0" w:after="200" w:lineRule="auto" w:line="276"/>
      </w:pPr>
      <w:r>
        <w:rPr>
          <w:b/>
        </w:rPr>
        <w:t xml:space="preserve">Abstract (EN): </w:t>
      </w:r>
      <w:r>
        <w:t>Dendritic cell (DC) vaccines have shown great promise in cancer management, while complex ex vivo</w:t>
      </w:r>
    </w:p>
    <w:p>
      <w:pPr>
        <w:spacing w:before="120" w:after="120"/>
      </w:pPr>
      <w:r>
        <w:rPr>
          <w:sz w:val="18"/>
        </w:rPr>
        <w:t>——————————————————————————————————————————————————————————————————————</w:t>
      </w:r>
    </w:p>
    <w:p>
      <w:pPr>
        <w:spacing w:before="160" w:after="40" w:line="240" w:lineRule="auto"/>
      </w:pPr>
      <w:r>
        <w:rPr>
          <w:b/>
        </w:rPr>
        <w:t xml:space="preserve">[224] </w:t>
      </w:r>
      <w:hyperlink r:id="rId343">
        <w:r>
          <w:rPr>
            <w:color w:val="1155CC"/>
            <w:u w:val="single"/>
          </w:rPr>
          <w:t>全氟烷基物质和多氟烷基物质的锂金属中介电化学减少</w:t>
        </w:r>
      </w:hyperlink>
    </w:p>
    <w:p>
      <w:pPr>
        <w:spacing w:before="0" w:after="80"/>
      </w:pPr>
      <w:r>
        <w:rPr>
          <w:i/>
          <w:sz w:val="20"/>
        </w:rPr>
        <w:t>EN: Lithium metal-mediated electrochemical reduction of per- and poly-fluoroalkyl substances</w:t>
      </w:r>
    </w:p>
    <w:p>
      <w:pPr>
        <w:spacing w:before="0" w:after="120"/>
      </w:pPr>
      <w:r>
        <w:rPr>
          <w:b/>
        </w:rPr>
        <w:t xml:space="preserve">Source: </w:t>
      </w:r>
      <w:r>
        <w:t>Nature Chemistry</w:t>
      </w:r>
      <w:r>
        <w:t xml:space="preserve">    </w:t>
      </w:r>
      <w:r>
        <w:rPr>
          <w:b/>
        </w:rPr>
        <w:t xml:space="preserve">Pub date: </w:t>
      </w:r>
      <w:r>
        <w:t>2026-01-20 00:00:00+00:00</w:t>
      </w:r>
    </w:p>
    <w:p>
      <w:pPr>
        <w:spacing w:before="0" w:after="120"/>
      </w:pPr>
      <w:r>
        <w:rPr>
          <w:b/>
        </w:rPr>
        <w:t xml:space="preserve">Notes: </w:t>
      </w:r>
      <w:r>
        <w:t>abstract_source=nature_html</w:t>
      </w:r>
    </w:p>
    <w:p>
      <w:pPr>
        <w:spacing w:before="0" w:after="80" w:lineRule="auto" w:line="276"/>
      </w:pPr>
      <w:r>
        <w:rPr>
          <w:b/>
        </w:rPr>
        <w:t xml:space="preserve">摘要（ZH）: </w:t>
      </w:r>
      <w:r>
        <w:t>全氟和多氟烷基物质(PFAS)具有严重的环境和健康危害。 不幸的是,目前的降解路径需要高温或腐蚀性条件和/或导致不完全的脱氟和形成较短的烷基链。 在锂-金属电池文献的启发下,我们在这里开发了一种电化学降解过程,利用活性金属和高度减少的环境。 我们表明,电沉降的锂金属可以使全氟辛基酸95%的降解和94 %的脱氟到LIF,而不会形成任何较短的C2-C6 PFAS作为最终产品。 我们通过计算模拟发现,从锂到全氟辛酸的电转移导致快速的C-F债券裂变、氟化物形成和碳链。</w:t>
      </w:r>
    </w:p>
    <w:p>
      <w:pPr>
        <w:spacing w:before="0" w:after="200" w:lineRule="auto" w:line="276"/>
      </w:pPr>
      <w:r>
        <w:rPr>
          <w:b/>
        </w:rPr>
        <w:t xml:space="preserve">Abstract (EN): </w:t>
      </w:r>
      <w:r>
        <w:t>Per- and poly-fluoroalkyl substances (PFAS) have substantial environmental and health hazards. Unfortunately, current degradation routes require high temperatures or corrosive conditions and/or lead to incomplete defluorination and the generation of shorter alkyl chains. Inspired by the lithium-metal battery literature, here we develop an electrochemical degradation process that leverages reactive metals and highly reducing environments. We show that electrodeposited lithium metal can enable 95% degradation and 94% defluorination of perfluorooctanoic acid to LiF without forming any shorter C2–C6 PFAS as end products. Using computational simulations, we find that electron transfer from lithium to perfluorooctanoic acid leads to rapid C–F bond cleavage, fluoride formation and carbon chain fragmentation. We expand the scope to other PFAS compounds and demonstrate substantial degrees of degradation on over 22 different PFAS, plus complete mineralization to inorganic fluorides. Finally, we use the mineralized F− as a fluorine source for the synthesis of fluorinated non-PFAS compounds to complete a circular fluorine loop from waste to valuable product.</w:t>
      </w:r>
    </w:p>
    <w:p>
      <w:pPr>
        <w:spacing w:before="120" w:after="120"/>
      </w:pPr>
      <w:r>
        <w:rPr>
          <w:sz w:val="18"/>
        </w:rPr>
        <w:t>——————————————————————————————————————————————————————————————————————</w:t>
      </w:r>
    </w:p>
    <w:p>
      <w:pPr>
        <w:spacing w:before="160" w:after="40" w:line="240" w:lineRule="auto"/>
      </w:pPr>
      <w:r>
        <w:rPr>
          <w:b/>
        </w:rPr>
        <w:t xml:space="preserve">[225] </w:t>
      </w:r>
      <w:hyperlink r:id="rId344">
        <w:r>
          <w:rPr>
            <w:color w:val="1155CC"/>
            <w:u w:val="single"/>
          </w:rPr>
          <w:t>2025年智能电网电池技术的进步</w:t>
        </w:r>
      </w:hyperlink>
    </w:p>
    <w:p>
      <w:pPr>
        <w:spacing w:before="0" w:after="80"/>
      </w:pPr>
      <w:r>
        <w:rPr>
          <w:i/>
          <w:sz w:val="20"/>
        </w:rPr>
        <w:t>EN: Advances in battery technologies for smart grids in 2025</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345">
        <w:r>
          <w:rPr>
            <w:color w:val="1155CC"/>
            <w:u w:val="single"/>
          </w:rPr>
          <w:t>经过一年的特朗普:失去的东西和剩下的东西之后,美国科学</w:t>
        </w:r>
      </w:hyperlink>
    </w:p>
    <w:p>
      <w:pPr>
        <w:spacing w:before="0" w:after="80"/>
      </w:pPr>
      <w:r>
        <w:rPr>
          <w:i/>
          <w:sz w:val="20"/>
        </w:rPr>
        <w:t>EN: US science after a year of Trump: what has been lost and what remains</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346">
        <w:r>
          <w:rPr>
            <w:color w:val="1155CC"/>
            <w:u w:val="single"/>
          </w:rPr>
          <w:t>机械学:回顾过去和展望未来</w:t>
        </w:r>
      </w:hyperlink>
    </w:p>
    <w:p>
      <w:pPr>
        <w:spacing w:before="0" w:after="80"/>
      </w:pPr>
      <w:r>
        <w:rPr>
          <w:i/>
          <w:sz w:val="20"/>
        </w:rPr>
        <w:t>EN: Mechanochemistry: Looking back and ahead</w:t>
      </w:r>
    </w:p>
    <w:p>
      <w:pPr>
        <w:spacing w:before="0" w:after="120"/>
      </w:pPr>
      <w:r>
        <w:rPr>
          <w:b/>
        </w:rPr>
        <w:t xml:space="preserve">Source: </w:t>
      </w:r>
      <w:r>
        <w:t>Chem</w:t>
      </w:r>
      <w:r>
        <w:t xml:space="preserve">    </w:t>
      </w:r>
      <w:r>
        <w:rPr>
          <w:b/>
        </w:rPr>
        <w:t xml:space="preserve">Pub date: </w:t>
      </w:r>
      <w:r>
        <w:t>2026-01-20 00:00:00+00:00</w:t>
      </w:r>
    </w:p>
    <w:p>
      <w:pPr>
        <w:spacing w:before="0" w:after="120"/>
      </w:pPr>
      <w:r>
        <w:rPr>
          <w:b/>
        </w:rPr>
        <w:t xml:space="preserve">Notes: </w:t>
      </w:r>
      <w:r>
        <w:t>abstract_source=rss_cell</w:t>
      </w:r>
    </w:p>
    <w:p>
      <w:pPr>
        <w:spacing w:before="0" w:after="80" w:lineRule="auto" w:line="276"/>
      </w:pPr>
      <w:r>
        <w:rPr>
          <w:b/>
        </w:rPr>
        <w:t xml:space="preserve">摘要（ZH）: </w:t>
      </w:r>
      <w:r>
        <w:t>从古老的迫击炮和虫害到现代球磨坊,机械化技术提供了可持续的无溶剂反应,具有独特的选择性,同时减少了排放和成本。本审查追溯了历史;突出介绍了时间已解决的现场监测和对各种机制的计算洞察;探索与热、光、电和声音的协同作用;讨论了生命起源中的新应用、引导共价债券形成和直接机械化的超分子中间体。它强调升级和数字整合,强调了机械化技术在形成下一代可持续化工业方面的变革潜力。</w:t>
      </w:r>
    </w:p>
    <w:p>
      <w:pPr>
        <w:spacing w:before="0" w:after="200" w:lineRule="auto" w:line="276"/>
      </w:pPr>
      <w:r>
        <w:rPr>
          <w:b/>
        </w:rPr>
        <w:t xml:space="preserve">Abstract (EN): </w:t>
      </w:r>
      <w:r>
        <w:t>Mechanochemistry, from the ancient mortar and pestle to modern ball milling, offers sustainable, solvent-free reactions with unique selectivity while reducing emissions and costs. This review traces its history; highlights time-resolved in situ monitoring and computational insights into mechanisms; explores synergies with heat, light, electricity, and sound; and discusses emerging applications in the origins of life, supramolecular intermediates guiding the formation of covalent bonds, and direct mechanocatalysis. Emphasizing upscaling and digital integration, it highlights the transformative potential of mechanochemistry for forming the next-generation sustainable chemical industry.</w:t>
      </w:r>
    </w:p>
    <w:p>
      <w:pPr>
        <w:spacing w:before="120" w:after="120"/>
      </w:pPr>
      <w:r>
        <w:rPr>
          <w:sz w:val="18"/>
        </w:rPr>
        <w:t>——————————————————————————————————————————————————————————————————————</w:t>
      </w:r>
    </w:p>
    <w:p>
      <w:pPr>
        <w:spacing w:before="160" w:after="40" w:line="240" w:lineRule="auto"/>
      </w:pPr>
      <w:r>
        <w:rPr>
          <w:b/>
        </w:rPr>
        <w:t xml:space="preserve">[228] </w:t>
      </w:r>
      <w:hyperlink r:id="rId347">
        <w:r>
          <w:rPr>
            <w:color w:val="1155CC"/>
            <w:u w:val="single"/>
          </w:rPr>
          <w:t>与植物基饮食改变有关的农药使用增加和生态毒性影响增加</w:t>
        </w:r>
      </w:hyperlink>
    </w:p>
    <w:p>
      <w:pPr>
        <w:spacing w:before="0" w:after="80"/>
      </w:pPr>
      <w:r>
        <w:rPr>
          <w:i/>
          <w:sz w:val="20"/>
        </w:rPr>
        <w:t>EN: Increased pesticide use and ecotoxicity impacts associated with plant-based dietary shifts</w:t>
      </w:r>
    </w:p>
    <w:p>
      <w:pPr>
        <w:spacing w:before="0" w:after="120"/>
      </w:pPr>
      <w:r>
        <w:rPr>
          <w:b/>
        </w:rPr>
        <w:t xml:space="preserve">Source: </w:t>
      </w:r>
      <w:r>
        <w:t>One Earth</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[229] </w:t>
      </w:r>
      <w:hyperlink r:id="rId348">
        <w:r>
          <w:rPr>
            <w:color w:val="1155CC"/>
            <w:u w:val="single"/>
          </w:rPr>
          <w:t>持久性有机污染物的循环循环:实现电化学驱动环卤素经济</w:t>
        </w:r>
      </w:hyperlink>
    </w:p>
    <w:p>
      <w:pPr>
        <w:spacing w:before="0" w:after="80"/>
      </w:pPr>
      <w:r>
        <w:rPr>
          <w:i/>
          <w:sz w:val="20"/>
        </w:rPr>
        <w:t>EN: Upcycling of persistent pollutants: Toward an electrochemically driven circular halogen economy</w:t>
      </w:r>
    </w:p>
    <w:p>
      <w:pPr>
        <w:spacing w:before="0" w:after="120"/>
      </w:pPr>
      <w:r>
        <w:rPr>
          <w:b/>
        </w:rPr>
        <w:t xml:space="preserve">Source: </w:t>
      </w:r>
      <w:r>
        <w:t>Chem</w:t>
      </w:r>
      <w:r>
        <w:t xml:space="preserve">    </w:t>
      </w:r>
      <w:r>
        <w:rPr>
          <w:b/>
        </w:rPr>
        <w:t xml:space="preserve">Pub date: </w:t>
      </w:r>
      <w:r>
        <w:t>2026-01-20 00:00:00+00:00</w:t>
      </w:r>
    </w:p>
    <w:p>
      <w:pPr>
        <w:spacing w:before="0" w:after="120"/>
      </w:pPr>
      <w:r>
        <w:rPr>
          <w:b/>
        </w:rPr>
        <w:t xml:space="preserve">Notes: </w:t>
      </w:r>
      <w:r>
        <w:t>abstract_source=rss_cell</w:t>
      </w:r>
    </w:p>
    <w:p>
      <w:pPr>
        <w:spacing w:before="0" w:after="80" w:lineRule="auto" w:line="276"/>
      </w:pPr>
      <w:r>
        <w:rPr>
          <w:b/>
        </w:rPr>
        <w:t xml:space="preserve">摘要（ZH）: </w:t>
      </w:r>
      <w:r>
        <w:t>卤化材料和废物流的循环利用具有重大意义,将卤化物重新引导到化学产品的价值链中是可取的,可以在电子合成技术的帮助下加以利用,这种电能如果从可再生资源获得,将允许可持续和潜在的闭环循环卤化物经济,并总结和强调最近的发展和办法。</w:t>
      </w:r>
    </w:p>
    <w:p>
      <w:pPr>
        <w:spacing w:before="0" w:after="200" w:lineRule="auto" w:line="276"/>
      </w:pPr>
      <w:r>
        <w:rPr>
          <w:b/>
        </w:rPr>
        <w:t xml:space="preserve">Abstract (EN): </w:t>
      </w:r>
      <w:r>
        <w:t>The recycling of halogenated materials and waste streams is of significant importance. Redirecting halides back into the value chain of chemical products is desirable and could be enabled with the help of electrosynthetic technology. Such electrical energy, when obtained from renewable resources, will allow for a sustainable and potentially closed-loop, circular halide economy. Recent developments and approaches are summarized and highlighted.</w:t>
      </w:r>
    </w:p>
    <w:p>
      <w:pPr>
        <w:spacing w:before="120" w:after="120"/>
      </w:pPr>
      <w:r>
        <w:rPr>
          <w:sz w:val="18"/>
        </w:rPr>
        <w:t>——————————————————————————————————————————————————————————————————————</w:t>
      </w:r>
    </w:p>
    <w:p>
      <w:pPr>
        <w:spacing w:before="160" w:after="40" w:line="240" w:lineRule="auto"/>
      </w:pPr>
      <w:r>
        <w:rPr>
          <w:b/>
        </w:rPr>
        <w:t xml:space="preserve">[230] </w:t>
      </w:r>
      <w:hyperlink r:id="rId349">
        <w:r>
          <w:rPr>
            <w:color w:val="1155CC"/>
            <w:u w:val="single"/>
          </w:rPr>
          <w:t>距离在变化的气候中选择典型气象年的最佳年间隔有多长?</w:t>
        </w:r>
      </w:hyperlink>
    </w:p>
    <w:p>
      <w:pPr>
        <w:spacing w:before="0" w:after="80"/>
      </w:pPr>
      <w:r>
        <w:rPr>
          <w:i/>
          <w:sz w:val="20"/>
        </w:rPr>
        <w:t>EN: How long is long enough? toward an optimal year span for typical meteorological year selection in a changing climate</w:t>
      </w:r>
    </w:p>
    <w:p>
      <w:pPr>
        <w:spacing w:before="0" w:after="120"/>
      </w:pPr>
      <w:r>
        <w:rPr>
          <w:b/>
        </w:rPr>
        <w:t xml:space="preserve">Source: </w:t>
      </w:r>
      <w:r>
        <w:t>ScienceDirect Publication: Applied Energy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350">
        <w:r>
          <w:rPr>
            <w:color w:val="1155CC"/>
            <w:u w:val="single"/>
          </w:rPr>
          <w:t>为综合能源系统集群组合分配合作优化:基于协商一致算法和后勤功能的电力分配战略</w:t>
        </w:r>
      </w:hyperlink>
    </w:p>
    <w:p>
      <w:pPr>
        <w:spacing w:before="0" w:after="80"/>
      </w:pPr>
      <w:r>
        <w:rPr>
          <w:i/>
          <w:sz w:val="20"/>
        </w:rPr>
        <w:t>EN: Distributed collaborative optimization for integrated energy system clusters: A power allocation strategy based on consensus algorithm and logistic function</w:t>
      </w:r>
    </w:p>
    <w:p>
      <w:pPr>
        <w:spacing w:before="0" w:after="120"/>
      </w:pPr>
      <w:r>
        <w:rPr>
          <w:b/>
        </w:rPr>
        <w:t xml:space="preserve">Source: </w:t>
      </w:r>
      <w:r>
        <w:t>ScienceDirect Publication: Applied Energy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351">
        <w:r>
          <w:rPr>
            <w:color w:val="1155CC"/>
            <w:u w:val="single"/>
          </w:rPr>
          <w:t>6名美国研究人员计划如何在混乱与削减中保护科学。</w:t>
        </w:r>
      </w:hyperlink>
    </w:p>
    <w:p>
      <w:pPr>
        <w:spacing w:before="0" w:after="80"/>
      </w:pPr>
      <w:r>
        <w:rPr>
          <w:i/>
          <w:sz w:val="20"/>
        </w:rPr>
        <w:t>EN: Trump one year on: How six US researchers plan to protect science amid chaos and cuts</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352">
        <w:r>
          <w:rPr>
            <w:color w:val="1155CC"/>
            <w:u w:val="single"/>
          </w:rPr>
          <w:t>“分享”:美国科学家们大谈特朗普政策如何打乱他们的事业,</w:t>
        </w:r>
      </w:hyperlink>
    </w:p>
    <w:p>
      <w:pPr>
        <w:spacing w:before="0" w:after="80"/>
      </w:pPr>
      <w:r>
        <w:rPr>
          <w:i/>
          <w:sz w:val="20"/>
        </w:rPr>
        <w:t>EN: ‘Shattered’: US scientists speak out about how Trump policies disrupted their careers</w:t>
      </w:r>
    </w:p>
    <w:p>
      <w:pPr>
        <w:spacing w:before="0" w:after="120"/>
      </w:pPr>
      <w:r>
        <w:rPr>
          <w:b/>
        </w:rPr>
        <w:t xml:space="preserve">Source: </w:t>
      </w:r>
      <w:r>
        <w:t>Nature</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353">
        <w:r>
          <w:rPr>
            <w:color w:val="1155CC"/>
            <w:u w:val="single"/>
          </w:rPr>
          <w:t>涡轮吸收器:自然解码生物中微型喷气器,用于增强干涉低极和微波反应</w:t>
        </w:r>
      </w:hyperlink>
    </w:p>
    <w:p>
      <w:pPr>
        <w:spacing w:before="0" w:after="80"/>
      </w:pPr>
      <w:r>
        <w:rPr>
          <w:i/>
          <w:sz w:val="20"/>
        </w:rPr>
        <w:t>EN: Turing absorbers: The natural decoding bionic micropatterns for boosting interfacial dipole and microwave response</w:t>
      </w:r>
    </w:p>
    <w:p>
      <w:pPr>
        <w:spacing w:before="0" w:after="120"/>
      </w:pPr>
      <w:r>
        <w:rPr>
          <w:b/>
        </w:rPr>
        <w:t xml:space="preserve">Source: </w:t>
      </w:r>
      <w:r>
        <w:t>ScienceDirect Publication: Materials Today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[235] </w:t>
      </w:r>
      <w:hyperlink r:id="rId354">
        <w:r>
          <w:rPr>
            <w:color w:val="1155CC"/>
            <w:u w:val="single"/>
          </w:rPr>
          <w:t>通过湿膜干预使千伏夫斯基/硅相连接的太阳能电池在环境上进行可缩放的制造</w:t>
        </w:r>
      </w:hyperlink>
    </w:p>
    <w:p>
      <w:pPr>
        <w:spacing w:before="0" w:after="80"/>
      </w:pPr>
      <w:r>
        <w:rPr>
          <w:i/>
          <w:sz w:val="20"/>
        </w:rPr>
        <w:t>EN: Scalable ambient fabrication of perovskite/silicon tandem solar cells via wet-film intervention</w:t>
      </w:r>
    </w:p>
    <w:p>
      <w:pPr>
        <w:spacing w:before="0" w:after="120"/>
      </w:pPr>
      <w:r>
        <w:rPr>
          <w:b/>
        </w:rPr>
        <w:t xml:space="preserve">Source: </w:t>
      </w:r>
      <w:r>
        <w:t>Joule</w:t>
      </w:r>
      <w:r>
        <w:t xml:space="preserve">    </w:t>
      </w:r>
      <w:r>
        <w:rPr>
          <w:b/>
        </w:rPr>
        <w:t xml:space="preserve">Pub date: </w:t>
      </w:r>
      <w:r>
        <w:t>2026-01-20 00:00:00+00:00</w:t>
      </w:r>
    </w:p>
    <w:p>
      <w:pPr>
        <w:spacing w:before="0" w:after="120"/>
      </w:pPr>
      <w:r>
        <w:rPr>
          <w:b/>
        </w:rPr>
        <w:t xml:space="preserve">Notes: </w:t>
      </w:r>
      <w:r>
        <w:t>abstract_source=rss_cell</w:t>
      </w:r>
    </w:p>
    <w:p>
      <w:pPr>
        <w:spacing w:before="0" w:after="80" w:lineRule="auto" w:line="276"/>
      </w:pPr>
      <w:r>
        <w:rPr>
          <w:b/>
        </w:rPr>
        <w:t xml:space="preserve">摘要（ZH）: </w:t>
      </w:r>
      <w:r>
        <w:t>万草枯顶端细胞的可缩放环境制造对于推进千伏滋/硅同步太阳能电池来说很有希望,但不受控制的环境湿度挑战高质量的薄膜制片工作。 这里,正在发明一种NBASCN湿膜干预战略,以实现规范良好的结晶化并抑制地表退化,从而能够在环境空气中大规模制造高性能同步装置。</w:t>
      </w:r>
    </w:p>
    <w:p>
      <w:pPr>
        <w:spacing w:before="0" w:after="200" w:lineRule="auto" w:line="276"/>
      </w:pPr>
      <w:r>
        <w:rPr>
          <w:b/>
        </w:rPr>
        <w:t xml:space="preserve">Abstract (EN): </w:t>
      </w:r>
      <w:r>
        <w:t>Scalable ambient fabrication of perovskite top cells is promising for advancing perovskite/silicon tandem solar cells, yet uncontrolled environmental humidity challenges high-quality film preparation. Here, an nBASCN wet-film intervention strategy is innovated to achieve well-regulated crystallization and suppress surface degradation, enabling scalable fabrication of high-performance tandem devices in ambient air.</w:t>
      </w:r>
    </w:p>
    <w:p>
      <w:pPr>
        <w:spacing w:before="120" w:after="120"/>
      </w:pPr>
      <w:r>
        <w:rPr>
          <w:sz w:val="18"/>
        </w:rPr>
        <w:t>——————————————————————————————————————————————————————————————————————</w:t>
      </w:r>
    </w:p>
    <w:p>
      <w:pPr>
        <w:spacing w:before="160" w:after="40" w:line="240" w:lineRule="auto"/>
      </w:pPr>
      <w:r>
        <w:rPr>
          <w:b/>
        </w:rPr>
        <w:t xml:space="preserve">[236] </w:t>
      </w:r>
      <w:hyperlink r:id="rId355">
        <w:r>
          <w:rPr>
            <w:color w:val="1155CC"/>
            <w:u w:val="single"/>
          </w:rPr>
          <w:t>在基于可再生能源的分布式电池储存系统方面,在基于可再生能源的DC 船上微型电网中,采用基于差错的适应性滴管控制计划,基于功能的 SoC平衡,在基于可再生能源的分布式电池储存系统方面实现平衡。</w:t>
        </w:r>
      </w:hyperlink>
    </w:p>
    <w:p>
      <w:pPr>
        <w:spacing w:before="0" w:after="80"/>
      </w:pPr>
      <w:r>
        <w:rPr>
          <w:i/>
          <w:sz w:val="20"/>
        </w:rPr>
        <w:t>EN: Adaptive droop control scheme with error functioned-based SoC balancing for distributed battery storage system in renewable energy-based DC shipboard microgrid</w:t>
      </w:r>
    </w:p>
    <w:p>
      <w:pPr>
        <w:spacing w:before="0" w:after="120"/>
      </w:pPr>
      <w:r>
        <w:rPr>
          <w:b/>
        </w:rPr>
        <w:t xml:space="preserve">Source: </w:t>
      </w:r>
      <w:r>
        <w:t>ScienceDirect Publication: Applied Energy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356">
        <w:r>
          <w:rPr>
            <w:color w:val="1155CC"/>
            <w:u w:val="single"/>
          </w:rPr>
          <w:t>2025年水和二氧化碳电解的成熟度和趋同挑战各不相同</w:t>
        </w:r>
      </w:hyperlink>
    </w:p>
    <w:p>
      <w:pPr>
        <w:spacing w:before="0" w:after="80"/>
      </w:pPr>
      <w:r>
        <w:rPr>
          <w:i/>
          <w:sz w:val="20"/>
        </w:rPr>
        <w:t>EN: Diverging maturity and converging challenges of water and CO₂ electrolysis in 2025</w:t>
      </w:r>
    </w:p>
    <w:p>
      <w:pPr>
        <w:spacing w:before="0" w:after="120"/>
      </w:pPr>
      <w:r>
        <w:rPr>
          <w:b/>
        </w:rPr>
        <w:t xml:space="preserve">Source: </w:t>
      </w:r>
      <w:r>
        <w:t>Nature Reviews Clean Technology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[238] </w:t>
      </w:r>
      <w:hyperlink r:id="rId357">
        <w:r>
          <w:rPr>
            <w:color w:val="1155CC"/>
            <w:u w:val="single"/>
          </w:rPr>
          <w:t>受益于太阳能:太阳能电动客车和光电池辅助电力的最佳安排</w:t>
        </w:r>
      </w:hyperlink>
    </w:p>
    <w:p>
      <w:pPr>
        <w:spacing w:before="0" w:after="80"/>
      </w:pPr>
      <w:r>
        <w:rPr>
          <w:i/>
          <w:sz w:val="20"/>
        </w:rPr>
        <w:t>EN: Benefiting from solar: Optimal scheduling for solar electric buses with onboard PV auxiliary power</w:t>
      </w:r>
    </w:p>
    <w:p>
      <w:pPr>
        <w:spacing w:before="0" w:after="120"/>
      </w:pPr>
      <w:r>
        <w:rPr>
          <w:b/>
        </w:rPr>
        <w:t xml:space="preserve">Source: </w:t>
      </w:r>
      <w:r>
        <w:t>ScienceDirect Publication: Applied Energy</w:t>
      </w:r>
      <w:r>
        <w:t xml:space="preserve">    </w:t>
      </w:r>
      <w:r>
        <w:rPr>
          <w:b/>
        </w:rPr>
        <w:t xml:space="preserve">Pub date: </w:t>
      </w:r>
      <w:r>
        <w:t>2026-01-20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358">
        <w:r>
          <w:rPr>
            <w:color w:val="1155CC"/>
            <w:u w:val="single"/>
          </w:rPr>
          <w:t>用于记录光电催化CO2转换为乙醇的Cobalt-Backbored Olgomer</w:t>
        </w:r>
      </w:hyperlink>
    </w:p>
    <w:p>
      <w:pPr>
        <w:spacing w:before="0" w:after="80"/>
      </w:pPr>
      <w:r>
        <w:rPr>
          <w:i/>
          <w:sz w:val="20"/>
        </w:rPr>
        <w:t>EN: Cobalt‐Backboned Oligomer for Record Photocatalytic CO2 Conversion to Ethanol</w:t>
      </w:r>
    </w:p>
    <w:p>
      <w:pPr>
        <w:spacing w:before="0" w:after="120"/>
      </w:pPr>
      <w:r>
        <w:rPr>
          <w:b/>
        </w:rPr>
        <w:t xml:space="preserve">Source: </w:t>
      </w:r>
      <w:r>
        <w:t>Wiley: Angewandte Chemie International Edition: Table of Contents</w:t>
      </w:r>
      <w:r>
        <w:t xml:space="preserve">    </w:t>
      </w:r>
      <w:r>
        <w:rPr>
          <w:b/>
        </w:rPr>
        <w:t xml:space="preserve">Pub date: </w:t>
      </w:r>
      <w:r>
        <w:t>2026-01-20 05:55:24+00:00</w:t>
      </w:r>
      <w:r>
        <w:t xml:space="preserve">    </w:t>
      </w:r>
      <w:r>
        <w:rPr>
          <w:b/>
        </w:rPr>
        <w:t xml:space="preserve">DOI: </w:t>
      </w:r>
      <w:hyperlink r:id="rId359">
        <w:r>
          <w:rPr>
            <w:color w:val="1155CC"/>
            <w:u w:val="single"/>
          </w:rPr>
          <w:t>10.1002/anie.202521378</w:t>
        </w:r>
      </w:hyperlink>
    </w:p>
    <w:p>
      <w:pPr>
        <w:spacing w:before="0" w:after="120"/>
      </w:pPr>
      <w:r>
        <w:rPr>
          <w:b/>
        </w:rPr>
        <w:t xml:space="preserve">Notes: </w:t>
      </w:r>
      <w:r>
        <w:t>abstract_source=crossref</w:t>
      </w:r>
    </w:p>
    <w:p>
      <w:pPr>
        <w:spacing w:before="0" w:after="80" w:lineRule="auto" w:line="276"/>
      </w:pPr>
      <w:r>
        <w:rPr>
          <w:b/>
        </w:rPr>
        <w:t xml:space="preserve">摘要（ZH）: </w:t>
      </w:r>
      <w:r>
        <w:t>将CO2转换成增值产品的Solal-hript摘要 将CO2转换成增值产品对可再生能源储存和碳中中度而言很有希望。虽然目前的光电催化剂显示出将CO2转换成包括乙醇在内的多种碳产品的能力,但其性能受到高C-C混合能源屏障和低效率中间浓缩的限制。我们在这里合成了一个钴后背核寡头寡头作为高效光催化剂,以产生创纪录的高乙醇产量497微克/(g/h)的CO2减光率。在模拟工业烟气和15%的CO的情况下,也保持很高的性能。</w:t>
      </w:r>
    </w:p>
    <w:p>
      <w:pPr>
        <w:spacing w:before="0" w:after="200" w:lineRule="auto" w:line="276"/>
      </w:pPr>
      <w:r>
        <w:rPr>
          <w:b/>
        </w:rPr>
        <w:t xml:space="preserve">Abstract (EN): </w:t>
      </w:r>
      <w:r>
        <w:t>Solar‐driven conversion of CO</w:t>
      </w:r>
      <w:r>
        <w:rPr>
          <w:vertAlign w:val="subscript"/>
        </w:rPr>
        <w:t>2</w:t>
      </w:r>
      <w:r>
        <w:t>into value‐added products is promising for renewable energy storage and carbon neutrality. Although current photocatalysts demonstrate the capability to convert CO</w:t>
      </w:r>
      <w:r>
        <w:rPr>
          <w:vertAlign w:val="subscript"/>
        </w:rPr>
        <w:t>2</w:t>
      </w:r>
      <w:r>
        <w:t>into multiple carbon products including ethanol, their performance is limited by high C─C coupling energy barrier and inefficient intermediate enrichment. Here we synthesize a cobalt‐backboned oligomer as an efficient photocatalyst to generate a record‐high ethanol production rate of 497 µmol/(g·h) for CO</w:t>
      </w:r>
      <w:r>
        <w:rPr>
          <w:vertAlign w:val="subscript"/>
        </w:rPr>
        <w:t>2</w:t>
      </w:r>
      <w:r>
        <w:t>photoreduction. It also maintains high performance in cases with simulated industrial flue gas with ∼15% CO</w:t>
      </w:r>
      <w:r>
        <w:rPr>
          <w:vertAlign w:val="subscript"/>
        </w:rPr>
        <w:t>2</w:t>
      </w:r>
      <w:r>
        <w:t>and a Martian‐like atmosphere with ∼95% CO</w:t>
      </w:r>
      <w:r>
        <w:rPr>
          <w:vertAlign w:val="subscript"/>
        </w:rPr>
        <w:t>2</w:t>
      </w:r>
      <w:r>
        <w:t>. These properties stem from unique electronic modulation through metal–metal bonding and intermolecular assembly for high‐activity reaction channels. This atomically precise cobalt‐backboned oligomer opens a new avenue for designing photocatalysts.</w:t>
      </w:r>
    </w:p>
    <w:p>
      <w:pPr>
        <w:spacing w:before="120" w:after="120"/>
      </w:pPr>
      <w:r>
        <w:rPr>
          <w:sz w:val="18"/>
        </w:rPr>
        <w:t>——————————————————————————————————————————————————————————————————————</w:t>
      </w:r>
    </w:p>
    <w:p>
      <w:pPr>
        <w:spacing w:before="160" w:after="40" w:line="240" w:lineRule="auto"/>
      </w:pPr>
      <w:r>
        <w:rPr>
          <w:b/>
        </w:rPr>
        <w:t xml:space="preserve">[240] </w:t>
      </w:r>
      <w:hyperlink r:id="rId360">
        <w:r>
          <w:rPr>
            <w:color w:val="1155CC"/>
            <w:u w:val="single"/>
          </w:rPr>
          <w:t>NiRu 双金属催化器中的晶体协同和函数</w:t>
        </w:r>
      </w:hyperlink>
    </w:p>
    <w:p>
      <w:pPr>
        <w:spacing w:before="0" w:after="80"/>
      </w:pPr>
      <w:r>
        <w:rPr>
          <w:i/>
          <w:sz w:val="20"/>
        </w:rPr>
        <w:t>EN: Size‐Dependent Structural Transitions Dictate Synergy and Function in Ni‐Ru Bimetallic Catalysts</w:t>
      </w:r>
    </w:p>
    <w:p>
      <w:pPr>
        <w:spacing w:before="0" w:after="120"/>
      </w:pPr>
      <w:r>
        <w:rPr>
          <w:b/>
        </w:rPr>
        <w:t xml:space="preserve">Source: </w:t>
      </w:r>
      <w:r>
        <w:t>Wiley: Angewandte Chemie International Edition: Table of Contents</w:t>
      </w:r>
      <w:r>
        <w:t xml:space="preserve">    </w:t>
      </w:r>
      <w:r>
        <w:rPr>
          <w:b/>
        </w:rPr>
        <w:t xml:space="preserve">Pub date: </w:t>
      </w:r>
      <w:r>
        <w:t>2026-01-20 05:56:38+00:00</w:t>
      </w:r>
      <w:r>
        <w:t xml:space="preserve">    </w:t>
      </w:r>
      <w:r>
        <w:rPr>
          <w:b/>
        </w:rPr>
        <w:t xml:space="preserve">DOI: </w:t>
      </w:r>
      <w:hyperlink r:id="rId361">
        <w:r>
          <w:rPr>
            <w:color w:val="1155CC"/>
            <w:u w:val="single"/>
          </w:rPr>
          <w:t>10.1002/anie.4017792</w:t>
        </w:r>
      </w:hyperlink>
    </w:p>
    <w:p>
      <w:pPr>
        <w:spacing w:before="0" w:after="120"/>
      </w:pPr>
      <w:r>
        <w:rPr>
          <w:b/>
        </w:rPr>
        <w:t xml:space="preserve">Notes: </w:t>
      </w:r>
      <w:r>
        <w:t>abstract_source=crossref</w:t>
      </w:r>
    </w:p>
    <w:p>
      <w:pPr>
        <w:spacing w:before="0" w:after="80" w:lineRule="auto" w:line="276"/>
      </w:pPr>
      <w:r>
        <w:rPr>
          <w:b/>
        </w:rPr>
        <w:t xml:space="preserve">摘要（ZH）: </w:t>
      </w:r>
      <w:r>
        <w:t>对协同互动的抽象精确控制对于双金属催化剂的合理设计至关重要,但金属粒子大小的支配作用仍然难以捉摸。在这里,我们发现了一个一般尺寸依赖原则,该原则在生物量和CO2的共转化过程中决定了Niüru/CeO 2催化剂的结构和功能转型。 原子分散于CeO 2的Ni和Ru地点明显地显示出协同效应,明显地加强了生物量的CO2变化,因为存在独立的金属场地。</w:t>
      </w:r>
    </w:p>
    <w:p>
      <w:pPr>
        <w:spacing w:before="0" w:after="200" w:lineRule="auto" w:line="276"/>
      </w:pPr>
      <w:r>
        <w:rPr>
          <w:b/>
        </w:rPr>
        <w:t xml:space="preserve">Abstract (EN): </w:t>
      </w:r>
      <w:r>
        <w:t>Precise control over synergistic interactions is essential for the rational design of bimetallic catalysts, yet the governing role of metal particle size remains elusive. Here, we uncover a general size‐dependent principle that dictates structural and functional transitions in Ni‐Ru/CeO</w:t>
      </w:r>
      <w:r>
        <w:rPr>
          <w:vertAlign w:val="subscript"/>
        </w:rPr>
        <w:t>2</w:t>
      </w:r>
      <w:r>
        <w:t>catalysts during the co‐conversion of biomass and CO</w:t>
      </w:r>
      <w:r>
        <w:rPr>
          <w:vertAlign w:val="subscript"/>
        </w:rPr>
        <w:t>2</w:t>
      </w:r>
      <w:r>
        <w:t>. Atomically dispersed Ni and Ru sites on CeO</w:t>
      </w:r>
      <w:r>
        <w:rPr>
          <w:vertAlign w:val="subscript"/>
        </w:rPr>
        <w:t>2</w:t>
      </w:r>
      <w:r>
        <w:t>exhibit pronounced synergistic effects that markedly enhance CO</w:t>
      </w:r>
      <w:r>
        <w:rPr>
          <w:vertAlign w:val="subscript"/>
        </w:rPr>
        <w:t>2</w:t>
      </w:r>
      <w:r>
        <w:t>reforming of biomass, arising from the presence of independent metallic sites. In contrast, Ni nanoparticles with interspersed Ru form Ni‐Ru alloys that confer exceptional stability with only moderate activity loss. This size‐dependent structural transition induces a functional switch governing reaction pathway, coke deposition from encapsulated carbon to carbon nanotubes, and the trade‐off between catalytic activity and durability. These findings elucidate the mechanistic basis of size‐dependent interactions in Ni‐Ru bimetallic systems and guide the rational design of stable, high‐performance catalysts.</w:t>
      </w:r>
    </w:p>
    <w:p>
      <w:pPr>
        <w:spacing w:before="120" w:after="120"/>
      </w:pPr>
      <w:r>
        <w:rPr>
          <w:sz w:val="18"/>
        </w:rPr>
        <w:t>——————————————————————————————————————————————————————————————————————</w:t>
      </w:r>
    </w:p>
    <w:p>
      <w:pPr>
        <w:spacing w:before="160" w:after="40" w:line="240" w:lineRule="auto"/>
      </w:pPr>
      <w:r>
        <w:rPr>
          <w:b/>
        </w:rPr>
        <w:t xml:space="preserve">[241] </w:t>
      </w:r>
      <w:hyperlink r:id="rId362">
        <w:r>
          <w:rPr>
            <w:color w:val="1155CC"/>
            <w:u w:val="single"/>
          </w:rPr>
          <w:t>(Liquid) 弹性电子单立微修算法金属光阻光剂</w:t>
        </w:r>
      </w:hyperlink>
    </w:p>
    <w:p>
      <w:pPr>
        <w:spacing w:before="0" w:after="80"/>
      </w:pPr>
      <w:r>
        <w:rPr>
          <w:i/>
          <w:sz w:val="20"/>
        </w:rPr>
        <w:t>EN: (Liquid) Metallic Photoresist for Monolithic Microlithography of Elastic Electronics</w:t>
      </w:r>
    </w:p>
    <w:p>
      <w:pPr>
        <w:spacing w:before="0" w:after="120"/>
      </w:pPr>
      <w:r>
        <w:rPr>
          <w:b/>
        </w:rPr>
        <w:t xml:space="preserve">Source: </w:t>
      </w:r>
      <w:r>
        <w:t>Wiley: Advanced Materials: Table of Contents</w:t>
      </w:r>
      <w:r>
        <w:t xml:space="preserve">    </w:t>
      </w:r>
      <w:r>
        <w:rPr>
          <w:b/>
        </w:rPr>
        <w:t xml:space="preserve">Pub date: </w:t>
      </w:r>
      <w:r>
        <w:t>2026-01-20 05:57:16+00:00</w:t>
      </w:r>
      <w:r>
        <w:t xml:space="preserve">    </w:t>
      </w:r>
      <w:r>
        <w:rPr>
          <w:b/>
        </w:rPr>
        <w:t xml:space="preserve">DOI: </w:t>
      </w:r>
      <w:hyperlink r:id="rId363">
        <w:r>
          <w:rPr>
            <w:color w:val="1155CC"/>
            <w:u w:val="single"/>
          </w:rPr>
          <w:t>10.1002/adma.72140</w:t>
        </w:r>
      </w:hyperlink>
    </w:p>
    <w:p>
      <w:pPr>
        <w:spacing w:before="0" w:after="120"/>
      </w:pPr>
      <w:r>
        <w:rPr>
          <w:b/>
        </w:rPr>
        <w:t xml:space="preserve">Notes: </w:t>
      </w:r>
      <w:r>
        <w:t>abstract_source=crossref</w:t>
      </w:r>
    </w:p>
    <w:p>
      <w:pPr>
        <w:spacing w:before="0" w:after="80" w:lineRule="auto" w:line="276"/>
      </w:pPr>
      <w:r>
        <w:rPr>
          <w:b/>
        </w:rPr>
        <w:t xml:space="preserve">摘要（ZH）: </w:t>
      </w:r>
      <w:r>
        <w:t>ABSTACT 通过提供与生物组织类似的机械合规性,弹性电子显示在可磨损和植入电子、交互式机器人和神经界面方面的巨大潜力。通过先进的微制造对弹性电子进行微型化,对于提高高质量和全面信息处理的设备密度至关重要。清洁室照相平版印刷通常用于微型摄影师,其模式随后通过升降或蚀工艺转移到硬金属或半导体材料中。然而,这种微妙的过程是排他性的,不能直接转换为通常以非常规材料为基础的结构弹性电子。在这里,我们开发了一种金属摄影师,Ba。</w:t>
      </w:r>
    </w:p>
    <w:p>
      <w:pPr>
        <w:spacing w:before="0" w:after="200" w:lineRule="auto" w:line="276"/>
      </w:pPr>
      <w:r>
        <w:rPr>
          <w:b/>
        </w:rPr>
        <w:t xml:space="preserve">Abstract (EN): </w:t>
      </w:r>
      <w:r>
        <w:t>By offering mechanical compliance similar to biological tissue, elastic electronics show great potential in wearable and implanted electronics, interactive robots, and neural interfaces. Miniaturization of elastic electronics through advanced microfabrication is essential to increase device density for high‐quality and comprehensive information processing. Cleanroom photolithography is conventionally used for micropatterning photoresists, whose patterns are then transferred to rigid metal or semiconductor materials through lift‐off or etching processes. However, such delicate processes are exclusive and cannot be directly translated to fabricate elastic electronics, which are usually based on unconventional materials. Here, we developed a metallic photoresist, based on ligand‐encapsulated eutectic gallium‐indium liquid metal nanoparticles, and an associated microfabrication process that enables direct, single‐step liquid metal microlithography across wafer‐scale areas. By leveraging tunable covalent and noncovalent interactions at liquid metal nanoparticles interfaces, this method achieves 2 µm resolution, bulk‐level conductivity, and 3D topology matching of liquid metal patterns, while maintaining over 750% stretchability. We demonstrate the versatility of this approach by fabricating multi‐scale elastic electronics, from high‐resolution liquid metal grid transparent electrodes and ECoG neural electrodes to large‐area flexible printed circuit boards.</w:t>
      </w:r>
    </w:p>
    <w:p>
      <w:pPr>
        <w:spacing w:before="120" w:after="120"/>
      </w:pPr>
      <w:r>
        <w:rPr>
          <w:sz w:val="18"/>
        </w:rPr>
        <w:t>——————————————————————————————————————————————————————————————————————</w:t>
      </w:r>
    </w:p>
    <w:p>
      <w:pPr>
        <w:spacing w:before="160" w:after="40" w:line="240" w:lineRule="auto"/>
      </w:pPr>
      <w:r>
        <w:rPr>
          <w:b/>
        </w:rPr>
        <w:t xml:space="preserve">[242] </w:t>
      </w:r>
      <w:hyperlink r:id="rId364">
        <w:r>
          <w:rPr>
            <w:color w:val="1155CC"/>
            <w:u w:val="single"/>
          </w:rPr>
          <w:t>预测,C - 热解解剖债券形成过程中的红亮光反光气体催化器数据驱动设计</w:t>
        </w:r>
      </w:hyperlink>
    </w:p>
    <w:p>
      <w:pPr>
        <w:spacing w:before="0" w:after="80"/>
      </w:pPr>
      <w:r>
        <w:rPr>
          <w:i/>
          <w:sz w:val="20"/>
        </w:rPr>
        <w:t>EN: Predictive, Data‐Driven Design of Red‐Light Photoredox Catalysts for C─Heteroatom Bond Formation</w:t>
      </w:r>
    </w:p>
    <w:p>
      <w:pPr>
        <w:spacing w:before="0" w:after="120"/>
      </w:pPr>
      <w:r>
        <w:rPr>
          <w:b/>
        </w:rPr>
        <w:t xml:space="preserve">Source: </w:t>
      </w:r>
      <w:r>
        <w:t>Wiley: Angewandte Chemie International Edition: Table of Contents</w:t>
      </w:r>
      <w:r>
        <w:t xml:space="preserve">    </w:t>
      </w:r>
      <w:r>
        <w:rPr>
          <w:b/>
        </w:rPr>
        <w:t xml:space="preserve">Pub date: </w:t>
      </w:r>
      <w:r>
        <w:t>2026-01-20 05:57:45+00:00</w:t>
      </w:r>
      <w:r>
        <w:t xml:space="preserve">    </w:t>
      </w:r>
      <w:r>
        <w:rPr>
          <w:b/>
        </w:rPr>
        <w:t xml:space="preserve">DOI: </w:t>
      </w:r>
      <w:hyperlink r:id="rId365">
        <w:r>
          <w:rPr>
            <w:color w:val="1155CC"/>
            <w:u w:val="single"/>
          </w:rPr>
          <w:t>10.1002/anie.202526086</w:t>
        </w:r>
      </w:hyperlink>
    </w:p>
    <w:p>
      <w:pPr>
        <w:spacing w:before="0" w:after="120"/>
      </w:pPr>
      <w:r>
        <w:rPr>
          <w:b/>
        </w:rPr>
        <w:t xml:space="preserve">Notes: </w:t>
      </w:r>
      <w:r>
        <w:t>abstract_source=crossref</w:t>
      </w:r>
    </w:p>
    <w:p>
      <w:pPr>
        <w:spacing w:before="0" w:after="80" w:lineRule="auto" w:line="276"/>
      </w:pPr>
      <w:r>
        <w:rPr>
          <w:b/>
        </w:rPr>
        <w:t xml:space="preserve">摘要（ZH）: </w:t>
      </w:r>
      <w:r>
        <w:t>光电解析是合成有机分子的有力工具,但其广泛应用却因依赖高能光源和昂贵的金属基催化剂而受阻,因为依赖高能光源和昂贵的金属基催化剂可以限制可缩放性和环境可持续性。在本研究中,我们提出了为高效红光吸收而设计的有机染料的模块设计战略,使低能辐照下光催化反应成为可能。我们的调查结果明确确定了光能催化剂的氧化潜力与其捐赠者协会的性质之间的关系,以及其核心结构的减少潜力与电子特征之间的关系。此外,我们证明E的氧化潜力与核心结构的电子特征之间有着明确的关系。</w:t>
      </w:r>
    </w:p>
    <w:p>
      <w:pPr>
        <w:spacing w:before="0" w:after="200" w:lineRule="auto" w:line="276"/>
      </w:pPr>
      <w:r>
        <w:rPr>
          <w:b/>
        </w:rPr>
        <w:t xml:space="preserve">Abstract (EN): </w:t>
      </w:r>
      <w:r>
        <w:t>Photocatalysis is a powerful tool for the synthesis of organic molecules, yet its widespread application is hindered by the dependence on high‐energy light sources and expensive metal‐based catalysts, which can limit scalability and environmental sustainability. In this study, we present a modular design strategy for organic dyes engineered for efficient red‐light absorption, enabling photocatalytic reactions under low‐energy irradiation. Our findings establish a clear relationship between the oxidation potential of the photocatalyst and the nature of its donor moiety, as well as between the reduction potential and the electronic characteristics of its core structure. Moreover, we demonstrate that the</w:t>
      </w:r>
      <w:r>
        <w:t xml:space="preserve"> </w:t>
      </w:r>
      <w:r>
        <w:t>E</w:t>
      </w:r>
      <w:r>
        <w:t xml:space="preserve"> </w:t>
      </w:r>
      <w:r>
        <w:t>0‐0</w:t>
      </w:r>
      <w:r>
        <w:t xml:space="preserve"> </w:t>
      </w:r>
      <w:r>
        <w:t>energy of a photocatalyst can be predicted via multivariate linear regression using the donor's oxidation potential and the core's reduction potential as descriptors. Utilizing this strategy, we synthesized red‐light‐absorbing photocatalysts that efficiently promote C─heteroatom cross‐coupling reactions under mild conditions. This approach overcomes the limitations of blue‐light photocatalysis by offering broad substrate compatibility, including π‐conjugated aryl bromides and photolabile functional groups, while minimizing undesirable hydrodehalogenation. By reducing reliance on precious metals and improving energy efficiency, our approach provides a scalable alternative to traditional photocatalysis and advances the development of metal‐free photocatalysts for sustainable chemistry.</w:t>
      </w:r>
    </w:p>
    <w:p>
      <w:pPr>
        <w:spacing w:before="120" w:after="120"/>
      </w:pPr>
      <w:r>
        <w:rPr>
          <w:sz w:val="18"/>
        </w:rPr>
        <w:t>——————————————————————————————————————————————————————————————————————</w:t>
      </w:r>
    </w:p>
    <w:p>
      <w:pPr>
        <w:spacing w:before="160" w:after="40" w:line="240" w:lineRule="auto"/>
      </w:pPr>
      <w:r>
        <w:rPr>
          <w:b/>
        </w:rPr>
        <w:t xml:space="preserve">[243] </w:t>
      </w:r>
      <w:hyperlink r:id="rId366">
        <w:r>
          <w:rPr>
            <w:color w:val="1155CC"/>
            <w:u w:val="single"/>
          </w:rPr>
          <w:t>具有高振振动减压和能量吸收性能的建筑设计内部渗透阶段微拉力</w:t>
        </w:r>
      </w:hyperlink>
    </w:p>
    <w:p>
      <w:pPr>
        <w:spacing w:before="0" w:after="80"/>
      </w:pPr>
      <w:r>
        <w:rPr>
          <w:i/>
          <w:sz w:val="20"/>
        </w:rPr>
        <w:t>EN: Architected Interpenetrating Phase Microlattice With Superior Vibration Attenuation and Energy Absorption Performance</w:t>
      </w:r>
    </w:p>
    <w:p>
      <w:pPr>
        <w:spacing w:before="0" w:after="120"/>
      </w:pPr>
      <w:r>
        <w:rPr>
          <w:b/>
        </w:rPr>
        <w:t xml:space="preserve">Source: </w:t>
      </w:r>
      <w:r>
        <w:t>Wiley: Advanced Materials: Table of Contents</w:t>
      </w:r>
      <w:r>
        <w:t xml:space="preserve">    </w:t>
      </w:r>
      <w:r>
        <w:rPr>
          <w:b/>
        </w:rPr>
        <w:t xml:space="preserve">Pub date: </w:t>
      </w:r>
      <w:r>
        <w:t>2026-01-20 05:58:26+00:00</w:t>
      </w:r>
      <w:r>
        <w:t xml:space="preserve">    </w:t>
      </w:r>
      <w:r>
        <w:rPr>
          <w:b/>
        </w:rPr>
        <w:t xml:space="preserve">DOI: </w:t>
      </w:r>
      <w:hyperlink r:id="rId367">
        <w:r>
          <w:rPr>
            <w:color w:val="1155CC"/>
            <w:u w:val="single"/>
          </w:rPr>
          <w:t>10.1002/adma.202518377</w:t>
        </w:r>
      </w:hyperlink>
    </w:p>
    <w:p>
      <w:pPr>
        <w:spacing w:before="0" w:after="120"/>
      </w:pPr>
      <w:r>
        <w:rPr>
          <w:b/>
        </w:rPr>
        <w:t xml:space="preserve">Notes: </w:t>
      </w:r>
      <w:r>
        <w:t>abstract_source=crossref</w:t>
      </w:r>
    </w:p>
    <w:p>
      <w:pPr>
        <w:spacing w:before="0" w:after="80" w:lineRule="auto" w:line="276"/>
      </w:pPr>
      <w:r>
        <w:rPr>
          <w:b/>
        </w:rPr>
        <w:t xml:space="preserve">摘要（ZH）: </w:t>
      </w:r>
      <w:r>
        <w:t>随着对材料性能需求的不断增长,传统纯净材料不再符合严格要求。 由两个或两个以上完全互连的构成阶段组成的交织阶段合成材料(IPCs)因其超常能力而引起极大关注。 在这里,我们提议了一种新型的合成方法,用于以树脂骨架和软橡胶合成的交织阶段微拉特(IPMs)作为第二阶段。 不同类型IPM的压力 - 丁曲线是通过静态压缩试验获得的,通过体积效应和粘合层表层设计相结合,揭示出高度的强度和特定能量吸收。</w:t>
      </w:r>
    </w:p>
    <w:p>
      <w:pPr>
        <w:spacing w:before="0" w:after="200" w:lineRule="auto" w:line="276"/>
      </w:pPr>
      <w:r>
        <w:rPr>
          <w:b/>
        </w:rPr>
        <w:t xml:space="preserve">Abstract (EN): </w:t>
      </w:r>
      <w:r>
        <w:t>With the increasing demand for material performance, traditional pure materials no longer meet the stringent requirements. Interpenetrating phase composites (IPCs), composed of two or more completely interconnected constituent phases, have garnered significant attention for their extraordinary capabilities. Here, we propose a novel fabrication method for interpenetrating phase microlattices (IPMs) synthesized with a resin skeleton and flexible rubber as the secondary phase. The stress–strain curves of different types of IPMs were obtained by static compression tests, which revealed highly enhanced toughness and specific energy absorption through the combination of size effect and lattice topology design. Noncontact dynamic response measurements were used to analyze the dynamic properties of both skeletons and IPMs. By leveraging the intrinsic energy dissipation capacity of the introduced secondary soft phase, IPMs exhibited a maximum 76.3% attenuation range and a maximum 31.5 dB transmissibility loss. The average transmissibility versus structural density was compared with that of similar IPC attenuation systems, demonstrating the superior energy dissipation performance of the IPMs.</w:t>
      </w:r>
    </w:p>
    <w:p>
      <w:pPr>
        <w:spacing w:before="120" w:after="120"/>
      </w:pPr>
      <w:r>
        <w:rPr>
          <w:sz w:val="18"/>
        </w:rPr>
        <w:t>——————————————————————————————————————————————————————————————————————</w:t>
      </w:r>
    </w:p>
    <w:p>
      <w:pPr>
        <w:spacing w:before="160" w:after="40" w:line="240" w:lineRule="auto"/>
      </w:pPr>
      <w:r>
        <w:rPr>
          <w:b/>
        </w:rPr>
        <w:t xml:space="preserve">[244] </w:t>
      </w:r>
      <w:hyperlink r:id="rId368">
        <w:r>
          <w:rPr>
            <w:color w:val="1155CC"/>
            <w:u w:val="single"/>
          </w:rPr>
          <w:t>可视化和了解单晶有机电池中反应式联合运输Ion Grotthus</w:t>
        </w:r>
      </w:hyperlink>
    </w:p>
    <w:p>
      <w:pPr>
        <w:spacing w:before="0" w:after="80"/>
      </w:pPr>
      <w:r>
        <w:rPr>
          <w:i/>
          <w:sz w:val="20"/>
        </w:rPr>
        <w:t>EN: Visualizing and Understanding the Reaction‐Coupled Ion Grotthuss Transport in Single‐Crystal Organic Battery</w:t>
      </w:r>
    </w:p>
    <w:p>
      <w:pPr>
        <w:spacing w:before="0" w:after="120"/>
      </w:pPr>
      <w:r>
        <w:rPr>
          <w:b/>
        </w:rPr>
        <w:t xml:space="preserve">Source: </w:t>
      </w:r>
      <w:r>
        <w:t>Wiley: Angewandte Chemie International Edition: Table of Contents</w:t>
      </w:r>
      <w:r>
        <w:t xml:space="preserve">    </w:t>
      </w:r>
      <w:r>
        <w:rPr>
          <w:b/>
        </w:rPr>
        <w:t xml:space="preserve">Pub date: </w:t>
      </w:r>
      <w:r>
        <w:t>2026-01-20 05:58:52+00:00</w:t>
      </w:r>
      <w:r>
        <w:t xml:space="preserve">    </w:t>
      </w:r>
      <w:r>
        <w:rPr>
          <w:b/>
        </w:rPr>
        <w:t xml:space="preserve">DOI: </w:t>
      </w:r>
      <w:hyperlink r:id="rId369">
        <w:r>
          <w:rPr>
            <w:color w:val="1155CC"/>
            <w:u w:val="single"/>
          </w:rPr>
          <w:t>10.1002/anie.202519541</w:t>
        </w:r>
      </w:hyperlink>
    </w:p>
    <w:p>
      <w:pPr>
        <w:spacing w:before="0" w:after="120"/>
      </w:pPr>
      <w:r>
        <w:rPr>
          <w:b/>
        </w:rPr>
        <w:t xml:space="preserve">Notes: </w:t>
      </w:r>
      <w:r>
        <w:t>abstract_source=crossref</w:t>
      </w:r>
    </w:p>
    <w:p>
      <w:pPr>
        <w:spacing w:before="0" w:after="80" w:lineRule="auto" w:line="276"/>
      </w:pPr>
      <w:r>
        <w:rPr>
          <w:b/>
        </w:rPr>
        <w:t xml:space="preserve">摘要（ZH）: </w:t>
      </w:r>
      <w:r>
        <w:t>在电池性能研究中,电极材料中电极材料的动态离子扩散的抽象跟踪对电极材料的动态离子追踪长期以来对电池性能研究构成重大挑战。开发显形可视化技术以揭示离子传输动态,可以更直观和深入地了解降解机制。在这项研究中,我们为有机单晶体电极材料引入了现场光学电电化学特性鉴定方法。通过利用这些材料的电化学反应光学特性,我们成功地在有机单晶体电极中视觉了动态离子扩散过程。使用这种方法,我们发现了由Fick第一定律管理的反相相电离扩散机制。我们的结果显示,有很强的晶体-平流和依赖的 diffus。</w:t>
      </w:r>
    </w:p>
    <w:p>
      <w:pPr>
        <w:spacing w:before="0" w:after="200" w:lineRule="auto" w:line="276"/>
      </w:pPr>
      <w:r>
        <w:rPr>
          <w:b/>
        </w:rPr>
        <w:t xml:space="preserve">Abstract (EN): </w:t>
      </w:r>
      <w:r>
        <w:t>Tracking dynamic ion diffusion in electrode materials has long posed a significant challenge in battery performance research. The development of facile visualization techniques to reveal ion transport dynamics enables more intuitive and in‐depth understanding of degradation mechanisms. In this study, we introduce an in situ optical electrochemical characterization method for organic single‐crystal electrode materials. By leveraging the electrochemical‐responsive optical properties of these materials, we successfully visualized the dynamic ion diffusion process within organic single‐crystal electrodes. Using this approach, we identified a reaction‐coupled ion diffusion mechanism governed by Fick's first law. Our results reveal strong crystal‐plane‐dependent diffusion characteristics and demonstrate that reaction‐induced conductivity enhancement is a key factor enabling high‐rate performance. Furthermore, the method vividly captures ion‐intercalation‐induced volume expansion and active material dissolution/shuttling phenomena. This methodology provides fundamental insights into the kinetic behavior and degradation mechanisms of organic electrode systems and demonstrates broad applicability to other material systems.</w:t>
      </w:r>
    </w:p>
    <w:p>
      <w:pPr>
        <w:spacing w:before="120" w:after="120"/>
      </w:pPr>
      <w:r>
        <w:rPr>
          <w:sz w:val="18"/>
        </w:rPr>
        <w:t>——————————————————————————————————————————————————————————————————————</w:t>
      </w:r>
    </w:p>
    <w:p>
      <w:pPr>
        <w:spacing w:before="160" w:after="40" w:line="240" w:lineRule="auto"/>
      </w:pPr>
      <w:r>
        <w:rPr>
          <w:b/>
        </w:rPr>
        <w:t xml:space="preserve">[245] </w:t>
      </w:r>
      <w:hyperlink r:id="rId370">
        <w:r>
          <w:rPr>
            <w:color w:val="1155CC"/>
            <w:u w:val="single"/>
          </w:rPr>
          <w:t>局部酸性微环境 强化的Anodic Formalide 隔绝坑址上的电合成</w:t>
        </w:r>
      </w:hyperlink>
    </w:p>
    <w:p>
      <w:pPr>
        <w:spacing w:before="0" w:after="80"/>
      </w:pPr>
      <w:r>
        <w:rPr>
          <w:i/>
          <w:sz w:val="20"/>
        </w:rPr>
        <w:t>EN: Local Acidic Microenvironments Enhanced Anodic Formamide Electrosynthesis over Isolated Pd Sites</w:t>
      </w:r>
    </w:p>
    <w:p>
      <w:pPr>
        <w:spacing w:before="0" w:after="120"/>
      </w:pPr>
      <w:r>
        <w:rPr>
          <w:b/>
        </w:rPr>
        <w:t xml:space="preserve">Source: </w:t>
      </w:r>
      <w:r>
        <w:t>Wiley: Angewandte Chemie International Edition: Table of Contents</w:t>
      </w:r>
      <w:r>
        <w:t xml:space="preserve">    </w:t>
      </w:r>
      <w:r>
        <w:rPr>
          <w:b/>
        </w:rPr>
        <w:t xml:space="preserve">Pub date: </w:t>
      </w:r>
      <w:r>
        <w:t>2026-01-20 06:00:07+00:00</w:t>
      </w:r>
      <w:r>
        <w:t xml:space="preserve">    </w:t>
      </w:r>
      <w:r>
        <w:rPr>
          <w:b/>
        </w:rPr>
        <w:t xml:space="preserve">DOI: </w:t>
      </w:r>
      <w:hyperlink r:id="rId371">
        <w:r>
          <w:rPr>
            <w:color w:val="1155CC"/>
            <w:u w:val="single"/>
          </w:rPr>
          <w:t>10.1002/anie.202521334</w:t>
        </w:r>
      </w:hyperlink>
    </w:p>
    <w:p>
      <w:pPr>
        <w:spacing w:before="0" w:after="120"/>
      </w:pPr>
      <w:r>
        <w:rPr>
          <w:b/>
        </w:rPr>
        <w:t xml:space="preserve">Notes: </w:t>
      </w:r>
      <w:r>
        <w:t>abstract_source=crossref</w:t>
      </w:r>
    </w:p>
    <w:p>
      <w:pPr>
        <w:spacing w:before="0" w:after="80" w:lineRule="auto" w:line="276"/>
      </w:pPr>
      <w:r>
        <w:rPr>
          <w:b/>
        </w:rPr>
        <w:t xml:space="preserve">摘要（ZH）: </w:t>
      </w:r>
      <w:r>
        <w:t>乙醇和氨的电化学催化C-N氧化性结合使得在环境条件下可以进行可持续的成形合成。然而,贫穷的C-N结合选择性和有限的法拉达效率阻碍了实际应用。关键步骤是NH3在现场的核嗜血性攻击产生*CH 2 O 中间体,加强*CH 2 O 电益性,同时抑制过氧化性至关重要。在这里,以MnO 2 纳米阵列为基地的单原子实现了亚甲胺合成的状态(62.6%)和碳选择性(80.2%)。</w:t>
      </w:r>
    </w:p>
    <w:p>
      <w:pPr>
        <w:spacing w:before="0" w:after="200" w:lineRule="auto" w:line="276"/>
      </w:pPr>
      <w:r>
        <w:rPr>
          <w:b/>
        </w:rPr>
        <w:t xml:space="preserve">Abstract (EN): </w:t>
      </w:r>
      <w:r>
        <w:t>Electrocatalytic C─N oxidative coupling of methanol and ammonia enables sustainable formamide synthesis under ambient conditions. However, the poor C─N coupling selectivity and limited Faradaic efficiency hinder practical application. As the critical step involves nucleophilic attack of NH</w:t>
      </w:r>
      <w:r>
        <w:rPr>
          <w:vertAlign w:val="subscript"/>
        </w:rPr>
        <w:t>3</w:t>
      </w:r>
      <w:r>
        <w:t>on in situ generated *CH</w:t>
      </w:r>
      <w:r>
        <w:rPr>
          <w:vertAlign w:val="subscript"/>
        </w:rPr>
        <w:t>2</w:t>
      </w:r>
      <w:r>
        <w:t>O intermediates, enhancing *CH</w:t>
      </w:r>
      <w:r>
        <w:rPr>
          <w:vertAlign w:val="subscript"/>
        </w:rPr>
        <w:t>2</w:t>
      </w:r>
      <w:r>
        <w:t>O electrophilicity while suppressing over‐oxidation is essential. Herein, Pd single atoms anchored on MnO</w:t>
      </w:r>
      <w:r>
        <w:rPr>
          <w:vertAlign w:val="subscript"/>
        </w:rPr>
        <w:t>2</w:t>
      </w:r>
      <w:r>
        <w:t>nanoarrays achieve state‐of‐the‐art Faradaic efficiency (62.6%) and carbon selectivity (80.2%) for anodic formamide synthesis. In situ characterization and theoretical simulations reveal dual enhancement mechanisms: Isolated Pd sites adopt end‐on *CH</w:t>
      </w:r>
      <w:r>
        <w:rPr>
          <w:vertAlign w:val="subscript"/>
        </w:rPr>
        <w:t>2</w:t>
      </w:r>
      <w:r>
        <w:t>O adsorption to expose the electrophilic carbon, while the MnO</w:t>
      </w:r>
      <w:r>
        <w:rPr>
          <w:vertAlign w:val="subscript"/>
        </w:rPr>
        <w:t>2</w:t>
      </w:r>
      <w:r>
        <w:t>‐induced acidic microenvironment enhances *CH</w:t>
      </w:r>
      <w:r>
        <w:rPr>
          <w:vertAlign w:val="subscript"/>
        </w:rPr>
        <w:t>2</w:t>
      </w:r>
      <w:r>
        <w:t>O electrophilicity via oxygen‐atom protonation. This synergy accelerates nucleophilic attack by NH</w:t>
      </w:r>
      <w:r>
        <w:rPr>
          <w:vertAlign w:val="subscript"/>
        </w:rPr>
        <w:t>3</w:t>
      </w:r>
      <w:r>
        <w:t>, enabling efficient C─N coupling.</w:t>
      </w:r>
    </w:p>
    <w:p>
      <w:pPr>
        <w:spacing w:before="120" w:after="120"/>
      </w:pPr>
      <w:r>
        <w:rPr>
          <w:sz w:val="18"/>
        </w:rPr>
        <w:t>——————————————————————————————————————————————————————————————————————</w:t>
      </w:r>
    </w:p>
    <w:p>
      <w:pPr>
        <w:spacing w:before="160" w:after="40" w:line="240" w:lineRule="auto"/>
      </w:pPr>
      <w:r>
        <w:rPr>
          <w:b/>
        </w:rPr>
        <w:t xml:space="preserve">[246] </w:t>
      </w:r>
      <w:hyperlink r:id="rId372">
        <w:r>
          <w:rPr>
            <w:color w:val="1155CC"/>
            <w:u w:val="single"/>
          </w:rPr>
          <w:t>捐赠者库多佩·佩罗夫斯基的超质性导电</w:t>
        </w:r>
      </w:hyperlink>
    </w:p>
    <w:p>
      <w:pPr>
        <w:spacing w:before="0" w:after="80"/>
      </w:pPr>
      <w:r>
        <w:rPr>
          <w:i/>
          <w:sz w:val="20"/>
        </w:rPr>
        <w:t>EN: Superprotonic Conduction in Donor Co‐Doped Perovskites</w:t>
      </w:r>
    </w:p>
    <w:p>
      <w:pPr>
        <w:spacing w:before="0" w:after="120"/>
      </w:pPr>
      <w:r>
        <w:rPr>
          <w:b/>
        </w:rPr>
        <w:t xml:space="preserve">Source: </w:t>
      </w:r>
      <w:r>
        <w:t>Wiley: Angewandte Chemie International Edition: Table of Contents</w:t>
      </w:r>
      <w:r>
        <w:t xml:space="preserve">    </w:t>
      </w:r>
      <w:r>
        <w:rPr>
          <w:b/>
        </w:rPr>
        <w:t xml:space="preserve">Pub date: </w:t>
      </w:r>
      <w:r>
        <w:t>2026-01-20 06:02:20+00:00</w:t>
      </w:r>
      <w:r>
        <w:t xml:space="preserve">    </w:t>
      </w:r>
      <w:r>
        <w:rPr>
          <w:b/>
        </w:rPr>
        <w:t xml:space="preserve">DOI: </w:t>
      </w:r>
      <w:hyperlink r:id="rId373">
        <w:r>
          <w:rPr>
            <w:color w:val="1155CC"/>
            <w:u w:val="single"/>
          </w:rPr>
          <w:t>10.1002/anie.202521773</w:t>
        </w:r>
      </w:hyperlink>
    </w:p>
    <w:p>
      <w:pPr>
        <w:spacing w:before="0" w:after="120"/>
      </w:pPr>
      <w:r>
        <w:rPr>
          <w:b/>
        </w:rPr>
        <w:t xml:space="preserve">Notes: </w:t>
      </w:r>
      <w:r>
        <w:t>abstract_source=crossref</w:t>
      </w:r>
    </w:p>
    <w:p>
      <w:pPr>
        <w:spacing w:before="0" w:after="80" w:lineRule="auto" w:line="276"/>
      </w:pPr>
      <w:r>
        <w:rPr>
          <w:b/>
        </w:rPr>
        <w:t xml:space="preserve">摘要（ZH）: </w:t>
      </w:r>
      <w:r>
        <w:t>氢缺氧BAScO 2.5的捐赠者摘要剂量是一项未探索的战略,目的是在200-400°C的中等温度下实现高质子传导性。 在这项工作中,通过MO/W捐赠者共同编制了新的BaSc 1-x--Y Mo x W y O y y O y 3- 化合物系列。</w:t>
      </w:r>
    </w:p>
    <w:p>
      <w:pPr>
        <w:spacing w:before="0" w:after="200" w:lineRule="auto" w:line="276"/>
      </w:pPr>
      <w:r>
        <w:rPr>
          <w:b/>
        </w:rPr>
        <w:t xml:space="preserve">Abstract (EN): </w:t>
      </w:r>
      <w:r>
        <w:t>Donor doping of oxygen‐deficient BaScO</w:t>
      </w:r>
      <w:r>
        <w:t xml:space="preserve"> </w:t>
      </w:r>
      <w:r>
        <w:t>2.5</w:t>
      </w:r>
      <w:r>
        <w:t xml:space="preserve"> </w:t>
      </w:r>
      <w:r>
        <w:t>is an unexplored strategy for achieving high proton conductivity at intermediate temperatures of 200−400 °C. In this work, a new series of BaSc</w:t>
      </w:r>
      <w:r>
        <w:t xml:space="preserve"> </w:t>
      </w:r>
      <w:r>
        <w:t>1−</w:t>
      </w:r>
      <w:r>
        <w:t xml:space="preserve"> </w:t>
      </w:r>
      <w:r>
        <w:t>x</w:t>
      </w:r>
      <w:r>
        <w:t xml:space="preserve"> </w:t>
      </w:r>
      <w:r>
        <w:t>−</w:t>
      </w:r>
      <w:r>
        <w:t xml:space="preserve"> </w:t>
      </w:r>
      <w:r>
        <w:t>y</w:t>
      </w:r>
      <w:r>
        <w:t xml:space="preserve"> </w:t>
      </w:r>
      <w:r>
        <w:t>Mo</w:t>
      </w:r>
      <w:r>
        <w:t xml:space="preserve"> </w:t>
      </w:r>
      <w:r>
        <w:t>x</w:t>
      </w:r>
      <w:r>
        <w:t xml:space="preserve"> </w:t>
      </w:r>
      <w:r>
        <w:t>W</w:t>
      </w:r>
      <w:r>
        <w:t xml:space="preserve"> </w:t>
      </w:r>
      <w:r>
        <w:t>y</w:t>
      </w:r>
      <w:r>
        <w:t xml:space="preserve"> </w:t>
      </w:r>
      <w:r>
        <w:t>O</w:t>
      </w:r>
      <w:r>
        <w:t xml:space="preserve"> </w:t>
      </w:r>
      <w:r>
        <w:t>3−</w:t>
      </w:r>
      <w:r>
        <w:t xml:space="preserve"> </w:t>
      </w:r>
      <w:r>
        <w:t>δ</w:t>
      </w:r>
      <w:r>
        <w:t xml:space="preserve"> </w:t>
      </w:r>
      <w:r>
        <w:t>compounds was prepared via Mo/W donor co‐doping where</w:t>
      </w:r>
      <w:r>
        <w:t xml:space="preserve"> </w:t>
      </w:r>
      <w:r>
        <w:t>x</w:t>
      </w:r>
      <w:r>
        <w:t xml:space="preserve"> </w:t>
      </w:r>
      <w:r>
        <w:t>is the Mo content,</w:t>
      </w:r>
      <w:r>
        <w:t xml:space="preserve"> </w:t>
      </w:r>
      <w:r>
        <w:t>y</w:t>
      </w:r>
      <w:r>
        <w:t xml:space="preserve"> </w:t>
      </w:r>
      <w:r>
        <w:t>is the W content, and</w:t>
      </w:r>
      <w:r>
        <w:t xml:space="preserve"> </w:t>
      </w:r>
      <w:r>
        <w:t>δ</w:t>
      </w:r>
      <w:r>
        <w:t xml:space="preserve"> </w:t>
      </w:r>
      <w:r>
        <w:t>is the amount of oxygen vacancies. The present work reports the enhancement of proton conductivity by the Mo/W donor co‐doping of BaScO</w:t>
      </w:r>
      <w:r>
        <w:t xml:space="preserve"> </w:t>
      </w:r>
      <w:r>
        <w:t>2.5</w:t>
      </w:r>
      <w:r>
        <w:t xml:space="preserve"> </w:t>
      </w:r>
      <w:r>
        <w:t>. BaSc</w:t>
      </w:r>
      <w:r>
        <w:t xml:space="preserve"> </w:t>
      </w:r>
      <w:r>
        <w:t>0.8</w:t>
      </w:r>
      <w:r>
        <w:t xml:space="preserve"> </w:t>
      </w:r>
      <w:r>
        <w:t>Mo</w:t>
      </w:r>
      <w:r>
        <w:t xml:space="preserve"> </w:t>
      </w:r>
      <w:r>
        <w:t>0.1</w:t>
      </w:r>
      <w:r>
        <w:t xml:space="preserve"> </w:t>
      </w:r>
      <w:r>
        <w:t>W</w:t>
      </w:r>
      <w:r>
        <w:t xml:space="preserve"> </w:t>
      </w:r>
      <w:r>
        <w:t>0.1</w:t>
      </w:r>
      <w:r>
        <w:t xml:space="preserve"> </w:t>
      </w:r>
      <w:r>
        <w:t>O</w:t>
      </w:r>
      <w:r>
        <w:t xml:space="preserve"> </w:t>
      </w:r>
      <w:r>
        <w:t>2.8</w:t>
      </w:r>
      <w:r>
        <w:t xml:space="preserve"> </w:t>
      </w:r>
      <w:r>
        <w:t>exhibits exceptional proton conductivity—0.10 S cm</w:t>
      </w:r>
      <w:r>
        <w:t xml:space="preserve"> </w:t>
      </w:r>
      <w:r>
        <w:t>−</w:t>
      </w:r>
      <w:r>
        <w:rPr>
          <w:vertAlign w:val="subscript"/>
        </w:rPr>
        <w:t>1</w:t>
      </w:r>
      <w:r>
        <w:t>at 315 °C and 0.01 S cm</w:t>
      </w:r>
      <w:r>
        <w:t xml:space="preserve"> </w:t>
      </w:r>
      <w:r>
        <w:t>−</w:t>
      </w:r>
      <w:r>
        <w:rPr>
          <w:vertAlign w:val="subscript"/>
        </w:rPr>
        <w:t>1</w:t>
      </w:r>
      <w:r>
        <w:t>at 193 °C—alongside outstanding chemical stability in CO</w:t>
      </w:r>
      <w:r>
        <w:rPr>
          <w:vertAlign w:val="subscript"/>
        </w:rPr>
        <w:t>2</w:t>
      </w:r>
      <w:r>
        <w:t>, O</w:t>
      </w:r>
      <w:r>
        <w:rPr>
          <w:vertAlign w:val="subscript"/>
        </w:rPr>
        <w:t>2</w:t>
      </w:r>
      <w:r>
        <w:t>, and H</w:t>
      </w:r>
      <w:r>
        <w:rPr>
          <w:vertAlign w:val="subscript"/>
        </w:rPr>
        <w:t>2</w:t>
      </w:r>
      <w:r>
        <w:t>atmospheres. The high proton conductivity originates from the synergistic effects of abundant oxygen vacancies (</w:t>
      </w:r>
      <w:r>
        <w:t xml:space="preserve"> </w:t>
      </w:r>
      <w:r>
        <w:t>δ</w:t>
      </w:r>
      <w:r>
        <w:t xml:space="preserve"> </w:t>
      </w:r>
      <w:r>
        <w:t>= 0.2) and full hydration, yielding a high proton concentration, coupled with high proton diffusivity. The high diffusivity is attributable to the reduced proton trapping compared with acceptor and isovalent doping and overdoping due to higher proton concentration. In contrast to the acceptor co‐doping, the donor co‐doping does not increase the activation energy, resulting in lower activation energy and higher proton conductivity. These findings establish donor co‐doping into the oxygen‐deficient perovskites as a powerful design principle for next‐generation proton conductors with high proton conductivity at intermediate temperatures.</w:t>
      </w:r>
    </w:p>
    <w:p>
      <w:pPr>
        <w:spacing w:before="120" w:after="120"/>
      </w:pPr>
      <w:r>
        <w:rPr>
          <w:sz w:val="18"/>
        </w:rPr>
        <w:t>——————————————————————————————————————————————————————————————————————</w:t>
      </w:r>
    </w:p>
    <w:p>
      <w:pPr>
        <w:spacing w:before="160" w:after="40" w:line="240" w:lineRule="auto"/>
      </w:pPr>
      <w:r>
        <w:rPr>
          <w:b/>
        </w:rPr>
        <w:t xml:space="preserve">[247] </w:t>
      </w:r>
      <w:hyperlink r:id="rId374">
        <w:r>
          <w:rPr>
            <w:color w:val="1155CC"/>
            <w:u w:val="single"/>
          </w:rPr>
          <w:t>在金属无异异热光化学催化 C-H 燃烧器内晶体</w:t>
        </w:r>
      </w:hyperlink>
    </w:p>
    <w:p>
      <w:pPr>
        <w:spacing w:before="0" w:after="80"/>
      </w:pPr>
      <w:r>
        <w:rPr>
          <w:i/>
          <w:sz w:val="20"/>
        </w:rPr>
        <w:t>EN: Charge‐Regulated Pyridinic Nitrogen in Covalent Organic Frameworks for Metal‐Free Heterogeneous Photocatalytic C─H Arylation of Pyrroles</w:t>
      </w:r>
    </w:p>
    <w:p>
      <w:pPr>
        <w:spacing w:before="0" w:after="120"/>
      </w:pPr>
      <w:r>
        <w:rPr>
          <w:b/>
        </w:rPr>
        <w:t xml:space="preserve">Source: </w:t>
      </w:r>
      <w:r>
        <w:t>Wiley: Angewandte Chemie International Edition: Table of Contents</w:t>
      </w:r>
      <w:r>
        <w:t xml:space="preserve">    </w:t>
      </w:r>
      <w:r>
        <w:rPr>
          <w:b/>
        </w:rPr>
        <w:t xml:space="preserve">Pub date: </w:t>
      </w:r>
      <w:r>
        <w:t>2026-01-20 06:03:02+00:00</w:t>
      </w:r>
      <w:r>
        <w:t xml:space="preserve">    </w:t>
      </w:r>
      <w:r>
        <w:rPr>
          <w:b/>
        </w:rPr>
        <w:t xml:space="preserve">DOI: </w:t>
      </w:r>
      <w:hyperlink r:id="rId375">
        <w:r>
          <w:rPr>
            <w:color w:val="1155CC"/>
            <w:u w:val="single"/>
          </w:rPr>
          <w:t>10.1002/anie.202523681</w:t>
        </w:r>
      </w:hyperlink>
    </w:p>
    <w:p>
      <w:pPr>
        <w:spacing w:before="0" w:after="120"/>
      </w:pPr>
      <w:r>
        <w:rPr>
          <w:b/>
        </w:rPr>
        <w:t xml:space="preserve">Notes: </w:t>
      </w:r>
      <w:r>
        <w:t>abstract_source=crossref</w:t>
      </w:r>
    </w:p>
    <w:p>
      <w:pPr>
        <w:spacing w:before="0" w:after="80" w:lineRule="auto" w:line="276"/>
      </w:pPr>
      <w:r>
        <w:rPr>
          <w:b/>
        </w:rPr>
        <w:t xml:space="preserve">摘要（ZH）: </w:t>
      </w:r>
      <w:r>
        <w:t>为应对这些挑战,本研究开发了一个无金属光化催化战略,采用设计好的共价有机框架,即NTFPPyBDCOF,作为高效的多元催化剂,并配有精确定制的电子结构。 以铁质为基地的脚手架内的特定氮兴奋剂有助于对电子景观进行微调。 光谱特征描述和理论计算表明,氮兴奋剂有助于将光源电眼对进行空间分离,抑制再组合,从而进行即时合成。</w:t>
      </w:r>
    </w:p>
    <w:p>
      <w:pPr>
        <w:spacing w:before="0" w:after="200" w:lineRule="auto" w:line="276"/>
      </w:pPr>
      <w:r>
        <w:rPr>
          <w:b/>
        </w:rPr>
        <w:t xml:space="preserve">Abstract (EN): </w:t>
      </w:r>
      <w:r>
        <w:t>Conventional catalytic systems for the C─H arylation of pyrrole predominantly rely on noble metals or organic dyes, which suffer from inherent limitations such as low sustainability, challenging recyclability, and high cost. To address these challenges, this study develops a metal‐free photocatalytic strategy employing a designed covalent organic framework, N‐TFPPy‐BD‐COF, as an efficient heterogeneous catalyst with a precisely tailored electronic structure. Site‐specific nitrogen doping within the pyrene‐based scaffold enables fine‐tuning of the electronic landscape. Spectroscopic characterization and theoretical computations reveal that nitrogen doping facilitates spatial separation of photogenerated electron–hole pairs, suppresses recombination, thereby improves visible‐light absorption, prolongs charge‐carrier lifetimes, and enhances charge‐separation efficiency. Under visible‐light irradiation, the catalyst delivers outstanding performance in the arylation of pyrroles, affording a yield of 79% with 98% selectivity, surpassing those achieved by noble metal and organic dye‐based systems. Furthermore, N‐TFPPy‐BD‐COF exhibits remarkable stability as a heterogeneous catalyst, maintaining its structural integrity over ten consecutive catalytic cycles. This work not only presents a sustainable and efficient pathway for C─H arylation but also establishes a general strategy for the rational design of COF‐based photocatalysts through electronic structure engineering.</w:t>
      </w:r>
    </w:p>
    <w:p>
      <w:pPr>
        <w:spacing w:before="120" w:after="120"/>
      </w:pPr>
      <w:r>
        <w:rPr>
          <w:sz w:val="18"/>
        </w:rPr>
        <w:t>——————————————————————————————————————————————————————————————————————</w:t>
      </w:r>
    </w:p>
    <w:p>
      <w:pPr>
        <w:spacing w:before="160" w:after="40" w:line="240" w:lineRule="auto"/>
      </w:pPr>
      <w:r>
        <w:rPr>
          <w:b/>
        </w:rPr>
        <w:t xml:space="preserve">[248] </w:t>
      </w:r>
      <w:hyperlink r:id="rId376">
        <w:r>
          <w:rPr>
            <w:color w:val="1155CC"/>
            <w:u w:val="single"/>
          </w:rPr>
          <w:t>氢离子电池的干涉性激进反应能高性能成像成像石形外线极极极</w:t>
        </w:r>
      </w:hyperlink>
    </w:p>
    <w:p>
      <w:pPr>
        <w:spacing w:before="0" w:after="80"/>
      </w:pPr>
      <w:r>
        <w:rPr>
          <w:i/>
          <w:sz w:val="20"/>
        </w:rPr>
        <w:t>EN: Interfacial Radical Reaction Enables High‐Performance Graphite Anode for Potassium‐Ion Batteries</w:t>
      </w:r>
    </w:p>
    <w:p>
      <w:pPr>
        <w:spacing w:before="0" w:after="120"/>
      </w:pPr>
      <w:r>
        <w:rPr>
          <w:b/>
        </w:rPr>
        <w:t xml:space="preserve">Source: </w:t>
      </w:r>
      <w:r>
        <w:t>Wiley: Angewandte Chemie International Edition: Table of Contents</w:t>
      </w:r>
      <w:r>
        <w:t xml:space="preserve">    </w:t>
      </w:r>
      <w:r>
        <w:rPr>
          <w:b/>
        </w:rPr>
        <w:t xml:space="preserve">Pub date: </w:t>
      </w:r>
      <w:r>
        <w:t>2026-01-20 06:04:20+00:00</w:t>
      </w:r>
      <w:r>
        <w:t xml:space="preserve">    </w:t>
      </w:r>
      <w:r>
        <w:rPr>
          <w:b/>
        </w:rPr>
        <w:t xml:space="preserve">DOI: </w:t>
      </w:r>
      <w:hyperlink r:id="rId377">
        <w:r>
          <w:rPr>
            <w:color w:val="1155CC"/>
            <w:u w:val="single"/>
          </w:rPr>
          <w:t>10.1002/anie.202523259</w:t>
        </w:r>
      </w:hyperlink>
    </w:p>
    <w:p>
      <w:pPr>
        <w:spacing w:before="0" w:after="120"/>
      </w:pPr>
      <w:r>
        <w:rPr>
          <w:b/>
        </w:rPr>
        <w:t xml:space="preserve">Notes: </w:t>
      </w:r>
      <w:r>
        <w:t>abstract_source=crossref</w:t>
      </w:r>
    </w:p>
    <w:p>
      <w:pPr>
        <w:spacing w:before="0" w:after="80" w:lineRule="auto" w:line="276"/>
      </w:pPr>
      <w:r>
        <w:rPr>
          <w:b/>
        </w:rPr>
        <w:t xml:space="preserve">摘要（ZH）: </w:t>
      </w:r>
      <w:r>
        <w:t>石墨阳极中可逆的 Kintercalication 化学化学在推动大规模能源储存系统开发钾电池(PIBs)方面发挥着至关重要的作用,然而,石墨阳极中天然固态电解界面(SEI)的稳定性差,以及K+溶性溶解成石墨的交融导致循环稳定性差和反应动力迟钝。在此情况下,在石墨和露天螺旋O8基之间发现了一种机械化学引起的激进反应,并应用于在石墨上建造一个统一的有机层,在这一层中,苯氧基能够有效地促进KFSI盐分解以产生外部无机层。</w:t>
      </w:r>
    </w:p>
    <w:p>
      <w:pPr>
        <w:spacing w:before="0" w:after="200" w:lineRule="auto" w:line="276"/>
      </w:pPr>
      <w:r>
        <w:rPr>
          <w:b/>
        </w:rPr>
        <w:t xml:space="preserve">Abstract (EN): </w:t>
      </w:r>
      <w:r>
        <w:t>The reversible K‐intercalation chemistry in graphite anode plays a critical role in advancing the development of potassium‐ion batteries (PIBs) for large‐scale energy storage systems. However, the poor stability of natural solid electrolyte interface (SEI) on graphite anode as well as the co‐intercalation of K</w:t>
      </w:r>
      <w:r>
        <w:t xml:space="preserve"> </w:t>
      </w:r>
      <w:r>
        <w:t>+</w:t>
      </w:r>
      <w:r>
        <w:t xml:space="preserve"> </w:t>
      </w:r>
      <w:r>
        <w:t>‐solvent into graphite has caused poor cycling stability and sluggish reaction kinetics. Herein, a mechanochemical‐induced radical reaction between graphite and open‐shell Spiro‐O8 radicals has been discovered and applied to construct a uniform organic layer on graphite, in which the phenoxy radicals can efficiently facilitate the decomposition of KFSI salt to generate outer inorganic‐rich layer when the graphite was evaluated as anode for PIBs. The outer inorganic film can enhance K</w:t>
      </w:r>
      <w:r>
        <w:t xml:space="preserve"> </w:t>
      </w:r>
      <w:r>
        <w:t>+</w:t>
      </w:r>
      <w:r>
        <w:t xml:space="preserve"> </w:t>
      </w:r>
      <w:r>
        <w:t>transport kinetics and inhibit the co‐intercalation of K</w:t>
      </w:r>
      <w:r>
        <w:t xml:space="preserve"> </w:t>
      </w:r>
      <w:r>
        <w:t>+</w:t>
      </w:r>
      <w:r>
        <w:t xml:space="preserve"> </w:t>
      </w:r>
      <w:r>
        <w:t>‐solvent, while the inner Spiro‐O8 film can effectively accommodate the volume change during the cycling process. As a result, the highly ion‐conductive Spiro‐O8 modified graphite exhibited reversible capacity of 241.0 mAh g</w:t>
      </w:r>
      <w:r>
        <w:t xml:space="preserve"> </w:t>
      </w:r>
      <w:r>
        <w:t>−1</w:t>
      </w:r>
      <w:r>
        <w:t xml:space="preserve"> </w:t>
      </w:r>
      <w:r>
        <w:t>at 100 mA g</w:t>
      </w:r>
      <w:r>
        <w:t xml:space="preserve"> </w:t>
      </w:r>
      <w:r>
        <w:t>−1</w:t>
      </w:r>
      <w:r>
        <w:t xml:space="preserve"> </w:t>
      </w:r>
      <w:r>
        <w:t>, high‐rate capability (147.2 mAh g</w:t>
      </w:r>
      <w:r>
        <w:t xml:space="preserve"> </w:t>
      </w:r>
      <w:r>
        <w:t>−1</w:t>
      </w:r>
      <w:r>
        <w:t xml:space="preserve"> </w:t>
      </w:r>
      <w:r>
        <w:t>at 1 A g</w:t>
      </w:r>
      <w:r>
        <w:t xml:space="preserve"> </w:t>
      </w:r>
      <w:r>
        <w:t>−1</w:t>
      </w:r>
      <w:r>
        <w:t xml:space="preserve"> </w:t>
      </w:r>
      <w:r>
        <w:t>) and stable cycles more than 600 cycles with a capacity retention of 89.4 %. The interfacial radical reaction in our work provides a new avenue to solve the interface problems of graphite anode for high‐performance PIBs.</w:t>
      </w:r>
    </w:p>
    <w:p>
      <w:pPr>
        <w:spacing w:before="120" w:after="120"/>
      </w:pPr>
      <w:r>
        <w:rPr>
          <w:sz w:val="18"/>
        </w:rPr>
        <w:t>——————————————————————————————————————————————————————————————————————</w:t>
      </w:r>
    </w:p>
    <w:p>
      <w:pPr>
        <w:spacing w:before="160" w:after="40" w:line="240" w:lineRule="auto"/>
      </w:pPr>
      <w:r>
        <w:rPr>
          <w:b/>
        </w:rPr>
        <w:t xml:space="preserve">[249] </w:t>
      </w:r>
      <w:hyperlink r:id="rId378">
        <w:r>
          <w:rPr>
            <w:color w:val="1155CC"/>
            <w:u w:val="single"/>
          </w:rPr>
          <w:t>对Zr基金属 - Organ Gels: 将宏观属性与来自解决州NMR的分子信息联系起来的《控制下形成Zr基金属 - Organic Gels: 将宏观属性与分子信息联系起来》的透视</w:t>
        </w:r>
      </w:hyperlink>
    </w:p>
    <w:p>
      <w:pPr>
        <w:spacing w:before="0" w:after="80"/>
      </w:pPr>
      <w:r>
        <w:rPr>
          <w:i/>
          <w:sz w:val="20"/>
        </w:rPr>
        <w:t>EN: Insights into the Controlled Formation of Zr‐Based Metal–Organic Gels: Linking Macroscopic Properties with Molecular Information from Solution State NMR</w:t>
      </w:r>
    </w:p>
    <w:p>
      <w:pPr>
        <w:spacing w:before="0" w:after="120"/>
      </w:pPr>
      <w:r>
        <w:rPr>
          <w:b/>
        </w:rPr>
        <w:t xml:space="preserve">Source: </w:t>
      </w:r>
      <w:r>
        <w:t>Wiley: Angewandte Chemie International Edition: Table of Contents</w:t>
      </w:r>
      <w:r>
        <w:t xml:space="preserve">    </w:t>
      </w:r>
      <w:r>
        <w:rPr>
          <w:b/>
        </w:rPr>
        <w:t xml:space="preserve">Pub date: </w:t>
      </w:r>
      <w:r>
        <w:t>2026-01-20 06:07:56+00:00</w:t>
      </w:r>
      <w:r>
        <w:t xml:space="preserve">    </w:t>
      </w:r>
      <w:r>
        <w:rPr>
          <w:b/>
        </w:rPr>
        <w:t xml:space="preserve">DOI: </w:t>
      </w:r>
      <w:hyperlink r:id="rId379">
        <w:r>
          <w:rPr>
            <w:color w:val="1155CC"/>
            <w:u w:val="single"/>
          </w:rPr>
          <w:t>10.1002/anie.202520987</w:t>
        </w:r>
      </w:hyperlink>
    </w:p>
    <w:p>
      <w:pPr>
        <w:spacing w:before="0" w:after="120"/>
      </w:pPr>
      <w:r>
        <w:rPr>
          <w:b/>
        </w:rPr>
        <w:t xml:space="preserve">Notes: </w:t>
      </w:r>
      <w:r>
        <w:t>abstract_source=crossref</w:t>
      </w:r>
    </w:p>
    <w:p>
      <w:pPr>
        <w:spacing w:before="0" w:after="80" w:lineRule="auto" w:line="276"/>
      </w:pPr>
      <w:r>
        <w:rPr>
          <w:b/>
        </w:rPr>
        <w:t xml:space="preserve">摘要（ZH）: </w:t>
      </w:r>
      <w:r>
        <w:t>抽象理解和控制金属 - 有机凝胶的形成机制对于以各种应用的明确界定特性进行合理设计及其合理设计至关重要。 但是,基本上仍然缺乏能够对凝胶形成进行原子解析结构定性的快速方法。 在这里,我们首次报告对基于锌的金属 - 有机凝胶的内表形成进行分子级定性,方法是在凝胶中利用溶剂-观测到的核磁共振成光谱监测熔化过程中的溶剂结构结构。 UiO66类凝胶在温和条件下优化,即40°C,在没有酸性调制器的情况下,为在凝胶中敏感生物球分子的内嵌入提供了适合生物兼容的环境。</w:t>
      </w:r>
    </w:p>
    <w:p>
      <w:pPr>
        <w:spacing w:before="0" w:after="200" w:lineRule="auto" w:line="276"/>
      </w:pPr>
      <w:r>
        <w:rPr>
          <w:b/>
        </w:rPr>
        <w:t xml:space="preserve">Abstract (EN): </w:t>
      </w:r>
      <w:r>
        <w:t>Understanding and controlling the formation mechanisms of metal–organic gels is crucial for their rational design with well‐defined properties for diverse applications. However, rapid methodologies enabling atomic‐resolution structural characterization of gel formation are still largely lacking. Here, we report for the first time the molecular‐level characterization of the in‐situ formation of a Zr‐based metal–organic gel by monitoring solvent structuration during gelation using solvent‐observed nuclear magnetic resonance (NMR) spectroscopy. UiO‐66‐type gels were optimized under mild conditions, i.e., 40 °C and in the absence of acidic modulators, providing a biocompatible environment suitable for the in‐situ encapsulation of sensitive biomolecules during gelation. The combined analysis of saturation transfer difference and spin diffusion transfer difference NMR growth curves enabled real time monitoring of nucleation and gelation stages, revealing an excellent correlation between the progressive structuration of water within the gel network and the resulting macroscopic properties. Furthermore, we demonstrate that this NMR approach allows tracking of the in‐situ encapsulation of therapeutic biomolecules within the gel, exemplified by a glycolipid with anti‐inflammatory properties.</w:t>
      </w:r>
    </w:p>
    <w:p>
      <w:pPr>
        <w:spacing w:before="120" w:after="120"/>
      </w:pPr>
      <w:r>
        <w:rPr>
          <w:sz w:val="18"/>
        </w:rPr>
        <w:t>——————————————————————————————————————————————————————————————————————</w:t>
      </w:r>
    </w:p>
    <w:p>
      <w:pPr>
        <w:spacing w:before="160" w:after="40" w:line="240" w:lineRule="auto"/>
      </w:pPr>
      <w:r>
        <w:rPr>
          <w:b/>
        </w:rPr>
        <w:t xml:space="preserve">[250] </w:t>
      </w:r>
      <w:hyperlink r:id="rId380">
        <w:r>
          <w:rPr>
            <w:color w:val="1155CC"/>
            <w:u w:val="single"/>
          </w:rPr>
          <w:t>走向乙烯的工业电合成:在铜磷化物/甲基电催化剂上进行能量有效且稳定的乙炔半氢降解</w:t>
        </w:r>
      </w:hyperlink>
    </w:p>
    <w:p>
      <w:pPr>
        <w:spacing w:before="0" w:after="80"/>
      </w:pPr>
      <w:r>
        <w:rPr>
          <w:i/>
          <w:sz w:val="20"/>
        </w:rPr>
        <w:t>EN: Toward Industrial Electrosynthesis of Ethylene: Energy‐Efficient and Stable Acetylene Semi‐Hydrogenation on a Copper Phosphide/MXene Electrocatalyst</w:t>
      </w:r>
    </w:p>
    <w:p>
      <w:pPr>
        <w:spacing w:before="0" w:after="120"/>
      </w:pPr>
      <w:r>
        <w:rPr>
          <w:b/>
        </w:rPr>
        <w:t xml:space="preserve">Source: </w:t>
      </w:r>
      <w:r>
        <w:t>Wiley: Angewandte Chemie International Edition: Table of Contents</w:t>
      </w:r>
      <w:r>
        <w:t xml:space="preserve">    </w:t>
      </w:r>
      <w:r>
        <w:rPr>
          <w:b/>
        </w:rPr>
        <w:t xml:space="preserve">Pub date: </w:t>
      </w:r>
      <w:r>
        <w:t>2026-01-20 06:11:25+00:00</w:t>
      </w:r>
      <w:r>
        <w:t xml:space="preserve">    </w:t>
      </w:r>
      <w:r>
        <w:rPr>
          <w:b/>
        </w:rPr>
        <w:t xml:space="preserve">DOI: </w:t>
      </w:r>
      <w:hyperlink r:id="rId381">
        <w:r>
          <w:rPr>
            <w:color w:val="1155CC"/>
            <w:u w:val="single"/>
          </w:rPr>
          <w:t>10.1002/anie.202518909</w:t>
        </w:r>
      </w:hyperlink>
    </w:p>
    <w:p>
      <w:pPr>
        <w:spacing w:before="0" w:after="120"/>
      </w:pPr>
      <w:r>
        <w:rPr>
          <w:b/>
        </w:rPr>
        <w:t xml:space="preserve">Notes: </w:t>
      </w:r>
      <w:r>
        <w:t>abstract_source=crossref</w:t>
      </w:r>
    </w:p>
    <w:p>
      <w:pPr>
        <w:spacing w:before="0" w:after="80" w:lineRule="auto" w:line="276"/>
      </w:pPr>
      <w:r>
        <w:rPr>
          <w:b/>
        </w:rPr>
        <w:t xml:space="preserve">摘要（ZH）: </w:t>
      </w:r>
      <w:r>
        <w:t>使用可再生电力将乙烷电电化学催电半氢化成乙烯(EHAE)是生产乙烯的一种很有希望的替代方法,然而,其相对较低的能效(EEE)和不充足的电催化剂稳定性阻碍了其工业应用。进行技术经济分析表明,当EEE在工业目前密度为0.2厘米-2厘米的工业时超过22.8%时,EHAE进程将有利可图。在这里,我们报告了一个新型电催化剂,其内含甲基苯纳米表(Ti 3 C 2)的铜磷化物(Cu 3 P)纳米粒子的新型电催化剂。</w:t>
      </w:r>
    </w:p>
    <w:p>
      <w:pPr>
        <w:spacing w:before="0" w:after="200" w:lineRule="auto" w:line="276"/>
      </w:pPr>
      <w:r>
        <w:rPr>
          <w:b/>
        </w:rPr>
        <w:t xml:space="preserve">Abstract (EN): </w:t>
      </w:r>
      <w:r>
        <w:t>Electrocatalytic semi‐hydrogenation of acetylene to ethylene (EHAE) using renewable electricity represents a promising alternative approach for ethylene production. However, its relatively low energy efficiency (EE) and insufficient electrocatalyst stability hinder its industrial applications. The conduct a techno‐economic analysis indicates that the EHAE process becomes profitable when the EE exceeds 22.8% at an industrial current density of 0.2 A cm</w:t>
      </w:r>
      <w:r>
        <w:t xml:space="preserve"> </w:t>
      </w:r>
      <w:r>
        <w:t>−2</w:t>
      </w:r>
      <w:r>
        <w:t xml:space="preserve"> </w:t>
      </w:r>
      <w:r>
        <w:t>. Herein, we report a novel electrocatalyst featuring firmly immobilized copper phosphide (Cu</w:t>
      </w:r>
      <w:r>
        <w:rPr>
          <w:vertAlign w:val="subscript"/>
        </w:rPr>
        <w:t>3</w:t>
      </w:r>
      <w:r>
        <w:t>P) nanoparticles on MXene nanosheets (Ti</w:t>
      </w:r>
      <w:r>
        <w:rPr>
          <w:vertAlign w:val="subscript"/>
        </w:rPr>
        <w:t>3</w:t>
      </w:r>
      <w:r>
        <w:t>C</w:t>
      </w:r>
      <w:r>
        <w:rPr>
          <w:vertAlign w:val="subscript"/>
        </w:rPr>
        <w:t>2</w:t>
      </w:r>
      <w:r>
        <w:t>/Cu</w:t>
      </w:r>
      <w:r>
        <w:rPr>
          <w:vertAlign w:val="subscript"/>
        </w:rPr>
        <w:t>3</w:t>
      </w:r>
      <w:r>
        <w:t>P) for a stable EHAE process at industrial currents using membrane electrode assembly (MEA) system. Specifically, the Ti</w:t>
      </w:r>
      <w:r>
        <w:rPr>
          <w:vertAlign w:val="subscript"/>
        </w:rPr>
        <w:t>3</w:t>
      </w:r>
      <w:r>
        <w:t>C</w:t>
      </w:r>
      <w:r>
        <w:rPr>
          <w:vertAlign w:val="subscript"/>
        </w:rPr>
        <w:t>2</w:t>
      </w:r>
      <w:r>
        <w:t>/Cu</w:t>
      </w:r>
      <w:r>
        <w:rPr>
          <w:vertAlign w:val="subscript"/>
        </w:rPr>
        <w:t>3</w:t>
      </w:r>
      <w:r>
        <w:t>P electrocatalyst achieves an EE of 23.0% at 0.2 A cm</w:t>
      </w:r>
      <w:r>
        <w:t xml:space="preserve"> </w:t>
      </w:r>
      <w:r>
        <w:t>−2</w:t>
      </w:r>
      <w:r>
        <w:t xml:space="preserve"> </w:t>
      </w:r>
      <w:r>
        <w:t>, demonstrating its potential for practical application and economic viability. The strong interactions between Cu</w:t>
      </w:r>
      <w:r>
        <w:rPr>
          <w:vertAlign w:val="subscript"/>
        </w:rPr>
        <w:t>3</w:t>
      </w:r>
      <w:r>
        <w:t>P and Ti</w:t>
      </w:r>
      <w:r>
        <w:rPr>
          <w:vertAlign w:val="subscript"/>
        </w:rPr>
        <w:t>3</w:t>
      </w:r>
      <w:r>
        <w:t>C</w:t>
      </w:r>
      <w:r>
        <w:rPr>
          <w:vertAlign w:val="subscript"/>
        </w:rPr>
        <w:t>2</w:t>
      </w:r>
      <w:r>
        <w:t>MXene prevent the agglomeration and dissolution of Cu</w:t>
      </w:r>
      <w:r>
        <w:rPr>
          <w:vertAlign w:val="subscript"/>
        </w:rPr>
        <w:t>3</w:t>
      </w:r>
      <w:r>
        <w:t>P nanoparticles during long‐term EHAE process. Notably, in a 4 cm</w:t>
      </w:r>
      <w:r>
        <w:rPr>
          <w:vertAlign w:val="subscript"/>
        </w:rPr>
        <w:t>2</w:t>
      </w:r>
      <w:r>
        <w:t>MEA, Ti</w:t>
      </w:r>
      <w:r>
        <w:rPr>
          <w:vertAlign w:val="subscript"/>
        </w:rPr>
        <w:t>3</w:t>
      </w:r>
      <w:r>
        <w:t>C</w:t>
      </w:r>
      <w:r>
        <w:rPr>
          <w:vertAlign w:val="subscript"/>
        </w:rPr>
        <w:t>2</w:t>
      </w:r>
      <w:r>
        <w:t>/Cu</w:t>
      </w:r>
      <w:r>
        <w:rPr>
          <w:vertAlign w:val="subscript"/>
        </w:rPr>
        <w:t>3</w:t>
      </w:r>
      <w:r>
        <w:t>P catalysts can sustain high performance for 100 h at 1.0 A with an ethylene Faradaic efficiency decay of only 0.051% per hour. Quasi in situ electron paramagnetic resonance spectroscopy and theoretical calculations indicate that Ti</w:t>
      </w:r>
      <w:r>
        <w:rPr>
          <w:vertAlign w:val="subscript"/>
        </w:rPr>
        <w:t>3</w:t>
      </w:r>
      <w:r>
        <w:t>C</w:t>
      </w:r>
      <w:r>
        <w:rPr>
          <w:vertAlign w:val="subscript"/>
        </w:rPr>
        <w:t>2</w:t>
      </w:r>
      <w:r>
        <w:t>/Cu</w:t>
      </w:r>
      <w:r>
        <w:rPr>
          <w:vertAlign w:val="subscript"/>
        </w:rPr>
        <w:t>3</w:t>
      </w:r>
      <w:r>
        <w:t>P facilitates water dissociation and synergistically enhances the adsorption of acetylene and active hydrogen (H</w:t>
      </w:r>
      <w:r>
        <w:t xml:space="preserve"> </w:t>
      </w:r>
      <w:r>
        <w:t>*</w:t>
      </w:r>
      <w:r>
        <w:t xml:space="preserve"> </w:t>
      </w:r>
      <w:r>
        <w:t>), thereby accelerating the kinetics of EHAE process.</w:t>
      </w:r>
    </w:p>
    <w:p>
      <w:pPr>
        <w:spacing w:before="120" w:after="120"/>
      </w:pPr>
      <w:r>
        <w:rPr>
          <w:sz w:val="18"/>
        </w:rPr>
        <w:t>——————————————————————————————————————————————————————————————————————</w:t>
      </w:r>
    </w:p>
    <w:p>
      <w:pPr>
        <w:spacing w:before="160" w:after="40" w:line="240" w:lineRule="auto"/>
      </w:pPr>
      <w:r>
        <w:rPr>
          <w:b/>
        </w:rPr>
        <w:t xml:space="preserve">[251] </w:t>
      </w:r>
      <w:hyperlink r:id="rId382">
        <w:r>
          <w:rPr>
            <w:color w:val="1155CC"/>
            <w:u w:val="single"/>
          </w:rPr>
          <w:t>多价金属电池中的氯化化学:从中间阶段到散装阶段</w:t>
        </w:r>
      </w:hyperlink>
    </w:p>
    <w:p>
      <w:pPr>
        <w:spacing w:before="0" w:after="80"/>
      </w:pPr>
      <w:r>
        <w:rPr>
          <w:i/>
          <w:sz w:val="20"/>
        </w:rPr>
        <w:t>EN: Chloride Chemistry in Multivalent‐Metal Batteries: From Interphase to Bulk Phase</w:t>
      </w:r>
    </w:p>
    <w:p>
      <w:pPr>
        <w:spacing w:before="0" w:after="120"/>
      </w:pPr>
      <w:r>
        <w:rPr>
          <w:b/>
        </w:rPr>
        <w:t xml:space="preserve">Source: </w:t>
      </w:r>
      <w:r>
        <w:t>Wiley: Angewandte Chemie International Edition: Table of Contents</w:t>
      </w:r>
      <w:r>
        <w:t xml:space="preserve">    </w:t>
      </w:r>
      <w:r>
        <w:rPr>
          <w:b/>
        </w:rPr>
        <w:t xml:space="preserve">Pub date: </w:t>
      </w:r>
      <w:r>
        <w:t>2026-01-20 06:13:20+00:00</w:t>
      </w:r>
      <w:r>
        <w:t xml:space="preserve">    </w:t>
      </w:r>
      <w:r>
        <w:rPr>
          <w:b/>
        </w:rPr>
        <w:t xml:space="preserve">DOI: </w:t>
      </w:r>
      <w:hyperlink r:id="rId383">
        <w:r>
          <w:rPr>
            <w:color w:val="1155CC"/>
            <w:u w:val="single"/>
          </w:rPr>
          <w:t>10.1002/anie.202521126</w:t>
        </w:r>
      </w:hyperlink>
    </w:p>
    <w:p>
      <w:pPr>
        <w:spacing w:before="0" w:after="120"/>
      </w:pPr>
      <w:r>
        <w:rPr>
          <w:b/>
        </w:rPr>
        <w:t xml:space="preserve">Notes: </w:t>
      </w:r>
      <w:r>
        <w:t>abstract_source=crossref</w:t>
      </w:r>
    </w:p>
    <w:p>
      <w:pPr>
        <w:spacing w:before="0" w:after="80" w:lineRule="auto" w:line="276"/>
      </w:pPr>
      <w:r>
        <w:rPr>
          <w:b/>
        </w:rPr>
        <w:t xml:space="preserve">摘要（ZH）: </w:t>
      </w:r>
      <w:r>
        <w:t>抽象可充电镁电池(Mg)由于其高能量密度、内在安全性和地球丰度Mg资源,是下一代能源贮存的有希望的候选能源。然而,由于二价Mg 2+ 的溶解速度缓慢和二价Mg 2+ 的缓慢扩散,这些电池的实际应用受到限制。在这里,以氢氯化氢为基Mg电解液设计成有利于各相位和氯基渠道的汞基Mg电解解槽。建议了一项悬浮交换战略,以同时促进各相接点的快速脱尘和在阴极内迅速的Mg 2+ 扩散。详细分析显示,含氯的阴极-电解相端和MGH 的形成过程。</w:t>
      </w:r>
    </w:p>
    <w:p>
      <w:pPr>
        <w:spacing w:before="0" w:after="200" w:lineRule="auto" w:line="276"/>
      </w:pPr>
      <w:r>
        <w:rPr>
          <w:b/>
        </w:rPr>
        <w:t xml:space="preserve">Abstract (EN): </w:t>
      </w:r>
      <w:r>
        <w:t>Rechargeable magnesium (Mg) batteries are promising candidates for next‐generation energy storage due to their high energy density, intrinsic safety, and earth‐abundant Mg resources. However, their practical application is limited by sluggish desolvation and slow diffusion of divalent Mg</w:t>
      </w:r>
      <w:r>
        <w:t xml:space="preserve"> </w:t>
      </w:r>
      <w:r>
        <w:t>2+</w:t>
      </w:r>
      <w:r>
        <w:t xml:space="preserve"> </w:t>
      </w:r>
      <w:r>
        <w:t>. Here, amine‐hydrochloride‐based Mg electrolytes are designed to form favorable interphases and chloride‐based channels. A ligand exchange strategy is proposed to simultaneously promote fast desolvation on interphases and rapid Mg</w:t>
      </w:r>
      <w:r>
        <w:t xml:space="preserve"> </w:t>
      </w:r>
      <w:r>
        <w:t>2+</w:t>
      </w:r>
      <w:r>
        <w:t xml:space="preserve"> </w:t>
      </w:r>
      <w:r>
        <w:t>diffusion within cathodes. Detailed analysis reveals that the formation of the chloride‐containing cathode–electrolyte interphases and the MgH</w:t>
      </w:r>
      <w:r>
        <w:rPr>
          <w:vertAlign w:val="subscript"/>
        </w:rPr>
        <w:t>2</w:t>
      </w:r>
      <w:r>
        <w:t>‐containing anode–electrolyte interphases are found to facilitate the desolvation process of solvated Mg</w:t>
      </w:r>
      <w:r>
        <w:t xml:space="preserve"> </w:t>
      </w:r>
      <w:r>
        <w:t>2+</w:t>
      </w:r>
      <w:r>
        <w:t xml:space="preserve"> </w:t>
      </w:r>
      <w:r>
        <w:t>. Moreover, the chloride‐based channels significantly reduce the diffusion barriers of Mg</w:t>
      </w:r>
      <w:r>
        <w:t xml:space="preserve"> </w:t>
      </w:r>
      <w:r>
        <w:t>2+</w:t>
      </w:r>
      <w:r>
        <w:t xml:space="preserve"> </w:t>
      </w:r>
      <w:r>
        <w:t>in Mo</w:t>
      </w:r>
      <w:r>
        <w:rPr>
          <w:vertAlign w:val="subscript"/>
        </w:rPr>
        <w:t>6</w:t>
      </w:r>
      <w:r>
        <w:t>S</w:t>
      </w:r>
      <w:r>
        <w:rPr>
          <w:vertAlign w:val="subscript"/>
        </w:rPr>
        <w:t>8</w:t>
      </w:r>
      <w:r>
        <w:t>from 0.712  to 0.517 eV, demonstrating rapid Mg</w:t>
      </w:r>
      <w:r>
        <w:t xml:space="preserve"> </w:t>
      </w:r>
      <w:r>
        <w:t>2+</w:t>
      </w:r>
      <w:r>
        <w:t xml:space="preserve"> </w:t>
      </w:r>
      <w:r>
        <w:t>diffusion kinetics. Consequently, Mo</w:t>
      </w:r>
      <w:r>
        <w:rPr>
          <w:vertAlign w:val="subscript"/>
        </w:rPr>
        <w:t>6</w:t>
      </w:r>
      <w:r>
        <w:t>S</w:t>
      </w:r>
      <w:r>
        <w:rPr>
          <w:vertAlign w:val="subscript"/>
        </w:rPr>
        <w:t>8</w:t>
      </w:r>
      <w:r>
        <w:t>‐based full cells achieve a capacity retention of over 80% after 100 cycles at 1 C. Furthermore, this strategy is compatible with chloride‐free electrolytes, the full‐cells consisted of activated Mo</w:t>
      </w:r>
      <w:r>
        <w:rPr>
          <w:vertAlign w:val="subscript"/>
        </w:rPr>
        <w:t>6</w:t>
      </w:r>
      <w:r>
        <w:t>S</w:t>
      </w:r>
      <w:r>
        <w:rPr>
          <w:vertAlign w:val="subscript"/>
        </w:rPr>
        <w:t>8</w:t>
      </w:r>
      <w:r>
        <w:t>cathode delivers a high specific capacity exceeding 90 mA h g</w:t>
      </w:r>
      <w:r>
        <w:t xml:space="preserve"> </w:t>
      </w:r>
      <w:r>
        <w:t>−1</w:t>
      </w:r>
      <w:r>
        <w:t xml:space="preserve"> </w:t>
      </w:r>
      <w:r>
        <w:t>and 80.3% retention after 900 h of cycling. It is also applicable to organic cathodes and Mo</w:t>
      </w:r>
      <w:r>
        <w:rPr>
          <w:vertAlign w:val="subscript"/>
        </w:rPr>
        <w:t>6</w:t>
      </w:r>
      <w:r>
        <w:t>S</w:t>
      </w:r>
      <w:r>
        <w:rPr>
          <w:vertAlign w:val="subscript"/>
        </w:rPr>
        <w:t>8</w:t>
      </w:r>
      <w:r>
        <w:t>‐based calcium‐metal full‐cells. Overall, this work presents a generalizable strategy for designing high‐energy‐density rechargeable multivalent‐metal battery systems.</w:t>
      </w:r>
    </w:p>
    <w:p>
      <w:pPr>
        <w:spacing w:before="120" w:after="120"/>
      </w:pPr>
      <w:r>
        <w:rPr>
          <w:sz w:val="18"/>
        </w:rPr>
        <w:t>——————————————————————————————————————————————————————————————————————</w:t>
      </w:r>
    </w:p>
    <w:p>
      <w:pPr>
        <w:spacing w:before="160" w:after="40" w:line="240" w:lineRule="auto"/>
      </w:pPr>
      <w:r>
        <w:rPr>
          <w:b/>
        </w:rPr>
        <w:t xml:space="preserve">[252] </w:t>
      </w:r>
      <w:hyperlink r:id="rId384">
        <w:r>
          <w:rPr>
            <w:color w:val="1155CC"/>
            <w:u w:val="single"/>
          </w:rPr>
          <w:t>具有动态微相互作用的聚合性能使金属电池中立立立体电解解板的二维多元聚积薄板的可缩放合成可缩放合成</w:t>
        </w:r>
      </w:hyperlink>
    </w:p>
    <w:p>
      <w:pPr>
        <w:spacing w:before="0" w:after="80"/>
      </w:pPr>
      <w:r>
        <w:rPr>
          <w:i/>
          <w:sz w:val="20"/>
        </w:rPr>
        <w:t>EN: Dynamic Microinterfacial Polymerization Enables Scalable Synthesis of Two‐Dimensional Polymer Sheets for Quasi‐Solid‐State Electrolytes in Sodium‐Metal Batteries</w:t>
      </w:r>
    </w:p>
    <w:p>
      <w:pPr>
        <w:spacing w:before="0" w:after="120"/>
      </w:pPr>
      <w:r>
        <w:rPr>
          <w:b/>
        </w:rPr>
        <w:t xml:space="preserve">Source: </w:t>
      </w:r>
      <w:r>
        <w:t>Wiley: Angewandte Chemie International Edition: Table of Contents</w:t>
      </w:r>
      <w:r>
        <w:t xml:space="preserve">    </w:t>
      </w:r>
      <w:r>
        <w:rPr>
          <w:b/>
        </w:rPr>
        <w:t xml:space="preserve">Pub date: </w:t>
      </w:r>
      <w:r>
        <w:t>2026-01-20 06:14:41+00:00</w:t>
      </w:r>
      <w:r>
        <w:t xml:space="preserve">    </w:t>
      </w:r>
      <w:r>
        <w:rPr>
          <w:b/>
        </w:rPr>
        <w:t xml:space="preserve">DOI: </w:t>
      </w:r>
      <w:hyperlink r:id="rId385">
        <w:r>
          <w:rPr>
            <w:color w:val="1155CC"/>
            <w:u w:val="single"/>
          </w:rPr>
          <w:t>10.1002/anie.202524650</w:t>
        </w:r>
      </w:hyperlink>
    </w:p>
    <w:p>
      <w:pPr>
        <w:spacing w:before="0" w:after="120"/>
      </w:pPr>
      <w:r>
        <w:rPr>
          <w:b/>
        </w:rPr>
        <w:t xml:space="preserve">Notes: </w:t>
      </w:r>
      <w:r>
        <w:t>abstract_source=crossref</w:t>
      </w:r>
    </w:p>
    <w:p>
      <w:pPr>
        <w:spacing w:before="0" w:after="80" w:lineRule="auto" w:line="276"/>
      </w:pPr>
      <w:r>
        <w:rPr>
          <w:b/>
        </w:rPr>
        <w:t xml:space="preserve">摘要（ZH）: </w:t>
      </w:r>
      <w:r>
        <w:t>有机二维(2D)材料在广泛的应用中具有巨大潜力,然而,其实际用途因结构多样性有限和缺乏合成战略而受到限制。我们在此报告,仅仅引发聚(丙烯丙醇)双(2---氨丙基丙基醚)和1,3,5-硝基碳基三氯化物2,3,5-甲基丙基乙基醚2,3,5-甲基丙基丙基乙基乙酰三氯酸酯2-丁基乙基丙基乙基乙基乙基乙基乙基乙基乙基乙基乙基乙基乙基乙基乙基丙基丁二氯基丁二烯基乙基丁基乙基丁基乙基丁酯的不强迫性溶液就形成了一种动态的微间聚合物,可提供新型的2D聚合物薄膜(称为PEOBTA),这些薄膜可转化为Nacion,通过对氢化钠处理处理材料,然后采用一种原型氢化聚氨基氢氨基氨基丁基丁二烯基丁基丁基丁基丁基丁基丁基丁二烯基丁二苯</w:t>
      </w:r>
    </w:p>
    <w:p>
      <w:pPr>
        <w:spacing w:before="0" w:after="200" w:lineRule="auto" w:line="276"/>
      </w:pPr>
      <w:r>
        <w:rPr>
          <w:b/>
        </w:rPr>
        <w:t xml:space="preserve">Abstract (EN): </w:t>
      </w:r>
      <w:r>
        <w:t>Organic two‐dimensional (2D) materials hold great potential in a broad range of applications. However, their practical utility is constrained by limited structural diversity and a lack of synthetic strategies. Herein, we report that simply stirring immiscible solutions of poly(propylene glycol)bis(2‐aminopropyl ether) and 1,3,5‐benzenetricarbonyl trichloride results in a dynamic microinterfacial polymerization that affords novel 2D polymer sheets (designated as PEO‐BTA). These sheets can be transformed to Na‐ion conducting materials via treatment with sodium hydride, followed by incorporation of a prototypical MOF, HKUST‐1, to obtain composite sheets (MOF@PEO‐BTA‐Na) that retain the structural integrity of the original 2D polymer sheets. The 2D composite sheets can be assembled into self‐supporting membranes and used as a quasi‐solid‐state electrolyte (QSSE) with a remarkably high ionic conductivity value of 2.80 × 10</w:t>
      </w:r>
      <w:r>
        <w:t xml:space="preserve"> </w:t>
      </w:r>
      <w:r>
        <w:t>−3</w:t>
      </w:r>
      <w:r>
        <w:t xml:space="preserve"> </w:t>
      </w:r>
      <w:r>
        <w:t>S cm</w:t>
      </w:r>
      <w:r>
        <w:t xml:space="preserve"> </w:t>
      </w:r>
      <w:r>
        <w:t>−1</w:t>
      </w:r>
      <w:r>
        <w:t xml:space="preserve"> </w:t>
      </w:r>
      <w:r>
        <w:t>and a Na</w:t>
      </w:r>
      <w:r>
        <w:t xml:space="preserve"> </w:t>
      </w:r>
      <w:r>
        <w:t>+</w:t>
      </w:r>
      <w:r>
        <w:t xml:space="preserve"> </w:t>
      </w:r>
      <w:r>
        <w:t>transference number of 0.95. Consequently, the QSSE facilitates uniform Na plating in Na//Na and Na//Cu cells. Na//NaTi</w:t>
      </w:r>
      <w:r>
        <w:rPr>
          <w:vertAlign w:val="subscript"/>
        </w:rPr>
        <w:t>2</w:t>
      </w:r>
      <w:r>
        <w:t>(PO</w:t>
      </w:r>
      <w:r>
        <w:rPr>
          <w:vertAlign w:val="subscript"/>
        </w:rPr>
        <w:t>4</w:t>
      </w:r>
      <w:r>
        <w:t>)</w:t>
      </w:r>
      <w:r>
        <w:rPr>
          <w:vertAlign w:val="subscript"/>
        </w:rPr>
        <w:t>3</w:t>
      </w:r>
      <w:r>
        <w:t>cells containing MOF@PEO‐BTA‐Na QSSE exhibit a high initial specific capacity (129.1 mAh g</w:t>
      </w:r>
      <w:r>
        <w:t xml:space="preserve"> </w:t>
      </w:r>
      <w:r>
        <w:t>−1</w:t>
      </w:r>
      <w:r>
        <w:t xml:space="preserve"> </w:t>
      </w:r>
      <w:r>
        <w:t>at 0.5 C), superior rate capability (60.0 mAh g</w:t>
      </w:r>
      <w:r>
        <w:t xml:space="preserve"> </w:t>
      </w:r>
      <w:r>
        <w:t>−1</w:t>
      </w:r>
      <w:r>
        <w:t xml:space="preserve"> </w:t>
      </w:r>
      <w:r>
        <w:t>at 20 C), and high‐capacity retention (92% after 1000 cycles at 1 C). This work establishes a new, scalable approach for synthesizing 2D organic sheets with promising applications in energy‐related areas.</w:t>
      </w:r>
    </w:p>
    <w:p>
      <w:pPr>
        <w:spacing w:before="120" w:after="120"/>
      </w:pPr>
      <w:r>
        <w:rPr>
          <w:sz w:val="18"/>
        </w:rPr>
        <w:t>——————————————————————————————————————————————————————————————————————</w:t>
      </w:r>
    </w:p>
    <w:p>
      <w:pPr>
        <w:spacing w:before="160" w:after="40" w:line="240" w:lineRule="auto"/>
      </w:pPr>
      <w:r>
        <w:rPr>
          <w:b/>
        </w:rPr>
        <w:t xml:space="preserve">[253] </w:t>
      </w:r>
      <w:hyperlink r:id="rId386">
        <w:r>
          <w:rPr>
            <w:color w:val="1155CC"/>
            <w:u w:val="single"/>
          </w:rPr>
          <w:t>结合高效光电化学能源储存,利用日光自行动力生产天然海水产生的H2O2</w:t>
        </w:r>
      </w:hyperlink>
    </w:p>
    <w:p>
      <w:pPr>
        <w:spacing w:before="0" w:after="80"/>
      </w:pPr>
      <w:r>
        <w:rPr>
          <w:i/>
          <w:sz w:val="20"/>
        </w:rPr>
        <w:t>EN: A Value‐Added Solar‐Mediated Rechargeable Battery Integrating Efficient Photoelectrochemical Energy Storage with Sunlight‐Boosted Self‐Powered H2O2 Production from Natural Seawater</w:t>
      </w:r>
    </w:p>
    <w:p>
      <w:pPr>
        <w:spacing w:before="0" w:after="120"/>
      </w:pPr>
      <w:r>
        <w:rPr>
          <w:b/>
        </w:rPr>
        <w:t xml:space="preserve">Source: </w:t>
      </w:r>
      <w:r>
        <w:t>Wiley: Angewandte Chemie International Edition: Table of Contents</w:t>
      </w:r>
      <w:r>
        <w:t xml:space="preserve">    </w:t>
      </w:r>
      <w:r>
        <w:rPr>
          <w:b/>
        </w:rPr>
        <w:t xml:space="preserve">Pub date: </w:t>
      </w:r>
      <w:r>
        <w:t>2026-01-20 06:20:02+00:00</w:t>
      </w:r>
      <w:r>
        <w:t xml:space="preserve">    </w:t>
      </w:r>
      <w:r>
        <w:rPr>
          <w:b/>
        </w:rPr>
        <w:t xml:space="preserve">DOI: </w:t>
      </w:r>
      <w:hyperlink r:id="rId387">
        <w:r>
          <w:rPr>
            <w:color w:val="1155CC"/>
            <w:u w:val="single"/>
          </w:rPr>
          <w:t>10.1002/anie.202523063</w:t>
        </w:r>
      </w:hyperlink>
    </w:p>
    <w:p>
      <w:pPr>
        <w:spacing w:before="0" w:after="120"/>
      </w:pPr>
      <w:r>
        <w:rPr>
          <w:b/>
        </w:rPr>
        <w:t xml:space="preserve">Notes: </w:t>
      </w:r>
      <w:r>
        <w:t>abstract_source=crossref</w:t>
      </w:r>
    </w:p>
    <w:p>
      <w:pPr>
        <w:spacing w:before="0" w:after="80" w:lineRule="auto" w:line="276"/>
      </w:pPr>
      <w:r>
        <w:rPr>
          <w:b/>
        </w:rPr>
        <w:t xml:space="preserve">摘要（ZH）: </w:t>
      </w:r>
      <w:r>
        <w:t>开发可持续的功能电池,能够在电力储存/释放期间产生有价值的化学物质,这是具有挑战性的前沿。在这里,我们展示了一种新的电池化学,使第一种增值的太阳能中枢再充水海水电池能够将光电化学能源储存与阳光结合,光电化学能源储存与光能-自力H2O2自力H2O2(在没有外部电力/O2供应的情况下从海水中产生)。这个系统是由由A3(DCore)聚合物(MP+COP)组成的合理设计的双功能S-schemcheme 血压结合光电电聚物(MP+COP@TiO 2)组成的。</w:t>
      </w:r>
    </w:p>
    <w:p>
      <w:pPr>
        <w:spacing w:before="0" w:after="200" w:lineRule="auto" w:line="276"/>
      </w:pPr>
      <w:r>
        <w:rPr>
          <w:b/>
        </w:rPr>
        <w:t xml:space="preserve">Abstract (EN): </w:t>
      </w:r>
      <w:r>
        <w:t>Developing sustainable functional batteries capable of generating valuable chemicals during electricity storage/release represents challenging frontiers. Here, we present a new battery chemistry that enables the first value‐added solar‐mediated rechargeable seawater battery integrating photoelectrochemical energy storage with sunlight‐boosted self‐powered H</w:t>
      </w:r>
      <w:r>
        <w:rPr>
          <w:vertAlign w:val="subscript"/>
        </w:rPr>
        <w:t>2</w:t>
      </w:r>
      <w:r>
        <w:t>O</w:t>
      </w:r>
      <w:r>
        <w:rPr>
          <w:vertAlign w:val="subscript"/>
        </w:rPr>
        <w:t>2</w:t>
      </w:r>
      <w:r>
        <w:t>production from seawater without external power/O</w:t>
      </w:r>
      <w:r>
        <w:rPr>
          <w:vertAlign w:val="subscript"/>
        </w:rPr>
        <w:t>2</w:t>
      </w:r>
      <w:r>
        <w:t>supply. This system is enabled by rationally‐designed bifunctional S‐scheme heterojunction photocathodes (MP‐COP@TiO</w:t>
      </w:r>
      <w:r>
        <w:rPr>
          <w:vertAlign w:val="subscript"/>
        </w:rPr>
        <w:t>2</w:t>
      </w:r>
      <w:r>
        <w:t>) comprising A3‐(D‐core) polymer (MP‐COP) encapsulated TiO</w:t>
      </w:r>
      <w:r>
        <w:rPr>
          <w:vertAlign w:val="subscript"/>
        </w:rPr>
        <w:t>2</w:t>
      </w:r>
      <w:r>
        <w:t>. A3‐(D‐core) topology induces favorable electronic modulation that optimizes oxygen specie adsorption and steering oxygen reduction reaction (ORR) toward one‐step 2e</w:t>
      </w:r>
      <w:r>
        <w:t xml:space="preserve"> </w:t>
      </w:r>
      <w:r>
        <w:t>–</w:t>
      </w:r>
      <w:r>
        <w:t xml:space="preserve"> </w:t>
      </w:r>
      <w:r>
        <w:t>pathway—while facilitating electronic coupling with oxygen evolution reaction (OER)‐active TiO</w:t>
      </w:r>
      <w:r>
        <w:rPr>
          <w:vertAlign w:val="subscript"/>
        </w:rPr>
        <w:t>2</w:t>
      </w:r>
      <w:r>
        <w:t>to establish S‐scheme charge transfer mechanism alongside strengthened built‐in electric field. These endow MP‐COP@TiO</w:t>
      </w:r>
      <w:r>
        <w:rPr>
          <w:vertAlign w:val="subscript"/>
        </w:rPr>
        <w:t>2</w:t>
      </w:r>
      <w:r>
        <w:t>with sunlight‐boosted 4e</w:t>
      </w:r>
      <w:r>
        <w:t xml:space="preserve"> </w:t>
      </w:r>
      <w:r>
        <w:t>–</w:t>
      </w:r>
      <w:r>
        <w:t xml:space="preserve"> </w:t>
      </w:r>
      <w:r>
        <w:t>OER for in situ O</w:t>
      </w:r>
      <w:r>
        <w:rPr>
          <w:vertAlign w:val="subscript"/>
        </w:rPr>
        <w:t>2</w:t>
      </w:r>
      <w:r>
        <w:t>‐generation during photo‐charge and 2e</w:t>
      </w:r>
      <w:r>
        <w:t xml:space="preserve"> </w:t>
      </w:r>
      <w:r>
        <w:t>–</w:t>
      </w:r>
      <w:r>
        <w:t xml:space="preserve"> </w:t>
      </w:r>
      <w:r>
        <w:t>ORR for on‐site H</w:t>
      </w:r>
      <w:r>
        <w:rPr>
          <w:vertAlign w:val="subscript"/>
        </w:rPr>
        <w:t>2</w:t>
      </w:r>
      <w:r>
        <w:t>O</w:t>
      </w:r>
      <w:r>
        <w:rPr>
          <w:vertAlign w:val="subscript"/>
        </w:rPr>
        <w:t>2</w:t>
      </w:r>
      <w:r>
        <w:t>synthesis during photo‐discharge, establishing solar‐mediated self‐sustaining value‐added reaction cycles. Integrating MP‐COP@TiO</w:t>
      </w:r>
      <w:r>
        <w:rPr>
          <w:vertAlign w:val="subscript"/>
        </w:rPr>
        <w:t>2</w:t>
      </w:r>
      <w:r>
        <w:t>with sodium anodes and seawater creates previously‐unexplored functional battery, yielding remarkable H</w:t>
      </w:r>
      <w:r>
        <w:rPr>
          <w:vertAlign w:val="subscript"/>
        </w:rPr>
        <w:t>2</w:t>
      </w:r>
      <w:r>
        <w:t>O</w:t>
      </w:r>
      <w:r>
        <w:rPr>
          <w:vertAlign w:val="subscript"/>
        </w:rPr>
        <w:t>2</w:t>
      </w:r>
      <w:r>
        <w:t>yield of 5.47 mmol g</w:t>
      </w:r>
      <w:r>
        <w:t xml:space="preserve"> </w:t>
      </w:r>
      <w:r>
        <w:t>−1</w:t>
      </w:r>
      <w:r>
        <w:t xml:space="preserve"> </w:t>
      </w:r>
      <w:r>
        <w:t>h</w:t>
      </w:r>
      <w:r>
        <w:t xml:space="preserve"> </w:t>
      </w:r>
      <w:r>
        <w:t>−1</w:t>
      </w:r>
      <w:r>
        <w:t xml:space="preserve"> </w:t>
      </w:r>
      <w:r>
        <w:t>during photo‐discharge—9.4 times those in dark and exceeding most reported seawater systems while delivering near‐zero charge/discharge voltage gap under illumination. Mechanistic studies reveal promoting effect of A3‐(D‐core) modulation and its synergistic role with S‐scheme charge transfer that promotes Yeager‐type O</w:t>
      </w:r>
      <w:r>
        <w:rPr>
          <w:vertAlign w:val="subscript"/>
        </w:rPr>
        <w:t>2</w:t>
      </w:r>
      <w:r>
        <w:t>adsorption and facilitates one‐step 2e</w:t>
      </w:r>
      <w:r>
        <w:t xml:space="preserve"> </w:t>
      </w:r>
      <w:r>
        <w:t>–</w:t>
      </w:r>
      <w:r>
        <w:t xml:space="preserve"> </w:t>
      </w:r>
      <w:r>
        <w:t>ORR toward H</w:t>
      </w:r>
      <w:r>
        <w:rPr>
          <w:vertAlign w:val="subscript"/>
        </w:rPr>
        <w:t>2</w:t>
      </w:r>
      <w:r>
        <w:t>O</w:t>
      </w:r>
      <w:r>
        <w:rPr>
          <w:vertAlign w:val="subscript"/>
        </w:rPr>
        <w:t>2</w:t>
      </w:r>
      <w:r>
        <w:t>.</w:t>
      </w:r>
    </w:p>
    <w:p>
      <w:pPr>
        <w:spacing w:before="120" w:after="120"/>
      </w:pPr>
      <w:r>
        <w:rPr>
          <w:sz w:val="18"/>
        </w:rPr>
        <w:t>——————————————————————————————————————————————————————————————————————</w:t>
      </w:r>
    </w:p>
    <w:p>
      <w:pPr>
        <w:spacing w:before="160" w:after="40" w:line="240" w:lineRule="auto"/>
      </w:pPr>
      <w:r>
        <w:rPr>
          <w:b/>
        </w:rPr>
        <w:t xml:space="preserve">[254] </w:t>
      </w:r>
      <w:hyperlink r:id="rId388">
        <w:r>
          <w:rPr>
            <w:color w:val="1155CC"/>
            <w:u w:val="single"/>
          </w:rPr>
          <w:t>在被解散的LiRich Cathodes 中竞争的Ni/Mn降温和微压力结合负热膨胀</w:t>
        </w:r>
      </w:hyperlink>
    </w:p>
    <w:p>
      <w:pPr>
        <w:spacing w:before="0" w:after="80"/>
      </w:pPr>
      <w:r>
        <w:rPr>
          <w:i/>
          <w:sz w:val="20"/>
        </w:rPr>
        <w:t>EN: Competitive Ni/Mn Reduction and Microstrain‐Coupled Negative Thermal Expansion in Delithiated Li‐Rich Cathodes</w:t>
      </w:r>
    </w:p>
    <w:p>
      <w:pPr>
        <w:spacing w:before="0" w:after="120"/>
      </w:pPr>
      <w:r>
        <w:rPr>
          <w:b/>
        </w:rPr>
        <w:t xml:space="preserve">Source: </w:t>
      </w:r>
      <w:r>
        <w:t>Wiley: Angewandte Chemie International Edition: Table of Contents</w:t>
      </w:r>
      <w:r>
        <w:t xml:space="preserve">    </w:t>
      </w:r>
      <w:r>
        <w:rPr>
          <w:b/>
        </w:rPr>
        <w:t xml:space="preserve">Pub date: </w:t>
      </w:r>
      <w:r>
        <w:t>2026-01-20 06:52:48+00:00</w:t>
      </w:r>
      <w:r>
        <w:t xml:space="preserve">    </w:t>
      </w:r>
      <w:r>
        <w:rPr>
          <w:b/>
        </w:rPr>
        <w:t xml:space="preserve">DOI: </w:t>
      </w:r>
      <w:hyperlink r:id="rId389">
        <w:r>
          <w:rPr>
            <w:color w:val="1155CC"/>
            <w:u w:val="single"/>
          </w:rPr>
          <w:t>10.1002/anie.202525724</w:t>
        </w:r>
      </w:hyperlink>
    </w:p>
    <w:p>
      <w:pPr>
        <w:spacing w:before="0" w:after="120"/>
      </w:pPr>
      <w:r>
        <w:rPr>
          <w:b/>
        </w:rPr>
        <w:t xml:space="preserve">Notes: </w:t>
      </w:r>
      <w:r>
        <w:t>abstract_source=crossref</w:t>
      </w:r>
    </w:p>
    <w:p>
      <w:pPr>
        <w:spacing w:before="0" w:after="80" w:lineRule="auto" w:line="276"/>
      </w:pPr>
      <w:r>
        <w:rPr>
          <w:b/>
        </w:rPr>
        <w:t xml:space="preserve">摘要（ZH）: </w:t>
      </w:r>
      <w:r>
        <w:t>里昂电池领域对高能源密度的需求摘要表明,由于其容量高且成本低,对基于微型氧化二氮层硅酸锂含量高的热离心(LLLO)的兴趣日益浓厚,然而,由于高压操作(最高至4.8V),热离心热成为紧迫问题,加热过程中脱光的LLLLO的结构演变机制仍然不明确,因此,我们把高温度X射线分解和吸收光谱综合起来,系统调查Li 1.2 Ni0.2 Mn 0.6 O 2 (LLNMO) acr的结构和化学演变。</w:t>
      </w:r>
    </w:p>
    <w:p>
      <w:pPr>
        <w:spacing w:before="0" w:after="200" w:lineRule="auto" w:line="276"/>
      </w:pPr>
      <w:r>
        <w:rPr>
          <w:b/>
        </w:rPr>
        <w:t xml:space="preserve">Abstract (EN): </w:t>
      </w:r>
      <w:r>
        <w:t>The demand for high energy density in the field of Li‐ion batteries has intensified interest in lithium‐rich Mn‐based layered oxide cathodes (LRLOs) owing to their high capacity and low cost. Nevertheless, the thermal runaway becomes an urgent concern because of the high‐voltage operation (up to 4.8 V), and the structural evolution mechanism of delithiated LRLOs during heating remains unclear. Here, we combine in situ high‐temperature X‐ray diffraction and absorption spectroscopy to systematically investigate the structural and chemical evolution of Li</w:t>
      </w:r>
      <w:r>
        <w:t xml:space="preserve"> </w:t>
      </w:r>
      <w:r>
        <w:t>1.2</w:t>
      </w:r>
      <w:r>
        <w:t xml:space="preserve"> </w:t>
      </w:r>
      <w:r>
        <w:t>Ni</w:t>
      </w:r>
      <w:r>
        <w:t xml:space="preserve"> </w:t>
      </w:r>
      <w:r>
        <w:t>0.2</w:t>
      </w:r>
      <w:r>
        <w:t xml:space="preserve"> </w:t>
      </w:r>
      <w:r>
        <w:t>Mn</w:t>
      </w:r>
      <w:r>
        <w:t xml:space="preserve"> </w:t>
      </w:r>
      <w:r>
        <w:t>0.6</w:t>
      </w:r>
      <w:r>
        <w:t xml:space="preserve"> </w:t>
      </w:r>
      <w:r>
        <w:t>O</w:t>
      </w:r>
      <w:r>
        <w:rPr>
          <w:vertAlign w:val="subscript"/>
        </w:rPr>
        <w:t>2</w:t>
      </w:r>
      <w:r>
        <w:t>(LLNMO) across distinct charge–discharge states. Interestingly, Ni is the first element to undergo thermally induced reduction in the charged state of LLNMO. With further increasing the temperature, Mn reduction sets in, coinciding with extensive lattice oxygen loss, and a phase transition from layered to disordered layered or Li‐containing rock‐salt‐type phase occurs. More intriguingly, after the initial electrochemical cycle, LLNMO exhibits negative thermal expansion at low temperatures below 200 °C, which are attributed to the cycling‐induced microstrain accumulation and long‐range structural ordering. These findings provide a mechanistic insight into the state‐of‐charge‐dependent thermal behavior of Li‐rich layered materials and offer guidelines for designing safer, high‐capacity battery materials.</w:t>
      </w:r>
    </w:p>
    <w:p>
      <w:pPr>
        <w:spacing w:before="120" w:after="120"/>
      </w:pPr>
      <w:r>
        <w:rPr>
          <w:sz w:val="18"/>
        </w:rPr>
        <w:t>——————————————————————————————————————————————————————————————————————</w:t>
      </w:r>
    </w:p>
    <w:p>
      <w:pPr>
        <w:spacing w:before="160" w:after="40" w:line="240" w:lineRule="auto"/>
      </w:pPr>
      <w:r>
        <w:rPr>
          <w:b/>
        </w:rPr>
        <w:t xml:space="preserve">[255] </w:t>
      </w:r>
      <w:hyperlink r:id="rId390">
        <w:r>
          <w:rPr>
            <w:color w:val="1155CC"/>
            <w:u w:val="single"/>
          </w:rPr>
          <w:t>Li6PS5Cl 快速电离导体的合并行为、斯特拉因和属性如何影响粒子大小</w:t>
        </w:r>
      </w:hyperlink>
    </w:p>
    <w:p>
      <w:pPr>
        <w:spacing w:before="0" w:after="80"/>
      </w:pPr>
      <w:r>
        <w:rPr>
          <w:i/>
          <w:sz w:val="20"/>
        </w:rPr>
        <w:t>EN: How Particle Size Affects Consolidation Behavior, Strain and Properties of Li6PS5Cl Fast Ionic Conductors</w:t>
      </w:r>
    </w:p>
    <w:p>
      <w:pPr>
        <w:spacing w:before="0" w:after="120"/>
      </w:pPr>
      <w:r>
        <w:rPr>
          <w:b/>
        </w:rPr>
        <w:t xml:space="preserve">Source: </w:t>
      </w:r>
      <w:r>
        <w:t>Wiley: Advanced Energy Materials: Table of Contents</w:t>
      </w:r>
      <w:r>
        <w:t xml:space="preserve">    </w:t>
      </w:r>
      <w:r>
        <w:rPr>
          <w:b/>
        </w:rPr>
        <w:t xml:space="preserve">Pub date: </w:t>
      </w:r>
      <w:r>
        <w:t>2026-01-20 07:37:31+00:00</w:t>
      </w:r>
      <w:r>
        <w:t xml:space="preserve">    </w:t>
      </w:r>
      <w:r>
        <w:rPr>
          <w:b/>
        </w:rPr>
        <w:t xml:space="preserve">DOI: </w:t>
      </w:r>
      <w:hyperlink r:id="rId391">
        <w:r>
          <w:rPr>
            <w:color w:val="1155CC"/>
            <w:u w:val="single"/>
          </w:rPr>
          <w:t>10.1002/aenm.202505186</w:t>
        </w:r>
      </w:hyperlink>
    </w:p>
    <w:p>
      <w:pPr>
        <w:spacing w:before="0" w:after="120"/>
      </w:pPr>
      <w:r>
        <w:rPr>
          <w:b/>
        </w:rPr>
        <w:t xml:space="preserve">Notes: </w:t>
      </w:r>
      <w:r>
        <w:t>abstract_source=crossref</w:t>
      </w:r>
    </w:p>
    <w:p>
      <w:pPr>
        <w:spacing w:before="0" w:after="80" w:lineRule="auto" w:line="276"/>
      </w:pPr>
      <w:r>
        <w:rPr>
          <w:b/>
        </w:rPr>
        <w:t xml:space="preserve">摘要（ZH）: </w:t>
      </w:r>
      <w:r>
        <w:t>固体电池制造需要固体电解液的密度,以实现最佳循环性能和高能量密度。然而,这些电解液的基本紧压装置仍然不易理解。在这里,我们调查对离心导体Li 6 PS 5 PS Cl和颗粒大小分布(PSD)4至40微米之间的压力整合效应。 Heckel分析显示,小型私营部门司的样品在较低压力下具有较高的压缩性。 Xära diffrection 峰值剖析显示,应用压力诱发拉结,导致峰值扩大,而配对分布功能分析则显示,在低压力下,小私营部门的样品具有较高的压缩性。</w:t>
      </w:r>
    </w:p>
    <w:p>
      <w:pPr>
        <w:spacing w:before="0" w:after="200" w:lineRule="auto" w:line="276"/>
      </w:pPr>
      <w:r>
        <w:rPr>
          <w:b/>
        </w:rPr>
        <w:t xml:space="preserve">Abstract (EN): </w:t>
      </w:r>
      <w:r>
        <w:t>Solid‐state battery fabrication requires the densification of solid electrolytes to achieve optimal cycling performance and high energy density. However, the underlying compaction mechanisms of these electrolytes remain poorly understood. Here, we investigate the effect of pressure consolidation on the ionic conductor Li</w:t>
      </w:r>
      <w:r>
        <w:rPr>
          <w:vertAlign w:val="subscript"/>
        </w:rPr>
        <w:t>6</w:t>
      </w:r>
      <w:r>
        <w:t>PS</w:t>
      </w:r>
      <w:r>
        <w:rPr>
          <w:vertAlign w:val="subscript"/>
        </w:rPr>
        <w:t>5</w:t>
      </w:r>
      <w:r>
        <w:t>Cl with particle size distributions (PSD) ranging from 4 to 40 µm. Heckel analysis reveals that samples with smaller PSDs exhibit higher compressibility at lower pressures. X‐ray diffraction peak profiling shows that applied pressure induces lattice strain, leading to peak broadening, while pair distribution function analysis demonstrates a reduction in coherence length upon pressing. Dark‐field X‐ray microscopy further provides spatially resolved orientation maps, uncovering intragranular structural variations within individual Li</w:t>
      </w:r>
      <w:r>
        <w:rPr>
          <w:vertAlign w:val="subscript"/>
        </w:rPr>
        <w:t>6</w:t>
      </w:r>
      <w:r>
        <w:t>PS</w:t>
      </w:r>
      <w:r>
        <w:rPr>
          <w:vertAlign w:val="subscript"/>
        </w:rPr>
        <w:t>5</w:t>
      </w:r>
      <w:r>
        <w:t>Cl agglomerates after compression. To better understand the origin of stress fluctuations, we performed discrete element method simulations using the experimental PSDs. The results indicate that smaller particles and broader PSDs experience higher stresses, whereas monodisperse systems do not exhibit significant stress fluctuations with position or particle size. This suggests that the high strain observed cannot be attributed solely to smaller particles, but rather to size inhomogeneity. Overall, these findings highlight that both particle size and its distribution play a critical role in processing solid electrolytes for solid‐state batteries.</w:t>
      </w:r>
    </w:p>
    <w:p>
      <w:pPr>
        <w:spacing w:before="120" w:after="120"/>
      </w:pPr>
      <w:r>
        <w:rPr>
          <w:sz w:val="18"/>
        </w:rPr>
        <w:t>——————————————————————————————————————————————————————————————————————</w:t>
      </w:r>
    </w:p>
    <w:p>
      <w:pPr>
        <w:spacing w:before="160" w:after="40" w:line="240" w:lineRule="auto"/>
      </w:pPr>
      <w:r>
        <w:rPr>
          <w:b/>
        </w:rPr>
        <w:t xml:space="preserve">[256] </w:t>
      </w:r>
      <w:hyperlink r:id="rId392">
        <w:r>
          <w:rPr>
            <w:color w:val="1155CC"/>
            <w:u w:val="single"/>
          </w:rPr>
          <w:t>Kirkendall Strain 工程封存促进氧气在质子交换薄膜水电解器的CO3O4 CO3O4的CO3O4的进化</w:t>
        </w:r>
      </w:hyperlink>
    </w:p>
    <w:p>
      <w:pPr>
        <w:spacing w:before="0" w:after="80"/>
      </w:pPr>
      <w:r>
        <w:rPr>
          <w:i/>
          <w:sz w:val="20"/>
        </w:rPr>
        <w:t>EN: Confined Kirkendall Strain Engineering Promotes Oxygen Evolution on Co3O4 for Proton Exchange Membrane Water Electrolyzer</w:t>
      </w:r>
    </w:p>
    <w:p>
      <w:pPr>
        <w:spacing w:before="0" w:after="120"/>
      </w:pPr>
      <w:r>
        <w:rPr>
          <w:b/>
        </w:rPr>
        <w:t xml:space="preserve">Source: </w:t>
      </w:r>
      <w:r>
        <w:t>Wiley: Advanced Energy Materials: Table of Contents</w:t>
      </w:r>
      <w:r>
        <w:t xml:space="preserve">    </w:t>
      </w:r>
      <w:r>
        <w:rPr>
          <w:b/>
        </w:rPr>
        <w:t xml:space="preserve">Pub date: </w:t>
      </w:r>
      <w:r>
        <w:t>2026-01-20 07:41:02+00:00</w:t>
      </w:r>
      <w:r>
        <w:t xml:space="preserve">    </w:t>
      </w:r>
      <w:r>
        <w:rPr>
          <w:b/>
        </w:rPr>
        <w:t xml:space="preserve">DOI: </w:t>
      </w:r>
      <w:hyperlink r:id="rId393">
        <w:r>
          <w:rPr>
            <w:color w:val="1155CC"/>
            <w:u w:val="single"/>
          </w:rPr>
          <w:t>10.1002/aenm.202506692</w:t>
        </w:r>
      </w:hyperlink>
    </w:p>
    <w:p>
      <w:pPr>
        <w:spacing w:before="0" w:after="120"/>
      </w:pPr>
      <w:r>
        <w:rPr>
          <w:b/>
        </w:rPr>
        <w:t xml:space="preserve">Notes: </w:t>
      </w:r>
      <w:r>
        <w:t>abstract_source=crossref</w:t>
      </w:r>
    </w:p>
    <w:p>
      <w:pPr>
        <w:spacing w:before="0" w:after="80" w:lineRule="auto" w:line="276"/>
      </w:pPr>
      <w:r>
        <w:rPr>
          <w:b/>
        </w:rPr>
        <w:t xml:space="preserve">摘要（ZH）: </w:t>
      </w:r>
      <w:r>
        <w:t>虽然在质子交换膜水电解解器(PEMWES)中,Kirkendall氧化(KO)的简单结构将过渡性金属氧化物转化为氧进化反应(OER),但同时也触发了有害的衬垫膨胀。对于CO 3 O 4, 一种具有吸引力的IrO 2 的替代催化剂,KO 产生一个超过2.4%的免费衬衣膨胀,导致不优化的活动和稳定性。在这里,我们设计了一种封闭的KO方法,将前体的碳纳米粒子涂上原子碳层,使可控制的C 3 O 4 膨胀到0.2%之间。</w:t>
      </w:r>
    </w:p>
    <w:p>
      <w:pPr>
        <w:spacing w:before="0" w:after="200" w:lineRule="auto" w:line="276"/>
      </w:pPr>
      <w:r>
        <w:rPr>
          <w:b/>
        </w:rPr>
        <w:t xml:space="preserve">Abstract (EN): </w:t>
      </w:r>
      <w:r>
        <w:t>While Kirkendall oxidation (KO) facilely fabricates transition metal oxides for oxygen evolution reaction (OER) in proton exchange membrane water electrolyzers (PEMWEs), it concomitantly triggers detrimental lattice expansion. For Co</w:t>
      </w:r>
      <w:r>
        <w:rPr>
          <w:vertAlign w:val="subscript"/>
        </w:rPr>
        <w:t>3</w:t>
      </w:r>
      <w:r>
        <w:t>O</w:t>
      </w:r>
      <w:r>
        <w:rPr>
          <w:vertAlign w:val="subscript"/>
        </w:rPr>
        <w:t>4</w:t>
      </w:r>
      <w:r>
        <w:t>, an appealing IrO</w:t>
      </w:r>
      <w:r>
        <w:rPr>
          <w:vertAlign w:val="subscript"/>
        </w:rPr>
        <w:t>2</w:t>
      </w:r>
      <w:r>
        <w:t>‐alternative catalyst, KO generates a free lattice expansion above 2.4%, resulting in suboptimal activity and stability. Here, we design a confined KO approach and coat the precursor Co nanoparticles with atomic carbon layers, enabling controllable lattice expansion of Co</w:t>
      </w:r>
      <w:r>
        <w:rPr>
          <w:vertAlign w:val="subscript"/>
        </w:rPr>
        <w:t>3</w:t>
      </w:r>
      <w:r>
        <w:t>O</w:t>
      </w:r>
      <w:r>
        <w:rPr>
          <w:vertAlign w:val="subscript"/>
        </w:rPr>
        <w:t>4</w:t>
      </w:r>
      <w:r>
        <w:t>between 0.2% and 1.8%. For the first time, a strain‐dependent OER activity of Co</w:t>
      </w:r>
      <w:r>
        <w:rPr>
          <w:vertAlign w:val="subscript"/>
        </w:rPr>
        <w:t>3</w:t>
      </w:r>
      <w:r>
        <w:t>O</w:t>
      </w:r>
      <w:r>
        <w:rPr>
          <w:vertAlign w:val="subscript"/>
        </w:rPr>
        <w:t>4</w:t>
      </w:r>
      <w:r>
        <w:t>is established in acidic media, with an expansion strain of 1.4% exhibiting the lowest overpotential of 377 mV at 10 mA cm</w:t>
      </w:r>
      <w:r>
        <w:t xml:space="preserve"> </w:t>
      </w:r>
      <w:r>
        <w:t>−2</w:t>
      </w:r>
      <w:r>
        <w:t xml:space="preserve"> </w:t>
      </w:r>
      <w:r>
        <w:t>. Synchrotron X‐ray absorption spectroscopies and theoretical calculations unravel the adjustable lattice strain regulates the d‐band center of Co sites and further modifies the oxygenate adsorptions. When integrated into a PEMWE, the 1.4%‐strained Co</w:t>
      </w:r>
      <w:r>
        <w:rPr>
          <w:vertAlign w:val="subscript"/>
        </w:rPr>
        <w:t>3</w:t>
      </w:r>
      <w:r>
        <w:t>O</w:t>
      </w:r>
      <w:r>
        <w:rPr>
          <w:vertAlign w:val="subscript"/>
        </w:rPr>
        <w:t>4</w:t>
      </w:r>
      <w:r>
        <w:t>catalyst sustainably operates at 250 mA cm</w:t>
      </w:r>
      <w:r>
        <w:t xml:space="preserve"> </w:t>
      </w:r>
      <w:r>
        <w:t>−2</w:t>
      </w:r>
      <w:r>
        <w:t xml:space="preserve"> </w:t>
      </w:r>
      <w:r>
        <w:t>over 100 h. The reported confined KO provides a new means for strain engineering of transition metal oxides for energy electrocatalysis.</w:t>
      </w:r>
    </w:p>
    <w:p>
      <w:pPr>
        <w:spacing w:before="120" w:after="120"/>
      </w:pPr>
      <w:r>
        <w:rPr>
          <w:sz w:val="18"/>
        </w:rPr>
        <w:t>——————————————————————————————————————————————————————————————————————</w:t>
      </w:r>
    </w:p>
    <w:p>
      <w:pPr>
        <w:spacing w:before="160" w:after="40" w:line="240" w:lineRule="auto"/>
      </w:pPr>
      <w:r>
        <w:rPr>
          <w:b/>
        </w:rPr>
        <w:t xml:space="preserve">[257] </w:t>
      </w:r>
      <w:hyperlink r:id="rId394">
        <w:r>
          <w:rPr>
            <w:color w:val="1155CC"/>
            <w:u w:val="single"/>
          </w:rPr>
          <w:t>高酸氧进化的激进二分化</w:t>
        </w:r>
      </w:hyperlink>
    </w:p>
    <w:p>
      <w:pPr>
        <w:spacing w:before="0" w:after="80"/>
      </w:pPr>
      <w:r>
        <w:rPr>
          <w:i/>
          <w:sz w:val="20"/>
        </w:rPr>
        <w:t>EN: Structure Disorder‐Induced Dynamic Oxophilic Surface Boosting O* Radical Dimerization for Superior Acid Oxygen Evolution</w:t>
      </w:r>
    </w:p>
    <w:p>
      <w:pPr>
        <w:spacing w:before="0" w:after="120"/>
      </w:pPr>
      <w:r>
        <w:rPr>
          <w:b/>
        </w:rPr>
        <w:t xml:space="preserve">Source: </w:t>
      </w:r>
      <w:r>
        <w:t>Wiley: Advanced Energy Materials: Table of Contents</w:t>
      </w:r>
      <w:r>
        <w:t xml:space="preserve">    </w:t>
      </w:r>
      <w:r>
        <w:rPr>
          <w:b/>
        </w:rPr>
        <w:t xml:space="preserve">Pub date: </w:t>
      </w:r>
      <w:r>
        <w:t>2026-01-20 07:45:12+00:00</w:t>
      </w:r>
      <w:r>
        <w:t xml:space="preserve">    </w:t>
      </w:r>
      <w:r>
        <w:rPr>
          <w:b/>
        </w:rPr>
        <w:t xml:space="preserve">DOI: </w:t>
      </w:r>
      <w:hyperlink r:id="rId395">
        <w:r>
          <w:rPr>
            <w:color w:val="1155CC"/>
            <w:u w:val="single"/>
          </w:rPr>
          <w:t>10.1002/aenm.202506570</w:t>
        </w:r>
      </w:hyperlink>
    </w:p>
    <w:p>
      <w:pPr>
        <w:spacing w:before="0" w:after="120"/>
      </w:pPr>
      <w:r>
        <w:rPr>
          <w:b/>
        </w:rPr>
        <w:t xml:space="preserve">Notes: </w:t>
      </w:r>
      <w:r>
        <w:t>abstract_source=crossref</w:t>
      </w:r>
    </w:p>
    <w:p>
      <w:pPr>
        <w:spacing w:before="0" w:after="80" w:lineRule="auto" w:line="276"/>
      </w:pPr>
      <w:r>
        <w:rPr>
          <w:b/>
        </w:rPr>
        <w:t xml:space="preserve">摘要（ZH）: </w:t>
      </w:r>
      <w:r>
        <w:t>在全球范围内,质子交换膜水电解解器已经占氢市场约30%,并正在迅速扩展,然而,在PEMWE中商业使用的基新氧进化反应(OER)催化剂仍然受到明显不良的反活性极差的影响。目前,氧化物路径机制是实现在OER中高活性和耐久性的重要途径。然而,在OPM路径之后,常规的Ir基晶状OER催化剂的性能仍然远远低于其理论极限,这受到两个内在限制的极大阻碍。首先,其僵硬的悬浮结构阻止了金属距离的缩短,而金属距离是不可或缺的。</w:t>
      </w:r>
    </w:p>
    <w:p>
      <w:pPr>
        <w:spacing w:before="0" w:after="200" w:lineRule="auto" w:line="276"/>
      </w:pPr>
      <w:r>
        <w:rPr>
          <w:b/>
        </w:rPr>
        <w:t xml:space="preserve">Abstract (EN): </w:t>
      </w:r>
      <w:r>
        <w:t>Globally, the proton exchange membrane water electrolyzers (PEMWEs) already account for approximately 30% of the hydrogen market and are undergoing rapid expansion. However, the commercially used iridium‐based anodic oxygen evolution reaction (OER) catalysts in PEMWEs still suffer from notably poor reactivity. At present, the oxide pathway mechanism (OPM) is an important route to achieve both high activity and durability in OER. Nevertheless, the performance of conventional Ir‐based crystalline OER catalysts following the OPM pathway remains far below their theoretical limit, which is significantly hindered by two intrinsic limitations. First, their rigid lattice structures prevent the shortening of metal‐metal distances, which is essential to facilitate the rate‐determining O</w:t>
      </w:r>
      <w:r>
        <w:t xml:space="preserve"> </w:t>
      </w:r>
      <w:r>
        <w:t>*</w:t>
      </w:r>
      <w:r>
        <w:t xml:space="preserve"> </w:t>
      </w:r>
      <w:r>
        <w:t>─O</w:t>
      </w:r>
      <w:r>
        <w:t xml:space="preserve"> </w:t>
      </w:r>
      <w:r>
        <w:t>*</w:t>
      </w:r>
      <w:r>
        <w:t xml:space="preserve"> </w:t>
      </w:r>
      <w:r>
        <w:t>dimerization. Second, the repulsion between O</w:t>
      </w:r>
      <w:r>
        <w:t xml:space="preserve"> </w:t>
      </w:r>
      <w:r>
        <w:t>*</w:t>
      </w:r>
      <w:r>
        <w:t xml:space="preserve"> </w:t>
      </w:r>
      <w:r>
        <w:t>adsorbates during OER inevitably weakens the metal = O</w:t>
      </w:r>
      <w:r>
        <w:t xml:space="preserve"> </w:t>
      </w:r>
      <w:r>
        <w:t>*</w:t>
      </w:r>
      <w:r>
        <w:t xml:space="preserve"> </w:t>
      </w:r>
      <w:r>
        <w:t>bond and undermines the overall oxygen evolution efficiency. Herein, we report that an amorphous IrMO</w:t>
      </w:r>
      <w:r>
        <w:t xml:space="preserve"> </w:t>
      </w:r>
      <w:r>
        <w:t>x</w:t>
      </w:r>
      <w:r>
        <w:t xml:space="preserve"> </w:t>
      </w:r>
      <w:r>
        <w:t>catalyst elegantly overcomes the limitations of the OPM pathway by virtue of its dynamic surface structure and strong oxophilicity of M.  The dynamic surface structure promotes O</w:t>
      </w:r>
      <w:r>
        <w:t xml:space="preserve"> </w:t>
      </w:r>
      <w:r>
        <w:t>*</w:t>
      </w:r>
      <w:r>
        <w:t xml:space="preserve"> </w:t>
      </w:r>
      <w:r>
        <w:t>─O</w:t>
      </w:r>
      <w:r>
        <w:t xml:space="preserve"> </w:t>
      </w:r>
      <w:r>
        <w:t>*</w:t>
      </w:r>
      <w:r>
        <w:t xml:space="preserve"> </w:t>
      </w:r>
      <w:r>
        <w:t>coupling, while the oxophilic nature of M compensates for the inherent weakening of the metal = O</w:t>
      </w:r>
      <w:r>
        <w:t xml:space="preserve"> </w:t>
      </w:r>
      <w:r>
        <w:t>*</w:t>
      </w:r>
      <w:r>
        <w:t xml:space="preserve"> </w:t>
      </w:r>
      <w:r>
        <w:t>bond during OER. Because of that, the catalyst exhibits outstanding OER performance, along with excellent catalytic durability over 1200 h’ PEM testing.</w:t>
      </w:r>
    </w:p>
    <w:p>
      <w:pPr>
        <w:spacing w:before="120" w:after="120"/>
      </w:pPr>
      <w:r>
        <w:rPr>
          <w:sz w:val="18"/>
        </w:rPr>
        <w:t>——————————————————————————————————————————————————————————————————————</w:t>
      </w:r>
    </w:p>
    <w:p>
      <w:pPr>
        <w:spacing w:before="160" w:after="40" w:line="240" w:lineRule="auto"/>
      </w:pPr>
      <w:r>
        <w:rPr>
          <w:b/>
        </w:rPr>
        <w:t xml:space="preserve">[258] </w:t>
      </w:r>
      <w:hyperlink r:id="rId396">
        <w:r>
          <w:rPr>
            <w:color w:val="1155CC"/>
            <w:u w:val="single"/>
          </w:rPr>
          <w:t>(FAPbI3)微薄胶片</w:t>
        </w:r>
      </w:hyperlink>
    </w:p>
    <w:p>
      <w:pPr>
        <w:spacing w:before="0" w:after="80"/>
      </w:pPr>
      <w:r>
        <w:rPr>
          <w:i/>
          <w:sz w:val="20"/>
        </w:rPr>
        <w:t>EN: Anisotropic Strain‐Induced Centrosymmetry Breaking in Cubic Formamidinium Lead Iodide (α‐FAPbI3) Thin Films</w:t>
      </w:r>
    </w:p>
    <w:p>
      <w:pPr>
        <w:spacing w:before="0" w:after="120"/>
      </w:pPr>
      <w:r>
        <w:rPr>
          <w:b/>
        </w:rPr>
        <w:t xml:space="preserve">Source: </w:t>
      </w:r>
      <w:r>
        <w:t>Wiley: Advanced Energy Materials: Table of Contents</w:t>
      </w:r>
      <w:r>
        <w:t xml:space="preserve">    </w:t>
      </w:r>
      <w:r>
        <w:rPr>
          <w:b/>
        </w:rPr>
        <w:t xml:space="preserve">Pub date: </w:t>
      </w:r>
      <w:r>
        <w:t>2026-01-20 07:54:26+00:00</w:t>
      </w:r>
      <w:r>
        <w:t xml:space="preserve">    </w:t>
      </w:r>
      <w:r>
        <w:rPr>
          <w:b/>
        </w:rPr>
        <w:t xml:space="preserve">DOI: </w:t>
      </w:r>
      <w:hyperlink r:id="rId397">
        <w:r>
          <w:rPr>
            <w:color w:val="1155CC"/>
            <w:u w:val="single"/>
          </w:rPr>
          <w:t>10.1002/aenm.202506280</w:t>
        </w:r>
      </w:hyperlink>
    </w:p>
    <w:p>
      <w:pPr>
        <w:spacing w:before="0" w:after="120"/>
      </w:pPr>
      <w:r>
        <w:rPr>
          <w:b/>
        </w:rPr>
        <w:t xml:space="preserve">Notes: </w:t>
      </w:r>
      <w:r>
        <w:t>abstract_source=crossref</w:t>
      </w:r>
    </w:p>
    <w:p>
      <w:pPr>
        <w:spacing w:before="0" w:after="80" w:lineRule="auto" w:line="276"/>
      </w:pPr>
      <w:r>
        <w:rPr>
          <w:b/>
        </w:rPr>
        <w:t xml:space="preserve">摘要（ZH）: </w:t>
      </w:r>
      <w:r>
        <w:t>ABSTACT有机无机卤化百草枯由于其特殊的光物理特性,已成为下一代光电子装置有希望的材料。 其中,具有立方对称(空间组)的“三相铅(FAPbI 3 ) ” 已经引起人们的注意,成为太阳能电池中潜在的吸收器,以利其窄带宽度和高稳定性。关于其高性能的基本机制尚未得到充分阐明。在本研究中,我们证明在[001]优选方向的“三相铅”薄薄膜中,正对称性断裂产生于电影编造过程中不可避免的厌食菌株。</w:t>
      </w:r>
    </w:p>
    <w:p>
      <w:pPr>
        <w:spacing w:before="0" w:after="200" w:lineRule="auto" w:line="276"/>
      </w:pPr>
      <w:r>
        <w:rPr>
          <w:b/>
        </w:rPr>
        <w:t xml:space="preserve">Abstract (EN): </w:t>
      </w:r>
      <w:r>
        <w:t>Organic–inorganic halide perovskites have emerged as promising materials for next‐generation optoelectronic devices due to their exceptional photophysical properties. Among them, α‐formamidinium lead tri‐iodide (α‐FAPbI</w:t>
      </w:r>
      <w:r>
        <w:rPr>
          <w:vertAlign w:val="subscript"/>
        </w:rPr>
        <w:t>3</w:t>
      </w:r>
      <w:r>
        <w:t>) with a cubic symmetry (space group of ) has garnered attention as a potential absorber in solar cells for its narrow bandgap and superior stability. The fundamental mechanisms governing its high performance have yet to be fully elucidated. In this study, we demonstrate that centrosymmetry breaking in [001] preferentially oriented α‐FAPbI</w:t>
      </w:r>
      <w:r>
        <w:rPr>
          <w:vertAlign w:val="subscript"/>
        </w:rPr>
        <w:t>3</w:t>
      </w:r>
      <w:r>
        <w:t>thin films (POF) arises from inevitable anisotropic strain during film formation. Using circular polarization‐dependent pump‐probe transient absorption spectroscopy, we observe Rashba‐type band splitting exclusively in POF, indicating symmetry breaking. Angle‐dependent X‐ray diffraction and photoluminescence (PL) reveal significant residual stress in POF compared to randomly oriented films (ROF), confirming strain‐induced lattice distortion. Furthermore, time‐resolved PL and microwave conductivity measurements reveal top‐back inhomogeneous carrier dynamics and anisotropic charge carrier mobility, supporting the presence of the anisotropic strain‐induced symmetry breaking. Our findings provide direct experimental evidence that inevitable strain in POF induces static Rashba effects, offering new insights into strain engineering for high‐performance perovskite optoelectronics and potential quantum applications.</w:t>
      </w:r>
    </w:p>
    <w:p>
      <w:pPr>
        <w:spacing w:before="120" w:after="120"/>
      </w:pPr>
      <w:r>
        <w:rPr>
          <w:sz w:val="18"/>
        </w:rPr>
        <w:t>——————————————————————————————————————————————————————————————————————</w:t>
      </w:r>
    </w:p>
    <w:p>
      <w:pPr>
        <w:spacing w:before="160" w:after="40" w:line="240" w:lineRule="auto"/>
      </w:pPr>
      <w:r>
        <w:rPr>
          <w:b/>
        </w:rPr>
        <w:t xml:space="preserve">[259] </w:t>
      </w:r>
      <w:hyperlink r:id="rId398">
        <w:r>
          <w:rPr>
            <w:color w:val="1155CC"/>
            <w:u w:val="single"/>
          </w:rPr>
          <w:t>功能上各异的CD4+CD8+双阳性T细胞可产生单阳性T细胞</w:t>
        </w:r>
      </w:hyperlink>
    </w:p>
    <w:p>
      <w:pPr>
        <w:spacing w:before="0" w:after="80"/>
      </w:pPr>
      <w:r>
        <w:rPr>
          <w:i/>
          <w:sz w:val="20"/>
        </w:rPr>
        <w:t>EN: Functionally heterogeneous intratumoral CD4+CD8+ double-positive T cells can give rise to single-positive T cells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399">
        <w:r>
          <w:rPr>
            <w:color w:val="1155CC"/>
            <w:u w:val="single"/>
          </w:rPr>
          <w:t>10.1073/pnas.2506168123</w:t>
        </w:r>
      </w:hyperlink>
    </w:p>
    <w:p>
      <w:pPr>
        <w:spacing w:before="0" w:after="120"/>
      </w:pPr>
      <w:r>
        <w:rPr>
          <w:b/>
        </w:rPr>
        <w:t xml:space="preserve">Notes: </w:t>
      </w:r>
      <w:r>
        <w:t>abstract_source=pubmed</w:t>
      </w:r>
    </w:p>
    <w:p>
      <w:pPr>
        <w:spacing w:before="0" w:after="80" w:lineRule="auto" w:line="276"/>
      </w:pPr>
      <w:r>
        <w:rPr>
          <w:b/>
        </w:rPr>
        <w:t xml:space="preserve">摘要（ZH）: </w:t>
      </w:r>
      <w:r>
        <w:t>人类癌症中也描述了双阳性CD4+CD8+(DP)T细胞,但它们在肿瘤微环境中的作用尚不清楚。通过生成一个多组单一细胞的DPD和SPT细胞图集,我们发现DPT细胞拥有与SPT细胞相似的血型异质性,这包括人类肾脏细胞癌(RCC)中细胞毒性DPT细胞的多位数增加,包括细胞毒性DPT细胞的多位数增加。这些脑内细胞可以调解MHC I级和二类自体肿瘤细胞的二类杀害。此外,对DP TCRT细胞的转录式剖析分析揭示出一个基因信号,供PD-1细胞群的临床反应者使用。</w:t>
      </w:r>
    </w:p>
    <w:p>
      <w:pPr>
        <w:spacing w:before="0" w:after="200" w:lineRule="auto" w:line="276"/>
      </w:pPr>
      <w:r>
        <w:rPr>
          <w:b/>
        </w:rPr>
        <w:t xml:space="preserve">Abstract (EN): </w:t>
      </w:r>
      <w:r>
        <w:t>Conventional single-positive (SP) CD4+ and CD8+ T cells recognize tumor antigens and help mediate clinical responses with cancer immunotherapy. Double-positive CD4+CD8+ (DP) T cells have also been described in human cancers, but their role in the tumor microenvironment remains unclear. By generating a multiomic single cell atlas of DP and SP T cells, we find that DP T cells possess phenotypic heterogeneity similar to SP T cells that includes multiple clonally expanded populations of cytotoxic DP T cells in human renal cell carcinoma (RCC). These intratumoral DP T cells can mediate both MHC class I- and class II-dependent killing of autologous tumor cells. In addition, transcriptional profiling of DP TCR-bearing T cells revealed a gene signature enriched for clinical responders to PD-1 blockade in advanced RCC. We confirm prior observations of SP T cells transitioning into DP T cells and more notably, demonstrate that intratumoral T cells are capable of bidirectional differentiation in which DP T cells serve as precursors to SP T cell sin vivo. In the latter scenario, intratumoral DP T cells are shown to express Rag2, suggesting that the tumor may act as an extrathymic site of T cell development. These findings reveal the multiple roles that DP T cells can possess in antitumor immunity.</w:t>
      </w:r>
    </w:p>
    <w:p>
      <w:pPr>
        <w:spacing w:before="120" w:after="120"/>
      </w:pPr>
      <w:r>
        <w:rPr>
          <w:sz w:val="18"/>
        </w:rPr>
        <w:t>——————————————————————————————————————————————————————————————————————</w:t>
      </w:r>
    </w:p>
    <w:p>
      <w:pPr>
        <w:spacing w:before="160" w:after="40" w:line="240" w:lineRule="auto"/>
      </w:pPr>
      <w:r>
        <w:rPr>
          <w:b/>
        </w:rPr>
        <w:t xml:space="preserve">[260] </w:t>
      </w:r>
      <w:hyperlink r:id="rId400">
        <w:r>
          <w:rPr>
            <w:color w:val="1155CC"/>
            <w:u w:val="single"/>
          </w:rPr>
          <w:t>非天文遗传标志物解决了地球在地球历史中出现GOE前的有氧细菌的问题。</w:t>
        </w:r>
      </w:hyperlink>
    </w:p>
    <w:p>
      <w:pPr>
        <w:spacing w:before="0" w:after="80"/>
      </w:pPr>
      <w:r>
        <w:rPr>
          <w:i/>
          <w:sz w:val="20"/>
        </w:rPr>
        <w:t>EN: Noncanonical genetic markers resolve the pre-GOE emergence of aerobic bacteria in Earth’s history</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01">
        <w:r>
          <w:rPr>
            <w:color w:val="1155CC"/>
            <w:u w:val="single"/>
          </w:rPr>
          <w:t>10.1073/pnas.2515709123</w:t>
        </w:r>
      </w:hyperlink>
    </w:p>
    <w:p>
      <w:pPr>
        <w:spacing w:before="0" w:after="120"/>
      </w:pPr>
      <w:r>
        <w:rPr>
          <w:b/>
        </w:rPr>
        <w:t xml:space="preserve">Notes: </w:t>
      </w:r>
      <w:r>
        <w:t>abstract_source=pubmed</w:t>
      </w:r>
    </w:p>
    <w:p>
      <w:pPr>
        <w:spacing w:before="0" w:after="80" w:lineRule="auto" w:line="276"/>
      </w:pPr>
      <w:r>
        <w:rPr>
          <w:b/>
        </w:rPr>
        <w:t xml:space="preserve">摘要（ZH）: </w:t>
      </w:r>
      <w:r>
        <w:t>从厌氧生命向有氧生命的过渡是地球历史上的一个关键适应,但时间和基因组驱动因素仍然没有得到很好的解决,依靠氧利用基因的传统方法需要改进,因为有抗生素和碎裂的环境基因组需要使用氧的基因,因为缺乏基因可能反映组装不良而不是苯型;我们开发了一个机器学习模型(GBDT40-LR),用40种广泛保存的基因预测微生物氧要求,35种没有直接氧作用的基因;这种方法克服了环境基因组中的不完全偏差;应用到80,787个细菌基因组(包括元衍生组),将42,014个菌组和38,775个菌类基因组分类,促成大规模祖传重建。</w:t>
      </w:r>
    </w:p>
    <w:p>
      <w:pPr>
        <w:spacing w:before="0" w:after="200" w:lineRule="auto" w:line="276"/>
      </w:pPr>
      <w:r>
        <w:rPr>
          <w:b/>
        </w:rPr>
        <w:t xml:space="preserve">Abstract (EN): </w:t>
      </w:r>
      <w:r>
        <w:t>The transition from anaerobic to aerobic life was a pivotal adaptation in Earth's history, yet the timing and genomic drivers remain poorly resolved. Traditional approaches relying on oxygen-utilizing genes need improvement for obligate anaerobes and fragmentary environmental genomes, where gene absence may reflect poor assembly rather than phenotype. We developed a machine learning model (GBDT40-LR) to predict microbial oxygen requirements using 40 broadly conserved genes, 35 without direct oxygen roles. This approach overcomes incompleteness biases in environmental genomes. Applied to 80,787 bacterial genomes [including metagenome-derived assemblies (MAGs)], the model classified 42,014 aerobes and 38,775 anaerobes, enabling large-scale ancestral reconstruction. Molecular clock dating indicates an emergence of aerobic bacterium prior to the Great Oxidation Event (GOE, 2.5 to 2.3 Ga), likely around ~2.7 Ga. Aerobic lineages subsequently diversified during the GOE and Neoproterozoic Oxygenation Event (NOE, 0.8 to 0.55 Ga), with persistent anaerobe diversity across Earth's oxygenation. This establishes that aerobic bacteria originated planetary oxygenation, potentially by 200 to 400 My, providing insights into phenotypic evolution and prolonged anaerobe-aerobe coexistence.</w:t>
      </w:r>
    </w:p>
    <w:p>
      <w:pPr>
        <w:spacing w:before="120" w:after="120"/>
      </w:pPr>
      <w:r>
        <w:rPr>
          <w:sz w:val="18"/>
        </w:rPr>
        <w:t>——————————————————————————————————————————————————————————————————————</w:t>
      </w:r>
    </w:p>
    <w:p>
      <w:pPr>
        <w:spacing w:before="160" w:after="40" w:line="240" w:lineRule="auto"/>
      </w:pPr>
      <w:r>
        <w:rPr>
          <w:b/>
        </w:rPr>
        <w:t xml:space="preserve">[261] </w:t>
      </w:r>
      <w:hyperlink r:id="rId402">
        <w:r>
          <w:rPr>
            <w:color w:val="1155CC"/>
            <w:u w:val="single"/>
          </w:rPr>
          <w:t>人类的动作塑造了后院鸟类的嘴唇</w:t>
        </w:r>
      </w:hyperlink>
    </w:p>
    <w:p>
      <w:pPr>
        <w:spacing w:before="0" w:after="80"/>
      </w:pPr>
      <w:r>
        <w:rPr>
          <w:i/>
          <w:sz w:val="20"/>
        </w:rPr>
        <w:t>EN: Human action shapes the beaks of backyard birds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03">
        <w:r>
          <w:rPr>
            <w:color w:val="1155CC"/>
            <w:u w:val="single"/>
          </w:rPr>
          <w:t>10.1073/pnas.2535458123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[262] </w:t>
      </w:r>
      <w:hyperlink r:id="rId404">
        <w:r>
          <w:rPr>
            <w:color w:val="1155CC"/>
            <w:u w:val="single"/>
          </w:rPr>
          <w:t>人类和深深学习推理过程之间的一致性没有深刻的洞察力:关于de Varda等人的想法(2025年)</w:t>
        </w:r>
      </w:hyperlink>
    </w:p>
    <w:p>
      <w:pPr>
        <w:spacing w:before="0" w:after="80"/>
      </w:pPr>
      <w:r>
        <w:rPr>
          <w:i/>
          <w:sz w:val="20"/>
        </w:rPr>
        <w:t>EN: No deep insights into the alignment between human and deep learning reasoning processes: Thoughts on de Varda et al. (2025)</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05">
        <w:r>
          <w:rPr>
            <w:color w:val="1155CC"/>
            <w:u w:val="single"/>
          </w:rPr>
          <w:t>10.1073/pnas.2533685123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[263] </w:t>
      </w:r>
      <w:hyperlink r:id="rId406">
        <w:r>
          <w:rPr>
            <w:color w:val="1155CC"/>
            <w:u w:val="single"/>
          </w:rPr>
          <w:t>月球温层的氧同位素对撞击物通向地球的撞击通量的限制-月球系统</w:t>
        </w:r>
      </w:hyperlink>
    </w:p>
    <w:p>
      <w:pPr>
        <w:spacing w:before="0" w:after="80"/>
      </w:pPr>
      <w:r>
        <w:rPr>
          <w:i/>
          <w:sz w:val="20"/>
        </w:rPr>
        <w:t>EN: Constraints on the impactor flux to the Earth–Moon system from oxygen isotopes of the lunar regolith</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07">
        <w:r>
          <w:rPr>
            <w:color w:val="1155CC"/>
            <w:u w:val="single"/>
          </w:rPr>
          <w:t>10.1073/pnas.2531796123</w:t>
        </w:r>
      </w:hyperlink>
    </w:p>
    <w:p>
      <w:pPr>
        <w:spacing w:before="0" w:after="120"/>
      </w:pPr>
      <w:r>
        <w:rPr>
          <w:b/>
        </w:rPr>
        <w:t xml:space="preserve">Notes: </w:t>
      </w:r>
      <w:r>
        <w:t>abstract_source=pubmed</w:t>
      </w:r>
    </w:p>
    <w:p>
      <w:pPr>
        <w:spacing w:before="0" w:after="80" w:lineRule="auto" w:line="276"/>
      </w:pPr>
      <w:r>
        <w:rPr>
          <w:b/>
        </w:rPr>
        <w:t xml:space="preserve">摘要（ZH）: </w:t>
      </w:r>
      <w:r>
        <w:t>地球的撞击通量记录大部分被活性构造、天气和不断重整地壳而抹去。相反,月球撞击物中的高度侧翼元素(HSE:Re、Os、Ir、Ru、Rh、Pt、Pd和Au)的记录被用作地球月球系统添加的撞击物材料类型的替代物。但是,对撞击物质量和与HSE的通量进行量化,可能会因许多次要过程而变得复杂,包括硅金属分离和多重撞击遗产。相反,由于氧具有异性地球化学亲和性,三氧同位素组成有可能为诸如Regolith等复杂混合物中的撞击物通量提供牢固的长期记录。在这里,我们使用高精度的三氧化氧同位素去变。</w:t>
      </w:r>
    </w:p>
    <w:p>
      <w:pPr>
        <w:spacing w:before="0" w:after="200" w:lineRule="auto" w:line="276"/>
      </w:pPr>
      <w:r>
        <w:rPr>
          <w:b/>
        </w:rPr>
        <w:t xml:space="preserve">Abstract (EN): </w:t>
      </w:r>
      <w:r>
        <w:t>The impactor flux record to Earth has largely been erased by active tectonics, weathering, and continual reworking of the crust. Instead, a record of highly siderophile elements (HSE: Re, Os, Ir, Ru, Rh, Pt, Pd, and Au) in lunar impactites has been used as a proxy for the type of impactor material added to the Earth-Moon system. Quantifying impactor mass and flux with the HSE can potentially be complicated by numerous secondary processes, however, including silicate-metal segregation and multiple impact heritage. In contrast, because oxygen has an invariant geochemical affinity, triple oxygen isotope compositions have the potential to offer a robust long-term record of impactor fluxes in complex mixtures such as regolith. Here, we use high-precision triple oxygen isotopes to deconvolve the influences of meteorite addition and silicate vaporization and identify a ubiquitous impactor contaminant comprised of partially evaporated CM or ureilite-like material representing at least 1 wt% of the lunar regolith. Water delivered to Earth by meteorite material over 4 billion years therefore is only a fraction of an ocean's worth of water but is a significant contributor to the ice reservoir of the lunar cold traps.</w:t>
      </w:r>
    </w:p>
    <w:p>
      <w:pPr>
        <w:spacing w:before="120" w:after="120"/>
      </w:pPr>
      <w:r>
        <w:rPr>
          <w:sz w:val="18"/>
        </w:rPr>
        <w:t>——————————————————————————————————————————————————————————————————————</w:t>
      </w:r>
    </w:p>
    <w:p>
      <w:pPr>
        <w:spacing w:before="160" w:after="40" w:line="240" w:lineRule="auto"/>
      </w:pPr>
      <w:r>
        <w:rPr>
          <w:b/>
        </w:rPr>
        <w:t xml:space="preserve">[264] </w:t>
      </w:r>
      <w:hyperlink r:id="rId408">
        <w:r>
          <w:rPr>
            <w:color w:val="1155CC"/>
            <w:u w:val="single"/>
          </w:rPr>
          <w:t>物种范围以外的物种范围:功能多样性和综合生命史如何为养护优先事项提供信息</w:t>
        </w:r>
      </w:hyperlink>
    </w:p>
    <w:p>
      <w:pPr>
        <w:spacing w:before="0" w:after="80"/>
      </w:pPr>
      <w:r>
        <w:rPr>
          <w:i/>
          <w:sz w:val="20"/>
        </w:rPr>
        <w:t>EN: Beyond species ranges: How functional diversity and integrated life history can inform conservation priorities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09">
        <w:r>
          <w:rPr>
            <w:color w:val="1155CC"/>
            <w:u w:val="single"/>
          </w:rPr>
          <w:t>10.1073/pnas.2531790123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[265] </w:t>
      </w:r>
      <w:hyperlink r:id="rId410">
        <w:r>
          <w:rPr>
            <w:color w:val="1155CC"/>
            <w:u w:val="single"/>
          </w:rPr>
          <w:t>受受受体调制的内皮内衣NADPH氧化酶动态调节</w:t>
        </w:r>
      </w:hyperlink>
    </w:p>
    <w:p>
      <w:pPr>
        <w:spacing w:before="0" w:after="80"/>
      </w:pPr>
      <w:r>
        <w:rPr>
          <w:i/>
          <w:sz w:val="20"/>
        </w:rPr>
        <w:t>EN: Dynamic regulation of receptor-modulated endothelial NADPH oxidases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11">
        <w:r>
          <w:rPr>
            <w:color w:val="1155CC"/>
            <w:u w:val="single"/>
          </w:rPr>
          <w:t>10.1073/pnas.2531380123</w:t>
        </w:r>
      </w:hyperlink>
    </w:p>
    <w:p>
      <w:pPr>
        <w:spacing w:before="0" w:after="120"/>
      </w:pPr>
      <w:r>
        <w:rPr>
          <w:b/>
        </w:rPr>
        <w:t xml:space="preserve">Notes: </w:t>
      </w:r>
      <w:r>
        <w:t>abstract_source=pubmed</w:t>
      </w:r>
    </w:p>
    <w:p>
      <w:pPr>
        <w:spacing w:before="0" w:after="80" w:lineRule="auto" w:line="276"/>
      </w:pPr>
      <w:r>
        <w:rPr>
          <w:b/>
        </w:rPr>
        <w:t xml:space="preserve">摘要（ZH）: </w:t>
      </w:r>
      <w:r>
        <w:t>稳定的活性氧类(ROS)过氧化氢(H2O2)作为许多重要的细胞内路径的关键信号分子。在不同的细胞类型中,地表受体通过调节负责ROS合成的NAS合成的酶组NADPH氧化酶(NOX)的活动来控制细胞内H2O2水平。大多数NOX异形是通过蛋白分元素的可逆组合调节成活性雌激素复合体的。NOX异形的NOX2和NOX4在内向性细胞细胞细胞中表现,并产生H2O2,以响应细胞表面受体的激活。GPCAgonatimine 激活NOX2,独立于NOX4,但H2O2对激活受体强罗素动动脉动动脉动脉动脉动脉动脉动脉动脉动因(VEGF)的反应涉及未知的NOX2和NOX4。</w:t>
      </w:r>
    </w:p>
    <w:p>
      <w:pPr>
        <w:spacing w:before="0" w:after="200" w:lineRule="auto" w:line="276"/>
      </w:pPr>
      <w:r>
        <w:rPr>
          <w:b/>
        </w:rPr>
        <w:t xml:space="preserve">Abstract (EN): </w:t>
      </w:r>
      <w:r>
        <w:t>The stable reactive oxygen species (ROS) hydrogen peroxide (H2O2) acts as a key signaling molecule for many vital intracellular pathways. In diverse cell types, surface receptors control intracellular H2O2 levels by modulating the activity of NADPH oxidases (NOX), a family of enzymes responsible for ROS synthesis. Most NOX isoforms are regulated through the reversible assembly of protein subunits to form an active oligomeric complex. The NOX isoforms NOX2 and NOX4 are expressed in endothelial cells and generate H2O2 in response to activation of cell surface receptors. The GPCR agonist histamine activates NOX2 independently of NOX4, but the H2O2 response to activation of the receptor tyrosine kinase agonist vascular endothelial growth factor (VEGF) involves both NOX2 and NOX4 by unknown mechanisms [M. Waldeck-Weiermair et al., Redox Biol. 58, 102539 (2022); M. Waldeck-Weiermair et al., Redox Biol. 73, 103214 (2024)]. Here, we show that endothelial NOX4 is localized to the endoplasmic reticulum (ER). We define the redox states of various subcellular locales in the vascular endothelium and demonstrate that NOX2 is responsible for cytosolic H2O2 signaling, whereas NOX4 contributes to H2O2 generation in the endoplasmic reticulum. Using biochemical assays and structural modeling, we further identify a previously unrecognized regulatory interaction in which the NOX2 subunit p67 associates with NOX4. VEGF stimulation induces dynamic dissociation of p67 from NOX4, unveiling a "cross talk" between NOX isoforms that coordinates the activation of both NOX2 and NOX4 and thereby produces compartment-specific H2O2 signals. This mechanism underscores the pivotal roles of NOX2 and NOX4 subunit interactions in endothelial redox homeostasis controlling cell survival, proliferation, and migration.</w:t>
      </w:r>
    </w:p>
    <w:p>
      <w:pPr>
        <w:spacing w:before="120" w:after="120"/>
      </w:pPr>
      <w:r>
        <w:rPr>
          <w:sz w:val="18"/>
        </w:rPr>
        <w:t>——————————————————————————————————————————————————————————————————————</w:t>
      </w:r>
    </w:p>
    <w:p>
      <w:pPr>
        <w:spacing w:before="160" w:after="40" w:line="240" w:lineRule="auto"/>
      </w:pPr>
      <w:r>
        <w:rPr>
          <w:b/>
        </w:rPr>
        <w:t xml:space="preserve">[266] </w:t>
      </w:r>
      <w:hyperlink r:id="rId412">
        <w:r>
          <w:rPr>
            <w:color w:val="1155CC"/>
            <w:u w:val="single"/>
          </w:rPr>
          <w:t>对血管组织发育激激调节的进化适应</w:t>
        </w:r>
      </w:hyperlink>
    </w:p>
    <w:p>
      <w:pPr>
        <w:spacing w:before="0" w:after="80"/>
      </w:pPr>
      <w:r>
        <w:rPr>
          <w:i/>
          <w:sz w:val="20"/>
        </w:rPr>
        <w:t>EN: Evolutionary adaptations to the hormonal regulation of vascular tissue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13">
        <w:r>
          <w:rPr>
            <w:color w:val="1155CC"/>
            <w:u w:val="single"/>
          </w:rPr>
          <w:t>10.1073/pnas.2531099123</w:t>
        </w:r>
      </w:hyperlink>
    </w:p>
    <w:p>
      <w:pPr>
        <w:spacing w:before="0" w:after="120"/>
      </w:pPr>
      <w:r>
        <w:rPr>
          <w:b/>
        </w:rPr>
        <w:t xml:space="preserve">Notes: </w:t>
      </w:r>
      <w:r>
        <w:t>abstract_source=pubmed</w:t>
      </w:r>
    </w:p>
    <w:p>
      <w:pPr>
        <w:spacing w:before="0" w:after="80" w:lineRule="auto" w:line="276"/>
      </w:pPr>
      <w:r>
        <w:rPr>
          <w:b/>
        </w:rPr>
        <w:t xml:space="preserve">摘要（ZH）: </w:t>
      </w:r>
      <w:r>
        <w:t>血管组织在血管植物系内提供长距离迁移和物质支持,提供重要的适应优势。虽然在Arabidopsis Thaliana等血管血管细胞细胞扩散和分化方面,对助产素和细胞外kinin之间在促进血管细胞扩散和分化方面的交叉交谈进行了深入研究,但其他血管植物系对这一规范知之甚少。我们发现,与所研究的所有其他物种中发现的激素交叉交谈不同,淋巴素色氏菌(Selaginella moellendorffii)显示了明确的任务分离,只将助产血管细胞扩散和细胞外生素具体触发细胞分化。我们发现,AUXIN/INDE-ACTICAIC(AX/IAAA)和CYTOKININ(CYTOININ)的成员采用跨物种分类方法,发现AUXIN/INOLE-ACTICACIN(AUX/IAAAA)和CYTOKINININ(C)成员有明显的任务分离。</w:t>
      </w:r>
    </w:p>
    <w:p>
      <w:pPr>
        <w:spacing w:before="0" w:after="200" w:lineRule="auto" w:line="276"/>
      </w:pPr>
      <w:r>
        <w:rPr>
          <w:b/>
        </w:rPr>
        <w:t xml:space="preserve">Abstract (EN): </w:t>
      </w:r>
      <w:r>
        <w:t>Vascular tissues provide long-distance transport and physical support in the vascular plant lineage, providing a significant adaptive advantage. Although the cross talk between auxin and cytokinin in promoting both vascular cell proliferation and differentiation has been well studied in angiosperms such as Arabidopsis thaliana, little is known about this regulation in other vascular plant lineages. Here, we found that unlike the hormonal cross talk found in all other species under study, the lycophyte Selaginella moellendorffii shows clear task separation, with auxin driving vascular cell proliferation only and cytokinin specifically triggering cell differentiation. Using a cross-species transcriptomics approach, we found that members of the AUXIN/INDOLE-ACETIC ACID (AUX/IAA) and CYTOKININ OXIDASE (CKX) gene families exhibited divergent expression patterns in response to auxin and cytokinin treatments. Despite these regulatory differences, we show that AUX/IAA and CKX proteins are functionally conserved between Arabidopsis and Selaginella. Taken together, our findings suggest an evolutionary adaptation to the hormonal regulation of vascular tissue development in which core protein functions are conserved, but regulatory circuits diverged in lycophytes.</w:t>
      </w:r>
    </w:p>
    <w:p>
      <w:pPr>
        <w:spacing w:before="120" w:after="120"/>
      </w:pPr>
      <w:r>
        <w:rPr>
          <w:sz w:val="18"/>
        </w:rPr>
        <w:t>——————————————————————————————————————————————————————————————————————</w:t>
      </w:r>
    </w:p>
    <w:p>
      <w:pPr>
        <w:spacing w:before="160" w:after="40" w:line="240" w:lineRule="auto"/>
      </w:pPr>
      <w:r>
        <w:rPr>
          <w:b/>
        </w:rPr>
        <w:t xml:space="preserve">[267] </w:t>
      </w:r>
      <w:hyperlink r:id="rId414">
        <w:r>
          <w:rPr>
            <w:color w:val="1155CC"/>
            <w:u w:val="single"/>
          </w:rPr>
          <w:t>珊瑚礁鱼类可能比我们想象的更重要</w:t>
        </w:r>
      </w:hyperlink>
    </w:p>
    <w:p>
      <w:pPr>
        <w:spacing w:before="0" w:after="80"/>
      </w:pPr>
      <w:r>
        <w:rPr>
          <w:i/>
          <w:sz w:val="20"/>
        </w:rPr>
        <w:t>EN: Coral reef fish may be more important than we thought</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15">
        <w:r>
          <w:rPr>
            <w:color w:val="1155CC"/>
            <w:u w:val="single"/>
          </w:rPr>
          <w:t>10.1073/pnas.2535459123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416">
        <w:r>
          <w:rPr>
            <w:color w:val="1155CC"/>
            <w:u w:val="single"/>
          </w:rPr>
          <w:t>BAM1 衰减 CLE Peptide - 中间信号,在根皮光线中发出信号</w:t>
        </w:r>
      </w:hyperlink>
    </w:p>
    <w:p>
      <w:pPr>
        <w:spacing w:before="0" w:after="80"/>
      </w:pPr>
      <w:r>
        <w:rPr>
          <w:i/>
          <w:sz w:val="20"/>
        </w:rPr>
        <w:t>EN: Ubiquitination of BAM1 attenuates CLE peptide–mediated signaling in the root apical meristem</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17">
        <w:r>
          <w:rPr>
            <w:color w:val="1155CC"/>
            <w:u w:val="single"/>
          </w:rPr>
          <w:t>10.1073/pnas.2530116123</w:t>
        </w:r>
      </w:hyperlink>
    </w:p>
    <w:p>
      <w:pPr>
        <w:spacing w:before="0" w:after="120"/>
      </w:pPr>
      <w:r>
        <w:rPr>
          <w:b/>
        </w:rPr>
        <w:t xml:space="preserve">Notes: </w:t>
      </w:r>
      <w:r>
        <w:t>abstract_source=pubmed</w:t>
      </w:r>
    </w:p>
    <w:p>
      <w:pPr>
        <w:spacing w:before="0" w:after="80" w:lineRule="auto" w:line="276"/>
      </w:pPr>
      <w:r>
        <w:rPr>
          <w:b/>
        </w:rPr>
        <w:t xml:space="preserve">摘要（ZH）: </w:t>
      </w:r>
      <w:r>
        <w:t>RLK BARELG1/2 Uniquitinate BAM1/2, 介介质,从而抑制 BAM1/2 信号。 使用peptide CLE13(CLV3/EMBRYO SURROUNDING RATION RATION 13)的处理方法,可以增强BAM1-/2-RGGG2的相互作用和GRGG2的比基性星系活动。</w:t>
      </w:r>
    </w:p>
    <w:p>
      <w:pPr>
        <w:spacing w:before="0" w:after="200" w:lineRule="auto" w:line="276"/>
      </w:pPr>
      <w:r>
        <w:rPr>
          <w:b/>
        </w:rPr>
        <w:t xml:space="preserve">Abstract (EN): </w:t>
      </w:r>
      <w:r>
        <w:t>The plasma membrane-resident receptor-like kinases (RLKs) and their cognate peptide ligands play crucial roles in plant growth and development. The RLK BARELY ANY MERISTEM1 (BAM1) promotes phloem formation and regulates other aspects of root development. However, the mechanisms governing BAM1 protein degradation remain unclear. In this study, we demonstrate that two closely related ubiquitin ligases, RING DOMAIN LIGASE 1 (RGLG1) and RGLG2, specifically interact with BAM1 and its closest homolog BAM2. RGLG1/2 ubiquitinate BAM1/2 and mediate their degradation, thereby dampening BAM1/2 signaling. Treatment with the peptide CLE13 (CLV3/EMBRYO SURROUNDING REGION-RELATED 13) enhances the BAM1/2-RGLG2 interaction and the ubiquitin ligase activity of RGLG2, resulting in increased ubiquitination and degradation of BAM1/2 by RGLG1/2. The rglg1 rglg2 double mutant exhibits increased sensitivity to CLE13 compared to the wild type. Collectively, our findings demonstrate that RGLG1/2-mediated ubiquitination and degradation of BAM1/2 attenuate CLE13-mediated signaling in root meristem.</w:t>
      </w:r>
    </w:p>
    <w:p>
      <w:pPr>
        <w:spacing w:before="120" w:after="120"/>
      </w:pPr>
      <w:r>
        <w:rPr>
          <w:sz w:val="18"/>
        </w:rPr>
        <w:t>——————————————————————————————————————————————————————————————————————</w:t>
      </w:r>
    </w:p>
    <w:p>
      <w:pPr>
        <w:spacing w:before="160" w:after="40" w:line="240" w:lineRule="auto"/>
      </w:pPr>
      <w:r>
        <w:rPr>
          <w:b/>
        </w:rPr>
        <w:t xml:space="preserve">[269] </w:t>
      </w:r>
      <w:hyperlink r:id="rId418">
        <w:r>
          <w:rPr>
            <w:color w:val="1155CC"/>
            <w:u w:val="single"/>
          </w:rPr>
          <w:t>戴维·巴尔的摩:科学家、领导者和导师</w:t>
        </w:r>
      </w:hyperlink>
    </w:p>
    <w:p>
      <w:pPr>
        <w:spacing w:before="0" w:after="80"/>
      </w:pPr>
      <w:r>
        <w:rPr>
          <w:i/>
          <w:sz w:val="20"/>
        </w:rPr>
        <w:t>EN: David Baltimore: Scientist, leader, and mentor</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19">
        <w:r>
          <w:rPr>
            <w:color w:val="1155CC"/>
            <w:u w:val="single"/>
          </w:rPr>
          <w:t>10.1073/pnas.2528373123</w:t>
        </w:r>
      </w:hyperlink>
    </w:p>
    <w:p>
      <w:pPr>
        <w:spacing w:before="0" w:after="120"/>
      </w:pPr>
      <w:r>
        <w:rPr>
          <w:b/>
        </w:rPr>
        <w:t xml:space="preserve">Notes: </w:t>
      </w:r>
      <w:r>
        <w:t>abstract_source=pubmed</w:t>
      </w:r>
    </w:p>
    <w:p>
      <w:pPr>
        <w:spacing w:before="0" w:after="80" w:lineRule="auto" w:line="276"/>
      </w:pPr>
      <w:r>
        <w:rPr>
          <w:b/>
        </w:rPr>
        <w:t xml:space="preserve">摘要（ZH）: </w:t>
      </w:r>
      <w:r>
        <w:t>50年前,在37岁这个非常年轻的时候,大卫·巴尔的摩获得了诺贝尔奖(与霍华德·泰明和雷纳托·杜尔贝克一起获得)“关于肿瘤病毒和细胞遗传物质相互作用的发现” 。 大卫是一位多产科学家,他的工作涉及许多专题,但他首先是一个病毒学家。 他最近去世,让我们思考了一种显著的知识轨迹,从病毒学的开创性发现开始,其范围扩大到包括癌症生物学和免疫学的重大进展,最终形成了一个由他所培训的许多科学家遗留下来的遗产,这些科学家将在未来几年中继续塑造现代生物医学。</w:t>
      </w:r>
    </w:p>
    <w:p>
      <w:pPr>
        <w:spacing w:before="0" w:after="200" w:lineRule="auto" w:line="276"/>
      </w:pPr>
      <w:r>
        <w:rPr>
          <w:b/>
        </w:rPr>
        <w:t xml:space="preserve">Abstract (EN): </w:t>
      </w:r>
      <w:r>
        <w:t>Fifty years ago, at the remarkably young age of 37, David Baltimore received the Nobel Prize (with Howard Temin and Renato Dulbecco) for "discoveries concerning the interaction between tumor viruses and the genetic material of the cell." David was a prolific scientist whose work spanned many topics, but he was first and foremost a virologist. His recent passing invites us to reflect on a remarkable intellectual trajectory that began with seminal discoveries in virology, broadened to encompass major advances in cancer biology and immunology, and culminated in a legacy-sustained by the many scientists he trained-that will continue to shape modern biomedicine for years to come.</w:t>
      </w:r>
    </w:p>
    <w:p>
      <w:pPr>
        <w:spacing w:before="120" w:after="120"/>
      </w:pPr>
      <w:r>
        <w:rPr>
          <w:sz w:val="18"/>
        </w:rPr>
        <w:t>——————————————————————————————————————————————————————————————————————</w:t>
      </w:r>
    </w:p>
    <w:p>
      <w:pPr>
        <w:spacing w:before="160" w:after="40" w:line="240" w:lineRule="auto"/>
      </w:pPr>
      <w:r>
        <w:rPr>
          <w:b/>
        </w:rPr>
        <w:t xml:space="preserve">[270] </w:t>
      </w:r>
      <w:hyperlink r:id="rId420">
        <w:r>
          <w:rPr>
            <w:color w:val="1155CC"/>
            <w:u w:val="single"/>
          </w:rPr>
          <w:t>软体巨磁磁加速电子设备使人类机器能进行无接触的相互作用</w:t>
        </w:r>
      </w:hyperlink>
    </w:p>
    <w:p>
      <w:pPr>
        <w:spacing w:before="0" w:after="80"/>
      </w:pPr>
      <w:r>
        <w:rPr>
          <w:i/>
          <w:sz w:val="20"/>
        </w:rPr>
        <w:t>EN: Soft giant magnetoimpedance electronics enable contact-free human–machine interactions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21">
        <w:r>
          <w:rPr>
            <w:color w:val="1155CC"/>
            <w:u w:val="single"/>
          </w:rPr>
          <w:t>10.1073/pnas.2526097123</w:t>
        </w:r>
      </w:hyperlink>
    </w:p>
    <w:p>
      <w:pPr>
        <w:spacing w:before="0" w:after="120"/>
      </w:pPr>
      <w:r>
        <w:rPr>
          <w:b/>
        </w:rPr>
        <w:t xml:space="preserve">Notes: </w:t>
      </w:r>
      <w:r>
        <w:t>abstract_source=pubmed</w:t>
      </w:r>
    </w:p>
    <w:p>
      <w:pPr>
        <w:spacing w:before="0" w:after="80" w:lineRule="auto" w:line="276"/>
      </w:pPr>
      <w:r>
        <w:rPr>
          <w:b/>
        </w:rPr>
        <w:t xml:space="preserve">摘要（ZH）: </w:t>
      </w:r>
      <w:r>
        <w:t>磁感学使接触无、三维的人类机器相互作用(HMI)能够进行无接触、三维的人类机器互动,具有高度选择性,并对环境噪音具有很强的抗御力。然而,传统磁膜,大多通过真空沉积获得,仍然受到僵硬性、即时反应和单一模式的限制。在这里,我们报告了一个巨大的磁性隐化离子凝胶(GelGMI),其中电磁自组成的铁磁磁(FM)域统一分布在软的离子凝胶基体中。在磁场下,领域瞬间调整为重新配置离子路径,产生明显的磁性障碍,同时保持大于1 000 %的强度和跨方向的性能。域磁化的静态放松可以追溯神经相似的时间相加,实现序列和组合。</w:t>
      </w:r>
    </w:p>
    <w:p>
      <w:pPr>
        <w:spacing w:before="0" w:after="200" w:lineRule="auto" w:line="276"/>
      </w:pPr>
      <w:r>
        <w:rPr>
          <w:b/>
        </w:rPr>
        <w:t xml:space="preserve">Abstract (EN): </w:t>
      </w:r>
      <w:r>
        <w:t>Magnetic sensing enables contact-free, three-dimensional human-machine interactions (HMI) with high selectivity and resilience to environmental noise. However, conventional magnetic films, mostly obtained via vacuum deposition, remain constrained by rigidity, instantaneous response, and single-mode. Here, we report a giant magnetoimpedance ionogel (GelGMI) in which electrostatically self-assembled ferromagnetic (FM) domains are uniformly dispersed in a soft ionogel matrix. Under a magnetic field, domain moments realign to reconfigure ionic pathways, yielding pronounced magnetoimpedance while maintaining performance at &gt;1,000% strain and across orientations. The hysteretic relaxation of domain magnetization imparts retrospective neuron-like temporal summation, realizing sequence- and context-aware interaction. In addition, the self-healable matrix supports a complementary tactile mode whose impedance contrasts with contact-free magnetic proximity, enabling expandable and bimodal recognition. GelGMI delivers a record-high sensitivity while unifying stretchable, neuromorphic, and healable capabilities for contact-free HMI systems.</w:t>
      </w:r>
    </w:p>
    <w:p>
      <w:pPr>
        <w:spacing w:before="120" w:after="120"/>
      </w:pPr>
      <w:r>
        <w:rPr>
          <w:sz w:val="18"/>
        </w:rPr>
        <w:t>——————————————————————————————————————————————————————————————————————</w:t>
      </w:r>
    </w:p>
    <w:p>
      <w:pPr>
        <w:spacing w:before="160" w:after="40" w:line="240" w:lineRule="auto"/>
      </w:pPr>
      <w:r>
        <w:rPr>
          <w:b/>
        </w:rPr>
        <w:t xml:space="preserve">[271] </w:t>
      </w:r>
      <w:hyperlink r:id="rId422">
        <w:r>
          <w:rPr>
            <w:color w:val="1155CC"/>
            <w:u w:val="single"/>
          </w:rPr>
          <w:t>ER膜受体用核心自发机械启动ER-光膜受体</w:t>
        </w:r>
      </w:hyperlink>
    </w:p>
    <w:p>
      <w:pPr>
        <w:spacing w:before="0" w:after="80"/>
      </w:pPr>
      <w:r>
        <w:rPr>
          <w:i/>
          <w:sz w:val="20"/>
        </w:rPr>
        <w:t>EN: ER membrane receptors engage core autophagy machinery to initiate ER-phagy</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23">
        <w:r>
          <w:rPr>
            <w:color w:val="1155CC"/>
            <w:u w:val="single"/>
          </w:rPr>
          <w:t>10.1073/pnas.2523465123</w:t>
        </w:r>
      </w:hyperlink>
    </w:p>
    <w:p>
      <w:pPr>
        <w:spacing w:before="0" w:after="120"/>
      </w:pPr>
      <w:r>
        <w:rPr>
          <w:b/>
        </w:rPr>
        <w:t xml:space="preserve">Notes: </w:t>
      </w:r>
      <w:r>
        <w:t>abstract_source=pubmed</w:t>
      </w:r>
    </w:p>
    <w:p>
      <w:pPr>
        <w:spacing w:before="0" w:after="80" w:lineRule="auto" w:line="276"/>
      </w:pPr>
      <w:r>
        <w:rPr>
          <w:b/>
        </w:rPr>
        <w:t xml:space="preserve">摘要（ZH）: </w:t>
      </w:r>
      <w:r>
        <w:t>内分光性内分光体(ER)发压法是一种选择性的自发性形式,通过针对功能失调的ER碎片进行降解,控制ER丰度和完整性,对ER丰度和完整性进行有选择的自发性调节;将ER碎片确认为自发子分质与核心自发机械的接触在很大程度上是未知的;在这里,利用体外再造系统、结构建模和细胞生物学的结合,我们证明ER膜受体直接接触核心自发成分ATG9A和PI3P结合蛋白质 WIPI2,以启动与ER相关的自发性生物起源;ER-phacy 受体-ATG9A协会对采用其他关键自发性蛋白进行聚合,以引发ER-发性。</w:t>
      </w:r>
    </w:p>
    <w:p>
      <w:pPr>
        <w:spacing w:before="0" w:after="200" w:lineRule="auto" w:line="276"/>
      </w:pPr>
      <w:r>
        <w:rPr>
          <w:b/>
        </w:rPr>
        <w:t xml:space="preserve">Abstract (EN): </w:t>
      </w:r>
      <w:r>
        <w:t>Endoplasmic reticulum (ER) phagy is the form of selective autophagy that governs ER abundance and integrity by targeting dysfunctional ER fragments for degradation. How the recognition of ER fragments as autophagy substrates is coupled to engagement of the core autophagic machinery is largely unknown. Here, using a combination of in vitro reconstitution systems, structural modeling, and cell biology, we demonstrate that ER membrane receptors directly engage the core autophagy component ATG9A, as well as the PI3P-binding protein WIPI2, to initiate ER-associated autophagosome biogenesis. ER-phagy receptor-ATG9A association nucleates the recruitment of the other key autophagy proteins required to initiate ER-phagy. In parallel, ER-phagy receptor-WIPI2 engagement promotes rapid LC3 lipidation for autophagic membrane expansion. These data show how ER-phagy receptors trigger the cascade of events leading to ER autophagosome formation.</w:t>
      </w:r>
    </w:p>
    <w:p>
      <w:pPr>
        <w:spacing w:before="120" w:after="120"/>
      </w:pPr>
      <w:r>
        <w:rPr>
          <w:sz w:val="18"/>
        </w:rPr>
        <w:t>——————————————————————————————————————————————————————————————————————</w:t>
      </w:r>
    </w:p>
    <w:p>
      <w:pPr>
        <w:spacing w:before="160" w:after="40" w:line="240" w:lineRule="auto"/>
      </w:pPr>
      <w:r>
        <w:rPr>
          <w:b/>
        </w:rPr>
        <w:t xml:space="preserve">[272] </w:t>
      </w:r>
      <w:hyperlink r:id="rId424">
        <w:r>
          <w:rPr>
            <w:color w:val="1155CC"/>
            <w:u w:val="single"/>
          </w:rPr>
          <w:t>睡眠丧失会诱发胆固醇</w:t>
        </w:r>
      </w:hyperlink>
    </w:p>
    <w:p>
      <w:pPr>
        <w:spacing w:before="0" w:after="80"/>
      </w:pPr>
      <w:r>
        <w:rPr>
          <w:i/>
          <w:sz w:val="20"/>
        </w:rPr>
        <w:t>EN: Sleep loss induces cholesterol-associated myelin dysfunction</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25">
        <w:r>
          <w:rPr>
            <w:color w:val="1155CC"/>
            <w:u w:val="single"/>
          </w:rPr>
          <w:t>10.1073/pnas.2523438123</w:t>
        </w:r>
      </w:hyperlink>
    </w:p>
    <w:p>
      <w:pPr>
        <w:spacing w:before="0" w:after="120"/>
      </w:pPr>
      <w:r>
        <w:rPr>
          <w:b/>
        </w:rPr>
        <w:t xml:space="preserve">Notes: </w:t>
      </w:r>
      <w:r>
        <w:t>abstract_source=pubmed</w:t>
      </w:r>
    </w:p>
    <w:p>
      <w:pPr>
        <w:spacing w:before="0" w:after="80" w:lineRule="auto" w:line="276"/>
      </w:pPr>
      <w:r>
        <w:rPr>
          <w:b/>
        </w:rPr>
        <w:t xml:space="preserve">摘要（ZH）: </w:t>
      </w:r>
      <w:r>
        <w:t>日益普遍的剥夺睡眠现象给现代社会带来了公共卫生挑战。 降低警惕(如反应时间减缓和错误增加)的表现形式是记录良好的睡眠丧失行为指标(SL ) 。然而,剥夺睡眠的生理后果及其在行为障碍中所起的作用仍然难以捉摸。我们的研究揭示了剥夺睡眠对米氏体完整性的重大影响。结果,我们发现神经信号传播的传导延迟增加,半球间同步受阻,与SL有关的认知和运动性能受损。 我们通过对寡头催化细胞转录器和脂体进行剖析,我们观察到SL引起的内分光性内分泌应力压力和脂肪代谢性失调,特别是影响甲状腺。</w:t>
      </w:r>
    </w:p>
    <w:p>
      <w:pPr>
        <w:spacing w:before="0" w:after="200" w:lineRule="auto" w:line="276"/>
      </w:pPr>
      <w:r>
        <w:rPr>
          <w:b/>
        </w:rPr>
        <w:t xml:space="preserve">Abstract (EN): </w:t>
      </w:r>
      <w:r>
        <w:t>The increasing prevalence of sleep deprivation poses a public health challenge in modern society. Manifestations of reduced alertness, such as slowed reaction times and increased errors, are well-documented behavioral indicators of sleep loss (SL). Yet, the biological consequences of sleep deprivation and their role in behavioral impairment remain elusive. Our study reveals significant effects of sleep deprivation on myelin integrity. As a result, we identify increased conduction delays in nerve signal propagation, hindered interhemispheric synchronization, and impaired cognitive and motor performance associated with SL. By profiling oligodendrocyte transcriptome and lipidome, we observe SL-induced endoplasmic reticulum stress and lipid metabolism dysregulation, particularly affecting cholesterol homeostasis. Boosting cholesterol transport to myelin sheaths prevents SL effects on nerve signal propagation and behavior. Our findings highlight a possible role of oligodendrocyte cholesterol dysregulation in behavioral deficits associated with SL and unveil a novel target for intervention.</w:t>
      </w:r>
    </w:p>
    <w:p>
      <w:pPr>
        <w:spacing w:before="120" w:after="120"/>
      </w:pPr>
      <w:r>
        <w:rPr>
          <w:sz w:val="18"/>
        </w:rPr>
        <w:t>——————————————————————————————————————————————————————————————————————</w:t>
      </w:r>
    </w:p>
    <w:p>
      <w:pPr>
        <w:spacing w:before="160" w:after="40" w:line="240" w:lineRule="auto"/>
      </w:pPr>
      <w:r>
        <w:rPr>
          <w:b/>
        </w:rPr>
        <w:t xml:space="preserve">[273] </w:t>
      </w:r>
      <w:hyperlink r:id="rId426">
        <w:r>
          <w:rPr>
            <w:color w:val="1155CC"/>
            <w:u w:val="single"/>
          </w:rPr>
          <w:t>人类引起的生物圈碳汇:Taklamakan造林项目的影响</w:t>
        </w:r>
      </w:hyperlink>
    </w:p>
    <w:p>
      <w:pPr>
        <w:spacing w:before="0" w:after="80"/>
      </w:pPr>
      <w:r>
        <w:rPr>
          <w:i/>
          <w:sz w:val="20"/>
        </w:rPr>
        <w:t>EN: Human-induced biospheric carbon sink: Impact from the Taklamakan Afforestation Project</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27">
        <w:r>
          <w:rPr>
            <w:color w:val="1155CC"/>
            <w:u w:val="single"/>
          </w:rPr>
          <w:t>10.1073/pnas.2523388123</w:t>
        </w:r>
      </w:hyperlink>
    </w:p>
    <w:p>
      <w:pPr>
        <w:spacing w:before="0" w:after="120"/>
      </w:pPr>
      <w:r>
        <w:rPr>
          <w:b/>
        </w:rPr>
        <w:t xml:space="preserve">Notes: </w:t>
      </w:r>
      <w:r>
        <w:t>abstract_source=pubmed</w:t>
      </w:r>
    </w:p>
    <w:p>
      <w:pPr>
        <w:spacing w:before="0" w:after="80" w:lineRule="auto" w:line="276"/>
      </w:pPr>
      <w:r>
        <w:rPr>
          <w:b/>
        </w:rPr>
        <w:t xml:space="preserve">摘要（ZH）: </w:t>
      </w:r>
      <w:r>
        <w:t>Taklamakan沙漠是世界上最大和最干燥的沙漠之一,传统上被认为是一个生物真空。在这里,我们证明大规模的生态恢复正在将这一超干旱环境转化为碳汇。通过分析卫星和地面数据,我们发现强烈的季节动态:在湿季(朱尔到塞普),降水量增加到16.3毫米/mo,扩大了植被覆盖面和光合活动,使大气二氧化碳与旱季水平相比减少大约3个部分(ppm)。长期趋势显示植被覆盖率(6.8×10-4y)和光合活动(6.1×10-3 W/m2/sr/m/y)有显著增加,同时CO2净吸收量也得到加强(NEE趋势:-5.2×10-12公斤/m2/y)。</w:t>
      </w:r>
    </w:p>
    <w:p>
      <w:pPr>
        <w:spacing w:before="0" w:after="200" w:lineRule="auto" w:line="276"/>
      </w:pPr>
      <w:r>
        <w:rPr>
          <w:b/>
        </w:rPr>
        <w:t xml:space="preserve">Abstract (EN): </w:t>
      </w:r>
      <w:r>
        <w:t>The Taklamakan Desert, one of the world's largest and driest deserts, has traditionally been considered a biological void. Here, we demonstrate that large-scale ecological restoration is transforming this hyperarid environment into a carbon sink. By analyzing satellite and ground-based data, we find strong seasonal dynamics: During the wet season (Jul to Sep), precipitation increases to 16.3 mm/mo, enhancing vegetation coverage and photosynthetic activity and drawing down atmospheric CO2 by approximately three parts per million (ppm) relative to the dry-season levels. Long-term trends reveal significant increases in vegetation cover (6.8 × 10-4/y) and photosynthetic activity (6.1 × 10-3 W/m2/sr/µm/y), accompanied by a strengthening net CO2 uptake (NEE trend: -5.2 × 10-12 kg/m2/s/y). These changes are spatially concentrated along the desert margins and their timing aligns with implementation of China's Three-North Shelterbelt Program. Our results provide the direct evidence that human-led intervention can effectively enhance carbon sequestration in even the most extreme arid landscapes, demonstrating the potential to transform a desert into a carbon sink and halt desertification. This underscores the critical role of dryland restoration in global carbon management strategies and highlights the Taklamakan Desert as a model for climate change mitigation through nature-based solutions and ecological engineering.</w:t>
      </w:r>
    </w:p>
    <w:p>
      <w:pPr>
        <w:spacing w:before="120" w:after="120"/>
      </w:pPr>
      <w:r>
        <w:rPr>
          <w:sz w:val="18"/>
        </w:rPr>
        <w:t>——————————————————————————————————————————————————————————————————————</w:t>
      </w:r>
    </w:p>
    <w:p>
      <w:pPr>
        <w:spacing w:before="160" w:after="40" w:line="240" w:lineRule="auto"/>
      </w:pPr>
      <w:r>
        <w:rPr>
          <w:b/>
        </w:rPr>
        <w:t xml:space="preserve">[274] </w:t>
      </w:r>
      <w:hyperlink r:id="rId428">
        <w:r>
          <w:rPr>
            <w:color w:val="1155CC"/>
            <w:u w:val="single"/>
          </w:rPr>
          <w:t>消除恐惧的普遍化和增强恐惧灭绝的神经电路基础</w:t>
        </w:r>
      </w:hyperlink>
    </w:p>
    <w:p>
      <w:pPr>
        <w:spacing w:before="0" w:after="80"/>
      </w:pPr>
      <w:r>
        <w:rPr>
          <w:i/>
          <w:sz w:val="20"/>
        </w:rPr>
        <w:t>EN: A neural circuit basis for reward-induced suppression of fear generalization and enhancement of fear extinction</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29">
        <w:r>
          <w:rPr>
            <w:color w:val="1155CC"/>
            <w:u w:val="single"/>
          </w:rPr>
          <w:t>10.1073/pnas.2522768123</w:t>
        </w:r>
      </w:hyperlink>
    </w:p>
    <w:p>
      <w:pPr>
        <w:spacing w:before="0" w:after="120"/>
      </w:pPr>
      <w:r>
        <w:rPr>
          <w:b/>
        </w:rPr>
        <w:t xml:space="preserve">Notes: </w:t>
      </w:r>
      <w:r>
        <w:t>abstract_source=pubmed</w:t>
      </w:r>
    </w:p>
    <w:p>
      <w:pPr>
        <w:spacing w:before="0" w:after="80" w:lineRule="auto" w:line="276"/>
      </w:pPr>
      <w:r>
        <w:rPr>
          <w:b/>
        </w:rPr>
        <w:t xml:space="preserve">摘要（ZH）: </w:t>
      </w:r>
      <w:r>
        <w:t>大脑中影响行为结果的积极和消极影响刺激性互动如何在影响行为结果方面产生积极和消极影响刺激性,人们对此仍不甚了解。在这里,我们表明,回顾一个具有正面价值的奖赏相关提示(奖励性刺激措施,CSRew+)可以防止或扭转小鼠普遍化的恐惧。通过回顾CSRew+来改变普遍恐惧取决于中脑多巴胺系统以及中央阿米达拉(CeA)对歧视性恐惧编码的调控。 准确的时间安排,多巴胺中的瞬时高是扭转CeA中的恐惧普遍化和非歧视性恐惧编码所必要的。 呼唤积极联系也有助于以依赖多巴胺的方式消除有条件的恐惧反应。 这些数据表明,人们回忆了posi。</w:t>
      </w:r>
    </w:p>
    <w:p>
      <w:pPr>
        <w:spacing w:before="0" w:after="200" w:lineRule="auto" w:line="276"/>
      </w:pPr>
      <w:r>
        <w:rPr>
          <w:b/>
        </w:rPr>
        <w:t xml:space="preserve">Abstract (EN): </w:t>
      </w:r>
      <w:r>
        <w:t>How positive and negative affective stimuli interact in the brain to influence behavioral outcomes remains poorly understood. Here, we show that recall of a positively valenced reward-associated cue (reward-conditioned stimulus, CSRew+) can prevent or reverse fear generalization in mice. Modification of generalized fear by recall of a CSRew+ is dependent on the midbrain dopamine system and the regulation of discriminatory fear encoding by the central amygdala (CeA). Precisely timed, transient elevations in dopamine are necessary to reverse fear generalization and nondiscriminatory fear encoding in the CeA. Recall of a positive association is also effective at enhancing the extinction of a conditioned fear response in a dopamine-dependent manner. These data demonstrate that recall of a positive experience can be an effective means to suppress generalized fear and show that dopamine projections to the CeA are an important neural substrate for this phenomenon.</w:t>
      </w:r>
    </w:p>
    <w:p>
      <w:pPr>
        <w:spacing w:before="120" w:after="120"/>
      </w:pPr>
      <w:r>
        <w:rPr>
          <w:sz w:val="18"/>
        </w:rPr>
        <w:t>——————————————————————————————————————————————————————————————————————</w:t>
      </w:r>
    </w:p>
    <w:p>
      <w:pPr>
        <w:spacing w:before="160" w:after="40" w:line="240" w:lineRule="auto"/>
      </w:pPr>
      <w:r>
        <w:rPr>
          <w:b/>
        </w:rPr>
        <w:t xml:space="preserve">[275] </w:t>
      </w:r>
      <w:hyperlink r:id="rId430">
        <w:r>
          <w:rPr>
            <w:color w:val="1155CC"/>
            <w:u w:val="single"/>
          </w:rPr>
          <w:t>森林丧失和地貌格局变化导致流域释放出更多年轻水</w:t>
        </w:r>
      </w:hyperlink>
    </w:p>
    <w:p>
      <w:pPr>
        <w:spacing w:before="0" w:after="80"/>
      </w:pPr>
      <w:r>
        <w:rPr>
          <w:i/>
          <w:sz w:val="20"/>
        </w:rPr>
        <w:t>EN: Forest loss and landscape pattern change cause watersheds to release more young water</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31">
        <w:r>
          <w:rPr>
            <w:color w:val="1155CC"/>
            <w:u w:val="single"/>
          </w:rPr>
          <w:t>10.1073/pnas.2522502123</w:t>
        </w:r>
      </w:hyperlink>
    </w:p>
    <w:p>
      <w:pPr>
        <w:spacing w:before="0" w:after="120"/>
      </w:pPr>
      <w:r>
        <w:rPr>
          <w:b/>
        </w:rPr>
        <w:t xml:space="preserve">Notes: </w:t>
      </w:r>
      <w:r>
        <w:t>abstract_source=pubmed</w:t>
      </w:r>
    </w:p>
    <w:p>
      <w:pPr>
        <w:spacing w:before="0" w:after="80" w:lineRule="auto" w:line="276"/>
      </w:pPr>
      <w:r>
        <w:rPr>
          <w:b/>
        </w:rPr>
        <w:t xml:space="preserve">摘要（ZH）: </w:t>
      </w:r>
      <w:r>
        <w:t>森林的水文功能是公认的,但它们对水储存和释放动态的影响仍然没有很好地量化。年轻水的一小部分([形式:见文本])——2至3个水量中流流流不到2至3个水量的比例是流域保持和释放降水能力的综合指标。这里,通过分析全世界657个流域的[形式:见文本],我们发现森林覆盖与[形式:见文本]有着显著的负面关系。通过对毁林后趋势的元分析[形式:见文本]进一步证实了因果关系,确认森林流失加速了最近降水流向流流流的转化。这种效果在地下水浅水流域中最为明显。</w:t>
      </w:r>
    </w:p>
    <w:p>
      <w:pPr>
        <w:spacing w:before="0" w:after="200" w:lineRule="auto" w:line="276"/>
      </w:pPr>
      <w:r>
        <w:rPr>
          <w:b/>
        </w:rPr>
        <w:t xml:space="preserve">Abstract (EN): </w:t>
      </w:r>
      <w:r>
        <w:t>The hydrological functions of forests are well recognized, but their influence on water storage and release dynamics remains poorly quantified. The fraction of young water ([Formula: see text])-the proportion of streamflow younger than 2 to 3 mo-serves as an integrative indicator of a watershed's capacity to retain and release precipitation. Here, by analyzing [Formula: see text] across 657 watersheds worldwide, we found that forest cover exhibited a significant negative relationship with [Formula: see text]. The causality was further corroborated through a meta-analysis of postdeforestation [Formula: see text] trends, confirming that forest loss accelerates the conversion of recent precipitation into streamflow. This effect was most pronounced in watersheds with shallow groundwater, highlighting the role of forests in regulating rapid, near-surface flowpaths. Beyond total forest cover, we found that forest landscape patterns also exerted influences: A lower proportion of forest edge was associated with higher [Formula: see text], but only in sparsely forested watersheds ([Formula: see text][Formula: see text]40% forest cover), where the edge-enhanced evapotranspiration was most pronounced. This global synthesis not only reinforces the hydrological value of forest conservation and restoration but also highlights that deliberate planning of forest landscape patterns can help mitigate the hydrological consequences of forest loss. Together, these findings demonstrate that integrating forest protection with forest landscape planning is essential for sustaining hydrological functions.</w:t>
      </w:r>
    </w:p>
    <w:p>
      <w:pPr>
        <w:spacing w:before="120" w:after="120"/>
      </w:pPr>
      <w:r>
        <w:rPr>
          <w:sz w:val="18"/>
        </w:rPr>
        <w:t>——————————————————————————————————————————————————————————————————————</w:t>
      </w:r>
    </w:p>
    <w:p>
      <w:pPr>
        <w:spacing w:before="160" w:after="40" w:line="240" w:lineRule="auto"/>
      </w:pPr>
      <w:r>
        <w:rPr>
          <w:b/>
        </w:rPr>
        <w:t xml:space="preserve">[276] </w:t>
      </w:r>
      <w:hyperlink r:id="rId432">
        <w:r>
          <w:rPr>
            <w:color w:val="1155CC"/>
            <w:u w:val="single"/>
          </w:rPr>
          <w:t>老龄人口威胁动物园的养护目标</w:t>
        </w:r>
      </w:hyperlink>
    </w:p>
    <w:p>
      <w:pPr>
        <w:spacing w:before="0" w:after="80"/>
      </w:pPr>
      <w:r>
        <w:rPr>
          <w:i/>
          <w:sz w:val="20"/>
        </w:rPr>
        <w:t>EN: Aging populations threaten conservation goals of zoos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33">
        <w:r>
          <w:rPr>
            <w:color w:val="1155CC"/>
            <w:u w:val="single"/>
          </w:rPr>
          <w:t>10.1073/pnas.2522274123</w:t>
        </w:r>
      </w:hyperlink>
    </w:p>
    <w:p>
      <w:pPr>
        <w:spacing w:before="0" w:after="120"/>
      </w:pPr>
      <w:r>
        <w:rPr>
          <w:b/>
        </w:rPr>
        <w:t xml:space="preserve">Notes: </w:t>
      </w:r>
      <w:r>
        <w:t>abstract_source=pubmed</w:t>
      </w:r>
    </w:p>
    <w:p>
      <w:pPr>
        <w:spacing w:before="0" w:after="80" w:lineRule="auto" w:line="276"/>
      </w:pPr>
      <w:r>
        <w:rPr>
          <w:b/>
        </w:rPr>
        <w:t xml:space="preserve">摘要（ZH）: </w:t>
      </w:r>
      <w:r>
        <w:t>野生动物养殖业的改善意味着许多动物饲养业的改善意味着许多动物的存活时间更长,这给动物园的有限保有能力造成了压力,这往往通过减少繁殖来降低人口增长率来解决这个问题。在这里,我们探讨此类行动如何影响了1970年至2023年期间欧洲和北美动物园人口中774名哺乳动物人口的人口趋势。无论数据是按区域、分类组、养护状况或繁殖方案类型分类,老年人的比例都持续增长,以青少年人数减少和积极繁殖成人为代表。这种人口趋势的不断演变损害了动物园人口的长期可持续性,因而也损害了动物园满足异地条件的能力。</w:t>
      </w:r>
    </w:p>
    <w:p>
      <w:pPr>
        <w:spacing w:before="0" w:after="200" w:lineRule="auto" w:line="276"/>
      </w:pPr>
      <w:r>
        <w:rPr>
          <w:b/>
        </w:rPr>
        <w:t xml:space="preserve">Abstract (EN): </w:t>
      </w:r>
      <w:r>
        <w:t>Improvements in wildlife husbandry mean that many zoo animals are living longer. This has put pressure on the finite holding capacity of zoos, which has often been addressed through a curtailing of reproduction to reduce population growth rates. Here, we explore how such actions have impacted the demographic trends of 774 mammal populations in European and North American zoo populations between 1970 and 2023. Irrespective of whether the data are clustered by region, taxonomic group, conservation status, or breeding program type, the proportion of old individuals has increased continuously, mirrored by a decrease in juveniles and actively reproducing adults. This aging demographic trend compromises the long-term sustainability of zoo populations and thus the ability of zoos to meet ex situ conservation goals. As the observed trends do not show signs of abating, reflection on current zoo population management is required.</w:t>
      </w:r>
    </w:p>
    <w:p>
      <w:pPr>
        <w:spacing w:before="120" w:after="120"/>
      </w:pPr>
      <w:r>
        <w:rPr>
          <w:sz w:val="18"/>
        </w:rPr>
        <w:t>——————————————————————————————————————————————————————————————————————</w:t>
      </w:r>
    </w:p>
    <w:p>
      <w:pPr>
        <w:spacing w:before="160" w:after="40" w:line="240" w:lineRule="auto"/>
      </w:pPr>
      <w:r>
        <w:rPr>
          <w:b/>
        </w:rPr>
        <w:t xml:space="preserve">[277] </w:t>
      </w:r>
      <w:hyperlink r:id="rId434">
        <w:r>
          <w:rPr>
            <w:color w:val="1155CC"/>
            <w:u w:val="single"/>
          </w:rPr>
          <w:t>LolCDE结构显示一种常见的基底-LolE相互作用,引导细菌脂蛋白质迁移</w:t>
        </w:r>
      </w:hyperlink>
    </w:p>
    <w:p>
      <w:pPr>
        <w:spacing w:before="0" w:after="80"/>
      </w:pPr>
      <w:r>
        <w:rPr>
          <w:i/>
          <w:sz w:val="20"/>
        </w:rPr>
        <w:t>EN: Liganded LolCDE structures reveal a common substrate-LolE interaction guiding bacterial lipoprotein transport</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35">
        <w:r>
          <w:rPr>
            <w:color w:val="1155CC"/>
            <w:u w:val="single"/>
          </w:rPr>
          <w:t>10.1073/pnas.2520579123</w:t>
        </w:r>
      </w:hyperlink>
    </w:p>
    <w:p>
      <w:pPr>
        <w:spacing w:before="0" w:after="120"/>
      </w:pPr>
      <w:r>
        <w:rPr>
          <w:b/>
        </w:rPr>
        <w:t xml:space="preserve">Notes: </w:t>
      </w:r>
      <w:r>
        <w:t>abstract_source=pubmed</w:t>
      </w:r>
    </w:p>
    <w:p>
      <w:pPr>
        <w:spacing w:before="0" w:after="80" w:lineRule="auto" w:line="276"/>
      </w:pPr>
      <w:r>
        <w:rPr>
          <w:b/>
        </w:rPr>
        <w:t xml:space="preserve">摘要（ZH）: </w:t>
      </w:r>
      <w:r>
        <w:t>Lol系统对于生物合成和维护至关重要,它从内膜生物合成点直接将脂质素从内膜生物合成点直接运输到外膜生物合成点,成为广泛开发新型抗微生物药物努力的目标。在这一运输过程的第一阶段,新合成的脂质素由ABC运输器LolCDE从内膜释放出来,并传递到Periplasmic 礼拜堂LolA。在这里,我们展示LolCDE的冷冻-EM结构,复杂的是三种不同的脂质亚质,Lpp、Pal和LolB,后两种在乙型丙型丙型丙型丙型丙烯基丙烯丙烯之间带有一种紊乱的peptide联系器。</w:t>
      </w:r>
    </w:p>
    <w:p>
      <w:pPr>
        <w:spacing w:before="0" w:after="200" w:lineRule="auto" w:line="276"/>
      </w:pPr>
      <w:r>
        <w:rPr>
          <w:b/>
        </w:rPr>
        <w:t xml:space="preserve">Abstract (EN): </w:t>
      </w:r>
      <w:r>
        <w:t>Bacterial lipoproteins are key structural components of the outer membrane in Gram-negative bacteria and vital components of machineries required for its biosynthesis and maintenance. The Lol system, essential for viability, directs transport of lipoproteins from the site of biosynthesis on the inner membrane to the outer membrane and has been the target of extensive efforts to develop novel antimicrobial drugs. In the first stage of this transport process, newly synthesized lipoproteins are released from the inner membrane by the ABC transporter LolCDE and passed to the periplasmic chaperone, LolA. Here, we show cryo-EM structures of LolCDE in complex with three different lipoprotein substrates, Lpp, Pal, and LolB, with the latter two bearing a disordered peptide linker between the acyl chains and the globular domain. Our work reveals that when the mature lipoprotein lacks an unstructured linker, the N-terminal portion of the protein is in an unfolded state for transport. The lipoproteins make a sequence-independent but structurally conserved interaction with a cleft on the surface of the periplasmic domain of LolE that promotes efficient transport. We propose a model of lipoprotein export where this interaction acts as pivot point for the peptide portion of the lipoprotein allowing the acyl chains to rotate 180° from their initial position in LolCDE to their binding site in LolA. Our results demonstrate how LolCDE can extrude lipoproteins of diverse sequence and structure and reveal an important detail of a transport process fundamental to bacterial physiology.</w:t>
      </w:r>
    </w:p>
    <w:p>
      <w:pPr>
        <w:spacing w:before="120" w:after="120"/>
      </w:pPr>
      <w:r>
        <w:rPr>
          <w:sz w:val="18"/>
        </w:rPr>
        <w:t>——————————————————————————————————————————————————————————————————————</w:t>
      </w:r>
    </w:p>
    <w:p>
      <w:pPr>
        <w:spacing w:before="160" w:after="40" w:line="240" w:lineRule="auto"/>
      </w:pPr>
      <w:r>
        <w:rPr>
          <w:b/>
        </w:rPr>
        <w:t xml:space="preserve">[278] </w:t>
      </w:r>
      <w:hyperlink r:id="rId436">
        <w:r>
          <w:rPr>
            <w:color w:val="1155CC"/>
            <w:u w:val="single"/>
          </w:rPr>
          <w:t>用于在转移性淋巴结中进行选择性免疫工程的生物反应免疫分子纳米复合体</w:t>
        </w:r>
      </w:hyperlink>
    </w:p>
    <w:p>
      <w:pPr>
        <w:spacing w:before="0" w:after="80"/>
      </w:pPr>
      <w:r>
        <w:rPr>
          <w:i/>
          <w:sz w:val="20"/>
        </w:rPr>
        <w:t>EN: Bioresponsive immunomodulator nanocomplex for selective immunoengineering in metastatic lymph nodes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37">
        <w:r>
          <w:rPr>
            <w:color w:val="1155CC"/>
            <w:u w:val="single"/>
          </w:rPr>
          <w:t>10.1073/pnas.2519625123</w:t>
        </w:r>
      </w:hyperlink>
    </w:p>
    <w:p>
      <w:pPr>
        <w:spacing w:before="0" w:after="120"/>
      </w:pPr>
      <w:r>
        <w:rPr>
          <w:b/>
        </w:rPr>
        <w:t xml:space="preserve">Notes: </w:t>
      </w:r>
      <w:r>
        <w:t>abstract_source=pubmed</w:t>
      </w:r>
    </w:p>
    <w:p>
      <w:pPr>
        <w:spacing w:before="0" w:after="80" w:lineRule="auto" w:line="276"/>
      </w:pPr>
      <w:r>
        <w:rPr>
          <w:b/>
        </w:rPr>
        <w:t xml:space="preserve">摘要（ZH）: </w:t>
      </w:r>
      <w:r>
        <w:t>Lemph node (LN) 中转性(LNM) 代谢性(LNM) 常见于各种癌症类型,与高抗性、低预测率和低存活率有关,然而,有效的临床干预仍然有限,主要原因是在经转移性 LNs 中发现了独特的免疫抑制性微环境。在经转移性 LNs 中有针对性地提供免疫分子和选择性免疫工程,为将这些LNs重新定位为有效的抗脉冲系统,同时减轻其他地方意外免疫激活的风险提供了一个充满希望的渠道。在这里,我们开发了一种生物反应性LN 目标免疫化学合成纳米复合体纳米体纳米体,旨在有选择地在抗转移性 LNs (LNM) 中重新规划免疫性微环境,用于抑制LNM。由于特定的化学反应,免疫聚合体可以将这些LNs作为目标。</w:t>
      </w:r>
    </w:p>
    <w:p>
      <w:pPr>
        <w:spacing w:before="0" w:after="200" w:lineRule="auto" w:line="276"/>
      </w:pPr>
      <w:r>
        <w:rPr>
          <w:b/>
        </w:rPr>
        <w:t xml:space="preserve">Abstract (EN): </w:t>
      </w:r>
      <w:r>
        <w:t>Lymph node (LN) metastasis (LNM) frequently occurs in various cancer types and is associated with high aggressiveness, poor prognosis, and low survival rates. However, effective clinical interventions remain limited primarily due to the distinctive immunosuppressive microenvironment found in metastatic LNs. Targeted delivery of immunomodulators and selective immunoengineering in metastatic LNs offers a promising avenue for repurposing these LNs as an effective antitumor system while mitigating the risk of unwanted immune activation elsewhere. Here, we develop a bioresponsive LN-targeted immunomodulator nanocomplex designed to selectively reprogram the immune microenvironment in metastatic LNs for LNM inhibition. The immunomodulator nanocomplex can target LNs due to specific chemokine receptor 7 modification and selectively release anti-PD-1 antibodies in response to glutathione that is found elevated in the extracellular matrix of metastatic LNs. In two mouse models, our data suggested that the immunomodulator nanocomplex can selectively activate T cell-mediated antitumor immune responses in metastatic LNs and thus effectively inhibit tumor growth and prolong the survival of animals. Importantly, the modular design of this platform could enable facile incorporation of alternative immunotherapeutic agents that exhibit significant systemic toxicities in the clinic, allowing broader application to payloads that may particularly benefit from localized, LNM-selective activation. This approach holds significant promises for reducing the necessity for complete LN dissection, thereby presenting a valuable therapeutic option for a broad spectrum of cancer patients.</w:t>
      </w:r>
    </w:p>
    <w:p>
      <w:pPr>
        <w:spacing w:before="120" w:after="120"/>
      </w:pPr>
      <w:r>
        <w:rPr>
          <w:sz w:val="18"/>
        </w:rPr>
        <w:t>——————————————————————————————————————————————————————————————————————</w:t>
      </w:r>
    </w:p>
    <w:p>
      <w:pPr>
        <w:spacing w:before="160" w:after="40" w:line="240" w:lineRule="auto"/>
      </w:pPr>
      <w:r>
        <w:rPr>
          <w:b/>
        </w:rPr>
        <w:t xml:space="preserve">[279] </w:t>
      </w:r>
      <w:hyperlink r:id="rId438">
        <w:r>
          <w:rPr>
            <w:color w:val="1155CC"/>
            <w:u w:val="single"/>
          </w:rPr>
          <w:t>有选择性地对催产素进行编码后管理可加强女性男性面部的记忆整合</w:t>
        </w:r>
      </w:hyperlink>
    </w:p>
    <w:p>
      <w:pPr>
        <w:spacing w:before="0" w:after="80"/>
      </w:pPr>
      <w:r>
        <w:rPr>
          <w:i/>
          <w:sz w:val="20"/>
        </w:rPr>
        <w:t>EN: Post-encoding administration of oxytocin selectively enhances memory consolidation of male faces in females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39">
        <w:r>
          <w:rPr>
            <w:color w:val="1155CC"/>
            <w:u w:val="single"/>
          </w:rPr>
          <w:t>10.1073/pnas.2529865123</w:t>
        </w:r>
      </w:hyperlink>
    </w:p>
    <w:p>
      <w:pPr>
        <w:spacing w:before="0" w:after="120"/>
      </w:pPr>
      <w:r>
        <w:rPr>
          <w:b/>
        </w:rPr>
        <w:t xml:space="preserve">Notes: </w:t>
      </w:r>
      <w:r>
        <w:t>abstract_source=pubmed</w:t>
      </w:r>
    </w:p>
    <w:p>
      <w:pPr>
        <w:spacing w:before="0" w:after="80" w:lineRule="auto" w:line="276"/>
      </w:pPr>
      <w:r>
        <w:rPr>
          <w:b/>
        </w:rPr>
        <w:t xml:space="preserve">摘要（ZH）: </w:t>
      </w:r>
      <w:r>
        <w:t>催产素在调节社会认知和增强人的面部记忆方面发挥着关键作用。然而,对于记忆催产素的哪个阶段影响增强面部记忆,我们仍不清楚。我们的研究探讨了催产素有选择地加强社会记忆整合的潜力,特别是人类面部的整合,以及这种效应是否因性别而异。在对异性参与者(总共N=445,包括227名男性和218名女性)的三次预先登记、随机、双盲、安慰剂控制试验中,我们探讨了催产素如何影响记忆整合。我们在三个平行研究中,在编码(即研究1)、检索(即研究2)之前和编码(即研究3)之前,立即实施了催产素。这一设计使我们能够确认催产素的浓度。</w:t>
      </w:r>
    </w:p>
    <w:p>
      <w:pPr>
        <w:spacing w:before="0" w:after="200" w:lineRule="auto" w:line="276"/>
      </w:pPr>
      <w:r>
        <w:rPr>
          <w:b/>
        </w:rPr>
        <w:t xml:space="preserve">Abstract (EN): </w:t>
      </w:r>
      <w:r>
        <w:t>Oxytocin plays a critical role in modulating social cognition and enhancing human memory for faces. However, it remains unclear which phase of memory oxytocin affects to enhance face memory. Our study explored oxytocin's potential to selectively enhance the consolidation of social memories, specifically human faces, and whether this effect varies between genders. In three preregistered, randomized, double-blind, placebo-controlled trials with heterosexual participants (total N = 445, comprising 227 males and 218 females), we explored how oxytocin affects memory consolidation. We administered oxytocin immediately after encoding (i.e., Study 1), before retrieval (i.e., Study 2), and before encoding (i.e., Study 3) in three parallel studies. This design allowed us to confirm that oxytocin's effects were indeed due to consolidation rather than retrieval or encoding. We found that administering oxytocin post-encoding, but not before-retrieval or before-encoding, significantly improved female participants' ability to recognize male faces 24 h later, with no similar enhancement observed in males recognizing opposite-gender faces. Together with our analyses of the social placebo effect-where the belief in receiving oxytocin produces effects similar to those of actual intranasal oxytocin administration-and the approachability ratings during encoding, we concluded that oxytocin specifically enhances the consolidation of long-term social memories in women recognizing male faces. These findings imply that oxytocin selectively enhances the consolidation of human social memory, potentially deepening our understanding of the mechanisms underlying social memory processes.</w:t>
      </w:r>
    </w:p>
    <w:p>
      <w:pPr>
        <w:spacing w:before="120" w:after="120"/>
      </w:pPr>
      <w:r>
        <w:rPr>
          <w:sz w:val="18"/>
        </w:rPr>
        <w:t>——————————————————————————————————————————————————————————————————————</w:t>
      </w:r>
    </w:p>
    <w:p>
      <w:pPr>
        <w:spacing w:before="160" w:after="40" w:line="240" w:lineRule="auto"/>
      </w:pPr>
      <w:r>
        <w:rPr>
          <w:b/>
        </w:rPr>
        <w:t xml:space="preserve">[280] </w:t>
      </w:r>
      <w:hyperlink r:id="rId440">
        <w:r>
          <w:rPr>
            <w:color w:val="1155CC"/>
            <w:u w:val="single"/>
          </w:rPr>
          <w:t>对Dujmović案的答复:人与模型推理成本的调整是一个经验现象,值得解释</w:t>
        </w:r>
      </w:hyperlink>
    </w:p>
    <w:p>
      <w:pPr>
        <w:spacing w:before="0" w:after="80"/>
      </w:pPr>
      <w:r>
        <w:rPr>
          <w:i/>
          <w:sz w:val="20"/>
        </w:rPr>
        <w:t>EN: Reply to Dujmović: The alignment in cost between human and model reasoning is an empirical phenomenon worth explaining</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41">
        <w:r>
          <w:rPr>
            <w:color w:val="1155CC"/>
            <w:u w:val="single"/>
          </w:rPr>
          <w:t>10.1073/pnas.2536153123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442">
        <w:r>
          <w:rPr>
            <w:color w:val="1155CC"/>
            <w:u w:val="single"/>
          </w:rPr>
          <w:t>对天天等人的校正,DNA聚合酶三角塔对父母向DNA复制转移原型酮至DNA复制</w:t>
        </w:r>
      </w:hyperlink>
    </w:p>
    <w:p>
      <w:pPr>
        <w:spacing w:before="0" w:after="80"/>
      </w:pPr>
      <w:r>
        <w:rPr>
          <w:i/>
          <w:sz w:val="20"/>
        </w:rPr>
        <w:t>EN: Correction for Tian et al., DNA polymerase delta governs parental histone transfer to DNA replication lagging strand</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43">
        <w:r>
          <w:rPr>
            <w:color w:val="1155CC"/>
            <w:u w:val="single"/>
          </w:rPr>
          <w:t>10.1073/pnas.2537869123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444">
        <w:r>
          <w:rPr>
            <w:color w:val="1155CC"/>
            <w:u w:val="single"/>
          </w:rPr>
          <w:t>利用基于宿主病原原原药的系统对封闭环境中的传染病爆发进行实时临时临时跟踪</w:t>
        </w:r>
      </w:hyperlink>
    </w:p>
    <w:p>
      <w:pPr>
        <w:spacing w:before="0" w:after="80"/>
      </w:pPr>
      <w:r>
        <w:rPr>
          <w:i/>
          <w:sz w:val="20"/>
        </w:rPr>
        <w:t>EN: Real-time spatiotemporal tracking of infectious outbreaks in confined environments with a host–pathogen agent-based system</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45">
        <w:r>
          <w:rPr>
            <w:color w:val="1155CC"/>
            <w:u w:val="single"/>
          </w:rPr>
          <w:t>10.1073/pnas.2422574123</w:t>
        </w:r>
      </w:hyperlink>
    </w:p>
    <w:p>
      <w:pPr>
        <w:spacing w:before="0" w:after="120"/>
      </w:pPr>
      <w:r>
        <w:rPr>
          <w:b/>
        </w:rPr>
        <w:t xml:space="preserve">Notes: </w:t>
      </w:r>
      <w:r>
        <w:t>abstract_source=pubmed</w:t>
      </w:r>
    </w:p>
    <w:p>
      <w:pPr>
        <w:spacing w:before="0" w:after="80" w:lineRule="auto" w:line="276"/>
      </w:pPr>
      <w:r>
        <w:rPr>
          <w:b/>
        </w:rPr>
        <w:t xml:space="preserve">摘要（ZH）: </w:t>
      </w:r>
      <w:r>
        <w:t>无论是在游轮上爆发COVID-19,还是在游轮上爆发COVID-19,还是在学校中爆发麻疹和胃流感,在封闭的空间中爆发致命性传染病,其特点是,由于共用空间、共用航道和人口密度高,这种疾病迅速蔓延。 先进的计算模型方法有助于防止未来的疾病爆发和制定有效的缓解协议。 在这里,我们开发了一种以代理为基础的建模方法,研究在特定病原体造成的封闭环境中爆发传染病的短暂时空动态,并确定有效的遏制协议。 这种方法结合了封闭环境中的3D地理信息系统、东道国的行为、从中获取的病原体的关键生物参数。</w:t>
      </w:r>
    </w:p>
    <w:p>
      <w:pPr>
        <w:spacing w:before="0" w:after="200" w:lineRule="auto" w:line="276"/>
      </w:pPr>
      <w:r>
        <w:rPr>
          <w:b/>
        </w:rPr>
        <w:t xml:space="preserve">Abstract (EN): </w:t>
      </w:r>
      <w:r>
        <w:t>Deadly infection outbreaks in confined spaces, whether it is a COVID-19 outbreak on a cruise ship or measles and stomach flu outbreaks in schools, can be characterized by their rapid spread due to the abundance of common spaces, shared airways, and high population density. Preventing future outbreaks and developing efficient mitigation protocols can benefit from advanced computational modeling approaches. Here, we developed an agent-based modeling approach to study the spatiotemporal dynamics of an infection outbreak in a confined environment caused by a specific pathogen, and to determine effective containment protocols. The approach integrates the 3D geographic information system of a confined environment, behavior of the hosts, key biological parameters about the pathogen obtained from the experimental data, and the general mechanics of host-pathogen and pathogen-fomite interactions. To assess our approach, we applied it to the historical data of infectious outbreaks caused by norovirus, H1N1 influenza A, and SARS-CoV-2 viruses. Our AI-GIS Infection Dynamics (AGID) model accurately predicted daily infection numbers, correctly identified the day when the CDC vessel sanitation protocol would be triggered, singled out key biological parameters affecting the infection spread, and propose pathogen-specific changes to existing containment protocols. Our work advances the understanding of infection spread on cruise ships while offering insights applicable to other similar confined settings, such as nursing homes, schools, and hospitals. By providing a robust framework for real-time outbreak modeling, this study proposes more effective containment protocols and enhances our preparedness for managing infectious diseases and emerging pathogens in confined environments.</w:t>
      </w:r>
    </w:p>
    <w:p>
      <w:pPr>
        <w:spacing w:before="120" w:after="120"/>
      </w:pPr>
      <w:r>
        <w:rPr>
          <w:sz w:val="18"/>
        </w:rPr>
        <w:t>——————————————————————————————————————————————————————————————————————</w:t>
      </w:r>
    </w:p>
    <w:p>
      <w:pPr>
        <w:spacing w:before="160" w:after="40" w:line="240" w:lineRule="auto"/>
      </w:pPr>
      <w:r>
        <w:rPr>
          <w:b/>
        </w:rPr>
        <w:t xml:space="preserve">[283] </w:t>
      </w:r>
      <w:hyperlink r:id="rId446">
        <w:r>
          <w:rPr>
            <w:color w:val="1155CC"/>
            <w:u w:val="single"/>
          </w:rPr>
          <w:t>缩放活性粒子的玻璃动态: 可调制的易碎和回流</w:t>
        </w:r>
      </w:hyperlink>
    </w:p>
    <w:p>
      <w:pPr>
        <w:spacing w:before="0" w:after="80"/>
      </w:pPr>
      <w:r>
        <w:rPr>
          <w:i/>
          <w:sz w:val="20"/>
        </w:rPr>
        <w:t>EN: Scaling the glassy dynamics of active particles: Tunable fragility and reentrance</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47">
        <w:r>
          <w:rPr>
            <w:color w:val="1155CC"/>
            <w:u w:val="single"/>
          </w:rPr>
          <w:t>10.1073/pnas.2516624123</w:t>
        </w:r>
      </w:hyperlink>
    </w:p>
    <w:p>
      <w:pPr>
        <w:spacing w:before="0" w:after="120"/>
      </w:pPr>
      <w:r>
        <w:rPr>
          <w:b/>
        </w:rPr>
        <w:t xml:space="preserve">Notes: </w:t>
      </w:r>
      <w:r>
        <w:t>abstract_source=pubmed</w:t>
      </w:r>
    </w:p>
    <w:p>
      <w:pPr>
        <w:spacing w:before="0" w:after="80" w:lineRule="auto" w:line="276"/>
      </w:pPr>
      <w:r>
        <w:rPr>
          <w:b/>
        </w:rPr>
        <w:t xml:space="preserve">摘要（ZH）: </w:t>
      </w:r>
      <w:r>
        <w:t>了解活动对密度稠密的畸形组件的影响,对于诸如创伤愈合、胚胎产生或癌症不断演变等生物过程至关重要。在这里,我们研究振动[形式:见文字]和耐久时间[形式:见文字]的自我推进力的影响,通过模拟一个模型粒子系统,将颗粒活性物质与生物组织间插。我们确定了不同[形式:见文字]、[形式:见文字]和包装部分[形式:见文字]获得的三维阶段图的流体和玻璃阶段。阶段图的形态说明与[形式:见文字]一起的放松时间的非分子进化。</w:t>
      </w:r>
    </w:p>
    <w:p>
      <w:pPr>
        <w:spacing w:before="0" w:after="200" w:lineRule="auto" w:line="276"/>
      </w:pPr>
      <w:r>
        <w:rPr>
          <w:b/>
        </w:rPr>
        <w:t xml:space="preserve">Abstract (EN): </w:t>
      </w:r>
      <w:r>
        <w:t>Understanding the influence of activity on dense amorphous assemblies is crucial for biological processes such as wound healing, embryogenesis, or cancer progression. Here, we study the effect of self-propulsion forces of amplitude [Formula: see text] and persistence time [Formula: see text] in dense assemblies of soft repulsive particles by simulating a model particle system that interpolates between particulate active matter and biological tissues. We identify the fluid and glass phases of the three-dimensional phase diagram obtained by varying [Formula: see text], [Formula: see text], and the packing fraction [Formula: see text]. The morphology of the phase diagram accounts for a nonmonotonic evolution of the relaxation time with [Formula: see text], which is a direct consequence of the crossover in the dominant relaxation mechanism, from glassy to jamming. A second major consequence is the evolution of the glassy dynamics from sub-Arrhenius to super-Arrhenius. We show that this tunable glass fragility extends to active systems analogous observations reported for passive particles. This analogy allows us to apply a dynamic scaling analysis proposed for the passive case, in order to account for our results for active systems. Finally, we discuss similarities and differences between our results and recent findings in the context of computational models of biological tissues.</w:t>
      </w:r>
    </w:p>
    <w:p>
      <w:pPr>
        <w:spacing w:before="120" w:after="120"/>
      </w:pPr>
      <w:r>
        <w:rPr>
          <w:sz w:val="18"/>
        </w:rPr>
        <w:t>——————————————————————————————————————————————————————————————————————</w:t>
      </w:r>
    </w:p>
    <w:p>
      <w:pPr>
        <w:spacing w:before="160" w:after="40" w:line="240" w:lineRule="auto"/>
      </w:pPr>
      <w:r>
        <w:rPr>
          <w:b/>
        </w:rPr>
        <w:t xml:space="preserve">[284] </w:t>
      </w:r>
      <w:hyperlink r:id="rId448">
        <w:r>
          <w:rPr>
            <w:color w:val="1155CC"/>
            <w:u w:val="single"/>
          </w:rPr>
          <w:t>在Paleone-Ecene热量峰值开始时广泛发生的陆地生态系统中断</w:t>
        </w:r>
      </w:hyperlink>
    </w:p>
    <w:p>
      <w:pPr>
        <w:spacing w:before="0" w:after="80"/>
      </w:pPr>
      <w:r>
        <w:rPr>
          <w:i/>
          <w:sz w:val="20"/>
        </w:rPr>
        <w:t>EN: Widespread terrestrial ecosystem disruption at the onset of the Paleocene–Eocene Thermal Maximum</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49">
        <w:r>
          <w:rPr>
            <w:color w:val="1155CC"/>
            <w:u w:val="single"/>
          </w:rPr>
          <w:t>10.1073/pnas.2509231122</w:t>
        </w:r>
      </w:hyperlink>
    </w:p>
    <w:p>
      <w:pPr>
        <w:spacing w:before="0" w:after="120"/>
      </w:pPr>
      <w:r>
        <w:rPr>
          <w:b/>
        </w:rPr>
        <w:t xml:space="preserve">Notes: </w:t>
      </w:r>
      <w:r>
        <w:t>abstract_source=pubmed</w:t>
      </w:r>
    </w:p>
    <w:p>
      <w:pPr>
        <w:spacing w:before="0" w:after="80" w:lineRule="auto" w:line="276"/>
      </w:pPr>
      <w:r>
        <w:rPr>
          <w:b/>
        </w:rPr>
        <w:t xml:space="preserve">摘要（ZH）: </w:t>
      </w:r>
      <w:r>
        <w:t>在PETM(PETM, ~56 Mya)间隔期间,海洋/大气系统中的碳排放量大为13C(消耗的碳排放量),表现为沉积成分中的负碳同位素外溢(CIE),全球平均升温为~5°C。PETM(PETM, ~56 Mya)间隔期间广泛记载了水文扰动和土壤侵蚀现象,但其与植被和碳循环变化的联系仍然受到很大限制。在这里,我们提供了有机微软的证据表明,在CIE第一个千年期间,在挪威海边边缘取代锥形森林的以生为主的先锋植被急剧增加。由于目前的地形限制,北海陆地环境同时出现了“发烧”现象,北极的O。</w:t>
      </w:r>
    </w:p>
    <w:p>
      <w:pPr>
        <w:spacing w:before="0" w:after="200" w:lineRule="auto" w:line="276"/>
      </w:pPr>
      <w:r>
        <w:rPr>
          <w:b/>
        </w:rPr>
        <w:t xml:space="preserve">Abstract (EN): </w:t>
      </w:r>
      <w:r>
        <w:t>The Paleocene-Eocene Thermal Maximum (PETM, ~56 Mya) interval was marked by massive 13C-depleted carbon emissions into the ocean/atmosphere system, manifested as a negative carbon isotope excursion (CIE) in sedimentary components, and ~5 °C global average warming. Episodes of hydrological perturbations and soil-erosion have been widely documented for the PETM but their link with vegetation- and carbon cycle changes remain poorly constrained. Here, we present organic microfossil evidence showing a strong increase in fern-dominated pioneer vegetation that replaced coniferous forests on the margin of the Norwegian Sea during the first millennia of the CIE. With the present stratigraphic constraints, the "fern spike" occurred simultaneously in terrestrial settings along the North Sea, Arctic Ocean, the US east coast and in southern Australia, indicating that pioneer vegetation persisted for several millennia following a partial collapse of previously stable terrestrial ecosystems. Both the ferns and influx of microcharcoal imply recurrent physical disturbance, including soil destabilization and erosion, potentially linked to droughts, wildfires, and strong hydrological forcing resulting from extreme climate change. Together with evidence for reworked clay minerals and ancient organic matter (kerogen), these findings show that highly disturbed terrestrial ecosystems were widespread across mid- and high-latitude regions globally. Carbon cycle model simulations suggest that a substantial loss of standing and buried biomass, along with oxidation of soil organic matter, acted as important positive feedbacks during the onset of the CIE. Additionally, enhanced kerogen weathering likely contributed as another major positive feedback throughout both the onset and main phase of the CIE.</w:t>
      </w:r>
    </w:p>
    <w:p>
      <w:pPr>
        <w:spacing w:before="120" w:after="120"/>
      </w:pPr>
      <w:r>
        <w:rPr>
          <w:sz w:val="18"/>
        </w:rPr>
        <w:t>——————————————————————————————————————————————————————————————————————</w:t>
      </w:r>
    </w:p>
    <w:p>
      <w:pPr>
        <w:spacing w:before="160" w:after="40" w:line="240" w:lineRule="auto"/>
      </w:pPr>
      <w:r>
        <w:rPr>
          <w:b/>
        </w:rPr>
        <w:t xml:space="preserve">[285] </w:t>
      </w:r>
      <w:hyperlink r:id="rId450">
        <w:r>
          <w:rPr>
            <w:color w:val="1155CC"/>
            <w:u w:val="single"/>
          </w:rPr>
          <w:t>养护应包含现实的适应能力</w:t>
        </w:r>
      </w:hyperlink>
    </w:p>
    <w:p>
      <w:pPr>
        <w:spacing w:before="0" w:after="80"/>
      </w:pPr>
      <w:r>
        <w:rPr>
          <w:i/>
          <w:sz w:val="20"/>
        </w:rPr>
        <w:t>EN: Conservation should assume realistic adaptive capacities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51">
        <w:r>
          <w:rPr>
            <w:color w:val="1155CC"/>
            <w:u w:val="single"/>
          </w:rPr>
          <w:t>10.1073/pnas.2415291123</w:t>
        </w:r>
      </w:hyperlink>
    </w:p>
    <w:p>
      <w:pPr>
        <w:spacing w:before="0" w:after="120"/>
      </w:pPr>
      <w:r>
        <w:rPr>
          <w:b/>
        </w:rPr>
        <w:t xml:space="preserve">Notes: </w:t>
      </w:r>
      <w:r>
        <w:t>abstract_source=pubmed</w:t>
      </w:r>
    </w:p>
    <w:p>
      <w:pPr>
        <w:spacing w:before="0" w:after="80" w:lineRule="auto" w:line="276"/>
      </w:pPr>
      <w:r>
        <w:rPr>
          <w:b/>
        </w:rPr>
        <w:t xml:space="preserve">摘要（ZH）: </w:t>
      </w:r>
      <w:r>
        <w:t>举例来说,我们评估了美国受威胁和濒危物种恢复计划的最后10年年,发现只有4%的人对人口内部的适应性进行了评估。这一遗漏反映了一种共同的假设,即人口适应性过于缓慢或无关紧要,无法在短期内影响养护实践。然而,许多研究的中位遗传性(h2)和可变性(IA)并不是假设的零,而是基于估计值汇编的0.3和0.4,分别是0.3和0.4。这种中度的遗传性可以拯救某些人口。通过汇编关于养护评估的文献,我们详细说明了考虑适应性如何改变。</w:t>
      </w:r>
    </w:p>
    <w:p>
      <w:pPr>
        <w:spacing w:before="0" w:after="200" w:lineRule="auto" w:line="276"/>
      </w:pPr>
      <w:r>
        <w:rPr>
          <w:b/>
        </w:rPr>
        <w:t xml:space="preserve">Abstract (EN): </w:t>
      </w:r>
      <w:r>
        <w:t>Conservation actions often assume implicitly that heritabilities are zero and that threatened populations cannot adapt to changing environments. To illustrate, we evaluated the last 10 y of recovery plans for US threatened and endangered species and found that only 4% assessed within-population adaptability. This omission reflects the common assumption that population adaptation is too slow or inconsequential to affect conservation practice in the short term. Yet, the median heritability (h2) and evolvability (IA) across many studies are not zero as assumed, but 0.3 and 0.4, respectively, based on a compilation of estimated values. This moderate heritability could rescue some populations. By compiling literature on conservation assessments, we detail how considering adaptability can shift conservation priorities, alter management recommendations, and provide additional ways to rescue declining populations and species. Based on these findings, we advocate for including population adaptability into conservation plans and adopting the prior expectation of moderate adaptability (h2 = 0.3, IA = 0.4) along with its uncertainty, as a starting point when better information is lacking. This moderate adaptability could allow some species to respond naturally to environmental change while directing limited resources toward the species that need it most.</w:t>
      </w:r>
    </w:p>
    <w:p>
      <w:pPr>
        <w:spacing w:before="120" w:after="120"/>
      </w:pPr>
      <w:r>
        <w:rPr>
          <w:sz w:val="18"/>
        </w:rPr>
        <w:t>——————————————————————————————————————————————————————————————————————</w:t>
      </w:r>
    </w:p>
    <w:p>
      <w:pPr>
        <w:spacing w:before="160" w:after="40" w:line="240" w:lineRule="auto"/>
      </w:pPr>
      <w:r>
        <w:rPr>
          <w:b/>
        </w:rPr>
        <w:t xml:space="preserve">[286] </w:t>
      </w:r>
      <w:hyperlink r:id="rId452">
        <w:r>
          <w:rPr>
            <w:color w:val="1155CC"/>
            <w:u w:val="single"/>
          </w:rPr>
          <w:t>在胚胎和成年小鼠皮层中,差异性Hes1激活定义了神经干干干干细胞直系承诺和利基维护。</w:t>
        </w:r>
      </w:hyperlink>
    </w:p>
    <w:p>
      <w:pPr>
        <w:spacing w:before="0" w:after="80"/>
      </w:pPr>
      <w:r>
        <w:rPr>
          <w:i/>
          <w:sz w:val="20"/>
        </w:rPr>
        <w:t>EN: Differential Hes1 activation defines neural stem cell lineage commitment and niche maintenance in embryonic and adult mouse cortex</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53">
        <w:r>
          <w:rPr>
            <w:color w:val="1155CC"/>
            <w:u w:val="single"/>
          </w:rPr>
          <w:t>10.1073/pnas.2511800123</w:t>
        </w:r>
      </w:hyperlink>
    </w:p>
    <w:p>
      <w:pPr>
        <w:spacing w:before="0" w:after="120"/>
      </w:pPr>
      <w:r>
        <w:rPr>
          <w:b/>
        </w:rPr>
        <w:t xml:space="preserve">Notes: </w:t>
      </w:r>
      <w:r>
        <w:t>abstract_source=pubmed</w:t>
      </w:r>
    </w:p>
    <w:p>
      <w:pPr>
        <w:spacing w:before="0" w:after="80" w:lineRule="auto" w:line="276"/>
      </w:pPr>
      <w:r>
        <w:rPr>
          <w:b/>
        </w:rPr>
        <w:t xml:space="preserve">摘要（ZH）: </w:t>
      </w:r>
      <w:r>
        <w:t>在胚胎皮层中,Hes1的激活方式及其差异表达方式对于保持神经干细胞/子细胞(NSCs/NPCs/NPCs)的胚胎干细胞/子细胞(NSCs/NPCs)至关重要。Hes1的激活方式不同,已经转化为由诺奇独立Hes1表达(NIHES1)和诺奇独立Hes1表达(NDHes1)的不依赖Hes1表达(NDHes1)的NSCs和不依赖Hes1表达(NDHes1)的混合型热细胞(NDHes1)的运行模式。使用单细胞定型和Nestin-CreERT2;NIHES1Fl/FFl/FFFl 有条件击倒鼠标模型,我们已经对NIHES1 NSCs作了定性。我们的分析表明,NIHES1 NSCs1是在开发过程中产生RGCs和中间原细胞的祖先先兆。NIHE1的表达方式大大改变了NSC的定位,导致p p p的遗传和异常迁移。</w:t>
      </w:r>
    </w:p>
    <w:p>
      <w:pPr>
        <w:spacing w:before="0" w:after="200" w:lineRule="auto" w:line="276"/>
      </w:pPr>
      <w:r>
        <w:rPr>
          <w:b/>
        </w:rPr>
        <w:t xml:space="preserve">Abstract (EN): </w:t>
      </w:r>
      <w:r>
        <w:t>Mode of Hes1 activation and its differential expression are crucial for the maintenance of neural stem cells/progenitor cells (NSCs/NPCs) in the embryonic cortex. This differential mode of Hes1 activation has been translated into a heterogeneous population of NSCs comprising Notch-independent Hes1-expressing (NIHes1) NSCs and Notch-dependent Hes1-expressing (NDHes1) radial glial cells (RGCs). Using single-cell transcriptomics and a Nestin-CreERT2;NIHes1fl/fl conditional knock-out mouse model, we have characterized the NIHes1 NSCs. Our analyses show that NIHes1 NSCs are the ancestral precursor NSCs that generate RGCs and intermediate progenitor cells during development. Loss of NIHes1 expression significantly alters the NSC niche, leading to increased gliogenesis and aberrant migration of projection neurons. NIHes1 NSCs are set aside at embryonic stages as adult neural stem cells and are maintained by NIHes1 expression even at adult stage. Our findings suggest that NIHes1 NSCs are functionally distinct Hes1-expressing NSCs, which are critical for establishing both embryonic and adult NSC niches, thereby contributing to the overall cortical development.</w:t>
      </w:r>
    </w:p>
    <w:p>
      <w:pPr>
        <w:spacing w:before="120" w:after="120"/>
      </w:pPr>
      <w:r>
        <w:rPr>
          <w:sz w:val="18"/>
        </w:rPr>
        <w:t>——————————————————————————————————————————————————————————————————————</w:t>
      </w:r>
    </w:p>
    <w:p>
      <w:pPr>
        <w:spacing w:before="160" w:after="40" w:line="240" w:lineRule="auto"/>
      </w:pPr>
      <w:r>
        <w:rPr>
          <w:b/>
        </w:rPr>
        <w:t xml:space="preserve">[287] </w:t>
      </w:r>
      <w:hyperlink r:id="rId454">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55">
        <w:r>
          <w:rPr>
            <w:color w:val="1155CC"/>
            <w:u w:val="single"/>
          </w:rPr>
          <w:t>10.1073/iti0326123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456">
        <w:r>
          <w:rPr>
            <w:color w:val="1155CC"/>
            <w:u w:val="single"/>
          </w:rPr>
          <w:t>有多少森林汇是被动的?</w:t>
        </w:r>
      </w:hyperlink>
    </w:p>
    <w:p>
      <w:pPr>
        <w:spacing w:before="0" w:after="80"/>
      </w:pPr>
      <w:r>
        <w:rPr>
          <w:i/>
          <w:sz w:val="20"/>
        </w:rPr>
        <w:t>EN: How much of the forest sink is passive? Case of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57">
        <w:r>
          <w:rPr>
            <w:color w:val="1155CC"/>
            <w:u w:val="single"/>
          </w:rPr>
          <w:t>10.1073/pnas.2513588123</w:t>
        </w:r>
      </w:hyperlink>
    </w:p>
    <w:p>
      <w:pPr>
        <w:spacing w:before="0" w:after="120"/>
      </w:pPr>
      <w:r>
        <w:rPr>
          <w:b/>
        </w:rPr>
        <w:t xml:space="preserve">Notes: </w:t>
      </w:r>
      <w:r>
        <w:t>abstract_source=pubmed</w:t>
      </w:r>
    </w:p>
    <w:p>
      <w:pPr>
        <w:spacing w:before="0" w:after="80" w:lineRule="auto" w:line="276"/>
      </w:pPr>
      <w:r>
        <w:rPr>
          <w:b/>
        </w:rPr>
        <w:t xml:space="preserve">摘要（ZH）: </w:t>
      </w:r>
      <w:r>
        <w:t>随着时间推移,温带森林中的碳固碳量增加,但被动和主动驱动因素的相对影响仍然不清楚。本研究利用地块数据将六个驱动因素(温度、降水、CO2、管理、年龄组成和面积)对交融的美国14个森林组的增加贡献解开来。 2005年至2022年,被动驱动因素(CO2、温度和降水)使活树碳(C)增加了66 兆克(Tg) C y-1,二氧化碳肥化是造成变化的主要原因。 在人为驱动因素中,林区减少的活树C减少31 Tg C y-1,而植树增加了23 Tg C y-1。 由被动特性和人为选择驱动的年龄构成变化,活树C增加。</w:t>
      </w:r>
    </w:p>
    <w:p>
      <w:pPr>
        <w:spacing w:before="0" w:after="200" w:lineRule="auto" w:line="276"/>
      </w:pPr>
      <w:r>
        <w:rPr>
          <w:b/>
        </w:rPr>
        <w:t xml:space="preserve">Abstract (EN): </w:t>
      </w:r>
      <w:r>
        <w:t>Over time, carbon sequestered in temperate forests has increased, but the relative effects of passive and active drivers remain unclear. This study uses plot-level data to disentangle the contributions of six drivers (temperature, precipitation, CO2, management, age composition, and area) to these increases in 14 forest groups of the conterminous United States. From 2005 to 2022, the passive drivers (CO2, temperature, and precipitation) increased live tree carbon (C) by 66 teragrams (Tg) C y-1 with CO2 fertilization contributing most of the change. Among the anthropogenic drivers, declining forest area reduced live tree C by 31 Tg C y-1 while tree planting increased it by 23 Tg C y-1. Changes in age composition, driven by both passive traits and anthropogenic choices, increased live tree C by 89 Tg C y-1. By quantifying the share of removals attributable to passive uptake, this approach enables nations with national forest inventories to better utilize their forests to meet net-zero requirements.</w:t>
      </w:r>
    </w:p>
    <w:p>
      <w:pPr>
        <w:spacing w:before="120" w:after="120"/>
      </w:pPr>
      <w:r>
        <w:rPr>
          <w:sz w:val="18"/>
        </w:rPr>
        <w:t>——————————————————————————————————————————————————————————————————————</w:t>
      </w:r>
    </w:p>
    <w:p>
      <w:pPr>
        <w:spacing w:before="160" w:after="40" w:line="240" w:lineRule="auto"/>
      </w:pPr>
      <w:r>
        <w:rPr>
          <w:b/>
        </w:rPr>
        <w:t xml:space="preserve">[289] </w:t>
      </w:r>
      <w:hyperlink r:id="rId458">
        <w:r>
          <w:rPr>
            <w:color w:val="1155CC"/>
            <w:u w:val="single"/>
          </w:rPr>
          <w:t>红树林恢复和沿海洪涝适应:关于混合沿海防御潜力的全球视角</w:t>
        </w:r>
      </w:hyperlink>
    </w:p>
    <w:p>
      <w:pPr>
        <w:spacing w:before="0" w:after="80"/>
      </w:pPr>
      <w:r>
        <w:rPr>
          <w:i/>
          <w:sz w:val="20"/>
        </w:rPr>
        <w:t>EN: Mangrove restoration and coastal flood adaptation: A global perspective on the potential for hybrid coastal defenses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59">
        <w:r>
          <w:rPr>
            <w:color w:val="1155CC"/>
            <w:u w:val="single"/>
          </w:rPr>
          <w:t>10.1073/pnas.2510980123</w:t>
        </w:r>
      </w:hyperlink>
    </w:p>
    <w:p>
      <w:pPr>
        <w:spacing w:before="0" w:after="120"/>
      </w:pPr>
      <w:r>
        <w:rPr>
          <w:b/>
        </w:rPr>
        <w:t xml:space="preserve">Notes: </w:t>
      </w:r>
      <w:r>
        <w:t>abstract_source=pubmed</w:t>
      </w:r>
    </w:p>
    <w:p>
      <w:pPr>
        <w:spacing w:before="0" w:after="80" w:lineRule="auto" w:line="276"/>
      </w:pPr>
      <w:r>
        <w:rPr>
          <w:b/>
        </w:rPr>
        <w:t xml:space="preserve">摘要（ZH）: </w:t>
      </w:r>
      <w:r>
        <w:t>为了降低当前和今后的沿海洪水风险,必须更好地了解适应措施,包括基于自然的解决办法,如何能够降低这一风险。 从全球来看,混合沿海防御,包括盐沼和红树林等沿海植被的结合,加上堤坝或海墙,被强调为有希望的适应措施。在这里,我们介绍了在气候和社会经济变化的情景下,红树林恢复与海岸前堤系统的潜在风险减少情况的全球规模评估。我们从减少经济破坏、暴露人口和贫穷暴露等方面对惠益进行定量评估。我们通过考虑海浪植被互动,对红树林恢复前堤进行评估。如果是曼格罗夫,则对红树林恢复前堤的好处进行定量评估。</w:t>
      </w:r>
    </w:p>
    <w:p>
      <w:pPr>
        <w:spacing w:before="0" w:after="200" w:lineRule="auto" w:line="276"/>
      </w:pPr>
      <w:r>
        <w:rPr>
          <w:b/>
        </w:rPr>
        <w:t xml:space="preserve">Abstract (EN): </w:t>
      </w:r>
      <w:r>
        <w:t>To reduce current and future coastal flood risk, it is critical to better understand how adaptation measures, including nature-based solutions, can reduce that risk. Globally, hybrid coastal defenses, including a combination of coastal vegetation, such as salt marshes and mangroves, with a dike or sea wall, have been highlighted as a promising adaptation measure. Here, we present a global-scale assessment of the potential risk reduction from mangrove restoration in combination with foreshore dike systems under scenarios of climate and socioeconomic change. We provide a quantitative assessment of the benefits in terms of reduced economic damage, exposed population, and poverty exposure. We evaluate mangrove restoration fronting dikes by accounting for wave-vegetation interaction. If mangrove foreshore dike systems were established along coastlines susceptible to flooding, restoration could potentially reduce expected annual damage by US$800 million and reduce expected affected population by 140,000 annually. These values increase under future projections. Our benefit-cost analysis finds mangrove restoration economically viable for about half of the subnational regions assessed (85 to 105 out of 208). At the global scale, the benefit-cost ratio under future conditions ranges from 3 to 6, with a net present value between US$44 billion and US$125 billion. Because absolute risk values and benefit-cost analysis do not differentiate between relative wealth impacts, we also estimated restoration impacts across different wealth levels. We show that restoring mangroves disproportionately benefits people with lower incomes, as they are often more exposed to coastal flooding and located in areas suitable for mangrove restoration. As such, mangrove restoration in low- and middle-income countries could contribute to the resilience of people in poverty.</w:t>
      </w:r>
    </w:p>
    <w:p>
      <w:pPr>
        <w:spacing w:before="120" w:after="120"/>
      </w:pPr>
      <w:r>
        <w:rPr>
          <w:sz w:val="18"/>
        </w:rPr>
        <w:t>——————————————————————————————————————————————————————————————————————</w:t>
      </w:r>
    </w:p>
    <w:p>
      <w:pPr>
        <w:spacing w:before="160" w:after="40" w:line="240" w:lineRule="auto"/>
      </w:pPr>
      <w:r>
        <w:rPr>
          <w:b/>
        </w:rPr>
        <w:t xml:space="preserve">[290] </w:t>
      </w:r>
      <w:hyperlink r:id="rId460">
        <w:r>
          <w:rPr>
            <w:color w:val="1155CC"/>
            <w:u w:val="single"/>
          </w:rPr>
          <w:t>卡鲁梅宁通过促进维门汀蛋白stais,防止纤维化和肺老化。</w:t>
        </w:r>
      </w:hyperlink>
    </w:p>
    <w:p>
      <w:pPr>
        <w:spacing w:before="0" w:after="80"/>
      </w:pPr>
      <w:r>
        <w:rPr>
          <w:i/>
          <w:sz w:val="20"/>
        </w:rPr>
        <w:t>EN: Calumenin prevents fibroblast senescence and lung aging by promoting vimentin proteostasis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61">
        <w:r>
          <w:rPr>
            <w:color w:val="1155CC"/>
            <w:u w:val="single"/>
          </w:rPr>
          <w:t>10.1073/pnas.2426723123</w:t>
        </w:r>
      </w:hyperlink>
    </w:p>
    <w:p>
      <w:pPr>
        <w:spacing w:before="0" w:after="120"/>
      </w:pPr>
      <w:r>
        <w:rPr>
          <w:b/>
        </w:rPr>
        <w:t xml:space="preserve">Notes: </w:t>
      </w:r>
      <w:r>
        <w:t>abstract_source=pubmed</w:t>
      </w:r>
    </w:p>
    <w:p>
      <w:pPr>
        <w:spacing w:before="0" w:after="80" w:lineRule="auto" w:line="276"/>
      </w:pPr>
      <w:r>
        <w:rPr>
          <w:b/>
        </w:rPr>
        <w:t xml:space="preserve">摘要（ZH）: </w:t>
      </w:r>
      <w:r>
        <w:t>肺部渐进纤维纤维纤维化与与老化相关的功能性功能障碍有关,这一点目前仍不为人们所熟知。为了调查纤维泡沫的改变,特别是导致这种在老化肺部中发育成交的分子程序的变化,我们孤立了老小鼠的白化肺纤维化。我们观测到了与加速纤维化反应相关的畸变性倍感素综合体。CRIPR的筛查发现卡姆宁是维门素蛋白质的守护体。一个因纤维化而特异的卡姆宁会促进维门素综合体的积累,以及阻断性病、加剧纤维化反应和肺衰老。机械上,卡姆宁会与TRiC综合体合作,以促进适当的维门素折叠合和正弦性。</w:t>
      </w:r>
    </w:p>
    <w:p>
      <w:pPr>
        <w:spacing w:before="0" w:after="200" w:lineRule="auto" w:line="276"/>
      </w:pPr>
      <w:r>
        <w:rPr>
          <w:b/>
        </w:rPr>
        <w:t xml:space="preserve">Abstract (EN): </w:t>
      </w:r>
      <w:r>
        <w:t>Progressive lung fibrosis is linked to aging-related dysfunction in fibroblasts, which remains poorly understood. To investigate the alterations in fibroblasts, particularly the molecular programs driving this profibrotic evolution in the aging lung, we isolated senescent lung fibroblasts from aged mice. We observed aberrant vimentin aggregates, which correlate with accelerated fibroblast senescence. CRISPR-based screening identified calumenin as a chaperone protein essential for vimentin proteostasis. A fibroblast-specific knockout of calumenin promotes the accumulation of vimentin aggregates and profibrotic factors migracytosis, exacerbating fibroblast senescence and lung aging. Mechanistically, calumenin collaborates with the TRiC complex to facilitate proper vimentin folding and recruits the chaperonin subunit Chaperonin Containing TCP1 Subunit 2 (CCT2) to degrade misfolded vimentin aggregates. Pathologically, external profibrotic stimuli trigger calcium transients and induce calumenin degradation, resulting in fibroblast senescence and the initiation of fibrosis. The natural product 9-85, derived from high-content screening, specifically targets and disrupts vimentin aggregates upon stimulation, alleviating aging-related lung fibrosis. Our findings reveal that calumenin coordinates vimentin quality control to shape cell structure and suppress the secretome of senescent fibroblasts, providing a promising therapeutic strategy for aging-related organ fibrosis.</w:t>
      </w:r>
    </w:p>
    <w:p>
      <w:pPr>
        <w:spacing w:before="120" w:after="120"/>
      </w:pPr>
      <w:r>
        <w:rPr>
          <w:sz w:val="18"/>
        </w:rPr>
        <w:t>——————————————————————————————————————————————————————————————————————</w:t>
      </w:r>
    </w:p>
    <w:p>
      <w:pPr>
        <w:spacing w:before="160" w:after="40" w:line="240" w:lineRule="auto"/>
      </w:pPr>
      <w:r>
        <w:rPr>
          <w:b/>
        </w:rPr>
        <w:t xml:space="preserve">[291] </w:t>
      </w:r>
      <w:hyperlink r:id="rId462">
        <w:r>
          <w:rPr>
            <w:color w:val="1155CC"/>
            <w:u w:val="single"/>
          </w:rPr>
          <w:t>气体巨体的极极旋动动态:2D能源级联的透视</w:t>
        </w:r>
      </w:hyperlink>
    </w:p>
    <w:p>
      <w:pPr>
        <w:spacing w:before="0" w:after="80"/>
      </w:pPr>
      <w:r>
        <w:rPr>
          <w:i/>
          <w:sz w:val="20"/>
        </w:rPr>
        <w:t>EN: Polar vortex dynamics on gas giants: Insights from 2D energy cascades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63">
        <w:r>
          <w:rPr>
            <w:color w:val="1155CC"/>
            <w:u w:val="single"/>
          </w:rPr>
          <w:t>10.1073/pnas.2500791123</w:t>
        </w:r>
      </w:hyperlink>
    </w:p>
    <w:p>
      <w:pPr>
        <w:spacing w:before="0" w:after="120"/>
      </w:pPr>
      <w:r>
        <w:rPr>
          <w:b/>
        </w:rPr>
        <w:t xml:space="preserve">Notes: </w:t>
      </w:r>
      <w:r>
        <w:t>abstract_source=pubmed</w:t>
      </w:r>
    </w:p>
    <w:p>
      <w:pPr>
        <w:spacing w:before="0" w:after="80" w:lineRule="auto" w:line="276"/>
      </w:pPr>
      <w:r>
        <w:rPr>
          <w:b/>
        </w:rPr>
        <w:t xml:space="preserve">摘要（ZH）: </w:t>
      </w:r>
      <w:r>
        <w:t>在木星和土星观测到的截然不同的极地涡旋动态可以提供对其内部内部的洞察力。在本研究中,我们用1.5级准地球营养模型来研究极地团团的数量和结构如何因强力、散散耗率和内分层的变化而不同。这种简化的设置使得能够对参数空间进行广泛探索,表明涡旋特性是由以下顺序决定的:三根关键长度的变形半径[浮体:见文本]、区域营养级[浮体:见文本]和散散幅[浮体:见文本],这是作为能源从小到大尺度的级级而遇到的[浮体:见文本]。</w:t>
      </w:r>
    </w:p>
    <w:p>
      <w:pPr>
        <w:spacing w:before="0" w:after="200" w:lineRule="auto" w:line="276"/>
      </w:pPr>
      <w:r>
        <w:rPr>
          <w:b/>
        </w:rPr>
        <w:t xml:space="preserve">Abstract (EN): </w:t>
      </w:r>
      <w:r>
        <w:t>The distinct polar vortex dynamics observed on Jupiter and Saturn may provide insights into their interiors. In this study, we examine how the number and structure of polar vortices vary with forcing strength, dissipation rate, and interior stratification using a 1.5-layer quasi-geostrophic model. This simplified setup enables a broad exploration of the parameter space, revealing that vortex characteristics are determined by the sequence in which three key length scales-the deformation radius [Formula: see text], the zonostrophic scale [Formula: see text], and the dissipative scale [Formula: see text]-are encountered as energy cascades from small to large scales. Four distinct vortex patterns are identified, including a vortex crystal resembling Jupiter's polar vortices and a single-vortex state akin to that of Saturn. The conditions under which these patterns emerge provide constraints on the stratification of Jupiter and Saturn.</w:t>
      </w:r>
    </w:p>
    <w:p>
      <w:pPr>
        <w:spacing w:before="120" w:after="120"/>
      </w:pPr>
      <w:r>
        <w:rPr>
          <w:sz w:val="18"/>
        </w:rPr>
        <w:t>——————————————————————————————————————————————————————————————————————</w:t>
      </w:r>
    </w:p>
    <w:p>
      <w:pPr>
        <w:spacing w:before="160" w:after="40" w:line="240" w:lineRule="auto"/>
      </w:pPr>
      <w:r>
        <w:rPr>
          <w:b/>
        </w:rPr>
        <w:t xml:space="preserve">[292] </w:t>
      </w:r>
      <w:hyperlink r:id="rId464">
        <w:r>
          <w:rPr>
            <w:color w:val="1155CC"/>
            <w:u w:val="single"/>
          </w:rPr>
          <w:t>BOCRC大会整合BLOC-1下属单位,使内共贩运功能多样化</w:t>
        </w:r>
      </w:hyperlink>
    </w:p>
    <w:p>
      <w:pPr>
        <w:spacing w:before="0" w:after="80"/>
      </w:pPr>
      <w:r>
        <w:rPr>
          <w:i/>
          <w:sz w:val="20"/>
        </w:rPr>
        <w:t>EN: BORC assemblies integrate BLOC-1 subunits to diversify endosomal trafficking functions</w:t>
      </w:r>
    </w:p>
    <w:p>
      <w:pPr>
        <w:spacing w:before="0" w:after="120"/>
      </w:pPr>
      <w:r>
        <w:rPr>
          <w:b/>
        </w:rPr>
        <w:t xml:space="preserve">Source: </w:t>
      </w:r>
      <w:r>
        <w:t>Proceedings of the National Academy of Sciences: Keyword search for query</w:t>
      </w:r>
      <w:r>
        <w:t xml:space="preserve">    </w:t>
      </w:r>
      <w:r>
        <w:rPr>
          <w:b/>
        </w:rPr>
        <w:t xml:space="preserve">Pub date: </w:t>
      </w:r>
      <w:r>
        <w:t>2026-01-20 08:00:00+00:00</w:t>
      </w:r>
      <w:r>
        <w:t xml:space="preserve">    </w:t>
      </w:r>
      <w:r>
        <w:rPr>
          <w:b/>
        </w:rPr>
        <w:t xml:space="preserve">DOI: </w:t>
      </w:r>
      <w:hyperlink r:id="rId465">
        <w:r>
          <w:rPr>
            <w:color w:val="1155CC"/>
            <w:u w:val="single"/>
          </w:rPr>
          <w:t>10.1073/pnas.2515691123</w:t>
        </w:r>
      </w:hyperlink>
    </w:p>
    <w:p>
      <w:pPr>
        <w:spacing w:before="0" w:after="120"/>
      </w:pPr>
      <w:r>
        <w:rPr>
          <w:b/>
        </w:rPr>
        <w:t xml:space="preserve">Notes: </w:t>
      </w:r>
      <w:r>
        <w:t>abstract_source=pubmed</w:t>
      </w:r>
    </w:p>
    <w:p>
      <w:pPr>
        <w:spacing w:before="0" w:after="80" w:lineRule="auto" w:line="276"/>
      </w:pPr>
      <w:r>
        <w:rPr>
          <w:b/>
        </w:rPr>
        <w:t xml:space="preserve">摘要（ZH）: </w:t>
      </w:r>
      <w:r>
        <w:t>BOCRC和BLOC-1是监管内分单元综合体,管理内分泌物贩运的多分单元综合体,虽然它们被认为是不同的,但它们的平行来源和共同的子单元表明可能具有更高级组装的潜力。这里,我们揭示了由两个相互交织的四重体构成的BOCRC受保护的八元结构,并介绍了C. Elegans BOCC的结构。我们通过对内生复合体进行交叉连接的质谱测量,验证了人类内分泌物化学分解中心的这一模型,并表明该综合体的完整性(对于易分泌物的运输至关重要)依赖于特定的跨面残留物。我们还澄清了引起疾病的突变的破坏性性质,并提议BRC的形成和功能可能受特定提示的制约。这些提示可能包括磷。</w:t>
      </w:r>
    </w:p>
    <w:p>
      <w:pPr>
        <w:spacing w:before="0" w:after="200" w:lineRule="auto" w:line="276"/>
      </w:pPr>
      <w:r>
        <w:rPr>
          <w:b/>
        </w:rPr>
        <w:t xml:space="preserve">Abstract (EN): </w:t>
      </w:r>
      <w:r>
        <w:t>BORC and BLOC-1 are multisubunit complexes that regulate endolysosomal trafficking. Although they are presumed to be distinct, their paralogous origins and shared subunits suggest the potential for higher-order assembly. Here, we reveal the conserved octameric architecture of BORC formed by two intertwined tetramers and present the structure of C. elegans BORC. Through cross-linking mass spectrometry of endogenous complexes, we validate this model for human BORC and demonstrate that the integrity of the complex, which is essential for lysosomal transport, relies on specific interfacial residues. We also clarify the disruptive nature of disease-causing mutations and propose that the formation and function of BORC are likely regulated by specific cues. These cues might include the phosphorylation of Snapin and a pH-sensitive histidine residue in BORCS5. Additionally, we present direct biochemical and structural evidence of BORC-BLOC-1 hybrid complexes. Finally, we link a specific hybrid complex to the regulation of transferrin receptor recycling via interaction with the EARP complex. Our work challenges the paradigm of BORC and BLOC-1 as separate entities, establishing a model of dynamic complex formation wherein modular assembly creates functional specialization to meet diverse cellular demands.</w:t>
      </w:r>
    </w:p>
    <w:p>
      <w:pPr>
        <w:spacing w:before="120" w:after="120"/>
      </w:pPr>
      <w:r>
        <w:rPr>
          <w:sz w:val="18"/>
        </w:rPr>
        <w:t>——————————————————————————————————————————————————————————————————————</w:t>
      </w:r>
    </w:p>
    <w:p>
      <w:pPr>
        <w:spacing w:before="160" w:after="40" w:line="240" w:lineRule="auto"/>
      </w:pPr>
      <w:r>
        <w:rPr>
          <w:b/>
        </w:rPr>
        <w:t xml:space="preserve">[293] </w:t>
      </w:r>
      <w:hyperlink r:id="rId466">
        <w:r>
          <w:rPr>
            <w:color w:val="1155CC"/>
            <w:u w:val="single"/>
          </w:rPr>
          <w:t>[ASAP]解除对高效能磁电解解管溶解层层和固体电解解相交点的trkyl磷酸盐对高效能磁电解解解层中的静态效应</w:t>
        </w:r>
      </w:hyperlink>
    </w:p>
    <w:p>
      <w:pPr>
        <w:spacing w:before="0" w:after="80"/>
      </w:pPr>
      <w:r>
        <w:rPr>
          <w:i/>
          <w:sz w:val="20"/>
        </w:rPr>
        <w:t>EN: [ASAP] Unraveling the Steric Effect of Trialkyl Phosphates on the Solvation Sheath and Solid Electrolyte Interphase in High-Efficiency Magnesium Electrolytes</w:t>
      </w:r>
    </w:p>
    <w:p>
      <w:pPr>
        <w:spacing w:before="0" w:after="120"/>
      </w:pPr>
      <w:r>
        <w:rPr>
          <w:b/>
        </w:rPr>
        <w:t xml:space="preserve">Source: </w:t>
      </w:r>
      <w:r>
        <w:t>Journal of the American Chemical Society: Latest Articles (ACS Publications)</w:t>
      </w:r>
      <w:r>
        <w:t xml:space="preserve">    </w:t>
      </w:r>
      <w:r>
        <w:rPr>
          <w:b/>
        </w:rPr>
        <w:t xml:space="preserve">Pub date: </w:t>
      </w:r>
      <w:r>
        <w:t>2026-01-20 09:04:50+00:00</w:t>
      </w:r>
      <w:r>
        <w:t xml:space="preserve">    </w:t>
      </w:r>
      <w:r>
        <w:rPr>
          <w:b/>
        </w:rPr>
        <w:t xml:space="preserve">DOI: </w:t>
      </w:r>
      <w:hyperlink r:id="rId467">
        <w:r>
          <w:rPr>
            <w:color w:val="1155CC"/>
            <w:u w:val="single"/>
          </w:rPr>
          <w:t>10.1021/jacs.5c14645</w:t>
        </w:r>
      </w:hyperlink>
    </w:p>
    <w:p>
      <w:pPr>
        <w:spacing w:before="0" w:after="120"/>
      </w:pPr>
      <w:r>
        <w:rPr>
          <w:b/>
        </w:rPr>
        <w:t xml:space="preserve">Notes: </w:t>
      </w:r>
      <w:r>
        <w:t>abstract_source=pubmed</w:t>
      </w:r>
    </w:p>
    <w:p>
      <w:pPr>
        <w:spacing w:before="0" w:after="80" w:lineRule="auto" w:line="276"/>
      </w:pPr>
      <w:r>
        <w:rPr>
          <w:b/>
        </w:rPr>
        <w:t xml:space="preserve">摘要（ZH）: </w:t>
      </w:r>
      <w:r>
        <w:t>在以Mg(OTf)2/diglyme为基础的电解解槽中,三乙基磷酸酯(三乙基磷酸酯,在高时密度和高电容量和高电容量条件下,对Mg电镀/脱氧表现出接近100%的煤白效率),TXP(X=烷基组)发挥着关键作用。在这里,我们揭露了在优化Mg2+溶化结构和形成电解产生的固体电解电解电解电相层方面这一作用的根本根源,从而暴露了这种障碍。通过系统地将磷酸盐(TXP)的烷链长从1到5来调整了这种障碍。通过将光谱分析技术和理论模型相结合,对改变散状电解解和合成SEI化学的影响进行了研究。</w:t>
      </w:r>
    </w:p>
    <w:p>
      <w:pPr>
        <w:spacing w:before="0" w:after="200" w:lineRule="auto" w:line="276"/>
      </w:pPr>
      <w:r>
        <w:rPr>
          <w:b/>
        </w:rPr>
        <w:t xml:space="preserve">Abstract (EN): </w:t>
      </w:r>
      <w:r>
        <w:t>Designing Mg-compatible and chloride-free electrolytes is important to achieving high-voltage and long-life Mg metal batteries. In electrolytes based on Mg(OTf)2/diglyme: triethyl phosphate that exhibit near 100% Coulombic efficiency for Mg plating/stripping at high current densities and capacities, the TXP (X = alkyl group) plays a key role. Herein, we unveil steric hindrance as the fundamental origin of this role in optimizing the Mg2+ solvation structure and forming electrolyte-derived solid electrolyte interphases. The steric hindrance was tuned by systematically changing the alkyl chain length of the phosphate (TXP) from one to five. Its impact on altering bulk electrolyte solvation and interfacial SEI chemistry was studied by combining both spectroscopy techniques and theoretical modeling methods. We demonstrate that low steric hindrance leads to easy decomposition of phosphate solvents, whereas high steric hindrance fails to interrupt Mg2+-triflate/diglyme interactions. TEP with medium hindrance shows optimized behavior in both scenarios, which is the origin of its superior electrochemical performance. Our finding provides a new solvent design principle at the molecular level for chloride-free Mg2+ electrolytes.</w:t>
      </w:r>
    </w:p>
    <w:p>
      <w:pPr>
        <w:spacing w:before="120" w:after="120"/>
      </w:pPr>
      <w:r>
        <w:rPr>
          <w:sz w:val="18"/>
        </w:rPr>
        <w:t>——————————————————————————————————————————————————————————————————————</w:t>
      </w:r>
    </w:p>
    <w:p>
      <w:pPr>
        <w:spacing w:before="160" w:after="40" w:line="240" w:lineRule="auto"/>
      </w:pPr>
      <w:r>
        <w:rPr>
          <w:b/>
        </w:rPr>
        <w:t xml:space="preserve">[294] </w:t>
      </w:r>
      <w:hyperlink r:id="rId468">
        <w:r>
          <w:rPr>
            <w:color w:val="1155CC"/>
            <w:u w:val="single"/>
          </w:rPr>
          <w:t>人造磁方案外增强超双翼板电磁反应非物质胶片</w:t>
        </w:r>
      </w:hyperlink>
    </w:p>
    <w:p>
      <w:pPr>
        <w:spacing w:before="0" w:after="80"/>
      </w:pPr>
      <w:r>
        <w:rPr>
          <w:i/>
          <w:sz w:val="20"/>
        </w:rPr>
        <w:t>EN: Artificially Magnetically Programmed Metamaterial Films for Enhanced Ultra‐Wideband Electromagnetic Response</w:t>
      </w:r>
    </w:p>
    <w:p>
      <w:pPr>
        <w:spacing w:before="0" w:after="120"/>
      </w:pPr>
      <w:r>
        <w:rPr>
          <w:b/>
        </w:rPr>
        <w:t xml:space="preserve">Source: </w:t>
      </w:r>
      <w:r>
        <w:t>Wiley: Advanced Materials: Table of Contents</w:t>
      </w:r>
      <w:r>
        <w:t xml:space="preserve">    </w:t>
      </w:r>
      <w:r>
        <w:rPr>
          <w:b/>
        </w:rPr>
        <w:t xml:space="preserve">Pub date: </w:t>
      </w:r>
      <w:r>
        <w:t>2026-01-20 10:05:42+00:00</w:t>
      </w:r>
      <w:r>
        <w:t xml:space="preserve">    </w:t>
      </w:r>
      <w:r>
        <w:rPr>
          <w:b/>
        </w:rPr>
        <w:t xml:space="preserve">DOI: </w:t>
      </w:r>
      <w:hyperlink r:id="rId469">
        <w:r>
          <w:rPr>
            <w:color w:val="1155CC"/>
            <w:u w:val="single"/>
          </w:rPr>
          <w:t>10.1002/adma.202520176</w:t>
        </w:r>
      </w:hyperlink>
    </w:p>
    <w:p>
      <w:pPr>
        <w:spacing w:before="0" w:after="120"/>
      </w:pPr>
      <w:r>
        <w:rPr>
          <w:b/>
        </w:rPr>
        <w:t xml:space="preserve">Notes: </w:t>
      </w:r>
      <w:r>
        <w:t>abstract_source=crossref</w:t>
      </w:r>
    </w:p>
    <w:p>
      <w:pPr>
        <w:spacing w:before="0" w:after="80" w:lineRule="auto" w:line="276"/>
      </w:pPr>
      <w:r>
        <w:rPr>
          <w:b/>
        </w:rPr>
        <w:t xml:space="preserve">摘要（ZH）: </w:t>
      </w:r>
      <w:r>
        <w:t>消除元材料结构和电磁频谱之间的结构-功能关系,始终是一项长期挑战,具有重大的科学和实际影响。在这里,我们报告了一个磁场辅助组装战略,能够大规模地用可重新配置的条形和网络阵列制作可编程的元材料胶片。阵列节点或接合点对影响EM参数和吸收能力的个别贡献和协同效应,第一次在结构胶片的组装和区域拆散的帮助下得到了解析。结果,AW2电影展示了一种有效吸收带宽7.32千兆赫,而60°的斜度在大方法测试下出现,覆盖。</w:t>
      </w:r>
    </w:p>
    <w:p>
      <w:pPr>
        <w:spacing w:before="0" w:after="200" w:lineRule="auto" w:line="276"/>
      </w:pPr>
      <w:r>
        <w:rPr>
          <w:b/>
        </w:rPr>
        <w:t xml:space="preserve">Abstract (EN): </w:t>
      </w:r>
      <w:r>
        <w:t>Uncovering the structural‐functional relationship between metamaterial structure and the electromagnetic spectrum has always been a long‐standing challenge with significant scientific and practical implications. Here, we report a magnetic field‐assisted assembly strategy that enables large‐scale programmable fabrication of metamaterial films with reconfigurable strip and web arrays. For the first time, the individual contribution and synergistic effect of array nodes or junctions on affecting the EM parameters and absorption ability are figured out with the help of assembly and regional disassembly of structural films. As a consequence, AW‐2 films exhibit an effective absorption bandwidth of 7.32 GHz when 60° of oblique incidence under the arch method test, covering all the S, X, and Ku bands. This work highlights the potential of magnetic‐field‐guided fabrication as a versatile route toward intelligent, high‐performance EM absorption films and provides a profound insight into the relationship between artificially engineered metamaterial structures and EM response, which opens up the way for intelligent manufacturing of high‐efficiency EM wave absorption films.</w:t>
      </w:r>
    </w:p>
    <w:p>
      <w:pPr>
        <w:spacing w:before="120" w:after="120"/>
      </w:pPr>
      <w:r>
        <w:rPr>
          <w:sz w:val="18"/>
        </w:rPr>
        <w:t>——————————————————————————————————————————————————————————————————————</w:t>
      </w:r>
    </w:p>
    <w:p>
      <w:pPr>
        <w:spacing w:before="160" w:after="40" w:line="240" w:lineRule="auto"/>
      </w:pPr>
      <w:r>
        <w:rPr>
          <w:b/>
        </w:rPr>
        <w:t xml:space="preserve">[295] </w:t>
      </w:r>
      <w:hyperlink r:id="rId470">
        <w:r>
          <w:rPr>
            <w:color w:val="1155CC"/>
            <w:u w:val="single"/>
          </w:rPr>
          <w:t>氧化人造合成合成中地形病原感传导层,使神经系统能够产生神经系统,与内嵌情报的监管动态类似。</w:t>
        </w:r>
      </w:hyperlink>
    </w:p>
    <w:p>
      <w:pPr>
        <w:spacing w:before="0" w:after="80"/>
      </w:pPr>
      <w:r>
        <w:rPr>
          <w:i/>
          <w:sz w:val="20"/>
        </w:rPr>
        <w:t>EN: Topologically Epitaxial Conductive Filaments in Oxide Artificial Synapses Enable Neuroglia‐Like Regulatory Dynamics for Embodied Intelligence</w:t>
      </w:r>
    </w:p>
    <w:p>
      <w:pPr>
        <w:spacing w:before="0" w:after="120"/>
      </w:pPr>
      <w:r>
        <w:rPr>
          <w:b/>
        </w:rPr>
        <w:t xml:space="preserve">Source: </w:t>
      </w:r>
      <w:r>
        <w:t>Wiley: Advanced Materials: Table of Contents</w:t>
      </w:r>
      <w:r>
        <w:t xml:space="preserve">    </w:t>
      </w:r>
      <w:r>
        <w:rPr>
          <w:b/>
        </w:rPr>
        <w:t xml:space="preserve">Pub date: </w:t>
      </w:r>
      <w:r>
        <w:t>2026-01-20 10:06:41+00:00</w:t>
      </w:r>
      <w:r>
        <w:t xml:space="preserve">    </w:t>
      </w:r>
      <w:r>
        <w:rPr>
          <w:b/>
        </w:rPr>
        <w:t xml:space="preserve">DOI: </w:t>
      </w:r>
      <w:hyperlink r:id="rId471">
        <w:r>
          <w:rPr>
            <w:color w:val="1155CC"/>
            <w:u w:val="single"/>
          </w:rPr>
          <w:t>10.1002/adma.202517913</w:t>
        </w:r>
      </w:hyperlink>
    </w:p>
    <w:p>
      <w:pPr>
        <w:spacing w:before="0" w:after="120"/>
      </w:pPr>
      <w:r>
        <w:rPr>
          <w:b/>
        </w:rPr>
        <w:t xml:space="preserve">Notes: </w:t>
      </w:r>
      <w:r>
        <w:t>abstract_source=crossref</w:t>
      </w:r>
    </w:p>
    <w:p>
      <w:pPr>
        <w:spacing w:before="0" w:after="80" w:lineRule="auto" w:line="276"/>
      </w:pPr>
      <w:r>
        <w:rPr>
          <w:b/>
        </w:rPr>
        <w:t xml:space="preserve">摘要（ZH）: </w:t>
      </w:r>
      <w:r>
        <w:t>抗药性随机存取内存( RRAM) 已成为神经形态计算的关键装置,为合成模拟提供了巨大的潜力,然而,控制氧化亚氮基人工突触中导电丝丝(CFs)的随机存取性仍然具有挑战性,从而在生物可塑性和神经形态可靠性之间留下了一个关键差距。 此处,从生长因素的定向指导以及Glia在轴向外生长过程中的机械牵引作用中吸收出来,并将这些生物原则应用到一个引导CF生长每一步的自体化协议中。 我们通过规定离子轨迹和新生纤维的结构登记册,抑制了内在迁移的随机性。</w:t>
      </w:r>
    </w:p>
    <w:p>
      <w:pPr>
        <w:spacing w:before="0" w:after="200" w:lineRule="auto" w:line="276"/>
      </w:pPr>
      <w:r>
        <w:rPr>
          <w:b/>
        </w:rPr>
        <w:t xml:space="preserve">Abstract (EN): </w:t>
      </w:r>
      <w:r>
        <w:t>Resistance random access memory (RRAM) has emerged as a critical device for neuromorphic computing, offering significant potential for synaptic simulation. Nevertheless, it remains challenging to control the stochastic nature of the conductive filaments (CFs) in oxide‐based artificial synapses, leaving a critical gap between biological plasticity and neuromorphic reliability. Here, inspirated from the directional guidance of growth factors and the mechanical traction exerted by glia during axonal outgrowth, and apply these biological principles into a topo‐epitaxial self‐assembly protocol that steers every step of CF growth. By prescribing both the ionic trajectory and the structural registry of the nascent filament, we suppress intrinsic transport stochasticity and enforce crystallographic coherence. The result is atomic‐precision control over ion migration and single‐crystalline CF formation—achieved within standard CMOS flows, without extra masks or exotic processing. Finally, by constructing a behavior‐level model based on the habituation characteristics of oxide artificial synapses, the application in obstacle avoidance is successfully presented. Our synapses empower embodied AI robots with rich, robust, and self‐adaptive behaviors.</w:t>
      </w:r>
    </w:p>
    <w:p>
      <w:pPr>
        <w:spacing w:before="120" w:after="120"/>
      </w:pPr>
      <w:r>
        <w:rPr>
          <w:sz w:val="18"/>
        </w:rPr>
        <w:t>——————————————————————————————————————————————————————————————————————</w:t>
      </w:r>
    </w:p>
    <w:p>
      <w:pPr>
        <w:spacing w:before="160" w:after="40" w:line="240" w:lineRule="auto"/>
      </w:pPr>
      <w:r>
        <w:rPr>
          <w:b/>
        </w:rPr>
        <w:t xml:space="preserve">[296] </w:t>
      </w:r>
      <w:hyperlink r:id="rId472">
        <w:r>
          <w:rPr>
            <w:color w:val="1155CC"/>
            <w:u w:val="single"/>
          </w:rPr>
          <w:t>协同效应与稳定:高 Entropy 单原子催化器的崛起</w:t>
        </w:r>
      </w:hyperlink>
    </w:p>
    <w:p>
      <w:pPr>
        <w:spacing w:before="0" w:after="80"/>
      </w:pPr>
      <w:r>
        <w:rPr>
          <w:i/>
          <w:sz w:val="20"/>
        </w:rPr>
        <w:t>EN: Synergy and Stability: The Rise of High‐Entropy Single‐Atom Catalysts</w:t>
      </w:r>
    </w:p>
    <w:p>
      <w:pPr>
        <w:spacing w:before="0" w:after="120"/>
      </w:pPr>
      <w:r>
        <w:rPr>
          <w:b/>
        </w:rPr>
        <w:t xml:space="preserve">Source: </w:t>
      </w:r>
      <w:r>
        <w:t>Wiley: Advanced Materials: Table of Contents</w:t>
      </w:r>
      <w:r>
        <w:t xml:space="preserve">    </w:t>
      </w:r>
      <w:r>
        <w:rPr>
          <w:b/>
        </w:rPr>
        <w:t xml:space="preserve">Pub date: </w:t>
      </w:r>
      <w:r>
        <w:t>2026-01-20 10:07:51+00:00</w:t>
      </w:r>
      <w:r>
        <w:t xml:space="preserve">    </w:t>
      </w:r>
      <w:r>
        <w:rPr>
          <w:b/>
        </w:rPr>
        <w:t xml:space="preserve">DOI: </w:t>
      </w:r>
      <w:hyperlink r:id="rId473">
        <w:r>
          <w:rPr>
            <w:color w:val="1155CC"/>
            <w:u w:val="single"/>
          </w:rPr>
          <w:t>10.1002/adma.202522135</w:t>
        </w:r>
      </w:hyperlink>
    </w:p>
    <w:p>
      <w:pPr>
        <w:spacing w:before="0" w:after="120"/>
      </w:pPr>
      <w:r>
        <w:rPr>
          <w:b/>
        </w:rPr>
        <w:t xml:space="preserve">Notes: </w:t>
      </w:r>
      <w:r>
        <w:t>abstract_source=crossref</w:t>
      </w:r>
    </w:p>
    <w:p>
      <w:pPr>
        <w:spacing w:before="0" w:after="80" w:lineRule="auto" w:line="276"/>
      </w:pPr>
      <w:r>
        <w:rPr>
          <w:b/>
        </w:rPr>
        <w:t xml:space="preserve">摘要（ZH）: </w:t>
      </w:r>
      <w:r>
        <w:t>虽然单原子催化剂(SACs)实现了近100%的原子利用,并提供了定义明确的活性场地,但活动与稳定之间的根本平衡阻碍了它们的发展。高有机性单原子催化剂(HESACs)通过将活性场地从一个单一金属中心重新配置成一个动态的多成分组合体来解决这个问题。这一战略有效地将原子分散催化剂这一长期存在的挑战区分开来。本审查探讨了HESACs如何将活性场地从一个静态的、单一的场所重新定位为一个动态的、多点的集合体,这个概念直接解决了常规的SAC的局限性。我们首先阐述了HESACs的独特稳定机制,在那里,高配置的酶,严重的衬垫扭曲。</w:t>
      </w:r>
    </w:p>
    <w:p>
      <w:pPr>
        <w:spacing w:before="0" w:after="200" w:lineRule="auto" w:line="276"/>
      </w:pPr>
      <w:r>
        <w:rPr>
          <w:b/>
        </w:rPr>
        <w:t xml:space="preserve">Abstract (EN): </w:t>
      </w:r>
      <w:r>
        <w:t>While single‐atom catalysts (SACs) achieve nearly 100% atom utilization and provide well‐defined active sites, their development is hindered by a fundamental trade‐off between activity and stability. High‐entropy single‐atom catalysts (HESACs) address this by reconfiguring the active site from a single‐metal center into a dynamic, multi‐component ensemble. This strategy effectively decouples this long‐standing challenge in atomically dispersed catalysts. This review explores how HESACs redefine the active site from a static, single site to a dynamic, multisite ensemble, a concept that directly addresses the limitations of conventional SACs. We first elucidate the unique stabilization mechanisms in HESACs, where high configurational entropy, severe lattice distortion, and slow diffusion synergistically immobilize single atoms and create a flexible electronic landscape. Subsequently, a system analysis of precision synthesis strategies is presented, highlighting pathways to achieve atomic‐level control over complex compositions. We focus on their application in electrocatalysis and energy storage, where HESACs demonstrate enhanced performance through multisite synergy and entropy‐driven stabilization. Particular emphasis on reaction‐oriented design principles, structural engineering strategies, and advanced characterization, which enable a rational design of HESACs. Finally, we discuss future challenges and opportunities, positioning HESACs as a versatile materials platform showing promise for the development of next‐generation electrocatalysts and energy storage materials.</w:t>
      </w:r>
    </w:p>
    <w:p>
      <w:pPr>
        <w:spacing w:before="120" w:after="120"/>
      </w:pPr>
      <w:r>
        <w:rPr>
          <w:sz w:val="18"/>
        </w:rPr>
        <w:t>——————————————————————————————————————————————————————————————————————</w:t>
      </w:r>
    </w:p>
    <w:p>
      <w:pPr>
        <w:spacing w:before="160" w:after="40" w:line="240" w:lineRule="auto"/>
      </w:pPr>
      <w:r>
        <w:rPr>
          <w:b/>
        </w:rPr>
        <w:t xml:space="preserve">[297] </w:t>
      </w:r>
      <w:hyperlink r:id="rId474">
        <w:r>
          <w:rPr>
            <w:color w:val="1155CC"/>
            <w:u w:val="single"/>
          </w:rPr>
          <w:t>为深肿瘤者提供有权力的免疫治疗:促进PDL1降解和通过子细胞贩运和锁定目标将血友病分解</w:t>
        </w:r>
      </w:hyperlink>
    </w:p>
    <w:p>
      <w:pPr>
        <w:spacing w:before="0" w:after="80"/>
      </w:pPr>
      <w:r>
        <w:rPr>
          <w:i/>
          <w:sz w:val="20"/>
        </w:rPr>
        <w:t>EN: Chemiluminescence‐Powered Immunotherapy for Deep Tumors: Promoting PD‐L1 Degradation and Igniting Pyroptosis Through Subcellular Trafficking and Targeting</w:t>
      </w:r>
    </w:p>
    <w:p>
      <w:pPr>
        <w:spacing w:before="0" w:after="120"/>
      </w:pPr>
      <w:r>
        <w:rPr>
          <w:b/>
        </w:rPr>
        <w:t xml:space="preserve">Source: </w:t>
      </w:r>
      <w:r>
        <w:t>Wiley: Advanced Materials: Table of Contents</w:t>
      </w:r>
      <w:r>
        <w:t xml:space="preserve">    </w:t>
      </w:r>
      <w:r>
        <w:rPr>
          <w:b/>
        </w:rPr>
        <w:t xml:space="preserve">Pub date: </w:t>
      </w:r>
      <w:r>
        <w:t>2026-01-20 10:09:51+00:00</w:t>
      </w:r>
      <w:r>
        <w:t xml:space="preserve">    </w:t>
      </w:r>
      <w:r>
        <w:rPr>
          <w:b/>
        </w:rPr>
        <w:t xml:space="preserve">DOI: </w:t>
      </w:r>
      <w:hyperlink r:id="rId475">
        <w:r>
          <w:rPr>
            <w:color w:val="1155CC"/>
            <w:u w:val="single"/>
          </w:rPr>
          <w:t>10.1002/adma.202519569</w:t>
        </w:r>
      </w:hyperlink>
    </w:p>
    <w:p>
      <w:pPr>
        <w:spacing w:before="0" w:after="120"/>
      </w:pPr>
      <w:r>
        <w:rPr>
          <w:b/>
        </w:rPr>
        <w:t xml:space="preserve">Notes: </w:t>
      </w:r>
      <w:r>
        <w:t>abstract_source=crossref</w:t>
      </w:r>
    </w:p>
    <w:p>
      <w:pPr>
        <w:spacing w:before="0" w:after="80" w:lineRule="auto" w:line="276"/>
      </w:pPr>
      <w:r>
        <w:rPr>
          <w:b/>
        </w:rPr>
        <w:t xml:space="preserve">摘要（ZH）: </w:t>
      </w:r>
      <w:r>
        <w:t>ABSTACT 有机体定向治疗是癌症治疗和免疫活化的一个很有希望的战略。在这里,我们展示了一个新型的乳光效应强化免疫治疗平台(CPIT),其目的是通过利用两种关键的亚细胞器官—— 淋病和内分光性内流体(ER)来诱发免疫性诱发性淋病,促进PDL1降解。 CPIT使用PDL1(最高为10.8%ID/g)定向运载工具,以促进PDL1在淋病( &amp; gt; 55%效率)中的降解,同时向环境局提供双向局部淋病的二联发色发光共振能转移系统。双锁机制确保肿瘤选择性和内聚体活化,最大限度地增加氧化性损害,并特别诱导微小时的流行性硬化病。</w:t>
      </w:r>
    </w:p>
    <w:p>
      <w:pPr>
        <w:spacing w:before="0" w:after="200" w:lineRule="auto" w:line="276"/>
      </w:pPr>
      <w:r>
        <w:rPr>
          <w:b/>
        </w:rPr>
        <w:t xml:space="preserve">Abstract (EN): </w:t>
      </w:r>
      <w:r>
        <w:t>Organelle‐targeted therapy represents a promising strategy for cancer therapy and immune activation. Here, we present a novel Chemiluminescence‐Powered Immunotherapy (CPIT) platform designed to induce immunogenic pyroptosis and promote PD‐L1 degradation by exploiting two key subcellular organelles—lysosomes and the endoplasmic reticulum (ER). CPIT utilizes a PD‐L1‐targeted delivery vehicle (up to 10.8 %ID/g) to facilitate PD‐L1 degradation within lysosomes (&amp;gt;55% efficiency) and concurrently delivers a dual‐locked chemiluminescence‐resonance energy transfer (CRET) system to the ER for localized pyroptosis. The dual‐locking mechanism ensures tumor‐selective and ER‐confined activation, maximizing oxidative damage and specifically inducing pyroptosis while minimizing off‐target toxicity. In vivo studies demonstrate remarkable tumor selectivity (due to tumor‐specific delivery plus tumor‐selective activation), robust regression of metastatic tumors, and the induction of a durable adaptive immune response. CPIT overcomes the limitation of conventional photodynamic therapy‐driven immunogenic cell death (ICD) strategies, being effective only for superficial tumors. Simultaneously, it lowers the immune activation threshold by promoting PD‐L1 degradation, addressing the challenge of T cell exhaustion common in ICD‐based cancer immunotherapies. This approach holds promise as a transformative approach to treating hard‐to‐reach malignancies and expanding the reach of immunotherapeutic strategies. The modular design of CPIT enables rapid substitution of protein‐specific ligands or alternative chemiluminescent donors, further expanding its potential for diverse cancer immunotherapy applications.</w:t>
      </w:r>
    </w:p>
    <w:p>
      <w:pPr>
        <w:spacing w:before="120" w:after="120"/>
      </w:pPr>
      <w:r>
        <w:rPr>
          <w:sz w:val="18"/>
        </w:rPr>
        <w:t>——————————————————————————————————————————————————————————————————————</w:t>
      </w:r>
    </w:p>
    <w:p>
      <w:pPr>
        <w:spacing w:before="160" w:after="40" w:line="240" w:lineRule="auto"/>
      </w:pPr>
      <w:r>
        <w:rPr>
          <w:b/>
        </w:rPr>
        <w:t xml:space="preserve">[298] </w:t>
      </w:r>
      <w:hyperlink r:id="rId476">
        <w:r>
          <w:rPr>
            <w:color w:val="1155CC"/>
            <w:u w:val="single"/>
          </w:rPr>
          <w:t>Li2S 反硫化沉积,由电化学自制硫磷磷酸盐分子调解人指导</w:t>
        </w:r>
      </w:hyperlink>
    </w:p>
    <w:p>
      <w:pPr>
        <w:spacing w:before="0" w:after="80"/>
      </w:pPr>
      <w:r>
        <w:rPr>
          <w:i/>
          <w:sz w:val="20"/>
        </w:rPr>
        <w:t>EN: Li2S Anti‐Passivation Deposition Guided by Electrochemically Self‐Generated Thiophosphate Molecular Mediators for Lithium‐Sulfur Batteries</w:t>
      </w:r>
    </w:p>
    <w:p>
      <w:pPr>
        <w:spacing w:before="0" w:after="120"/>
      </w:pPr>
      <w:r>
        <w:rPr>
          <w:b/>
        </w:rPr>
        <w:t xml:space="preserve">Source: </w:t>
      </w:r>
      <w:r>
        <w:t>Wiley: Advanced Materials: Table of Contents</w:t>
      </w:r>
      <w:r>
        <w:t xml:space="preserve">    </w:t>
      </w:r>
      <w:r>
        <w:rPr>
          <w:b/>
        </w:rPr>
        <w:t xml:space="preserve">Pub date: </w:t>
      </w:r>
      <w:r>
        <w:t>2026-01-20 10:11:14+00:00</w:t>
      </w:r>
      <w:r>
        <w:t xml:space="preserve">    </w:t>
      </w:r>
      <w:r>
        <w:rPr>
          <w:b/>
        </w:rPr>
        <w:t xml:space="preserve">DOI: </w:t>
      </w:r>
      <w:hyperlink r:id="rId477">
        <w:r>
          <w:rPr>
            <w:color w:val="1155CC"/>
            <w:u w:val="single"/>
          </w:rPr>
          <w:t>10.1002/adma.202519401</w:t>
        </w:r>
      </w:hyperlink>
    </w:p>
    <w:p>
      <w:pPr>
        <w:spacing w:before="0" w:after="120"/>
      </w:pPr>
      <w:r>
        <w:rPr>
          <w:b/>
        </w:rPr>
        <w:t xml:space="preserve">Notes: </w:t>
      </w:r>
      <w:r>
        <w:t>abstract_source=crossref</w:t>
      </w:r>
    </w:p>
    <w:p>
      <w:pPr>
        <w:spacing w:before="0" w:after="80" w:lineRule="auto" w:line="276"/>
      </w:pPr>
      <w:r>
        <w:rPr>
          <w:b/>
        </w:rPr>
        <w:t xml:space="preserve">摘要（ZH）: </w:t>
      </w:r>
      <w:r>
        <w:t>高能锂硫(LiS)电池的实际部署受到低硫利用率的严重阻碍,这主要是由于溶溶性聚硫化物的穿梭效应,以及(未经调查的)已交存的李2S胶片的钝化。</w:t>
      </w:r>
    </w:p>
    <w:p>
      <w:pPr>
        <w:spacing w:before="0" w:after="200" w:lineRule="auto" w:line="276"/>
      </w:pPr>
      <w:r>
        <w:rPr>
          <w:b/>
        </w:rPr>
        <w:t xml:space="preserve">Abstract (EN): </w:t>
      </w:r>
      <w:r>
        <w:t>The practical deployment of high‐energy lithium‐sulfur (Li‐S) batteries is critically impeded by low sulfur utilization, primarily due to the shuttle effect of soluble polysulfides and, less investigated, the passivation of the deposited Li</w:t>
      </w:r>
      <w:r>
        <w:rPr>
          <w:vertAlign w:val="subscript"/>
        </w:rPr>
        <w:t>2</w:t>
      </w:r>
      <w:r>
        <w:t>S film. To address these challenges, we report an electrochemically in situ self‐generated Li</w:t>
      </w:r>
      <w:r>
        <w:rPr>
          <w:vertAlign w:val="subscript"/>
        </w:rPr>
        <w:t>3</w:t>
      </w:r>
      <w:r>
        <w:t>PS</w:t>
      </w:r>
      <w:r>
        <w:rPr>
          <w:vertAlign w:val="subscript"/>
        </w:rPr>
        <w:t>4</w:t>
      </w:r>
      <w:r>
        <w:t>molecules that serve as novel molecular mediators to guide the nucleation of Li</w:t>
      </w:r>
      <w:r>
        <w:rPr>
          <w:vertAlign w:val="subscript"/>
        </w:rPr>
        <w:t>2</w:t>
      </w:r>
      <w:r>
        <w:t>S preferentially on Li</w:t>
      </w:r>
      <w:r>
        <w:rPr>
          <w:vertAlign w:val="subscript"/>
        </w:rPr>
        <w:t>3</w:t>
      </w:r>
      <w:r>
        <w:t>PS</w:t>
      </w:r>
      <w:r>
        <w:rPr>
          <w:vertAlign w:val="subscript"/>
        </w:rPr>
        <w:t>4</w:t>
      </w:r>
      <w:r>
        <w:t>, forming a 3D assembly film composed of Li</w:t>
      </w:r>
      <w:r>
        <w:rPr>
          <w:vertAlign w:val="subscript"/>
        </w:rPr>
        <w:t>3</w:t>
      </w:r>
      <w:r>
        <w:t>PS</w:t>
      </w:r>
      <w:r>
        <w:rPr>
          <w:vertAlign w:val="subscript"/>
        </w:rPr>
        <w:t>4</w:t>
      </w:r>
      <w:r>
        <w:t>@Li</w:t>
      </w:r>
      <w:r>
        <w:rPr>
          <w:vertAlign w:val="subscript"/>
        </w:rPr>
        <w:t>2</w:t>
      </w:r>
      <w:r>
        <w:t>S molecular clusters with an optimized stoichiometry ratio (1:6), thereby effectively suppressing the aggregation and passivation of bulk Li</w:t>
      </w:r>
      <w:r>
        <w:rPr>
          <w:vertAlign w:val="subscript"/>
        </w:rPr>
        <w:t>2</w:t>
      </w:r>
      <w:r>
        <w:t>S. The Li</w:t>
      </w:r>
      <w:r>
        <w:rPr>
          <w:vertAlign w:val="subscript"/>
        </w:rPr>
        <w:t>3</w:t>
      </w:r>
      <w:r>
        <w:t>PS</w:t>
      </w:r>
      <w:r>
        <w:rPr>
          <w:vertAlign w:val="subscript"/>
        </w:rPr>
        <w:t>4</w:t>
      </w:r>
      <w:r>
        <w:t>mediators were cyclically generated during discharge from a cathode composed of a 3D phosphorus‐sulfur covalent inorganic framework (P‐S CIF) grown on Ti</w:t>
      </w:r>
      <w:r>
        <w:rPr>
          <w:vertAlign w:val="subscript"/>
        </w:rPr>
        <w:t>3</w:t>
      </w:r>
      <w:r>
        <w:t>C</w:t>
      </w:r>
      <w:r>
        <w:rPr>
          <w:vertAlign w:val="subscript"/>
        </w:rPr>
        <w:t>2</w:t>
      </w:r>
      <w:r>
        <w:t>T</w:t>
      </w:r>
      <w:r>
        <w:t xml:space="preserve"> </w:t>
      </w:r>
      <w:r>
        <w:t>x</w:t>
      </w:r>
      <w:r>
        <w:t xml:space="preserve"> </w:t>
      </w:r>
      <w:r>
        <w:t>nanosheets (TNS). The P‐S CIF features a tetrahedral architecture with phosphorus atoms at vertices interconnected by sulfur chains, spatially confining sulfur species to minimize long‐chain polysulfides (Li</w:t>
      </w:r>
      <w:r>
        <w:rPr>
          <w:vertAlign w:val="subscript"/>
        </w:rPr>
        <w:t>2</w:t>
      </w:r>
      <w:r>
        <w:t>S</w:t>
      </w:r>
      <w:r>
        <w:t xml:space="preserve"> </w:t>
      </w:r>
      <w:r>
        <w:t>n</w:t>
      </w:r>
      <w:r>
        <w:t xml:space="preserve"> </w:t>
      </w:r>
      <w:r>
        <w:t>, n≥6) generation. Benefiting from the synergistic effect of Li</w:t>
      </w:r>
      <w:r>
        <w:rPr>
          <w:vertAlign w:val="subscript"/>
        </w:rPr>
        <w:t>3</w:t>
      </w:r>
      <w:r>
        <w:t>PS</w:t>
      </w:r>
      <w:r>
        <w:rPr>
          <w:vertAlign w:val="subscript"/>
        </w:rPr>
        <w:t>4</w:t>
      </w:r>
      <w:r>
        <w:t>‐mediated Li</w:t>
      </w:r>
      <w:r>
        <w:rPr>
          <w:vertAlign w:val="subscript"/>
        </w:rPr>
        <w:t>2</w:t>
      </w:r>
      <w:r>
        <w:t>S nucleation plus the spatial confinement provided by the P‐S CIF, and the strong polysulfide anchoring capability of TNS, the TNS/P‐S CIF cathode achieves exceptional stability and kinetics, delivering an initial capacity of 967 mAh g</w:t>
      </w:r>
      <w:r>
        <w:t xml:space="preserve"> </w:t>
      </w:r>
      <w:r>
        <w:t>−1</w:t>
      </w:r>
      <w:r>
        <w:t xml:space="preserve"> </w:t>
      </w:r>
      <w:r>
        <w:t>at 0.1 A g</w:t>
      </w:r>
      <w:r>
        <w:t xml:space="preserve"> </w:t>
      </w:r>
      <w:r>
        <w:t>−1</w:t>
      </w:r>
      <w:r>
        <w:t xml:space="preserve"> </w:t>
      </w:r>
      <w:r>
        <w:t>and retaining 673 mAh g</w:t>
      </w:r>
      <w:r>
        <w:t xml:space="preserve"> </w:t>
      </w:r>
      <w:r>
        <w:t>−1</w:t>
      </w:r>
      <w:r>
        <w:t xml:space="preserve"> </w:t>
      </w:r>
      <w:r>
        <w:t>after 1000 cycles at 1 A g</w:t>
      </w:r>
      <w:r>
        <w:t xml:space="preserve"> </w:t>
      </w:r>
      <w:r>
        <w:t>−1</w:t>
      </w:r>
      <w:r>
        <w:t xml:space="preserve"> </w:t>
      </w:r>
      <w:r>
        <w:t>(decay rate: 0.022% per cycle). Notably, the electrode maintains an areal capacity of 6.24 mAh cm</w:t>
      </w:r>
      <w:r>
        <w:t xml:space="preserve"> </w:t>
      </w:r>
      <w:r>
        <w:t>−2</w:t>
      </w:r>
      <w:r>
        <w:t xml:space="preserve"> </w:t>
      </w:r>
      <w:r>
        <w:t>under a high loading of 9.8 mg cm</w:t>
      </w:r>
      <w:r>
        <w:t xml:space="preserve"> </w:t>
      </w:r>
      <w:r>
        <w:t>−2</w:t>
      </w:r>
      <w:r>
        <w:t xml:space="preserve"> </w:t>
      </w:r>
      <w:r>
        <w:t>, surpassing commercial benchmarks. This work establishes a molecular‐level design paradigm for sulfur hosts, integrating structural precision with electrochemical functionality to advance the practical realization of high‐performance Li‐S batteries.</w:t>
      </w:r>
    </w:p>
    <w:p>
      <w:pPr>
        <w:spacing w:before="120" w:after="120"/>
      </w:pPr>
      <w:r>
        <w:rPr>
          <w:sz w:val="18"/>
        </w:rPr>
        <w:t>——————————————————————————————————————————————————————————————————————</w:t>
      </w:r>
    </w:p>
    <w:p>
      <w:pPr>
        <w:spacing w:before="160" w:after="40" w:line="240" w:lineRule="auto"/>
      </w:pPr>
      <w:r>
        <w:rPr>
          <w:b/>
        </w:rPr>
        <w:t xml:space="preserve">[299] </w:t>
      </w:r>
      <w:hyperlink r:id="rId478">
        <w:r>
          <w:rPr>
            <w:color w:val="1155CC"/>
            <w:u w:val="single"/>
          </w:rPr>
          <w:t>以电传成像的电化学条件下动态Pt(111)接口的液态水原子规模定序</w:t>
        </w:r>
      </w:hyperlink>
    </w:p>
    <w:p>
      <w:pPr>
        <w:spacing w:before="0" w:after="80"/>
      </w:pPr>
      <w:r>
        <w:rPr>
          <w:i/>
          <w:sz w:val="20"/>
        </w:rPr>
        <w:t>EN: Atomic Scale Ordering of Liquid Water at a Dynamic Pt(111) Interface Under Electrochemical Conditions Imaged by Electron Holography</w:t>
      </w:r>
    </w:p>
    <w:p>
      <w:pPr>
        <w:spacing w:before="0" w:after="120"/>
      </w:pPr>
      <w:r>
        <w:rPr>
          <w:b/>
        </w:rPr>
        <w:t xml:space="preserve">Source: </w:t>
      </w:r>
      <w:r>
        <w:t>Wiley: Advanced Energy Materials: Table of Contents</w:t>
      </w:r>
      <w:r>
        <w:t xml:space="preserve">    </w:t>
      </w:r>
      <w:r>
        <w:rPr>
          <w:b/>
        </w:rPr>
        <w:t xml:space="preserve">Pub date: </w:t>
      </w:r>
      <w:r>
        <w:t>2026-01-20 11:50:30+00:00</w:t>
      </w:r>
      <w:r>
        <w:t xml:space="preserve">    </w:t>
      </w:r>
      <w:r>
        <w:rPr>
          <w:b/>
        </w:rPr>
        <w:t xml:space="preserve">DOI: </w:t>
      </w:r>
      <w:hyperlink r:id="rId479">
        <w:r>
          <w:rPr>
            <w:color w:val="1155CC"/>
            <w:u w:val="single"/>
          </w:rPr>
          <w:t>10.1002/aenm.202505756</w:t>
        </w:r>
      </w:hyperlink>
    </w:p>
    <w:p>
      <w:pPr>
        <w:spacing w:before="0" w:after="120"/>
      </w:pPr>
      <w:r>
        <w:rPr>
          <w:b/>
        </w:rPr>
        <w:t xml:space="preserve">Notes: </w:t>
      </w:r>
      <w:r>
        <w:t>abstract_source=crossref</w:t>
      </w:r>
    </w:p>
    <w:p>
      <w:pPr>
        <w:spacing w:before="0" w:after="80" w:lineRule="auto" w:line="276"/>
      </w:pPr>
      <w:r>
        <w:rPr>
          <w:b/>
        </w:rPr>
        <w:t xml:space="preserve">摘要（ZH）: </w:t>
      </w:r>
      <w:r>
        <w:t>利用环境传输电子显微镜中电子波的特性,通过相向移动电子全息摄影,重建了水中白金界面(111)的原子电源潜力;通过这一进展,可以在白金表面动态状态(111)地表观测定购水层,并在应用电源潜力下进行水重组;与Abnitio分子动态模拟相比,Pt-water界面的预测电潜力在数量上与Abnitio分子动态模拟相比,显示了一个扩展的定购水区。</w:t>
      </w:r>
    </w:p>
    <w:p>
      <w:pPr>
        <w:spacing w:before="0" w:after="200" w:lineRule="auto" w:line="276"/>
      </w:pPr>
      <w:r>
        <w:rPr>
          <w:b/>
        </w:rPr>
        <w:t xml:space="preserve">Abstract (EN): </w:t>
      </w:r>
      <w:r>
        <w:t>Imaging atomic structure and electric fields of the electric double layer at electrode‐water interfaces is essential for understanding electrochemical reactions. The wave properties of electrons in an environmental transmission electron microscope were used to reconstruct the atomic scale electric potentials of a platinum (111) interface in water by phase shifting electron holography. This progress allowed the observation of ordered water layers at the dynamic state of the platinum (111) surface and the water reorganization under applied electric potentials. The obtained projected electric potential of the Pt‐water interface is quantitatively compared to ab‐initio molecular dynamics simulations, revealing an extended ordered water region. We conclude that the potential drop at the Pt ‐H</w:t>
      </w:r>
      <w:r>
        <w:rPr>
          <w:vertAlign w:val="subscript"/>
        </w:rPr>
        <w:t>2</w:t>
      </w:r>
      <w:r>
        <w:t>O interface is mainly carried by the polarization field of the ordered water structure. The impact of different surface Pt configurations and the presence of adsorbates on the ordered structure are discussed.</w:t>
      </w:r>
    </w:p>
    <w:p>
      <w:pPr>
        <w:spacing w:before="120" w:after="120"/>
      </w:pPr>
      <w:r>
        <w:rPr>
          <w:sz w:val="18"/>
        </w:rPr>
        <w:t>——————————————————————————————————————————————————————————————————————</w:t>
      </w:r>
    </w:p>
    <w:p>
      <w:pPr>
        <w:spacing w:before="160" w:after="40" w:line="240" w:lineRule="auto"/>
      </w:pPr>
      <w:r>
        <w:rPr>
          <w:b/>
        </w:rPr>
        <w:t xml:space="preserve">[300] </w:t>
      </w:r>
      <w:hyperlink r:id="rId480">
        <w:r>
          <w:rPr>
            <w:color w:val="1155CC"/>
            <w:u w:val="single"/>
          </w:rPr>
          <w:t>[ASAP] 利用水合二酰氢氢化合物对四氢呋喃进行分子湿重-控制下负重量-受控碳化聚合 -- -- 施用催化剂的捐助者</w:t>
        </w:r>
      </w:hyperlink>
    </w:p>
    <w:p>
      <w:pPr>
        <w:spacing w:before="0" w:after="80"/>
      </w:pPr>
      <w:r>
        <w:rPr>
          <w:i/>
          <w:sz w:val="20"/>
        </w:rPr>
        <w:t>EN: [ASAP] Molecular Weight-Controlled Cationic Polymerization of Tetrahydrofuran Using a Squaramidinium Hydrogen-Bond Donor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2026-01-20 11:51:16+00:00</w:t>
      </w:r>
      <w:r>
        <w:t xml:space="preserve">    </w:t>
      </w:r>
      <w:r>
        <w:rPr>
          <w:b/>
        </w:rPr>
        <w:t xml:space="preserve">DOI: </w:t>
      </w:r>
      <w:hyperlink r:id="rId481">
        <w:r>
          <w:rPr>
            <w:color w:val="1155CC"/>
            <w:u w:val="single"/>
          </w:rPr>
          <w:t>10.1021/jacs.5c18359</w:t>
        </w:r>
      </w:hyperlink>
    </w:p>
    <w:p>
      <w:pPr>
        <w:spacing w:before="0" w:after="120"/>
      </w:pPr>
      <w:r>
        <w:rPr>
          <w:b/>
        </w:rPr>
        <w:t xml:space="preserve">Notes: </w:t>
      </w:r>
      <w:r>
        <w:t>abstract_source=pubmed</w:t>
      </w:r>
    </w:p>
    <w:p>
      <w:pPr>
        <w:spacing w:before="0" w:after="80" w:lineRule="auto" w:line="276"/>
      </w:pPr>
      <w:r>
        <w:rPr>
          <w:b/>
        </w:rPr>
        <w:t xml:space="preserve">摘要（ZH）: </w:t>
      </w:r>
      <w:r>
        <w:t>尽管具有商业重要性,但将PTHF与20千达以上的分子重量(MW)控制合成证明是具有挑战性的。在这项工作中,我们披露了一种由MW控制的PTHF合成合成物,该合成物通过电离环开聚合聚合化法,达到175千Da,使用一种辛醇-氨基氢泡沫捐献者催化剂,与室内温度下α-磷氧基甲基醚发起者结合使用。 机械学研究支持一种可逆转性阻塞聚合途径,其中HBD催化剂促进主要烷基磷酸盐链端的静电离子化,产生传播的氧化氮物种。 磷酸盐链端的稳定性表现为:</w:t>
      </w:r>
    </w:p>
    <w:p>
      <w:pPr>
        <w:spacing w:before="0" w:after="200" w:lineRule="auto" w:line="276"/>
      </w:pPr>
      <w:r>
        <w:rPr>
          <w:b/>
        </w:rPr>
        <w:t xml:space="preserve">Abstract (EN): </w:t>
      </w:r>
      <w:r>
        <w:t>Poly(tetrahydrofuran) (PTHF) has long-standing industrial relevance as the soft block of elastic fibers and thermosets. Despite its commercial importance, the synthesis of PTHF with molecular weight (MW) control beyond 20 kDa has proved challenging. In this work, we disclose a MW-controlled synthesis of PTHF up to 175 kDa by cationic ring-opening polymerization, using a cationic squaramidinium hydrogen-bond donor (HBD) catalyst in combination with an α-phosphonooxymethyl ether initiator at room temperature. Mechanistic studies support a reversible-deactivation polymerization pathway, wherein the HBD catalyst facilitates the anchimeric ionization of the primary alkyl phosphate chain end, generating the propagating oxonium species. The stability of the phosphate chain end was demonstrated by isolating PTHF with high chain-end fidelity and subsequently extending the PTHF macroinitiator to higher molecular weights. This system was further applied to the copolymerization of THF and 1,3-dioxolane (DXL), affording copolymers with tunable thermal properties. We demonstrate near-quantitative chemical recycling of both PTHF and PTHF-co-PDXL back to monomer, highlighting the potential of this strategy for the development of sustainable polymers.</w:t>
      </w:r>
    </w:p>
    <w:p>
      <w:pPr>
        <w:spacing w:before="120" w:after="120"/>
      </w:pPr>
      <w:r>
        <w:rPr>
          <w:sz w:val="18"/>
        </w:rPr>
        <w:t>——————————————————————————————————————————————————————————————————————</w:t>
      </w:r>
    </w:p>
    <w:p>
      <w:pPr>
        <w:spacing w:before="160" w:after="40" w:line="240" w:lineRule="auto"/>
      </w:pPr>
      <w:r>
        <w:rPr>
          <w:b/>
        </w:rPr>
        <w:t xml:space="preserve">[301] </w:t>
      </w:r>
      <w:hyperlink r:id="rId482">
        <w:r>
          <w:rPr>
            <w:color w:val="1155CC"/>
            <w:u w:val="single"/>
          </w:rPr>
          <w:t>[ASAP] 使用微度极极化阿尔肯斯的α-Hydroxy Ketones 的异构选择性α</w:t>
        </w:r>
      </w:hyperlink>
    </w:p>
    <w:p>
      <w:pPr>
        <w:spacing w:before="0" w:after="80"/>
      </w:pPr>
      <w:r>
        <w:rPr>
          <w:i/>
          <w:sz w:val="20"/>
        </w:rPr>
        <w:t>EN: [ASAP] Iridium-Catalyzed Stereoselective α-Alkylation of α-Hydroxy Ketones with Minimally Polarized Alkenes</w:t>
      </w:r>
    </w:p>
    <w:p>
      <w:pPr>
        <w:spacing w:before="0" w:after="120"/>
      </w:pPr>
      <w:r>
        <w:rPr>
          <w:b/>
        </w:rPr>
        <w:t xml:space="preserve">Source: </w:t>
      </w:r>
      <w:r>
        <w:t>Journal of the American Chemical Society: Latest Articles (ACS Publications)</w:t>
      </w:r>
      <w:r>
        <w:t xml:space="preserve">    </w:t>
      </w:r>
      <w:r>
        <w:rPr>
          <w:b/>
        </w:rPr>
        <w:t xml:space="preserve">Pub date: </w:t>
      </w:r>
      <w:r>
        <w:t>2026-01-20 11:52:51+00:00</w:t>
      </w:r>
      <w:r>
        <w:t xml:space="preserve">    </w:t>
      </w:r>
      <w:r>
        <w:rPr>
          <w:b/>
        </w:rPr>
        <w:t xml:space="preserve">DOI: </w:t>
      </w:r>
      <w:hyperlink r:id="rId483">
        <w:r>
          <w:rPr>
            <w:color w:val="1155CC"/>
            <w:u w:val="single"/>
          </w:rPr>
          <w:t>10.1021/jacs.5c19724</w:t>
        </w:r>
      </w:hyperlink>
    </w:p>
    <w:p>
      <w:pPr>
        <w:spacing w:before="0" w:after="120"/>
      </w:pPr>
      <w:r>
        <w:rPr>
          <w:b/>
        </w:rPr>
        <w:t xml:space="preserve">Notes: </w:t>
      </w:r>
      <w:r>
        <w:t>abstract_source=pubmed</w:t>
      </w:r>
    </w:p>
    <w:p>
      <w:pPr>
        <w:spacing w:before="0" w:after="80" w:lineRule="auto" w:line="276"/>
      </w:pPr>
      <w:r>
        <w:rPr>
          <w:b/>
        </w:rPr>
        <w:t xml:space="preserve">摘要（ZH）: </w:t>
      </w:r>
      <w:r>
        <w:t>以同质二磷而修改的Cicationic Ir(I)-复合体促使α-C-H在苯乙烯或烷基叶素中添加α-氢氧克酮,这些过程的前提是以氢氧为方向形成一种电离层,分子间和分子内过程是可行的,后者提供有两种新立体分解器的对木环的立体控制下通道,分子内过程是基于烷基的Coni-ene反应的稀有例子,这种反应是对应和异形选择性的。</w:t>
      </w:r>
    </w:p>
    <w:p>
      <w:pPr>
        <w:spacing w:before="0" w:after="200" w:lineRule="auto" w:line="276"/>
      </w:pPr>
      <w:r>
        <w:rPr>
          <w:b/>
        </w:rPr>
        <w:t xml:space="preserve">Abstract (EN): </w:t>
      </w:r>
      <w:r>
        <w:t>Cationic Ir(I)-complexes modified with homochiral diphosphines promote the α-C-H addition of α-hydroxy ketones to styrenes or alkyl olefins. These processes are predicated on the hydroxyl-directed formation of an Ir-enolate. Inter- and intramolecular processes are feasible, with the latter offering stereocontrolled access to carbocycles bearing two new stereocenters. The intramolecular processes constitute rare examples of alkene-based Conia-ene reactions that are enantio- and diastereoselective.</w:t>
      </w:r>
    </w:p>
    <w:p>
      <w:pPr>
        <w:spacing w:before="120" w:after="120"/>
      </w:pPr>
      <w:r>
        <w:rPr>
          <w:sz w:val="18"/>
        </w:rPr>
        <w:t>——————————————————————————————————————————————————————————————————————</w:t>
      </w:r>
    </w:p>
    <w:p>
      <w:pPr>
        <w:spacing w:before="160" w:after="40" w:line="240" w:lineRule="auto"/>
      </w:pPr>
      <w:r>
        <w:rPr>
          <w:b/>
        </w:rPr>
        <w:t xml:space="preserve">[302] </w:t>
      </w:r>
      <w:hyperlink r:id="rId484">
        <w:r>
          <w:rPr>
            <w:color w:val="1155CC"/>
            <w:u w:val="single"/>
          </w:rPr>
          <w:t>用于下一代电池电池的纤维素基 Gel 电解解器的合理设计:机制、进步和前景</w:t>
        </w:r>
      </w:hyperlink>
    </w:p>
    <w:p>
      <w:pPr>
        <w:spacing w:before="0" w:after="80"/>
      </w:pPr>
      <w:r>
        <w:rPr>
          <w:i/>
          <w:sz w:val="20"/>
        </w:rPr>
        <w:t>EN: Rational Design of Cellulose‐Based Gel Electrolytes for Next‐Generation Zinc‐Ion Batteries: Mechanisms, Advances, and Perspectives</w:t>
      </w:r>
    </w:p>
    <w:p>
      <w:pPr>
        <w:spacing w:before="0" w:after="120"/>
      </w:pPr>
      <w:r>
        <w:rPr>
          <w:b/>
        </w:rPr>
        <w:t xml:space="preserve">Source: </w:t>
      </w:r>
      <w:r>
        <w:t>Wiley: Advanced Energy Materials: Table of Contents</w:t>
      </w:r>
      <w:r>
        <w:t xml:space="preserve">    </w:t>
      </w:r>
      <w:r>
        <w:rPr>
          <w:b/>
        </w:rPr>
        <w:t xml:space="preserve">Pub date: </w:t>
      </w:r>
      <w:r>
        <w:t>2026-01-20 11:54:46+00:00</w:t>
      </w:r>
      <w:r>
        <w:t xml:space="preserve">    </w:t>
      </w:r>
      <w:r>
        <w:rPr>
          <w:b/>
        </w:rPr>
        <w:t xml:space="preserve">DOI: </w:t>
      </w:r>
      <w:hyperlink r:id="rId485">
        <w:r>
          <w:rPr>
            <w:color w:val="1155CC"/>
            <w:u w:val="single"/>
          </w:rPr>
          <w:t>10.1002/aenm.202506462</w:t>
        </w:r>
      </w:hyperlink>
    </w:p>
    <w:p>
      <w:pPr>
        <w:spacing w:before="0" w:after="120"/>
      </w:pPr>
      <w:r>
        <w:rPr>
          <w:b/>
        </w:rPr>
        <w:t xml:space="preserve">Notes: </w:t>
      </w:r>
      <w:r>
        <w:t>abstract_source=crossref</w:t>
      </w:r>
    </w:p>
    <w:p>
      <w:pPr>
        <w:spacing w:before="0" w:after="80" w:lineRule="auto" w:line="276"/>
      </w:pPr>
      <w:r>
        <w:rPr>
          <w:b/>
        </w:rPr>
        <w:t xml:space="preserve">摘要（ZH）: </w:t>
      </w:r>
      <w:r>
        <w:t>Zincion电池(ZIBs)作为可持续能源储存系统,在能力、安全和成本方面都具有优势,因此受到相当的注意;然而,诸如脱衣生长和侧面反应等问题阻碍其实际采用; 以纤维素为基础的凝胶电解液(CGEs)最近成为缓解这些挑战的有希望的材料; 通过抑制锌脱衣液形成和增强内部稳定性,专家咨询小组改进了ZIBs的循环长寿和安全性; 审查首先对凝胶电解层进行分类,并概述通过交叉连接和非交叉连接战略编制的专家咨询小组的独特好处; 然后系统地审查专家咨询小组最近的发展情况,以便与各种阴极材料和多功能ZIBs confi一起使用。</w:t>
      </w:r>
    </w:p>
    <w:p>
      <w:pPr>
        <w:spacing w:before="0" w:after="200" w:lineRule="auto" w:line="276"/>
      </w:pPr>
      <w:r>
        <w:rPr>
          <w:b/>
        </w:rPr>
        <w:t xml:space="preserve">Abstract (EN): </w:t>
      </w:r>
      <w:r>
        <w:t>Zinc‐ion batteries (ZIBs) have gained considerable attention as sustainable energy storage systems, offering advantages in capacity, safety, and cost. However, issues such as dendrite growth and side reactions hinder their practical adoption. Cellulose‐based gel electrolytes (CGEs) have recently emerged as promising materials to mitigate these challenges. By inhibiting zinc dendrite formation and enhancing interfacial stability, CGEs improve cycling longevity and safety in ZIBs. This review begins by classifying gel electrolytes and outlining the distinctive benefits of CGEs prepared via crosslinking and non‐crosslinking strategies. It then systematically examines recent developments in CGEs for use with various cathode materials and in multifunctional ZIBs configurations. Finally, the environmental merits and compelling electrochemical properties of CGEs are highlighted, together with a forward‐looking discussion on their role in next‐generation ZIBs and related future research directions. This work provides a timely and comprehensive resource that integrates materials design with electrochemical insights, offering valuable guidance for the rational development of CGEs.</w:t>
      </w:r>
    </w:p>
    <w:p>
      <w:pPr>
        <w:spacing w:before="120" w:after="120"/>
      </w:pPr>
      <w:r>
        <w:rPr>
          <w:sz w:val="18"/>
        </w:rPr>
        <w:t>——————————————————————————————————————————————————————————————————————</w:t>
      </w:r>
    </w:p>
    <w:p>
      <w:pPr>
        <w:spacing w:before="160" w:after="40" w:line="240" w:lineRule="auto"/>
      </w:pPr>
      <w:r>
        <w:rPr>
          <w:b/>
        </w:rPr>
        <w:t xml:space="preserve">[303] </w:t>
      </w:r>
      <w:hyperlink r:id="rId486">
        <w:r>
          <w:rPr>
            <w:color w:val="1155CC"/>
            <w:u w:val="single"/>
          </w:rPr>
          <w:t>推动二苯基磷酰An离核精度,利用皇室以太太后支持的重烷基金属促进高高效催化性高汞化</w:t>
        </w:r>
      </w:hyperlink>
    </w:p>
    <w:p>
      <w:pPr>
        <w:spacing w:before="0" w:after="80"/>
      </w:pPr>
      <w:r>
        <w:rPr>
          <w:i/>
          <w:sz w:val="20"/>
        </w:rPr>
        <w:t>EN: Boosting the Nucleophilicity of the Diphenylphosphide Anion with Crown Ether Supported Heavy Alkali Metals to Facilitate Highly Efficient Catalytic Alkene Isomerisation</w:t>
      </w:r>
    </w:p>
    <w:p>
      <w:pPr>
        <w:spacing w:before="0" w:after="120"/>
      </w:pPr>
      <w:r>
        <w:rPr>
          <w:b/>
        </w:rPr>
        <w:t xml:space="preserve">Source: </w:t>
      </w:r>
      <w:r>
        <w:t>Wiley: Angewandte Chemie International Edition: Table of Contents</w:t>
      </w:r>
      <w:r>
        <w:t xml:space="preserve">    </w:t>
      </w:r>
      <w:r>
        <w:rPr>
          <w:b/>
        </w:rPr>
        <w:t xml:space="preserve">Pub date: </w:t>
      </w:r>
      <w:r>
        <w:t>2026-01-20 11:56:22+00:00</w:t>
      </w:r>
      <w:r>
        <w:t xml:space="preserve">    </w:t>
      </w:r>
      <w:r>
        <w:rPr>
          <w:b/>
        </w:rPr>
        <w:t xml:space="preserve">DOI: </w:t>
      </w:r>
      <w:hyperlink r:id="rId487">
        <w:r>
          <w:rPr>
            <w:color w:val="1155CC"/>
            <w:u w:val="single"/>
          </w:rPr>
          <w:t>10.1002/anie.202523460</w:t>
        </w:r>
      </w:hyperlink>
    </w:p>
    <w:p>
      <w:pPr>
        <w:spacing w:before="0" w:after="120"/>
      </w:pPr>
      <w:r>
        <w:rPr>
          <w:b/>
        </w:rPr>
        <w:t xml:space="preserve">Notes: </w:t>
      </w:r>
      <w:r>
        <w:t>abstract_source=crossref</w:t>
      </w:r>
    </w:p>
    <w:p>
      <w:pPr>
        <w:spacing w:before="0" w:after="80" w:lineRule="auto" w:line="276"/>
      </w:pPr>
      <w:r>
        <w:rPr>
          <w:b/>
        </w:rPr>
        <w:t xml:space="preserve">摘要（ZH）: </w:t>
      </w:r>
      <w:r>
        <w:t>与主要由锂和较少程度的钠和钾在这一领域的应用所达到的广阔海洋相比,抽象和长期以来在有机化学和有机化学方面一直受到关注的干旱。这里,我们报告对使用加冕乙醚支持的碱性金属磷化催化烷异构体化的一项突破性研究,该研究的活动依次和显著增加,因为第一组与Cs(18crown}6)PPh 2相继增,即使以高周转频率和良好的功能性群体耐受度在1毫升至1毫拉百分比时表现最佳。Cs(18crown}6)PPh 2进一步提升其特征,在逐步的 doubb 中也取得了成功。</w:t>
      </w:r>
    </w:p>
    <w:p>
      <w:pPr>
        <w:spacing w:before="0" w:after="200" w:lineRule="auto" w:line="276"/>
      </w:pPr>
      <w:r>
        <w:rPr>
          <w:b/>
        </w:rPr>
        <w:t xml:space="preserve">Abstract (EN): </w:t>
      </w:r>
      <w:r>
        <w:t>Caesium and rubidium have long experienced an interest drought in organoelement chemistry in comparison to the vast ocean of applications accomplished mainly by lithium and to a lesser extent, by sodium and potassium in this field. Here, we report a breakthrough study in catalytic alkene isomerisation using crown ether‐supported alkali metal phosphides in which the activity increases sequentially and significantly as Group One is descended with Cs(18‐crown‐6)PPh</w:t>
      </w:r>
      <w:r>
        <w:rPr>
          <w:vertAlign w:val="subscript"/>
        </w:rPr>
        <w:t>2</w:t>
      </w:r>
      <w:r>
        <w:t>performing best even at 1 mol% loadings with high turnover frequencies (TOFs) and good functional group tolerance. Elevating its profile further, Cs(18‐crown‐6)PPh</w:t>
      </w:r>
      <w:r>
        <w:rPr>
          <w:vertAlign w:val="subscript"/>
        </w:rPr>
        <w:t>2</w:t>
      </w:r>
      <w:r>
        <w:t>is also successful in a stepwise double catalysis on combining alkene isomerisation with its newly established hydrophosphination (HP) capacity to access challenging to make Markovnikov products. This remote functionalisation approach was also applied to alkynes with terminal alkynes preferentially producing allenes over internal alkynes in one‐pot reactions and then under HP, generating highly functionalised vinyl phosphines. Kinetic studies and DFT calculations have also been performed to shed light on mechanistic aspects of the Cs‐mediated isomerisation of model alkene allylbenzene.</w:t>
      </w:r>
    </w:p>
    <w:p>
      <w:pPr>
        <w:spacing w:before="120" w:after="120"/>
      </w:pPr>
      <w:r>
        <w:rPr>
          <w:sz w:val="18"/>
        </w:rPr>
        <w:t>——————————————————————————————————————————————————————————————————————</w:t>
      </w:r>
    </w:p>
    <w:p>
      <w:pPr>
        <w:spacing w:before="160" w:after="40" w:line="240" w:lineRule="auto"/>
      </w:pPr>
      <w:r>
        <w:rPr>
          <w:b/>
        </w:rPr>
        <w:t xml:space="preserve">[304] </w:t>
      </w:r>
      <w:hyperlink r:id="rId488">
        <w:r>
          <w:rPr>
            <w:color w:val="1155CC"/>
            <w:u w:val="single"/>
          </w:rPr>
          <w:t>通过有理催化器设计 dp 轨道混合化解码器解锁高性能NaCO2电池</w:t>
        </w:r>
      </w:hyperlink>
    </w:p>
    <w:p>
      <w:pPr>
        <w:spacing w:before="0" w:after="80"/>
      </w:pPr>
      <w:r>
        <w:rPr>
          <w:i/>
          <w:sz w:val="20"/>
        </w:rPr>
        <w:t>EN: Unlocking High‐Performance Na‐CO2 Batteries via a d‐p Orbital Hybridization Descriptor for Rational Catalyst Design</w:t>
      </w:r>
    </w:p>
    <w:p>
      <w:pPr>
        <w:spacing w:before="0" w:after="120"/>
      </w:pPr>
      <w:r>
        <w:rPr>
          <w:b/>
        </w:rPr>
        <w:t xml:space="preserve">Source: </w:t>
      </w:r>
      <w:r>
        <w:t>Wiley: Angewandte Chemie International Edition: Table of Contents</w:t>
      </w:r>
      <w:r>
        <w:t xml:space="preserve">    </w:t>
      </w:r>
      <w:r>
        <w:rPr>
          <w:b/>
        </w:rPr>
        <w:t xml:space="preserve">Pub date: </w:t>
      </w:r>
      <w:r>
        <w:t>2026-01-20 13:02:43+00:00</w:t>
      </w:r>
      <w:r>
        <w:t xml:space="preserve">    </w:t>
      </w:r>
      <w:r>
        <w:rPr>
          <w:b/>
        </w:rPr>
        <w:t xml:space="preserve">DOI: </w:t>
      </w:r>
      <w:hyperlink r:id="rId489">
        <w:r>
          <w:rPr>
            <w:color w:val="1155CC"/>
            <w:u w:val="single"/>
          </w:rPr>
          <w:t>10.1002/anie.202525098</w:t>
        </w:r>
      </w:hyperlink>
    </w:p>
    <w:p>
      <w:pPr>
        <w:spacing w:before="0" w:after="120"/>
      </w:pPr>
      <w:r>
        <w:rPr>
          <w:b/>
        </w:rPr>
        <w:t xml:space="preserve">Notes: </w:t>
      </w:r>
      <w:r>
        <w:t>abstract_source=crossref</w:t>
      </w:r>
    </w:p>
    <w:p>
      <w:pPr>
        <w:spacing w:before="0" w:after="80" w:lineRule="auto" w:line="276"/>
      </w:pPr>
      <w:r>
        <w:rPr>
          <w:b/>
        </w:rPr>
        <w:t xml:space="preserve">摘要（ZH）: </w:t>
      </w:r>
      <w:r>
        <w:t>以金属为基础的抽象催化剂显示高效二氧化二碳2电池的巨大前景。然而,由于缺乏将催化特性与电池性能连接起来的普遍原则,阻碍了合理的催化剂设计。为弥合这一差距,我们提议了基于 dp轨道混合化的描述符。我们侧重于Oxalate钠(Na 2 C 2 O 4 ),这是一个主要排放产品,其分解动力学比碳酸盐更快,我们系统调查了金属 d带中心和氧轨道中心之间的混合,揭示了纳的形成/分解机制。</w:t>
      </w:r>
    </w:p>
    <w:p>
      <w:pPr>
        <w:spacing w:before="0" w:after="200" w:lineRule="auto" w:line="276"/>
      </w:pPr>
      <w:r>
        <w:rPr>
          <w:b/>
        </w:rPr>
        <w:t xml:space="preserve">Abstract (EN): </w:t>
      </w:r>
      <w:r>
        <w:t>Metal‐based catalysts show great promise for efficient Na‐CO</w:t>
      </w:r>
      <w:r>
        <w:rPr>
          <w:vertAlign w:val="subscript"/>
        </w:rPr>
        <w:t>2</w:t>
      </w:r>
      <w:r>
        <w:t>batteries. However, the absence of a universal principle that connects catalytic properties to battery performance has impeded rational catalyst design. To bridge this gap, we propose a descriptor based on d‐p orbital hybridization. Focusing on sodium oxalate (Na</w:t>
      </w:r>
      <w:r>
        <w:rPr>
          <w:vertAlign w:val="subscript"/>
        </w:rPr>
        <w:t>2</w:t>
      </w:r>
      <w:r>
        <w:t>C</w:t>
      </w:r>
      <w:r>
        <w:rPr>
          <w:vertAlign w:val="subscript"/>
        </w:rPr>
        <w:t>2</w:t>
      </w:r>
      <w:r>
        <w:t>O</w:t>
      </w:r>
      <w:r>
        <w:rPr>
          <w:vertAlign w:val="subscript"/>
        </w:rPr>
        <w:t>4</w:t>
      </w:r>
      <w:r>
        <w:t>), a key discharge product with faster decomposition kinetics than carbonates, we systematically investigate the hybridization between metal d‐band centers and oxygen p‐orbitals, revealing the mechanism governing the formation/decomposition for Na</w:t>
      </w:r>
      <w:r>
        <w:rPr>
          <w:vertAlign w:val="subscript"/>
        </w:rPr>
        <w:t>2</w:t>
      </w:r>
      <w:r>
        <w:t>C</w:t>
      </w:r>
      <w:r>
        <w:rPr>
          <w:vertAlign w:val="subscript"/>
        </w:rPr>
        <w:t>2</w:t>
      </w:r>
      <w:r>
        <w:t>O</w:t>
      </w:r>
      <w:r>
        <w:rPr>
          <w:vertAlign w:val="subscript"/>
        </w:rPr>
        <w:t>4</w:t>
      </w:r>
      <w:r>
        <w:t>. By constructing electronic structure‐based theoretical descriptors, we enable efficient prediction and rational design of catalyst performance. The Pd‐based catalyst designed using the d‐p orbital hybridization descriptor screening strategy enables a battery that achieves a cycling stability of 1800 h with retained energy efficiency of 85.5% and a low overpotential of 0.49 V. The strong correlation between the descriptor and the Gibbs free energy (ΔG) of the rate‐determining reaction step confirms its predictive accuracy. This work establishes d‐p orbital hybridization as a descriptor for controlling discharge products, guiding the design of high‐energy‐density Na‐CO</w:t>
      </w:r>
      <w:r>
        <w:rPr>
          <w:vertAlign w:val="subscript"/>
        </w:rPr>
        <w:t>2</w:t>
      </w:r>
      <w:r>
        <w:t>batteries.</w:t>
      </w:r>
    </w:p>
    <w:p>
      <w:pPr>
        <w:spacing w:before="120" w:after="120"/>
      </w:pPr>
      <w:r>
        <w:rPr>
          <w:sz w:val="18"/>
        </w:rPr>
        <w:t>——————————————————————————————————————————————————————————————————————</w:t>
      </w:r>
    </w:p>
    <w:p>
      <w:pPr>
        <w:spacing w:before="160" w:after="40" w:line="240" w:lineRule="auto"/>
      </w:pPr>
      <w:r>
        <w:rPr>
          <w:b/>
        </w:rPr>
        <w:t xml:space="preserve">[305] </w:t>
      </w:r>
      <w:hyperlink r:id="rId490">
        <w:r>
          <w:rPr>
            <w:color w:val="1155CC"/>
            <w:u w:val="single"/>
          </w:rPr>
          <w:t>具有DFFT-集成机器学习工作流程的光生催化变异和抗药风险</w:t>
        </w:r>
      </w:hyperlink>
    </w:p>
    <w:p>
      <w:pPr>
        <w:spacing w:before="0" w:after="80"/>
      </w:pPr>
      <w:r>
        <w:rPr>
          <w:i/>
          <w:sz w:val="20"/>
        </w:rPr>
        <w:t>EN: Mapping Antibiotic Photocatalytic Transformation and Resistance Risks with a DFT‐Informed Machine Learning Workflow</w:t>
      </w:r>
    </w:p>
    <w:p>
      <w:pPr>
        <w:spacing w:before="0" w:after="120"/>
      </w:pPr>
      <w:r>
        <w:rPr>
          <w:b/>
        </w:rPr>
        <w:t xml:space="preserve">Source: </w:t>
      </w:r>
      <w:r>
        <w:t>Wiley: Angewandte Chemie International Edition: Table of Contents</w:t>
      </w:r>
      <w:r>
        <w:t xml:space="preserve">    </w:t>
      </w:r>
      <w:r>
        <w:rPr>
          <w:b/>
        </w:rPr>
        <w:t xml:space="preserve">Pub date: </w:t>
      </w:r>
      <w:r>
        <w:t>2026-01-20 13:04:12+00:00</w:t>
      </w:r>
      <w:r>
        <w:t xml:space="preserve">    </w:t>
      </w:r>
      <w:r>
        <w:rPr>
          <w:b/>
        </w:rPr>
        <w:t xml:space="preserve">DOI: </w:t>
      </w:r>
      <w:hyperlink r:id="rId491">
        <w:r>
          <w:rPr>
            <w:color w:val="1155CC"/>
            <w:u w:val="single"/>
          </w:rPr>
          <w:t>10.1002/anie.202520124</w:t>
        </w:r>
      </w:hyperlink>
    </w:p>
    <w:p>
      <w:pPr>
        <w:spacing w:before="0" w:after="120"/>
      </w:pPr>
      <w:r>
        <w:rPr>
          <w:b/>
        </w:rPr>
        <w:t xml:space="preserve">Notes: </w:t>
      </w:r>
      <w:r>
        <w:t>abstract_source=crossref</w:t>
      </w:r>
    </w:p>
    <w:p>
      <w:pPr>
        <w:spacing w:before="0" w:after="80" w:lineRule="auto" w:line="276"/>
      </w:pPr>
      <w:r>
        <w:rPr>
          <w:b/>
        </w:rPr>
        <w:t xml:space="preserve">摘要（ZH）: </w:t>
      </w:r>
      <w:r>
        <w:t>摘要:抗生素光催化降解是有效的,但可能会产生维持或扩大生态风险的转化产品(TPs),包括抗生素抗药性基因(ARG)诱导。本研究开发了一个预测框架,即夫妇光催化实验、高分辨率质谱测定、密度功能理论(DFT)计算和机器学习(ML),以评估TP的风险。我们用四环作为模型化合物,建立了一个超过120个步骤和9 533反应的反应网络,并培训了一个ML模型,以快速预测Gibbs自由能源变化,并具有DFT准确性。自动转换状态搜索被整合,以评价网络内的动能可及性。这一方法的通用性得到了验证。</w:t>
      </w:r>
    </w:p>
    <w:p>
      <w:pPr>
        <w:spacing w:before="0" w:after="200" w:lineRule="auto" w:line="276"/>
      </w:pPr>
      <w:r>
        <w:rPr>
          <w:b/>
        </w:rPr>
        <w:t xml:space="preserve">Abstract (EN): </w:t>
      </w:r>
      <w:r>
        <w:t>The photocatalytic degradation of antibiotics is effective but may yield transformation products (TPs) that sustain or amplify ecological risks, including antibiotic resistance gene (ARG) induction. This study developed a predictive framework that couples photocatalytic experiments, high‐resolution mass spectrometry, density functional theory (DFT) calculations and machine learning (ML) to assess risks of TPs. Using tetracycline as a model compound, we constructed a reaction network over 120 steps and 9 533 reactions, and trained an ML model to rapidly predict Gibbs free energy changes with DFT accuracy. Automatic transition‐state searches were integrated to evaluate kinetic accessibility within the network. The generalizability of this approach was validated with pathways of five different antibiotics involving 545 reactions. Furthermore, a multi‐dimensional scoring system was developed that integrates diversity, ecotoxicity, biodegradability, and feasibility (DEBF) to prioritize pathways by both reactivity and sustainability. Several hydroxylated, aminated, and amide–ketone TPs were identified as high‐risk species with enhanced ARG‐binding potential. By bridging molecular energetics with ecological outcomes, this work offers a generalizable, mechanism‐anchored, and risk‐aware approach for analyzing photocatalytic transformations and deriving design principles for pollutant degradation that balance efficiency with ecological safety.</w:t>
      </w:r>
    </w:p>
    <w:p>
      <w:pPr>
        <w:spacing w:before="120" w:after="120"/>
      </w:pPr>
      <w:r>
        <w:rPr>
          <w:sz w:val="18"/>
        </w:rPr>
        <w:t>——————————————————————————————————————————————————————————————————————</w:t>
      </w:r>
    </w:p>
    <w:p>
      <w:pPr>
        <w:spacing w:before="160" w:after="40" w:line="240" w:lineRule="auto"/>
      </w:pPr>
      <w:r>
        <w:rPr>
          <w:b/>
        </w:rPr>
        <w:t xml:space="preserve">[306] </w:t>
      </w:r>
      <w:hyperlink r:id="rId492">
        <w:r>
          <w:rPr>
            <w:color w:val="1155CC"/>
            <w:u w:val="single"/>
          </w:rPr>
          <w:t>SABRE 19F NMR号超超极化多通道,用于在NMR号船上敏感探测多疾病标记酶</w:t>
        </w:r>
      </w:hyperlink>
    </w:p>
    <w:p>
      <w:pPr>
        <w:spacing w:before="0" w:after="80"/>
      </w:pPr>
      <w:r>
        <w:rPr>
          <w:i/>
          <w:sz w:val="20"/>
        </w:rPr>
        <w:t>EN: SABRE Hyperpolarized Multichannel 19F NMR for Sensitive Detection of Multiple Disease Marker Enzymes on a Benchtop NMR</w:t>
      </w:r>
    </w:p>
    <w:p>
      <w:pPr>
        <w:spacing w:before="0" w:after="120"/>
      </w:pPr>
      <w:r>
        <w:rPr>
          <w:b/>
        </w:rPr>
        <w:t xml:space="preserve">Source: </w:t>
      </w:r>
      <w:r>
        <w:t>Wiley: Angewandte Chemie International Edition: Table of Contents</w:t>
      </w:r>
      <w:r>
        <w:t xml:space="preserve">    </w:t>
      </w:r>
      <w:r>
        <w:rPr>
          <w:b/>
        </w:rPr>
        <w:t xml:space="preserve">Pub date: </w:t>
      </w:r>
      <w:r>
        <w:t>2026-01-20 13:11:32+00:00</w:t>
      </w:r>
      <w:r>
        <w:t xml:space="preserve">    </w:t>
      </w:r>
      <w:r>
        <w:rPr>
          <w:b/>
        </w:rPr>
        <w:t xml:space="preserve">DOI: </w:t>
      </w:r>
      <w:hyperlink r:id="rId493">
        <w:r>
          <w:rPr>
            <w:color w:val="1155CC"/>
            <w:u w:val="single"/>
          </w:rPr>
          <w:t>10.1002/anie.202517348</w:t>
        </w:r>
      </w:hyperlink>
    </w:p>
    <w:p>
      <w:pPr>
        <w:spacing w:before="0" w:after="120"/>
      </w:pPr>
      <w:r>
        <w:rPr>
          <w:b/>
        </w:rPr>
        <w:t xml:space="preserve">Notes: </w:t>
      </w:r>
      <w:r>
        <w:t>abstract_source=crossref</w:t>
      </w:r>
    </w:p>
    <w:p>
      <w:pPr>
        <w:spacing w:before="0" w:after="80" w:lineRule="auto" w:line="276"/>
      </w:pPr>
      <w:r>
        <w:rPr>
          <w:b/>
        </w:rPr>
        <w:t xml:space="preserve">摘要（ZH）: </w:t>
      </w:r>
      <w:r>
        <w:t>19 F 核磁共振(NMR)19 F 核磁共振(NMR)的独特多渠道能力是化学、生物学和医学成像领域一个关键和迅速发展的前沿,然而,其固有的低敏感度限制了其广泛应用。虽然超极化极大地增强了19 F 信号,同时超极极化了多个19 F 含F 的子质,这对释放19 F NMR的多渠道潜力至关重要,但仍然是一项关键挑战。</w:t>
      </w:r>
    </w:p>
    <w:p>
      <w:pPr>
        <w:spacing w:before="0" w:after="200" w:lineRule="auto" w:line="276"/>
      </w:pPr>
      <w:r>
        <w:rPr>
          <w:b/>
        </w:rPr>
        <w:t xml:space="preserve">Abstract (EN): </w:t>
      </w:r>
      <w:r>
        <w:t>The unique multichannel capability of</w:t>
      </w:r>
      <w:r>
        <w:rPr>
          <w:vertAlign w:val="subscript"/>
        </w:rPr>
        <w:t>19</w:t>
      </w:r>
      <w:r>
        <w:t>F nuclear magnetic resonance (NMR) stands as a pivotal and rapidly advancing frontier in chemistry, biology, and medical imaging. However, its inherent low sensitivity limits its widespread applications. While hyperpolarization significantly enhances</w:t>
      </w:r>
      <w:r>
        <w:rPr>
          <w:vertAlign w:val="subscript"/>
        </w:rPr>
        <w:t>19</w:t>
      </w:r>
      <w:r>
        <w:t>F signals, simultaneously hyperpolarizing multiple</w:t>
      </w:r>
      <w:r>
        <w:rPr>
          <w:vertAlign w:val="subscript"/>
        </w:rPr>
        <w:t>19</w:t>
      </w:r>
      <w:r>
        <w:t>F‐containing substrates, which is essential for unlocking the multichannel potential of</w:t>
      </w:r>
      <w:r>
        <w:rPr>
          <w:vertAlign w:val="subscript"/>
        </w:rPr>
        <w:t>19</w:t>
      </w:r>
      <w:r>
        <w:t>F NMR, remains a key challenge. Here, we introduce an approach that achieves effective and simultaneous hyperpolarization of different</w:t>
      </w:r>
      <w:r>
        <w:rPr>
          <w:vertAlign w:val="subscript"/>
        </w:rPr>
        <w:t>19</w:t>
      </w:r>
      <w:r>
        <w:t>F nuclei from several molecular probes through parahydrogen‐based signal amplification by reversible exchange (SABRE). Our strategy utilizes multiple</w:t>
      </w:r>
      <w:r>
        <w:rPr>
          <w:vertAlign w:val="subscript"/>
        </w:rPr>
        <w:t>19</w:t>
      </w:r>
      <w:r>
        <w:t>F‐labeled substrates for SABRE, acting as co‐ligands for simultaneous enhancement of their</w:t>
      </w:r>
      <w:r>
        <w:rPr>
          <w:vertAlign w:val="subscript"/>
        </w:rPr>
        <w:t>19</w:t>
      </w:r>
      <w:r>
        <w:t>F NMR signal intensities. The synergistic effect among different</w:t>
      </w:r>
      <w:r>
        <w:rPr>
          <w:vertAlign w:val="subscript"/>
        </w:rPr>
        <w:t>19</w:t>
      </w:r>
      <w:r>
        <w:t>F‐labeled co‐substrates is evidenced by the much higher signal enhancement, compared to the systems containing only one</w:t>
      </w:r>
      <w:r>
        <w:rPr>
          <w:vertAlign w:val="subscript"/>
        </w:rPr>
        <w:t>19</w:t>
      </w:r>
      <w:r>
        <w:t>F‐labeled substrate. The highest enhancement of the</w:t>
      </w:r>
      <w:r>
        <w:rPr>
          <w:vertAlign w:val="subscript"/>
        </w:rPr>
        <w:t>19</w:t>
      </w:r>
      <w:r>
        <w:t>F NMR signal reached over 9600‐fold on a benchtop NMR (1.4 T), corresponding to a 4.3% polarization level. On this basis, we successfully implemented multichannel quantitative detection of enzymatic biomarkers at µM levels. By utilizing three</w:t>
      </w:r>
      <w:r>
        <w:rPr>
          <w:vertAlign w:val="subscript"/>
        </w:rPr>
        <w:t>19</w:t>
      </w:r>
      <w:r>
        <w:t>F‐labeled pyridine‐based substrates, each bearing a specific enzyme‐responsive moiety, we demonstrate the capability of high‐speed, cost‐efficient, and highly sensitive SABRE‐polarized</w:t>
      </w:r>
      <w:r>
        <w:rPr>
          <w:vertAlign w:val="subscript"/>
        </w:rPr>
        <w:t>19</w:t>
      </w:r>
      <w:r>
        <w:t>F NMR for applications in biomarker detection. Our work paves the way for future applications of highly sensitive multichannel</w:t>
      </w:r>
      <w:r>
        <w:rPr>
          <w:vertAlign w:val="subscript"/>
        </w:rPr>
        <w:t>19</w:t>
      </w:r>
      <w:r>
        <w:t>F NMR analysis.</w:t>
      </w:r>
    </w:p>
    <w:p>
      <w:pPr>
        <w:spacing w:before="120" w:after="120"/>
      </w:pPr>
      <w:r>
        <w:rPr>
          <w:sz w:val="18"/>
        </w:rPr>
        <w:t>——————————————————————————————————————————————————————————————————————</w:t>
      </w:r>
    </w:p>
    <w:p>
      <w:pPr>
        <w:spacing w:before="160" w:after="40" w:line="240" w:lineRule="auto"/>
      </w:pPr>
      <w:r>
        <w:rPr>
          <w:b/>
        </w:rPr>
        <w:t xml:space="preserve">[307] </w:t>
      </w:r>
      <w:hyperlink r:id="rId494">
        <w:r>
          <w:rPr>
            <w:color w:val="1155CC"/>
            <w:u w:val="single"/>
          </w:rPr>
          <w:t>以奇美拉斯为攻击目标的蛋白质独立有目标的退化</w:t>
        </w:r>
      </w:hyperlink>
    </w:p>
    <w:p>
      <w:pPr>
        <w:spacing w:before="0" w:after="80"/>
      </w:pPr>
      <w:r>
        <w:rPr>
          <w:i/>
          <w:sz w:val="20"/>
        </w:rPr>
        <w:t>EN: Proteasome Cap Targeting Chimeras for Ubiquitination‐Independent Targeted Protein Degradation</w:t>
      </w:r>
    </w:p>
    <w:p>
      <w:pPr>
        <w:spacing w:before="0" w:after="120"/>
      </w:pPr>
      <w:r>
        <w:rPr>
          <w:b/>
        </w:rPr>
        <w:t xml:space="preserve">Source: </w:t>
      </w:r>
      <w:r>
        <w:t>Wiley: Angewandte Chemie International Edition: Table of Contents</w:t>
      </w:r>
      <w:r>
        <w:t xml:space="preserve">    </w:t>
      </w:r>
      <w:r>
        <w:rPr>
          <w:b/>
        </w:rPr>
        <w:t xml:space="preserve">Pub date: </w:t>
      </w:r>
      <w:r>
        <w:t>2026-01-20 13:12:18+00:00</w:t>
      </w:r>
      <w:r>
        <w:t xml:space="preserve">    </w:t>
      </w:r>
      <w:r>
        <w:rPr>
          <w:b/>
        </w:rPr>
        <w:t xml:space="preserve">DOI: </w:t>
      </w:r>
      <w:hyperlink r:id="rId495">
        <w:r>
          <w:rPr>
            <w:color w:val="1155CC"/>
            <w:u w:val="single"/>
          </w:rPr>
          <w:t>10.1002/anie.202520039</w:t>
        </w:r>
      </w:hyperlink>
    </w:p>
    <w:p>
      <w:pPr>
        <w:spacing w:before="0" w:after="120"/>
      </w:pPr>
      <w:r>
        <w:rPr>
          <w:b/>
        </w:rPr>
        <w:t xml:space="preserve">Notes: </w:t>
      </w:r>
      <w:r>
        <w:t>abstract_source=crossref</w:t>
      </w:r>
    </w:p>
    <w:p>
      <w:pPr>
        <w:spacing w:before="0" w:after="80" w:lineRule="auto" w:line="276"/>
      </w:pPr>
      <w:r>
        <w:rPr>
          <w:b/>
        </w:rPr>
        <w:t xml:space="preserve">摘要（ZH）: </w:t>
      </w:r>
      <w:r>
        <w:t>致病相关蛋白(POI)的抽象选择性降解是一种强有力的治疗策略。美国食品和药物管理局批准并调查胶和降解药物,通过将POI招聘到一种E3无处不在的静态静态静态酶中进行介介介,并引发蛋白质降解。然而,使用E3象素作为中间媒介,要求POI多元静态,使得这一行动机制变得复杂,难以合理化和优化。这些问题导致人们有兴趣评估直接将非普遍存在的聚氨酯招聘到蛋白质中能否取得同样的药理结果。在这里,我们研究了直接的POI蛋白(POI)招聘的潜力。我们使用标签战略,首先证明这种招聘是否有利于治疗。</w:t>
      </w:r>
    </w:p>
    <w:p>
      <w:pPr>
        <w:spacing w:before="0" w:after="200" w:lineRule="auto" w:line="276"/>
      </w:pPr>
      <w:r>
        <w:rPr>
          <w:b/>
        </w:rPr>
        <w:t xml:space="preserve">Abstract (EN): </w:t>
      </w:r>
      <w:r>
        <w:t>Selective degradation of a disease‐associated protein of interest (POI) is a powerful therapeutic strategy. FDA‐approved and investigational glue and degrader drugs function by recruiting a POI to an E3 ubiquitin ligase that mediates POI polyubiquitination and triggers proteasomal degradation. However, using E3 ligases as an intermediary and requiring POI polyubiquitination makes this mechanism of action complex and difficult to rationalize and optimize. These issues have led to interest in evaluating whether direct recruitment of non‐ubiquitinated POIs to the proteasome might achieve the same pharmacological outcome. Here, we examined the potential of direct‐to‐proteasome non‐ubiquitinated POI recruitment. Using a tag strategy, we first demonstrated that the proteasomal 19S cap region proteins, RPN13 and RPN1, can recruit non‐ubiquitinated POI model proteins, such as BRD4, to the proteasome and induce degradation. Subsequently, we developed small molecule‐based bifunctional recruiter molecules (Proteasome Cap Targeting Chimeras, CAP‐TACs) and showed that they recruit several distinct POIs, including BRD4, PRMT5, and FKBP12, to specific subunits in the 19S cap region and induce their ubiquitination‐independent, proteasome‐dependent degradation. This study provides further evidence that bifunctional small molecules can re‐localize POIs to the proteasome and induce their degradation in the absence of ubiquitination, which broadens the capabilities of targeted protein degradation.</w:t>
      </w:r>
    </w:p>
    <w:p>
      <w:pPr>
        <w:spacing w:before="120" w:after="120"/>
      </w:pPr>
      <w:r>
        <w:rPr>
          <w:sz w:val="18"/>
        </w:rPr>
        <w:t>——————————————————————————————————————————————————————————————————————</w:t>
      </w:r>
    </w:p>
    <w:p>
      <w:pPr>
        <w:spacing w:before="160" w:after="40" w:line="240" w:lineRule="auto"/>
      </w:pPr>
      <w:r>
        <w:rPr>
          <w:b/>
        </w:rPr>
        <w:t xml:space="preserve">[308] </w:t>
      </w:r>
      <w:hyperlink r:id="rId496">
        <w:r>
          <w:rPr>
            <w:color w:val="1155CC"/>
            <w:u w:val="single"/>
          </w:rPr>
          <w:t>[ASAP] 近量制制具有镇静控制作用的水中含地(水)地(水)地(水)地(水)地(水)地(气压控制)地(水)地(水)地(水)地(水)地(水)地(水)地(水)地(水)地(水)地(水)地(水)地(水)地(水)地(水)地(水)地(水)地(水)地(水)地(水)地(水)地(水</w:t>
        </w:r>
      </w:hyperlink>
    </w:p>
    <w:p>
      <w:pPr>
        <w:spacing w:before="0" w:after="80"/>
      </w:pPr>
      <w:r>
        <w:rPr>
          <w:i/>
          <w:sz w:val="20"/>
        </w:rPr>
        <w:t>EN: [ASAP] Near-Quantitative Formation of Imines in Water with Allosteric Control</w:t>
      </w:r>
    </w:p>
    <w:p>
      <w:pPr>
        <w:spacing w:before="0" w:after="120"/>
      </w:pPr>
      <w:r>
        <w:rPr>
          <w:b/>
        </w:rPr>
        <w:t xml:space="preserve">Source: </w:t>
      </w:r>
      <w:r>
        <w:t>Journal of the American Chemical Society: Latest Articles (ACS Publications)</w:t>
      </w:r>
      <w:r>
        <w:t xml:space="preserve">    </w:t>
      </w:r>
      <w:r>
        <w:rPr>
          <w:b/>
        </w:rPr>
        <w:t xml:space="preserve">Pub date: </w:t>
      </w:r>
      <w:r>
        <w:t>2026-01-20 13:20:07+00:00</w:t>
      </w:r>
      <w:r>
        <w:t xml:space="preserve">    </w:t>
      </w:r>
      <w:r>
        <w:rPr>
          <w:b/>
        </w:rPr>
        <w:t xml:space="preserve">DOI: </w:t>
      </w:r>
      <w:hyperlink r:id="rId497">
        <w:r>
          <w:rPr>
            <w:color w:val="1155CC"/>
            <w:u w:val="single"/>
          </w:rPr>
          <w:t>10.1021/jacs.5c20524</w:t>
        </w:r>
      </w:hyperlink>
    </w:p>
    <w:p>
      <w:pPr>
        <w:spacing w:before="0" w:after="120"/>
      </w:pPr>
      <w:r>
        <w:rPr>
          <w:b/>
        </w:rPr>
        <w:t xml:space="preserve">Notes: </w:t>
      </w:r>
      <w:r>
        <w:t>abstract_source=pubmed</w:t>
      </w:r>
    </w:p>
    <w:p>
      <w:pPr>
        <w:spacing w:before="0" w:after="80" w:lineRule="auto" w:line="276"/>
      </w:pPr>
      <w:r>
        <w:rPr>
          <w:b/>
        </w:rPr>
        <w:t xml:space="preserve">摘要（ZH）: </w:t>
      </w:r>
      <w:r>
        <w:t>在生理相关条件下,我们利用甲状腺和甲状腺的体积比,证明在水中近量地形成了一种离子结合。为了克服水中非因子水解稳定性低的问题,在矿和甲状腺单体之间引入了一种互补的金属协调纽带,以提高矿的热动力稳定性。免疫结合形成是基底选择性的,可以容忍各种功能组的存在,并产生在广泛的pH范围内稳定的非因子。我们还表明,在建筑构件中存在第二个金属离子综合体,提供了一种管理控制器,用ATP作为外向导效应,对“聚苯乙烯形成开关 ” 。</w:t>
      </w:r>
    </w:p>
    <w:p>
      <w:pPr>
        <w:spacing w:before="0" w:after="200" w:lineRule="auto" w:line="276"/>
      </w:pPr>
      <w:r>
        <w:rPr>
          <w:b/>
        </w:rPr>
        <w:t xml:space="preserve">Abstract (EN): </w:t>
      </w:r>
      <w:r>
        <w:t>We demonstrate the near-quantitative formation of an imine bond in water under physiologically relevant conditions using a stoichiometric ratio of aldehyde and amine. To overcome the low hydrolytic stability of imines in water, a complementary metal coordination bond between the amine and aldehyde monomers is introduced to enhance the thermodynamic stability of the imine. Imine bond formation is substrate-selective, tolerates the presence of a variety of functional groups, and produces imines that are stable in a broad pH range. We also show that the presence of a second metal-ion complex in the building blocks provides a regulatory handle to 'switch on' imine-bond formation using ATP as an external allosteric effector.</w:t>
      </w:r>
    </w:p>
    <w:p>
      <w:pPr>
        <w:spacing w:before="120" w:after="120"/>
      </w:pPr>
      <w:r>
        <w:rPr>
          <w:sz w:val="18"/>
        </w:rPr>
        <w:t>——————————————————————————————————————————————————————————————————————</w:t>
      </w:r>
    </w:p>
    <w:p>
      <w:pPr>
        <w:spacing w:before="160" w:after="40" w:line="240" w:lineRule="auto"/>
      </w:pPr>
      <w:r>
        <w:rPr>
          <w:b/>
        </w:rPr>
        <w:t xml:space="preserve">[309] </w:t>
      </w:r>
      <w:hyperlink r:id="rId498">
        <w:r>
          <w:rPr>
            <w:color w:val="1155CC"/>
            <w:u w:val="single"/>
          </w:rPr>
          <w:t>[ASAP]具有双模式功能的机动集成三维三维共振有机框架</w:t>
        </w:r>
      </w:hyperlink>
    </w:p>
    <w:p>
      <w:pPr>
        <w:spacing w:before="0" w:after="80"/>
      </w:pPr>
      <w:r>
        <w:rPr>
          <w:i/>
          <w:sz w:val="20"/>
        </w:rPr>
        <w:t>EN: [ASAP] A Motor-Integrated Three-Dimensional Covalent Organic Framework with Dual-Mode Functionality</w:t>
      </w:r>
    </w:p>
    <w:p>
      <w:pPr>
        <w:spacing w:before="0" w:after="120"/>
      </w:pPr>
      <w:r>
        <w:rPr>
          <w:b/>
        </w:rPr>
        <w:t xml:space="preserve">Source: </w:t>
      </w:r>
      <w:r>
        <w:t>Journal of the American Chemical Society: Latest Articles (ACS Publications)</w:t>
      </w:r>
      <w:r>
        <w:t xml:space="preserve">    </w:t>
      </w:r>
      <w:r>
        <w:rPr>
          <w:b/>
        </w:rPr>
        <w:t xml:space="preserve">Pub date: </w:t>
      </w:r>
      <w:r>
        <w:t>2026-01-20 13:39:04+00:00</w:t>
      </w:r>
      <w:r>
        <w:t xml:space="preserve">    </w:t>
      </w:r>
      <w:r>
        <w:rPr>
          <w:b/>
        </w:rPr>
        <w:t xml:space="preserve">DOI: </w:t>
      </w:r>
      <w:hyperlink r:id="rId499">
        <w:r>
          <w:rPr>
            <w:color w:val="1155CC"/>
            <w:u w:val="single"/>
          </w:rPr>
          <w:t>10.1021/jacs.5c19507</w:t>
        </w:r>
      </w:hyperlink>
    </w:p>
    <w:p>
      <w:pPr>
        <w:spacing w:before="0" w:after="120"/>
      </w:pPr>
      <w:r>
        <w:rPr>
          <w:b/>
        </w:rPr>
        <w:t xml:space="preserve">Notes: </w:t>
      </w:r>
      <w:r>
        <w:t>abstract_source=pubmed</w:t>
      </w:r>
    </w:p>
    <w:p>
      <w:pPr>
        <w:spacing w:before="0" w:after="80" w:lineRule="auto" w:line="276"/>
      </w:pPr>
      <w:r>
        <w:rPr>
          <w:b/>
        </w:rPr>
        <w:t xml:space="preserve">摘要（ZH）: </w:t>
      </w:r>
      <w:r>
        <w:t>通过在精密有组织的脚架内运行的分子机器,生物系统能够实现宏观的功能。复制这一协调的动作合成要求将高性能分子发动机纳入结构有序但动态活跃的框架。我们提出了一个将过度拥挤的烷态旋转发动机纳入3D共价有机框架的轮廓设计战略,将JUC-666作为一个原型。这一晶体材料在溶液和固体状态上都保持单向发动机旋转,这得到光谱和动能分析的证实。嵌入的发动机能够产生双重模式功能:在光达循环下可逆的CO2吸收调制(273K的容量变差大于83%),以及精确控制的药物Releas。</w:t>
      </w:r>
    </w:p>
    <w:p>
      <w:pPr>
        <w:spacing w:before="0" w:after="200" w:lineRule="auto" w:line="276"/>
      </w:pPr>
      <w:r>
        <w:rPr>
          <w:b/>
        </w:rPr>
        <w:t xml:space="preserve">Abstract (EN): </w:t>
      </w:r>
      <w:r>
        <w:t>Biological systems achieve macroscopic functionality through molecular machines operating within precisely organized scaffolds. Replicating this coordinated motion synthetically requires integrating high-performance molecular motors into structurally ordered, yet dynamically active, frameworks. We present a reticular design strategy for incorporating overcrowded alkene rotary motors into 3D covalent organic frameworks (COFs), creating JUC-666 as a prototype. This crystalline material maintains a unidirectional motor rotation in both solution and solid states, as confirmed by spectroscopic and kinetic analyses. The embedded motors enable dual-mode functionality: reversible CO2 uptake modulation (&gt;83% capacity variation at 273 K) under light-dark cycling, and precisely controlled drug release with light-dosage-proportional kinetics, showing a ∼50-fold increase in cumulative release. These results demonstrate how COFs can bridge molecular-scale motion to macroscopic responses, establishing a platform for designing adaptive functional materials.</w:t>
      </w:r>
    </w:p>
    <w:p>
      <w:pPr>
        <w:spacing w:before="120" w:after="120"/>
      </w:pPr>
      <w:r>
        <w:rPr>
          <w:sz w:val="18"/>
        </w:rPr>
        <w:t>——————————————————————————————————————————————————————————————————————</w:t>
      </w:r>
    </w:p>
    <w:p>
      <w:pPr>
        <w:spacing w:before="160" w:after="40" w:line="240" w:lineRule="auto"/>
      </w:pPr>
      <w:r>
        <w:rPr>
          <w:b/>
        </w:rPr>
        <w:t xml:space="preserve">[310] </w:t>
      </w:r>
      <w:hyperlink r:id="rId500">
        <w:r>
          <w:rPr>
            <w:color w:val="1155CC"/>
            <w:u w:val="single"/>
          </w:rPr>
          <w:t>[ASAP] 增强细胞和组织中快速超双光荧光成像的基于脱氧脱氧脱氧脱氧脱氧脱氧脱氧代谢信号交换</w:t>
        </w:r>
      </w:hyperlink>
    </w:p>
    <w:p>
      <w:pPr>
        <w:spacing w:before="0" w:after="80"/>
      </w:pPr>
      <w:r>
        <w:rPr>
          <w:i/>
          <w:sz w:val="20"/>
        </w:rPr>
        <w:t>EN: [ASAP] Scaling Up Sequential Stepwise DNA Displacement-Based Signal Exchange for Rapid Ultraplex Fluorescent Imaging in Cells and Tissues</w:t>
      </w:r>
    </w:p>
    <w:p>
      <w:pPr>
        <w:spacing w:before="0" w:after="120"/>
      </w:pPr>
      <w:r>
        <w:rPr>
          <w:b/>
        </w:rPr>
        <w:t xml:space="preserve">Source: </w:t>
      </w:r>
      <w:r>
        <w:t>Journal of the American Chemical Society: Latest Articles (ACS Publications)</w:t>
      </w:r>
      <w:r>
        <w:t xml:space="preserve">    </w:t>
      </w:r>
      <w:r>
        <w:rPr>
          <w:b/>
        </w:rPr>
        <w:t xml:space="preserve">Pub date: </w:t>
      </w:r>
      <w:r>
        <w:t>2026-01-20 14:05:08+00:00</w:t>
      </w:r>
      <w:r>
        <w:t xml:space="preserve">    </w:t>
      </w:r>
      <w:r>
        <w:rPr>
          <w:b/>
        </w:rPr>
        <w:t xml:space="preserve">DOI: </w:t>
      </w:r>
      <w:hyperlink r:id="rId501">
        <w:r>
          <w:rPr>
            <w:color w:val="1155CC"/>
            <w:u w:val="single"/>
          </w:rPr>
          <w:t>10.1021/jacs.5c18687</w:t>
        </w:r>
      </w:hyperlink>
    </w:p>
    <w:p>
      <w:pPr>
        <w:spacing w:before="0" w:after="120"/>
      </w:pPr>
      <w:r>
        <w:rPr>
          <w:b/>
        </w:rPr>
        <w:t xml:space="preserve">Notes: </w:t>
      </w:r>
      <w:r>
        <w:t>abstract_source=pubmed</w:t>
      </w:r>
    </w:p>
    <w:p>
      <w:pPr>
        <w:spacing w:before="0" w:after="80" w:lineRule="auto" w:line="276"/>
      </w:pPr>
      <w:r>
        <w:rPr>
          <w:b/>
        </w:rPr>
        <w:t xml:space="preserve">摘要（ZH）: </w:t>
      </w:r>
      <w:r>
        <w:t>多氧化荧光成像方法对于通过在具有高分辨率空间信息的细胞和组织中的生物分子在细胞和组织中进行可视化生物分子,对细胞功能的研究至关重要,但通常由于使用过的含氟磷之间的光谱重叠而受3-5的多重性限制。我们采用了一种方法,使用扩大的顺序DNA脱位反应,以便能够进行高超多氧化荧光成像。目标的荧光信号在单步的不同DNA探测器中被编码。每个DNA探测器的荧光信号都可以为成像而激活,并被除去,以避免下一轮的信号与目标重叠,通过两个相继独立的DNA脱位反应避免信号的重叠。当应用扩大的DNA移位反应时,现场的大规模目标可以被图像化。</w:t>
      </w:r>
    </w:p>
    <w:p>
      <w:pPr>
        <w:spacing w:before="0" w:after="200" w:lineRule="auto" w:line="276"/>
      </w:pPr>
      <w:r>
        <w:rPr>
          <w:b/>
        </w:rPr>
        <w:t xml:space="preserve">Abstract (EN): </w:t>
      </w:r>
      <w:r>
        <w:t>Multiplexed fluorescent imaging methods are essential for studying cellular function by visualization of biomolecules in cells and tissues with high-resolution spatial information but usually suffer from limitations of 3-5 multiplexity because of spectral overlap between the used fluorophores. We introduce a method using scaled-up sequential DNA displacement reactions to enable highly multiplexed fluorescent imaging. The fluorescent signals of targets are encoded in different DNA probes in a single step. Each DNA probe's fluorescent signal can be activated for imaging and removed to avoid signal overlap with targets in the next round by two sequential, independent DNA displacement reactions. Massive targets in situ can be imaged when a scaled-up DNA displacement reaction is applied sequentially. We experimentally screened a set of rapid and orthogonal DNA displacement sequences from 144 different in situ reactions and developed 25 DNA probes with 50 selected displacement sequences for multiplexed imaging. We demonstrated 25-plex RNA imaging in a single fluorophore channel in fixed cells within 20 min, using the 50 sequential displacement reactions that consisted of 100 DNA strands simultaneously. To further demonstrate the robustness and practical usage, we showed 24-plex RNA imaging with the method in retinal tissues and resolved different cell types. Because of the vast sequence design space of DNA probes, theoretically unlimited multiplexity can be achieved. This method significantly simplifies the high-plex fluorescent imaging process with preprogrammed complex dynamic DNA nanotechnology and has broad biotechnical applications for future medicine and diagnostics.</w:t>
      </w:r>
    </w:p>
    <w:p>
      <w:pPr>
        <w:spacing w:before="120" w:after="120"/>
      </w:pPr>
      <w:r>
        <w:rPr>
          <w:sz w:val="18"/>
        </w:rPr>
        <w:t>——————————————————————————————————————————————————————————————————————</w:t>
      </w:r>
    </w:p>
    <w:p>
      <w:pPr>
        <w:spacing w:before="160" w:after="40" w:line="240" w:lineRule="auto"/>
      </w:pPr>
      <w:r>
        <w:rPr>
          <w:b/>
        </w:rPr>
        <w:t xml:space="preserve">[311] </w:t>
      </w:r>
      <w:hyperlink r:id="rId502">
        <w:r>
          <w:rPr>
            <w:color w:val="1155CC"/>
            <w:u w:val="single"/>
          </w:rPr>
          <w:t>[ASAP]作为Rieske Oxygenass化学模型研究的氧化N-脱甲基反应中的无核无热铁(III)-Peroxo复合体的无核非热铁(III)-Peroxo</w:t>
        </w:r>
      </w:hyperlink>
    </w:p>
    <w:p>
      <w:pPr>
        <w:spacing w:before="0" w:after="80"/>
      </w:pPr>
      <w:r>
        <w:rPr>
          <w:i/>
          <w:sz w:val="20"/>
        </w:rPr>
        <w:t>EN: [ASAP] Mononuclear Non-Heme Iron(III)-Peroxo Complexes in Oxidative N-Demethylation Reaction as a Chemical Model Study of Rieske Oxygenases</w:t>
      </w:r>
    </w:p>
    <w:p>
      <w:pPr>
        <w:spacing w:before="0" w:after="120"/>
      </w:pPr>
      <w:r>
        <w:rPr>
          <w:b/>
        </w:rPr>
        <w:t xml:space="preserve">Source: </w:t>
      </w:r>
      <w:r>
        <w:t>Journal of the American Chemical Society: Latest Articles (ACS Publications)</w:t>
      </w:r>
      <w:r>
        <w:t xml:space="preserve">    </w:t>
      </w:r>
      <w:r>
        <w:rPr>
          <w:b/>
        </w:rPr>
        <w:t xml:space="preserve">Pub date: </w:t>
      </w:r>
      <w:r>
        <w:t>2026-01-20 14:22:25+00:00</w:t>
      </w:r>
      <w:r>
        <w:t xml:space="preserve">    </w:t>
      </w:r>
      <w:r>
        <w:rPr>
          <w:b/>
        </w:rPr>
        <w:t xml:space="preserve">DOI: </w:t>
      </w:r>
      <w:hyperlink r:id="rId503">
        <w:r>
          <w:rPr>
            <w:color w:val="1155CC"/>
            <w:u w:val="single"/>
          </w:rPr>
          <w:t>10.1021/jacs.5c18643</w:t>
        </w:r>
      </w:hyperlink>
    </w:p>
    <w:p>
      <w:pPr>
        <w:spacing w:before="0" w:after="120"/>
      </w:pPr>
      <w:r>
        <w:rPr>
          <w:b/>
        </w:rPr>
        <w:t xml:space="preserve">Notes: </w:t>
      </w:r>
      <w:r>
        <w:t>abstract_source=pubmed</w:t>
      </w:r>
    </w:p>
    <w:p>
      <w:pPr>
        <w:spacing w:before="0" w:after="80" w:lineRule="auto" w:line="276"/>
      </w:pPr>
      <w:r>
        <w:rPr>
          <w:b/>
        </w:rPr>
        <w:t xml:space="preserve">摘要（ZH）: </w:t>
      </w:r>
      <w:r>
        <w:t>含有N-四甲基环环(n-TMC)的离子、[FeIII(O2)(n-TMC)]+(n=12、13和14)的N-四甲基环环(n-TMC)离子(n-TMC)离子(n-TMC)离子体)的单核无化学铁(III)-过氧化铁(III)-过氧化铁(C-H)-过氧化复合物(N-四氧化铁)(n=12、13和14)最近显示,在各种氧化反应中,诸如cis-二氢氧化和C-H功能化反应等,出现了非常令人感兴趣的反应,这些反应以前只与热量高的铁-氧化核心(C-H-功能化反应)有关,以前只与热量的铁-氧化核心(C-我们提供了从DMAs向[FeIII(O2)(n-TMC)+)电子转移电离子途径有关。</w:t>
      </w:r>
    </w:p>
    <w:p>
      <w:pPr>
        <w:spacing w:before="0" w:after="200" w:lineRule="auto" w:line="276"/>
      </w:pPr>
      <w:r>
        <w:rPr>
          <w:b/>
        </w:rPr>
        <w:t xml:space="preserve">Abstract (EN): </w:t>
      </w:r>
      <w:r>
        <w:t>Mononuclear nonheme iron(III)-peroxo complexes bearing N-tetramethylated cyclam (n-TMC) ligands, [FeIII(O2)(n-TMC)]+ (n = 12, 13, and 14), have recently shown highly intriguing reactivities in various oxidation reactions, such as the cis-dihydroxylation and C-H functionalization reactions, which were previously associated only with high-valent iron-oxo intermediates in heme and nonheme iron enzymes. Herein, we extend our study to report [FeIII(O2)(n-TMC)]+ mediated N-demethylation of N,N-dimethylanilines (DMAs), another reaction that was previously associated only with high-valent iron-oxo cores. Most importantly, we provide definitive evidence of the occurrence of electron transfer from DMAs to [FeIII(O2)(n-TMC)]+, thereby establishing an electron-transfer (ET) pathway for the N-demethylation reaction. Investigation of the ET reactivity of [FeIII(O2)(n-TMC)]+ in light of the Marcus theory of ET, and a comparison of the N-demethylation and the ET rate constants corroborate a mechanism, whereby N-demethylation of DMAs by [FeIII(O2)(n-TMC)]+ proceeds via the peroxide O-O bond cleavage of [FeIII(O2)(n-TMC)]+ to form a transient [FeIV(O2-)(O• -)(n-TMC)]+ species, which undergoes a proton-coupled electron-transfer (PCET) or an uncoupled electron transfer-proton transfer (ET/PT) in the presence of DMAs. Saturation kinetics support the rate-determining formation of [FeIV(O2-)(O• -)(n-TMC)]+ in a pre-equilibrium step with the same values of the O-O bond cleavage rate constants irrespective of the substrates, such as DMAs and one-electron oxidants. The present study corroborates that mononuclear nonheme iron(III)-peroxo cores are not mere pass-through points en route to high-valent metal-oxo intermediates, but they can play an important role in the diverse oxidation reactions of Rieske oxygenases, such as in the N-demethylation reaction.</w:t>
      </w:r>
    </w:p>
    <w:p>
      <w:pPr>
        <w:spacing w:before="120" w:after="120"/>
      </w:pPr>
      <w:r>
        <w:rPr>
          <w:sz w:val="18"/>
        </w:rPr>
        <w:t>——————————————————————————————————————————————————————————————————————</w:t>
      </w:r>
    </w:p>
    <w:p>
      <w:pPr>
        <w:spacing w:before="160" w:after="40" w:line="240" w:lineRule="auto"/>
      </w:pPr>
      <w:r>
        <w:rPr>
          <w:b/>
        </w:rPr>
        <w:t xml:space="preserve">[312] </w:t>
      </w:r>
      <w:hyperlink r:id="rId504">
        <w:r>
          <w:rPr>
            <w:color w:val="1155CC"/>
            <w:u w:val="single"/>
          </w:rPr>
          <w:t>[ASAP] SU-102是用于快速李+、纳+和Al3+运输的Versatile Aionic 准固态准固解电解解</w:t>
        </w:r>
      </w:hyperlink>
    </w:p>
    <w:p>
      <w:pPr>
        <w:spacing w:before="0" w:after="80"/>
      </w:pPr>
      <w:r>
        <w:rPr>
          <w:i/>
          <w:sz w:val="20"/>
        </w:rPr>
        <w:t>EN: [ASAP] SU-102 Is a Versatile Anionic Quasi-Solid Electrolyte for Fast Li+, Na+, and Al3+ Transport</w:t>
      </w:r>
    </w:p>
    <w:p>
      <w:pPr>
        <w:spacing w:before="0" w:after="120"/>
      </w:pPr>
      <w:r>
        <w:rPr>
          <w:b/>
        </w:rPr>
        <w:t xml:space="preserve">Source: </w:t>
      </w:r>
      <w:r>
        <w:t>ACS Energy Letters: Latest Articles (ACS Publications)</w:t>
      </w:r>
      <w:r>
        <w:t xml:space="preserve">    </w:t>
      </w:r>
      <w:r>
        <w:rPr>
          <w:b/>
        </w:rPr>
        <w:t xml:space="preserve">Pub date: </w:t>
      </w:r>
      <w:r>
        <w:t>2026-01-20 14:49:50+00:00</w:t>
      </w:r>
      <w:r>
        <w:t xml:space="preserve">    </w:t>
      </w:r>
      <w:r>
        <w:rPr>
          <w:b/>
        </w:rPr>
        <w:t xml:space="preserve">DOI: </w:t>
      </w:r>
      <w:hyperlink r:id="rId505">
        <w:r>
          <w:rPr>
            <w:color w:val="1155CC"/>
            <w:u w:val="single"/>
          </w:rPr>
          <w:t>10.1021/acsenergylett.5c03891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[313] </w:t>
      </w:r>
      <w:hyperlink r:id="rId506">
        <w:r>
          <w:rPr>
            <w:color w:val="1155CC"/>
            <w:u w:val="single"/>
          </w:rPr>
          <w:t>[ASAP] 电化学热电转换中的溶剂混合效应</w:t>
        </w:r>
      </w:hyperlink>
    </w:p>
    <w:p>
      <w:pPr>
        <w:spacing w:before="0" w:after="80"/>
      </w:pPr>
      <w:r>
        <w:rPr>
          <w:i/>
          <w:sz w:val="20"/>
        </w:rPr>
        <w:t>EN: [ASAP] Enthalpy–Entropy Compensation Governs the Solvent-Mixing Effect in Electrochemical Thermoelectric Conversion</w:t>
      </w:r>
    </w:p>
    <w:p>
      <w:pPr>
        <w:spacing w:before="0" w:after="120"/>
      </w:pPr>
      <w:r>
        <w:rPr>
          <w:b/>
        </w:rPr>
        <w:t xml:space="preserve">Source: </w:t>
      </w:r>
      <w:r>
        <w:t>Journal of the American Chemical Society: Latest Articles (ACS Publications)</w:t>
      </w:r>
      <w:r>
        <w:t xml:space="preserve">    </w:t>
      </w:r>
      <w:r>
        <w:rPr>
          <w:b/>
        </w:rPr>
        <w:t xml:space="preserve">Pub date: </w:t>
      </w:r>
      <w:r>
        <w:t>2026-01-20 15:00:06+00:00</w:t>
      </w:r>
      <w:r>
        <w:t xml:space="preserve">    </w:t>
      </w:r>
      <w:r>
        <w:rPr>
          <w:b/>
        </w:rPr>
        <w:t xml:space="preserve">DOI: </w:t>
      </w:r>
      <w:hyperlink r:id="rId507">
        <w:r>
          <w:rPr>
            <w:color w:val="1155CC"/>
            <w:u w:val="single"/>
          </w:rPr>
          <w:t>10.1021/jacs.5c14655</w:t>
        </w:r>
      </w:hyperlink>
    </w:p>
    <w:p>
      <w:pPr>
        <w:spacing w:before="0" w:after="120"/>
      </w:pPr>
      <w:r>
        <w:rPr>
          <w:b/>
        </w:rPr>
        <w:t xml:space="preserve">Notes: </w:t>
      </w:r>
      <w:r>
        <w:t>abstract_source=pubmed</w:t>
      </w:r>
    </w:p>
    <w:p>
      <w:pPr>
        <w:spacing w:before="0" w:after="80" w:lineRule="auto" w:line="276"/>
      </w:pPr>
      <w:r>
        <w:rPr>
          <w:b/>
        </w:rPr>
        <w:t xml:space="preserve">摘要（ZH）: </w:t>
      </w:r>
      <w:r>
        <w:t>热电池利用红氧化反应的酶变化将温度梯度转换成电能,热电池的性能受电化学潜能值(α)的温度系数(α)制约,据报告,各种战略会增加α。溶剂混合已被确认为有效方法之一;然而,由于缺乏系统的实验或可靠的理论验证,基本机制仍然难以实现。在这里,我们证明,过量有机物补偿为热电池中模拟溶剂混合效应提供了一个总体框架。变温器电化学学揭示了因甲醇和五氯之间相互作用而产生的氢-毒酶(-SHB)和(HHB)之间的线性关系。</w:t>
      </w:r>
    </w:p>
    <w:p>
      <w:pPr>
        <w:spacing w:before="0" w:after="200" w:lineRule="auto" w:line="276"/>
      </w:pPr>
      <w:r>
        <w:rPr>
          <w:b/>
        </w:rPr>
        <w:t xml:space="preserve">Abstract (EN): </w:t>
      </w:r>
      <w:r>
        <w:t>Thermocells convert temperature gradients into electrical energy using the entropy change of a redox reaction. The performance of thermocells is governed by the temperature coefficient of electrochemical potential (α), and various strategies are reported to increase α. Solvent mixing has been recognized as one of the effective methods; however, the underlying mechanism remains elusive due to the absence of either systematic experimental or reliable theoretical validation. Herein, we demonstrate that enthalpy-entropy compensation provides a general framework for modeling solvent-mixing effects in thermocells. Variable-temperature electrochemistry reveals the linear relationship between hydrogen-bond entropy (ΔSHB) and enthalpy (ΔHHB) arising from the interactions between methanol and quinone dianions in acetonitrile. This enthalpy-entropy compensation principle enables the prediction of quinone derivatives with a large entropy change─and consequently a large α value─through DFT-based screening of ΔHHB. Notably, tetramethyl-para-benzoquinone exhibits an α value of -3.1 mV K-1, which is the highest absolute value in liquid-based all-organic thermocells. These findings show that enthalpy-entropy compensation is a general molecular design strategy for creating high-performance thermocells.</w:t>
      </w:r>
    </w:p>
    <w:p>
      <w:pPr>
        <w:spacing w:before="120" w:after="120"/>
      </w:pPr>
      <w:r>
        <w:rPr>
          <w:sz w:val="18"/>
        </w:rPr>
        <w:t>——————————————————————————————————————————————————————————————————————</w:t>
      </w:r>
    </w:p>
    <w:p>
      <w:pPr>
        <w:spacing w:before="160" w:after="40" w:line="240" w:lineRule="auto"/>
      </w:pPr>
      <w:r>
        <w:rPr>
          <w:b/>
        </w:rPr>
        <w:t xml:space="preserve">[314] </w:t>
      </w:r>
      <w:hyperlink r:id="rId508">
        <w:r>
          <w:rPr>
            <w:color w:val="1155CC"/>
            <w:u w:val="single"/>
          </w:rPr>
          <w:t>[ASAP]用于增强氧气进化催化的共制尼协调聚合体中两活性点的动态和控制</w:t>
        </w:r>
      </w:hyperlink>
    </w:p>
    <w:p>
      <w:pPr>
        <w:spacing w:before="0" w:after="80"/>
      </w:pPr>
      <w:r>
        <w:rPr>
          <w:i/>
          <w:sz w:val="20"/>
        </w:rPr>
        <w:t>EN: [ASAP] Dynamics and Control of Dual Active Sites in Co-Substituted Ni Coordination Polymers for Enhanced Oxygen Evolution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2026-01-20 15:21:01+00:00</w:t>
      </w:r>
      <w:r>
        <w:t xml:space="preserve">    </w:t>
      </w:r>
      <w:r>
        <w:rPr>
          <w:b/>
        </w:rPr>
        <w:t xml:space="preserve">DOI: </w:t>
      </w:r>
      <w:hyperlink r:id="rId509">
        <w:r>
          <w:rPr>
            <w:color w:val="1155CC"/>
            <w:u w:val="single"/>
          </w:rPr>
          <w:t>10.1021/jacs.5c12205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[315] </w:t>
      </w:r>
      <w:hyperlink r:id="rId510">
        <w:r>
          <w:rPr>
            <w:color w:val="1155CC"/>
            <w:u w:val="single"/>
          </w:rPr>
          <w:t>[ASAP] 克-偏重性细菌和克-阴性细菌的测重pH传感器a</w:t>
        </w:r>
      </w:hyperlink>
    </w:p>
    <w:p>
      <w:pPr>
        <w:spacing w:before="0" w:after="80"/>
      </w:pPr>
      <w:r>
        <w:rPr>
          <w:i/>
          <w:sz w:val="20"/>
        </w:rPr>
        <w:t>EN: [ASAP] A Ratiometric pH Sensor for Gram-Positive and Gram-Negative Bacteria</w:t>
      </w:r>
    </w:p>
    <w:p>
      <w:pPr>
        <w:spacing w:before="0" w:after="120"/>
      </w:pPr>
      <w:r>
        <w:rPr>
          <w:b/>
        </w:rPr>
        <w:t xml:space="preserve">Source: </w:t>
      </w:r>
      <w:r>
        <w:t>Journal of the American Chemical Society: Latest Articles (ACS Publications)</w:t>
      </w:r>
      <w:r>
        <w:t xml:space="preserve">    </w:t>
      </w:r>
      <w:r>
        <w:rPr>
          <w:b/>
        </w:rPr>
        <w:t xml:space="preserve">Pub date: </w:t>
      </w:r>
      <w:r>
        <w:t>2026-01-20 15:31:35+00:00</w:t>
      </w:r>
      <w:r>
        <w:t xml:space="preserve">    </w:t>
      </w:r>
      <w:r>
        <w:rPr>
          <w:b/>
        </w:rPr>
        <w:t xml:space="preserve">DOI: </w:t>
      </w:r>
      <w:hyperlink r:id="rId511">
        <w:r>
          <w:rPr>
            <w:color w:val="1155CC"/>
            <w:u w:val="single"/>
          </w:rPr>
          <w:t>10.1021/jacs.5c22321</w:t>
        </w:r>
      </w:hyperlink>
    </w:p>
    <w:p>
      <w:pPr>
        <w:spacing w:before="0" w:after="120"/>
      </w:pPr>
      <w:r>
        <w:rPr>
          <w:b/>
        </w:rPr>
        <w:t xml:space="preserve">Notes: </w:t>
      </w:r>
      <w:r>
        <w:t>abstract_source=pubmed</w:t>
      </w:r>
    </w:p>
    <w:p>
      <w:pPr>
        <w:spacing w:before="0" w:after="80" w:lineRule="auto" w:line="276"/>
      </w:pPr>
      <w:r>
        <w:rPr>
          <w:b/>
        </w:rPr>
        <w:t xml:space="preserve">摘要（ZH）: </w:t>
      </w:r>
      <w:r>
        <w:t>在单克隆细菌群中,特别是在抗生素或人类免疫系统的反应方面,变化环境可能导致植物异质,特别是在单克隆细菌群中,特别是在抗生素或人体免疫系统方面。需要用各种方法分析单细胞的生理学,以了解个别细胞如何与环境相互作用,并适应pH压力。我们报告一个测量比对数的荧光探测仪,以感知细菌中的细胞多式pH。我们的探测器以乳油染料为基础,并被带入克格伦阳性细菌和克格伦阴性细菌中。在与生物有关的广泛条件下,这些探测器是选择性的。对pH变化的反应是可逆转的和快速的,可以实时跟踪pH波动。这些探测器的感测功能进行了调整,以便监测中性和中性波动。</w:t>
      </w:r>
    </w:p>
    <w:p>
      <w:pPr>
        <w:spacing w:before="0" w:after="200" w:lineRule="auto" w:line="276"/>
      </w:pPr>
      <w:r>
        <w:rPr>
          <w:b/>
        </w:rPr>
        <w:t xml:space="preserve">Abstract (EN): </w:t>
      </w:r>
      <w:r>
        <w:t>Fluctuating environments can lead to phenotypic heterogeneity within a monoclonal bacterial population, especially in response to antibiotics or the human immune system. Methods are required to analyze the physiology of single cells to understand how individual cells interact with their environment and adapt to pH stress. We report a ratiometric, fluorescent probe to sense cytoplasmic pH in bacteria. Our probes are based on hemicyanine dyes and are taken up into both Gram-positive and Gram-negative bacteria. The probes are selective under a broad range of biologically relevant conditions. The response to pH changes is reversible and rapid, allowing for the real-time tracking of pH fluctuations. The sensing of these probes was tuned to allow for monitoring fluctuations around neutrality and biologically relevant acidifications. These probes were validated for cytoplasmic pH sensing in Escherichia coli, Staphylococcus epidermidis, and a clinically isolated methicillin-resistant Staphylococcus aureus (MRSA) strain. Furthermore, the probes enabled the identification of pH-sensitive phenotypes and monitored phagocytosis of virulent clinical strains in immune cells. Our probes are a promising tool for detecting phenotypic heterogeneity within bacterial populations and may help unravel the physiological state of resistant or persistent strains of clinical relevance.</w:t>
      </w:r>
    </w:p>
    <w:p>
      <w:pPr>
        <w:spacing w:before="120" w:after="120"/>
      </w:pPr>
      <w:r>
        <w:rPr>
          <w:sz w:val="18"/>
        </w:rPr>
        <w:t>——————————————————————————————————————————————————————————————————————</w:t>
      </w:r>
    </w:p>
    <w:p>
      <w:pPr>
        <w:spacing w:before="160" w:after="40" w:line="240" w:lineRule="auto"/>
      </w:pPr>
      <w:r>
        <w:rPr>
          <w:b/>
        </w:rPr>
        <w:t xml:space="preserve">[316] </w:t>
      </w:r>
      <w:hyperlink r:id="rId512">
        <w:r>
          <w:rPr>
            <w:color w:val="1155CC"/>
            <w:u w:val="single"/>
          </w:rPr>
          <w:t>[ASAP]通过通过通过正心胆碱基保护而实现的直射-电动单电流喷洒薄化液化的化学蛋白综合合成</w:t>
        </w:r>
      </w:hyperlink>
    </w:p>
    <w:p>
      <w:pPr>
        <w:spacing w:before="0" w:after="80"/>
      </w:pPr>
      <w:r>
        <w:rPr>
          <w:i/>
          <w:sz w:val="20"/>
        </w:rPr>
        <w:t>EN: [ASAP] Chemical Protein Synthesis via Direction-Switching One-Pot Peptide Ligation Enabled by Orthogonal Cysteinyl Protection</w:t>
      </w:r>
    </w:p>
    <w:p>
      <w:pPr>
        <w:spacing w:before="0" w:after="120"/>
      </w:pPr>
      <w:r>
        <w:rPr>
          <w:b/>
        </w:rPr>
        <w:t xml:space="preserve">Source: </w:t>
      </w:r>
      <w:r>
        <w:t>Journal of the American Chemical Society: Latest Articles (ACS Publications)</w:t>
      </w:r>
      <w:r>
        <w:t xml:space="preserve">    </w:t>
      </w:r>
      <w:r>
        <w:rPr>
          <w:b/>
        </w:rPr>
        <w:t xml:space="preserve">Pub date: </w:t>
      </w:r>
      <w:r>
        <w:t>2026-01-20 15:46:46+00:00</w:t>
      </w:r>
      <w:r>
        <w:t xml:space="preserve">    </w:t>
      </w:r>
      <w:r>
        <w:rPr>
          <w:b/>
        </w:rPr>
        <w:t xml:space="preserve">DOI: </w:t>
      </w:r>
      <w:hyperlink r:id="rId513">
        <w:r>
          <w:rPr>
            <w:color w:val="1155CC"/>
            <w:u w:val="single"/>
          </w:rPr>
          <w:t>10.1021/jacs.5c20510</w:t>
        </w:r>
      </w:hyperlink>
    </w:p>
    <w:p>
      <w:pPr>
        <w:spacing w:before="0" w:after="120"/>
      </w:pPr>
      <w:r>
        <w:rPr>
          <w:b/>
        </w:rPr>
        <w:t xml:space="preserve">Notes: </w:t>
      </w:r>
      <w:r>
        <w:t>abstract_source=pubmed</w:t>
      </w:r>
    </w:p>
    <w:p>
      <w:pPr>
        <w:spacing w:before="0" w:after="80" w:lineRule="auto" w:line="276"/>
      </w:pPr>
      <w:r>
        <w:rPr>
          <w:b/>
        </w:rPr>
        <w:t xml:space="preserve">摘要（ZH）: </w:t>
      </w:r>
      <w:r>
        <w:t>单粒子多粒子离心法加快了化学蛋白合成的严格过程。在peptide离心法过程中产生的中间体因peptide离心法的顺序不同而不同,影响到离心法混合物的聚合特性。因此,以一粒子法扩大离心法的范围有助于优化化学蛋白合成中每种目标蛋白的离心法。在这里,我们展示了第一个一粒子离心法方向开导的例子,利用与本地化学离心法(NCL)相容的两种正正对单细胞基保护:三氮基(Thz)和一个新的合醇保护组,N(2,2,2-三氟乙基)-丙氧基氨基氨基(TfeAllocam) 。通过优化该组。</w:t>
      </w:r>
    </w:p>
    <w:p>
      <w:pPr>
        <w:spacing w:before="0" w:after="200" w:lineRule="auto" w:line="276"/>
      </w:pPr>
      <w:r>
        <w:rPr>
          <w:b/>
        </w:rPr>
        <w:t xml:space="preserve">Abstract (EN): </w:t>
      </w:r>
      <w:r>
        <w:t>A one-pot multiple peptide ligation strategy accelerates the demanding processes of chemical protein synthesis. Ligation intermediates generated during peptide ligation differ depending on the order of peptide segment assembly, affecting the aggregation properties of the ligation mixture. Therefore, expanding the scope of the ligation order in one-pot methods contributes to optimizing a ligation scheme for each target protein in chemical protein synthesis. Herein, we present the first example of direction-switching one-pot peptide ligation, utilizing the two mutually orthogonal cysteinyl protections compatible with native chemical ligation (NCL): thiazolidine (Thz) and a new allylic thiol protecting group, N-(2,2,2-trifluoroethyl)-allyloxycarbonylaminomethyl (TfeAllocam). By optimizing the structure and metal-mediated deprotection conditions for the allylic protecting group, we established efficient methods for consecutive NCLs and deprotections in two direction-switching schemes with the same peptide segments: one scheme from C-terminus-to-N-terminus (C-to-N) to N-terminus-to-C-terminus (N-to-C) and the other from N-to-C to C-to-N. Using this ligation approach, we accomplished the semisynthesis of dimonoubiquitinated histone H3 bearing trimethyl-lysine by condensing five peptide segments in a one-pot manner.</w:t>
      </w:r>
    </w:p>
    <w:p>
      <w:pPr>
        <w:spacing w:before="120" w:after="120"/>
      </w:pPr>
      <w:r>
        <w:rPr>
          <w:sz w:val="18"/>
        </w:rPr>
        <w:t>——————————————————————————————————————————————————————————————————————</w:t>
      </w:r>
    </w:p>
    <w:p>
      <w:pPr>
        <w:spacing w:before="160" w:after="40" w:line="240" w:lineRule="auto"/>
      </w:pPr>
      <w:r>
        <w:rPr>
          <w:b/>
        </w:rPr>
        <w:t xml:space="preserve">[317] </w:t>
      </w:r>
      <w:hyperlink r:id="rId514">
        <w:r>
          <w:rPr>
            <w:color w:val="1155CC"/>
            <w:u w:val="single"/>
          </w:rPr>
          <w:t>[ASAP]通过磁场战略提高Li-O2电池的能源转化效率和制止对面反应</w:t>
        </w:r>
      </w:hyperlink>
    </w:p>
    <w:p>
      <w:pPr>
        <w:spacing w:before="0" w:after="80"/>
      </w:pPr>
      <w:r>
        <w:rPr>
          <w:i/>
          <w:sz w:val="20"/>
        </w:rPr>
        <w:t>EN: [ASAP] Enhancing Energy Conversion Efficiency and Suppression of Side Reactions in Li-O2 Batteries through a Magnetic Field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2026-01-20 15:52:30+00:00</w:t>
      </w:r>
      <w:r>
        <w:t xml:space="preserve">    </w:t>
      </w:r>
      <w:r>
        <w:rPr>
          <w:b/>
        </w:rPr>
        <w:t xml:space="preserve">DOI: </w:t>
      </w:r>
      <w:hyperlink r:id="rId515">
        <w:r>
          <w:rPr>
            <w:color w:val="1155CC"/>
            <w:u w:val="single"/>
          </w:rPr>
          <w:t>10.1021/jacs.5c15443</w:t>
        </w:r>
      </w:hyperlink>
    </w:p>
    <w:p>
      <w:pPr>
        <w:spacing w:before="0" w:after="120"/>
      </w:pPr>
      <w:r>
        <w:rPr>
          <w:b/>
        </w:rPr>
        <w:t xml:space="preserve">Notes: </w:t>
      </w:r>
      <w:r>
        <w:t>abstract_source=pubmed</w:t>
      </w:r>
    </w:p>
    <w:p>
      <w:pPr>
        <w:spacing w:before="0" w:after="80" w:lineRule="auto" w:line="276"/>
      </w:pPr>
      <w:r>
        <w:rPr>
          <w:b/>
        </w:rPr>
        <w:t xml:space="preserve">摘要（ZH）: </w:t>
      </w:r>
      <w:r>
        <w:t>提高锂氧氧电池的能源转换效率仍是一项重大挑战,利+、O2和电子的侧面反应和缓慢转移导致阴极上不可溶的副产品累积,导致高排放潜能值和有限的可逆性。在本研究中,作者引入了磁场来解决这些问题。将外部磁场应用于铁磁催化剂,将超潜能大幅降低到仅0.57V,为200 mA/g,同时保持特殊速率性能和周期稳定性。现场定性实验表明对副产品有效抑制,主要是Li2CO3.理论计算还表明磁场稳定了高反应性单氧。</w:t>
      </w:r>
    </w:p>
    <w:p>
      <w:pPr>
        <w:spacing w:before="0" w:after="200" w:lineRule="auto" w:line="276"/>
      </w:pPr>
      <w:r>
        <w:rPr>
          <w:b/>
        </w:rPr>
        <w:t xml:space="preserve">Abstract (EN): </w:t>
      </w:r>
      <w:r>
        <w:t>Enhancing the energy conversion efficiency of lithium-oxygen batteries remains a significant challenge. Side reactions and slow transfers of Li+, O2, and electrons cause the accumulation of insoluble byproducts on the cathode, leading to high discharge overpotentials and limited reversibility. In this study, the authors introduce a magnetic field to address these issues. Applying an external magnetic field to ferromagnetic catalysts significantly reduces the overpotential to only 0.57 V at 200 mA/g, while maintaining exceptional rate performance and cycle stability. In-situ characterization experiments demonstrate effective suppression of byproducts, primarily Li2CO3. Theoretical calculations further reveal that the magnetic field stabilizes highly reactive singlet oxygen within the battery system, inhibiting the byproduct formation pathways. Furthermore, the magnetic field plays a crucial role in promoting the decomposition of discharge products and Li+ mass transfer. Together, these effects minimize polarization and improve energy transfer efficiency, offering a versatile strategy for advanced metal-air batteries.</w:t>
      </w:r>
    </w:p>
    <w:p>
      <w:pPr>
        <w:spacing w:before="120" w:after="120"/>
      </w:pPr>
      <w:r>
        <w:rPr>
          <w:sz w:val="18"/>
        </w:rPr>
        <w:t>——————————————————————————————————————————————————————————————————————</w:t>
      </w:r>
    </w:p>
    <w:p>
      <w:pPr>
        <w:spacing w:before="160" w:after="40" w:line="240" w:lineRule="auto"/>
      </w:pPr>
      <w:r>
        <w:rPr>
          <w:b/>
        </w:rPr>
        <w:t xml:space="preserve">[318] </w:t>
      </w:r>
      <w:hyperlink r:id="rId516">
        <w:r>
          <w:rPr>
            <w:color w:val="1155CC"/>
            <w:u w:val="single"/>
          </w:rPr>
          <w:t>[ASAP] 与C-H激活结合的用于减少日光二氧化碳至CH4减少二氧化碳和CH4</w:t>
        </w:r>
      </w:hyperlink>
    </w:p>
    <w:p>
      <w:pPr>
        <w:spacing w:before="0" w:after="80"/>
      </w:pPr>
      <w:r>
        <w:rPr>
          <w:i/>
          <w:sz w:val="20"/>
        </w:rPr>
        <w:t>EN: [ASAP] Unveiling Asymmetric Dual-Metal Interfaces for Solar-Driven CO2-to-CH4 Reduction Coupled with C–H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2026-01-20 16:28:51+00:00</w:t>
      </w:r>
      <w:r>
        <w:t xml:space="preserve">    </w:t>
      </w:r>
      <w:r>
        <w:rPr>
          <w:b/>
        </w:rPr>
        <w:t xml:space="preserve">DOI: </w:t>
      </w:r>
      <w:hyperlink r:id="rId517">
        <w:r>
          <w:rPr>
            <w:color w:val="1155CC"/>
            <w:u w:val="single"/>
          </w:rPr>
          <w:t>10.1021/jacs.5c19901</w:t>
        </w:r>
      </w:hyperlink>
    </w:p>
    <w:p>
      <w:pPr>
        <w:spacing w:before="0" w:after="120"/>
      </w:pPr>
      <w:r>
        <w:rPr>
          <w:b/>
        </w:rPr>
        <w:t xml:space="preserve">Notes: </w:t>
      </w:r>
      <w:r>
        <w:t>abstract_source=pubmed</w:t>
      </w:r>
    </w:p>
    <w:p>
      <w:pPr>
        <w:spacing w:before="0" w:after="80" w:lineRule="auto" w:line="276"/>
      </w:pPr>
      <w:r>
        <w:rPr>
          <w:b/>
        </w:rPr>
        <w:t xml:space="preserve">摘要（ZH）: </w:t>
      </w:r>
      <w:r>
        <w:t>二氧化碳和生物量派生酒精的太阳能驱动转换为CO2和生物量派生酒精提供了一个有希望的减少二氧化碳排放和提供增值化学品的战略,但是,由于复杂的反应途径和缓慢的C-H债券激活,在对生物量派生酒精进行估量的同时,实现高效光催化二氧化碳对CH4的减排仍然是一项艰巨的任务。 我们在此报告一个明智的设计,即通过将半导体纳米集束固定在富空的混合燃料中,建立不对称的双金属催化中心,实现CO2-to-CH4与C-H氧化的相联减少。此外,通过在O-vacenti-rich Mil-125(Ti)-NH2中装载F2O3集束,使新形成的FE-O连接成为向Z-schememe建设的原子级电子传输路径。</w:t>
      </w:r>
    </w:p>
    <w:p>
      <w:pPr>
        <w:spacing w:before="0" w:after="200" w:lineRule="auto" w:line="276"/>
      </w:pPr>
      <w:r>
        <w:rPr>
          <w:b/>
        </w:rPr>
        <w:t xml:space="preserve">Abstract (EN): </w:t>
      </w:r>
      <w:r>
        <w:t>Solar-driven conversion of CO2 and biomass-derived alcohols offers a promising strategy for mitigating CO2 emissions and providing value-added chemicals. However, due to complex reaction pathways and sluggish C-H bond activation, it remains challenging to attain efficient photocatalytic CO2 reduction to CH4 alongside the valorization of biomass-derived alcohols. Herein, we report a judicious design to construct asymmetric dual-metal catalytic centers via anchoring semiconductor nanoclusters in vacancy-rich MOFs, achieving tandem CO2-to-CH4 photoreduction with C-H oxidation. Through loading Fe2O3 clusters in O-vacancy-rich Mil-125(Ti)-NH2, interfacial O-vacancy renders a newly formed Fe-O bond as an atomic-level electron transfer pathway toward Z-scheme construction. Furthermore, the interfacial vacancies trigger intimate interactions and modulate the d-band center to form asymmetric Ti-Fe dual-metal sites. Remarkably, a superior selectivity of 87.0% toward CH4 production coupled with 100% selectivity for benzyl alcohol-to-benzaldehyde oxidation is realized. Mechanistic investigations reveal that the heteronuclear Ti-Fe units synergistically facilitate the hydrogenation of *CO to *CHO through d-p hybridization, thereby enabling CH4 synthesis to be thermodynamically favorable, while photogenerated holes from Fe2O3 preferentially oxidize the α-C-H bond of benzyl alcohol. Further supported via another MOFs-based catalyst, this work enlightens a general design of building asymmetric dual-metal interfaces to concurrently realize selective CO2 photomethanation coupled with C-H activation.</w:t>
      </w:r>
    </w:p>
    <w:p>
      <w:pPr>
        <w:spacing w:before="120" w:after="120"/>
      </w:pPr>
      <w:r>
        <w:rPr>
          <w:sz w:val="18"/>
        </w:rPr>
        <w:t>——————————————————————————————————————————————————————————————————————</w:t>
      </w:r>
    </w:p>
    <w:p>
      <w:pPr>
        <w:spacing w:before="160" w:after="40" w:line="240" w:lineRule="auto"/>
      </w:pPr>
      <w:r>
        <w:rPr>
          <w:b/>
        </w:rPr>
        <w:t xml:space="preserve">[319] </w:t>
      </w:r>
      <w:hyperlink r:id="rId518">
        <w:r>
          <w:rPr>
            <w:color w:val="1155CC"/>
            <w:u w:val="single"/>
          </w:rPr>
          <w:t>[ASAP]通过稀有地球特变效应修改共基脊柱性化合物电子结构</w:t>
        </w:r>
      </w:hyperlink>
    </w:p>
    <w:p>
      <w:pPr>
        <w:spacing w:before="0" w:after="80"/>
      </w:pPr>
      <w:r>
        <w:rPr>
          <w:i/>
          <w:sz w:val="20"/>
        </w:rPr>
        <w:t>EN: [ASAP] Modulating the Electronic Structures of Co-Based Spinel Compounds via Rare Earth Tetrad Effect</w:t>
      </w:r>
    </w:p>
    <w:p>
      <w:pPr>
        <w:spacing w:before="0" w:after="120"/>
      </w:pPr>
      <w:r>
        <w:rPr>
          <w:b/>
        </w:rPr>
        <w:t xml:space="preserve">Source: </w:t>
      </w:r>
      <w:r>
        <w:t>Journal of the American Chemical Society: Latest Articles (ACS Publications)</w:t>
      </w:r>
      <w:r>
        <w:t xml:space="preserve">    </w:t>
      </w:r>
      <w:r>
        <w:rPr>
          <w:b/>
        </w:rPr>
        <w:t xml:space="preserve">Pub date: </w:t>
      </w:r>
      <w:r>
        <w:t>2026-01-20 16:55:38+00:00</w:t>
      </w:r>
      <w:r>
        <w:t xml:space="preserve">    </w:t>
      </w:r>
      <w:r>
        <w:rPr>
          <w:b/>
        </w:rPr>
        <w:t xml:space="preserve">DOI: </w:t>
      </w:r>
      <w:hyperlink r:id="rId519">
        <w:r>
          <w:rPr>
            <w:color w:val="1155CC"/>
            <w:u w:val="single"/>
          </w:rPr>
          <w:t>10.1021/jacs.5c18963</w:t>
        </w:r>
      </w:hyperlink>
    </w:p>
    <w:p>
      <w:pPr>
        <w:spacing w:before="0" w:after="120"/>
      </w:pPr>
      <w:r>
        <w:rPr>
          <w:b/>
        </w:rPr>
        <w:t xml:space="preserve">Notes: </w:t>
      </w:r>
      <w:r>
        <w:t>abstract_source=pubmed</w:t>
      </w:r>
    </w:p>
    <w:p>
      <w:pPr>
        <w:spacing w:before="0" w:after="80" w:lineRule="auto" w:line="276"/>
      </w:pPr>
      <w:r>
        <w:rPr>
          <w:b/>
        </w:rPr>
        <w:t xml:space="preserve">摘要（ZH）: </w:t>
      </w:r>
      <w:r>
        <w:t>稀土(RE)是关键的战略资源,在物质改变方面表现出显著的功效,然而,可再生能源有各种各样的要素,而且管理电子结构的机制不明确,限制了其准确的选择和有效利用。RE四重效应将RE的元素分成四组,以四氟电子填充到1/4、1/2和3/4的点为界限。在这里,我们提出了一个系统化战略,通过它来管理基于共基脊髓化合物的电子结构。关于一系列REdded的经典基于共基脊髓化合物(Co3O4和Co3S4)的研究结果表明,可按RE四重效应的1/4和3/4的位置对Co的旋转状态进行规范,而Co的价值状态则是</w:t>
      </w:r>
    </w:p>
    <w:p>
      <w:pPr>
        <w:spacing w:before="0" w:after="200" w:lineRule="auto" w:line="276"/>
      </w:pPr>
      <w:r>
        <w:rPr>
          <w:b/>
        </w:rPr>
        <w:t xml:space="preserve">Abstract (EN): </w:t>
      </w:r>
      <w:r>
        <w:t>Rare earths (RE) are crucial strategic resources and have demonstrated remarkable efficacy in material modification. However, there is a wide variety of RE elements, and the mechanism for regulating electronic structure is unclear, which limits their accurate selection and efficient utilization. The RE tetrad effect divides RE elements into four groups, with the boundaries set at the points where the 4f electrons are filled to 1/4, 1/2, and 3/4. Herein, we present a systematic strategy for regulating the electronic structure of Co-based spinel compounds via it. Research results on a series of RE-doped classic Co-based spinel compounds, Co3O4 and Co3S4, indicate that the spin state of Co can be regulated at the 1/4 and 3/4 positions of the RE tetrad effect, while the valence state of Co is significantly affected at the 1/2 position. The regulation of the spin states of Co3O4 and Co3S4 can be respectively attributed to the strains in the XY-plane and the Z-direction induced by RE. In addition, RE achieve dual-periodic regulation of the Co valence state through 4f-5d-6s-5p orbital hybridization to attain a state where the 4f orbitals are nearly half-filled. The relationship between the regulation mechanism of the RE tetrad effect on the electronic structure and the adsorption evolution of oxygen-containing species has been established. Finally, we have presented a design strategy for RE composite systems based on the tetrad effect, which plays a crucial role in achieving the accurate selection and efficient utilization of RE.</w:t>
      </w:r>
    </w:p>
    <w:p>
      <w:pPr>
        <w:spacing w:before="120" w:after="120"/>
      </w:pPr>
      <w:r>
        <w:rPr>
          <w:sz w:val="18"/>
        </w:rPr>
        <w:t>——————————————————————————————————————————————————————————————————————</w:t>
      </w:r>
    </w:p>
    <w:p>
      <w:pPr>
        <w:spacing w:before="160" w:after="40" w:line="240" w:lineRule="auto"/>
      </w:pPr>
      <w:r>
        <w:rPr>
          <w:b/>
        </w:rPr>
        <w:t xml:space="preserve">[320] </w:t>
      </w:r>
      <w:hyperlink r:id="rId520">
        <w:r>
          <w:rPr>
            <w:color w:val="1155CC"/>
            <w:u w:val="single"/>
          </w:rPr>
          <w:t>[ASAP] 热光热对甲烷进行超支持的双金属双亚原子对称的热干改造</w:t>
        </w:r>
      </w:hyperlink>
    </w:p>
    <w:p>
      <w:pPr>
        <w:spacing w:before="0" w:after="80"/>
      </w:pPr>
      <w:r>
        <w:rPr>
          <w:i/>
          <w:sz w:val="20"/>
        </w:rPr>
        <w:t>EN: [ASAP] Photothermal Dry Reforming of Methane Over Supported Bimetal Dual-Atom Pairs</w:t>
      </w:r>
    </w:p>
    <w:p>
      <w:pPr>
        <w:spacing w:before="0" w:after="120"/>
      </w:pPr>
      <w:r>
        <w:rPr>
          <w:b/>
        </w:rPr>
        <w:t xml:space="preserve">Source: </w:t>
      </w:r>
      <w:r>
        <w:t>Journal of the American Chemical Society: Latest Articles (ACS Publications)</w:t>
      </w:r>
      <w:r>
        <w:t xml:space="preserve">    </w:t>
      </w:r>
      <w:r>
        <w:rPr>
          <w:b/>
        </w:rPr>
        <w:t xml:space="preserve">Pub date: </w:t>
      </w:r>
      <w:r>
        <w:t>2026-01-20 17:58:04+00:00</w:t>
      </w:r>
      <w:r>
        <w:t xml:space="preserve">    </w:t>
      </w:r>
      <w:r>
        <w:rPr>
          <w:b/>
        </w:rPr>
        <w:t xml:space="preserve">DOI: </w:t>
      </w:r>
      <w:hyperlink r:id="rId521">
        <w:r>
          <w:rPr>
            <w:color w:val="1155CC"/>
            <w:u w:val="single"/>
          </w:rPr>
          <w:t>10.1021/jacs.5c22219</w:t>
        </w:r>
      </w:hyperlink>
    </w:p>
    <w:p>
      <w:pPr>
        <w:spacing w:before="0" w:after="120"/>
      </w:pPr>
      <w:r>
        <w:rPr>
          <w:b/>
        </w:rPr>
        <w:t xml:space="preserve">Notes: </w:t>
      </w:r>
      <w:r>
        <w:t>abstract_source=pubmed</w:t>
      </w:r>
    </w:p>
    <w:p>
      <w:pPr>
        <w:spacing w:before="0" w:after="80" w:lineRule="auto" w:line="276"/>
      </w:pPr>
      <w:r>
        <w:rPr>
          <w:b/>
        </w:rPr>
        <w:t xml:space="preserve">摘要（ZH）: </w:t>
      </w:r>
      <w:r>
        <w:t>甲烷(DRM,CH4+CO2+CO2 +2H2+2CO)的干改甲烷(DRM,CH4+CO2+CO2+2CO)为将两种温室气体转化为有价值的合成气体提供了一个很有希望的途径,然而,传统的热催化常规热解需要极端温度(&gt;800°C),以克服高能源屏障,导致大量能源消耗和催化剂停用。在这里,我们开发了一个Pt1-Ni1/CeO2光源热热热能催化剂,其原子散散的Pt1-Ni1对齐活性地在温条件下进行DRM。在450°C光化下,催化剂的H2和CO产量分别高达4.62和4.65mmol gculalyst-1毫升1,H2/CO比率接近统一(0.99)。</w:t>
      </w:r>
    </w:p>
    <w:p>
      <w:pPr>
        <w:spacing w:before="0" w:after="200" w:lineRule="auto" w:line="276"/>
      </w:pPr>
      <w:r>
        <w:rPr>
          <w:b/>
        </w:rPr>
        <w:t xml:space="preserve">Abstract (EN): </w:t>
      </w:r>
      <w:r>
        <w:t>Dry reforming of methane (DRM, CH4 + CO2 → 2H2 + 2CO) offers a promising route for converting two greenhouse gases into valuable syngas. However, conventional thermal catalysis requires extreme temperatures (&gt;800 °C) to overcome high energy barrier, leading to significant energy consumption and catalyst deactivation. Herein, we develop a Pt1-Ni1/CeO2 photothermal catalyst with atomically dispersed Pt1-Ni1 paired active sites for DRM under mild conditions. At 450 °C under light illumination, the catalyst exhibits high H2 and CO production rates of 4.62 and 4.65 mmol gcatalyst-1 min-1, respectively, with a H2/CO ratio close to unity (0.99). Mechanistic investigations reveal that light irradiation induces photogeneration of electrons and holes in CeO2, which directionally transfer to atomic Ni and Pt sites, respectively, inducing asymmetric charge polarization that promotes the activation of reactants. Steady-state isotope transient kinetic analysis combined with diffuse reflectance infrared Fourier transform spectroscopy (SSITKA-DRIFTS) measurement identifies the critical *CHxO intermediate formed via *CHx + *O → *CHxO, a key step that suppresses deep dehydrogenation and carbon deposition. This work elucidates the regulation of parallel reactions over asymmetric dual-atom pairs in the transformation of CH4 + CO2 via photothermal synergy, paving the way for the targeted conversion of C1 molecules under mild conditions.</w:t>
      </w:r>
    </w:p>
    <w:p>
      <w:pPr>
        <w:spacing w:before="120" w:after="120"/>
      </w:pPr>
      <w:r>
        <w:rPr>
          <w:sz w:val="18"/>
        </w:rPr>
        <w:t>——————————————————————————————————————————————————————————————————————</w:t>
      </w:r>
    </w:p>
    <w:p>
      <w:pPr>
        <w:spacing w:before="160" w:after="40" w:line="240" w:lineRule="auto"/>
      </w:pPr>
      <w:r>
        <w:rPr>
          <w:b/>
        </w:rPr>
        <w:t xml:space="preserve">[321] </w:t>
      </w:r>
      <w:hyperlink r:id="rId522">
        <w:r>
          <w:rPr>
            <w:color w:val="1155CC"/>
            <w:u w:val="single"/>
          </w:rPr>
          <w:t>[ASAP] Alkyl 链长工程2D/3D Perovskites的提图结构和性能</w:t>
        </w:r>
      </w:hyperlink>
    </w:p>
    <w:p>
      <w:pPr>
        <w:spacing w:before="0" w:after="80"/>
      </w:pPr>
      <w:r>
        <w:rPr>
          <w:i/>
          <w:sz w:val="20"/>
        </w:rPr>
        <w:t>EN: [ASAP] Tuning Structure and Performance of 2D/3D Perovskites by Alkyl Chain Length Engineering</w:t>
      </w:r>
    </w:p>
    <w:p>
      <w:pPr>
        <w:spacing w:before="0" w:after="120"/>
      </w:pPr>
      <w:r>
        <w:rPr>
          <w:b/>
        </w:rPr>
        <w:t xml:space="preserve">Source: </w:t>
      </w:r>
      <w:r>
        <w:t>ACS Energy Letters: Latest Articles (ACS Publications)</w:t>
      </w:r>
      <w:r>
        <w:t xml:space="preserve">    </w:t>
      </w:r>
      <w:r>
        <w:rPr>
          <w:b/>
        </w:rPr>
        <w:t xml:space="preserve">Pub date: </w:t>
      </w:r>
      <w:r>
        <w:t>2026-01-20 18:37:29+00:00</w:t>
      </w:r>
      <w:r>
        <w:t xml:space="preserve">    </w:t>
      </w:r>
      <w:r>
        <w:rPr>
          <w:b/>
        </w:rPr>
        <w:t xml:space="preserve">DOI: </w:t>
      </w:r>
      <w:hyperlink r:id="rId523">
        <w:r>
          <w:rPr>
            <w:color w:val="1155CC"/>
            <w:u w:val="single"/>
          </w:rPr>
          <w:t>10.1021/acsenergylett.5c02838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[322] </w:t>
      </w:r>
      <w:hyperlink r:id="rId524">
        <w:r>
          <w:rPr>
            <w:color w:val="1155CC"/>
            <w:u w:val="single"/>
          </w:rPr>
          <w:t>[ASAP] 月光蓝丹化金属—两个独特的温度区域中的温度测量组织框架</w:t>
        </w:r>
      </w:hyperlink>
    </w:p>
    <w:p>
      <w:pPr>
        <w:spacing w:before="0" w:after="80"/>
      </w:pPr>
      <w:r>
        <w:rPr>
          <w:i/>
          <w:sz w:val="20"/>
        </w:rPr>
        <w:t>EN: [ASAP] Luminescent Lanthanide Metal–Organic Frameworks for Temperature Sensing in Two Distinct Temperature Regions</w:t>
      </w:r>
    </w:p>
    <w:p>
      <w:pPr>
        <w:spacing w:before="0" w:after="120"/>
      </w:pPr>
      <w:r>
        <w:rPr>
          <w:b/>
        </w:rPr>
        <w:t xml:space="preserve">Source: </w:t>
      </w:r>
      <w:r>
        <w:t>Journal of the American Chemical Society: Latest Articles (ACS Publications)</w:t>
      </w:r>
      <w:r>
        <w:t xml:space="preserve">    </w:t>
      </w:r>
      <w:r>
        <w:rPr>
          <w:b/>
        </w:rPr>
        <w:t xml:space="preserve">Pub date: </w:t>
      </w:r>
      <w:r>
        <w:t>2026-01-20 19:12:41+00:00</w:t>
      </w:r>
      <w:r>
        <w:t xml:space="preserve">    </w:t>
      </w:r>
      <w:r>
        <w:rPr>
          <w:b/>
        </w:rPr>
        <w:t xml:space="preserve">DOI: </w:t>
      </w:r>
      <w:hyperlink r:id="rId525">
        <w:r>
          <w:rPr>
            <w:color w:val="1155CC"/>
            <w:u w:val="single"/>
          </w:rPr>
          <w:t>10.1021/jacs.5c12757</w:t>
        </w:r>
      </w:hyperlink>
    </w:p>
    <w:p>
      <w:pPr>
        <w:spacing w:before="0" w:after="120"/>
      </w:pPr>
      <w:r>
        <w:rPr>
          <w:b/>
        </w:rPr>
        <w:t xml:space="preserve">Notes: </w:t>
      </w:r>
      <w:r>
        <w:t>abstract_source=pubmed</w:t>
      </w:r>
    </w:p>
    <w:p>
      <w:pPr>
        <w:spacing w:before="0" w:after="80" w:lineRule="auto" w:line="276"/>
      </w:pPr>
      <w:r>
        <w:rPr>
          <w:b/>
        </w:rPr>
        <w:t xml:space="preserve">摘要（ZH）: </w:t>
      </w:r>
      <w:r>
        <w:t>以lanthanide(III)(Ln3+)金属-有机框架(Ln3+)为基础的月光比度温度传感器(LnMOFs),由于其混合性质和独特的光物理和结构特性,在纳米温度测量中已成为有前途的材料,其中包括高染色磷密度和定义明确、稳健的晶体结构,在诸如交替温度等各种外部条件下,能够进行有效的能源转移和高发光性能;然而,目前的基于LnMOF的纳米温度计往往需要排放中心的高负荷,从而导致浓缩的消化和有限的敏感度,并且通常在单一温度区域运作。</w:t>
      </w:r>
    </w:p>
    <w:p>
      <w:pPr>
        <w:spacing w:before="0" w:after="200" w:lineRule="auto" w:line="276"/>
      </w:pPr>
      <w:r>
        <w:rPr>
          <w:b/>
        </w:rPr>
        <w:t xml:space="preserve">Abstract (EN): </w:t>
      </w:r>
      <w:r>
        <w:t>Luminescent ratiometric temperature sensors based on lanthanide(III) (Ln3+) metal-organic frameworks (LnMOFs) have emerged as promising materials in nanothermometry due to their hybrid nature and unique photophysical and structural properties. These include high chromophore density and well-defined, robust crystalline structures enabling efficient energy transfer and high luminescence performance in various external conditions such as alternating temperatures. However, current LnMOF-based nanothermometers often require high loadings of emissive centers leading to concentration quenching and limited sensitivity and typically operate in a single-temperature region. In this work, we present a new series of LnMOFs based on the ligand 1,4-benzenedicarboxylic acid (H2BDC) and its 2-amino derivative (H2ABDC), with the general formula [La1-xLnx(BDC)1-y(ABDC)yCl(DMF)] (Ln = Eu, Tb, Sm, Dy; DMF = N,N-dimethylformamide; x = 0-0.5, y = 0-1). Photophysical studies revealed that (i) the MOF scaffolds can efficiently sensitize the visible-emitting Ln3+ ions leading to quantum yields of up to 81%; (ii) mixed-ligand LnMOFs exhibit ligand-centered fluorescence lifetimes of 0.11-9 ns and exceptionally long phosphorescence lifetimes of 0.33 s. Additionally, we demonstrated the remarkable potential of mixed-metal-mixed-ligand LnMOFs, containing very low loadings of emissive components (up to 10 mol %), to function as ratiometric luminescence thermometers (RLTs) across a wide temperature range, including cryogenic (10-110 K) and ambient (70-330 K) temperatures. These LnMOFs exhibit relative sensitivities (Srel) of up to 11.1% K-1 in the cryogenic range and 2.2% K-1 at higher temperatures, comparable to the highest values reported in the literature.</w:t>
      </w:r>
    </w:p>
    <w:p>
      <w:pPr>
        <w:spacing w:before="120" w:after="120"/>
      </w:pPr>
      <w:r>
        <w:rPr>
          <w:sz w:val="18"/>
        </w:rPr>
        <w:t>——————————————————————————————————————————————————————————————————————</w:t>
      </w:r>
    </w:p>
    <w:p>
      <w:pPr>
        <w:spacing w:before="160" w:after="40" w:line="240" w:lineRule="auto"/>
      </w:pPr>
      <w:r>
        <w:rPr>
          <w:b/>
        </w:rPr>
        <w:t xml:space="preserve">[323] </w:t>
      </w:r>
      <w:hyperlink r:id="rId526">
        <w:r>
          <w:rPr>
            <w:color w:val="1155CC"/>
            <w:u w:val="single"/>
          </w:rPr>
          <w:t>[ASAP]使用水溶解法的Li10GePP2S12电解器合成</w:t>
        </w:r>
      </w:hyperlink>
    </w:p>
    <w:p>
      <w:pPr>
        <w:spacing w:before="0" w:after="80"/>
      </w:pPr>
      <w:r>
        <w:rPr>
          <w:i/>
          <w:sz w:val="20"/>
        </w:rPr>
        <w:t>EN: [ASAP] Synthesis of Li10GeP2S12 Electrolyte Using Aqueous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2026-01-20 19:51:44+00:00</w:t>
      </w:r>
      <w:r>
        <w:t xml:space="preserve">    </w:t>
      </w:r>
      <w:r>
        <w:rPr>
          <w:b/>
        </w:rPr>
        <w:t xml:space="preserve">DOI: </w:t>
      </w:r>
      <w:hyperlink r:id="rId527">
        <w:r>
          <w:rPr>
            <w:color w:val="1155CC"/>
            <w:u w:val="single"/>
          </w:rPr>
          <w:t>10.1021/jacs.5c16397</w:t>
        </w:r>
      </w:hyperlink>
    </w:p>
    <w:p>
      <w:pPr>
        <w:spacing w:before="0" w:after="120"/>
      </w:pPr>
      <w:r>
        <w:rPr>
          <w:b/>
        </w:rPr>
        <w:t xml:space="preserve">Notes: </w:t>
      </w:r>
      <w:r>
        <w:t>abstract_source=pubmed</w:t>
      </w:r>
    </w:p>
    <w:p>
      <w:pPr>
        <w:spacing w:before="0" w:after="80" w:lineRule="auto" w:line="276"/>
      </w:pPr>
      <w:r>
        <w:rPr>
          <w:b/>
        </w:rPr>
        <w:t xml:space="preserve">摘要（ZH）: </w:t>
      </w:r>
      <w:r>
        <w:t>开发硫化物电解液的大规模生产过程对于推进所有固态电池的发展至关重要,在这方面,液相合成作为合成这些材料的一种实用和可伸缩的方法受到注意,然而,传统的液相合成通常采用有机溶剂,这既对环境又对安全造成问题;在这项研究中,提出了一种新的液相合成战略,用水溶液制成硫化物电解液,消除了对有机溶剂的需求;因此,成功地合成了液相合成,并展示了在25°C的粉状下1.6×10-3 Scm-1的电离导性。</w:t>
      </w:r>
    </w:p>
    <w:p>
      <w:pPr>
        <w:spacing w:before="0" w:after="200" w:lineRule="auto" w:line="276"/>
      </w:pPr>
      <w:r>
        <w:rPr>
          <w:b/>
        </w:rPr>
        <w:t xml:space="preserve">Abstract (EN): </w:t>
      </w:r>
      <w:r>
        <w:t>The development of a mass production process for sulfide electrolytes is crucial for the advancement of all-solid-state batteries. In this context, liquid-phase synthesis has gained attention as a practical and scalable approach for the synthesis of these materials. However, conventional liquid-phase synthesis typically employs organic solvents, which pose both environmental and safety concerns. In this study, a novel liquid-phase synthetic strategy is presented for the preparation of sulfide electrolytes using an aqueous solution, which eliminates the requirement for organic solvents. Consequently, a Li10GeP2S12 electrolyte was successfully synthesized, and was demonstrated to exhibit an ionic conductivity of 1.6 × 10-3 S cm-1 at 25 °C in a powder compact. Additionally, an all-solid-state Li-In/LiNi1/3Co1/3Mn1/3O2 cell incorporating the developed electrolyte demonstrated stable and reversible cycle performances over 500 cycles. Overall, this work demonstrates the feasibility of using water as an environmentally friendly solvent for synthesizing high-performance sulfide electrolytes.</w:t>
      </w:r>
    </w:p>
    <w:p>
      <w:pPr>
        <w:spacing w:before="120" w:after="120"/>
      </w:pPr>
      <w:r>
        <w:rPr>
          <w:sz w:val="18"/>
        </w:rPr>
        <w:t>——————————————————————————————————————————————————————————————————————</w:t>
      </w:r>
    </w:p>
    <w:p>
      <w:pPr>
        <w:spacing w:before="160" w:after="40" w:line="240" w:lineRule="auto"/>
      </w:pPr>
      <w:r>
        <w:rPr>
          <w:b/>
        </w:rPr>
        <w:t xml:space="preserve">[324] </w:t>
      </w:r>
      <w:hyperlink r:id="rId528">
        <w:r>
          <w:rPr>
            <w:color w:val="1155CC"/>
            <w:u w:val="single"/>
          </w:rPr>
          <w:t>[ASAP]Zirconnium-高载CO2分离薄膜的有机气体统一共价聚合</w:t>
        </w:r>
      </w:hyperlink>
    </w:p>
    <w:p>
      <w:pPr>
        <w:spacing w:before="0" w:after="80"/>
      </w:pPr>
      <w:r>
        <w:rPr>
          <w:i/>
          <w:sz w:val="20"/>
        </w:rPr>
        <w:t>EN: [ASAP] Uniform Covalent Polymerization of Zirconium–Organic Cages for High-Loading CO2 Separation Membranes</w:t>
      </w:r>
    </w:p>
    <w:p>
      <w:pPr>
        <w:spacing w:before="0" w:after="120"/>
      </w:pPr>
      <w:r>
        <w:rPr>
          <w:b/>
        </w:rPr>
        <w:t xml:space="preserve">Source: </w:t>
      </w:r>
      <w:r>
        <w:t>Journal of the American Chemical Society: Latest Articles (ACS Publications)</w:t>
      </w:r>
      <w:r>
        <w:t xml:space="preserve">    </w:t>
      </w:r>
      <w:r>
        <w:rPr>
          <w:b/>
        </w:rPr>
        <w:t xml:space="preserve">Pub date: </w:t>
      </w:r>
      <w:r>
        <w:t>2026-01-20 20:54:50+00:00</w:t>
      </w:r>
      <w:r>
        <w:t xml:space="preserve">    </w:t>
      </w:r>
      <w:r>
        <w:rPr>
          <w:b/>
        </w:rPr>
        <w:t xml:space="preserve">DOI: </w:t>
      </w:r>
      <w:hyperlink r:id="rId529">
        <w:r>
          <w:rPr>
            <w:color w:val="1155CC"/>
            <w:u w:val="single"/>
          </w:rPr>
          <w:t>10.1021/jacs.5c22622</w:t>
        </w:r>
      </w:hyperlink>
    </w:p>
    <w:p>
      <w:pPr>
        <w:spacing w:before="0" w:after="120"/>
      </w:pPr>
      <w:r>
        <w:rPr>
          <w:b/>
        </w:rPr>
        <w:t xml:space="preserve">Notes: </w:t>
      </w:r>
      <w:r>
        <w:t>abstract_source=pubmed</w:t>
      </w:r>
    </w:p>
    <w:p>
      <w:pPr>
        <w:spacing w:before="0" w:after="80" w:lineRule="auto" w:line="276"/>
      </w:pPr>
      <w:r>
        <w:rPr>
          <w:b/>
        </w:rPr>
        <w:t xml:space="preserve">摘要（ZH）: </w:t>
      </w:r>
      <w:r>
        <w:t>金属-有机笼(MOCs)及其定义明确的分子结构和统一的孔隙性,极有可能应用于气体分离膜。然而,在常规物理混合过程中,在高负荷的膜中将聚氯聚氯在高载荷中,在常规物理混合过程中急剧地使分离性性能恶化。本研究报告在这里介绍了聚氯点特有的聚合化战略,以制造制服、高载量和选择性膜,进行CO2分离。一个氨基-功能化聚氯(ZrTNH2)被合成为构件,随后通过广泛的核聚变反应与聚(乙烯)二异氰酸聚合。由此形成的ZrTNH2-PEG membrane展示了高达75瓦的惊人负荷,同时保持离散状态。</w:t>
      </w:r>
    </w:p>
    <w:p>
      <w:pPr>
        <w:spacing w:before="0" w:after="200" w:lineRule="auto" w:line="276"/>
      </w:pPr>
      <w:r>
        <w:rPr>
          <w:b/>
        </w:rPr>
        <w:t xml:space="preserve">Abstract (EN): </w:t>
      </w:r>
      <w:r>
        <w:t>Metal-organic cages (MOCs), with their well-defined molecular structures and uniform porosity, hold great promise for application in gas separation membranes. However, the aggregation of MOCs in membranes at high loadings during conventional physical blending drastically deteriorates the separation performance. Herein, this study presents a strategy of MOC site-specific polymerization for fabricating uniform, high-loading, and selective membranes for CO2 separation. An amino-functionalized zirconium MOC (ZrTNH2) is synthesized as the building block and subsequently polymerized with poly(ethylene glycol)diisocyanate (NCO-PEG-NCO) through extensive nucleophilic addition reactions. The resulting ZrTNH2-PEG membrane exhibits a remarkable loading of up to 75 wt %, while preserving the discrete structural characteristics of ZrTNH2. It exhibits a high CO2 permeability of 577 Barrer and an exceptional CO2/N2 selectivity of 50 at 298 K and 2 bar, surpassing the latest upper bound and many previously reported MOC-based membranes. This membrane design greatly advances the mixed-matrix concept in membranes and serves as a new starting point for next-generation separation materials.</w:t>
      </w:r>
    </w:p>
    <w:p>
      <w:pPr>
        <w:spacing w:before="120" w:after="120"/>
      </w:pPr>
      <w:r>
        <w:rPr>
          <w:sz w:val="18"/>
        </w:rPr>
        <w:t>——————————————————————————————————————————————————————————————————————</w:t>
      </w:r>
    </w:p>
    <w:p>
      <w:pPr>
        <w:spacing w:before="160" w:after="40" w:line="240" w:lineRule="auto"/>
      </w:pPr>
      <w:r>
        <w:rPr>
          <w:b/>
        </w:rPr>
        <w:t xml:space="preserve">[325] </w:t>
      </w:r>
      <w:hyperlink r:id="rId530">
        <w:r>
          <w:rPr>
            <w:color w:val="1155CC"/>
            <w:u w:val="single"/>
          </w:rPr>
          <w:t>电动车辆微型电网充电负荷的预测规划</w:t>
        </w:r>
      </w:hyperlink>
    </w:p>
    <w:p>
      <w:pPr>
        <w:spacing w:before="0" w:after="80"/>
      </w:pPr>
      <w:r>
        <w:rPr>
          <w:i/>
          <w:sz w:val="20"/>
        </w:rPr>
        <w:t>EN: Edge-cloud collaboration-driven predictive planning of electric vehicle charging load for microgrids</w:t>
      </w:r>
    </w:p>
    <w:p>
      <w:pPr>
        <w:spacing w:before="0" w:after="120"/>
      </w:pPr>
      <w:r>
        <w:rPr>
          <w:b/>
        </w:rPr>
        <w:t xml:space="preserve">Source: </w:t>
      </w:r>
      <w:r>
        <w:t>ScienceDirect Publication: Applied Energy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[326] </w:t>
      </w:r>
      <w:hyperlink r:id="rId531">
        <w:r>
          <w:rPr>
            <w:color w:val="1155CC"/>
            <w:u w:val="single"/>
          </w:rPr>
          <w:t>具有减少光伏不确定性的混合泵泵式存储存储机的级联水力发电的深强化学习实时派送办法</w:t>
        </w:r>
      </w:hyperlink>
    </w:p>
    <w:p>
      <w:pPr>
        <w:spacing w:before="0" w:after="80"/>
      </w:pPr>
      <w:r>
        <w:rPr>
          <w:i/>
          <w:sz w:val="20"/>
        </w:rPr>
        <w:t>EN: Deep reinforcement learning real-time dispatch approach for cascade hydropower with hybrid pumped-storage mitigating photovoltaic uncertainties</w:t>
      </w:r>
    </w:p>
    <w:p>
      <w:pPr>
        <w:spacing w:before="0" w:after="120"/>
      </w:pPr>
      <w:r>
        <w:rPr>
          <w:b/>
        </w:rPr>
        <w:t xml:space="preserve">Source: </w:t>
      </w:r>
      <w:r>
        <w:t>ScienceDirect Publication: Applied Energy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[327] </w:t>
      </w:r>
      <w:hyperlink r:id="rId532">
        <w:r>
          <w:rPr>
            <w:color w:val="1155CC"/>
            <w:u w:val="single"/>
          </w:rPr>
          <w:t>短寿命产品的动态数字产品护照</w:t>
        </w:r>
      </w:hyperlink>
    </w:p>
    <w:p>
      <w:pPr>
        <w:spacing w:before="0" w:after="80"/>
      </w:pPr>
      <w:r>
        <w:rPr>
          <w:i/>
          <w:sz w:val="20"/>
        </w:rPr>
        <w:t>EN: Dynamic digital product passports for short-shelf-life products</w:t>
      </w:r>
    </w:p>
    <w:p>
      <w:pPr>
        <w:spacing w:before="0" w:after="120"/>
      </w:pPr>
      <w:r>
        <w:rPr>
          <w:b/>
        </w:rPr>
        <w:t xml:space="preserve">Source: </w:t>
      </w:r>
      <w:r>
        <w:t>Nature Reviews Clean Technology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[328] </w:t>
      </w:r>
      <w:hyperlink r:id="rId533">
        <w:r>
          <w:rPr>
            <w:color w:val="1155CC"/>
            <w:u w:val="single"/>
          </w:rPr>
          <w:t>能源安全、气候政策不确定性和气候过渡风险:混合频率多维外溢出分析</w:t>
        </w:r>
      </w:hyperlink>
    </w:p>
    <w:p>
      <w:pPr>
        <w:spacing w:before="0" w:after="80"/>
      </w:pPr>
      <w:r>
        <w:rPr>
          <w:i/>
          <w:sz w:val="20"/>
        </w:rPr>
        <w:t>EN: Energy security, climate policy uncertainty, and climate transition risk: A mixed-frequency multi-dimensional spillover analysis</w:t>
      </w:r>
    </w:p>
    <w:p>
      <w:pPr>
        <w:spacing w:before="0" w:after="120"/>
      </w:pPr>
      <w:r>
        <w:rPr>
          <w:b/>
        </w:rPr>
        <w:t xml:space="preserve">Source: </w:t>
      </w:r>
      <w:r>
        <w:t>ScienceDirect Publication: Energy Policy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[329] </w:t>
      </w:r>
      <w:hyperlink r:id="rId534">
        <w:r>
          <w:rPr>
            <w:color w:val="1155CC"/>
            <w:u w:val="single"/>
          </w:rPr>
          <w:t>综合一步骤干法工艺,使预发式厚厚电极不涂上初级涂层,以达到高能量密度和初始库伦效率</w:t>
        </w:r>
      </w:hyperlink>
    </w:p>
    <w:p>
      <w:pPr>
        <w:spacing w:before="0" w:after="80"/>
      </w:pPr>
      <w:r>
        <w:rPr>
          <w:i/>
          <w:sz w:val="20"/>
        </w:rPr>
        <w:t>EN: Integrated one-step dry process enabling prelithiated thick electrodes without primer coating for high energy density and initial Coulombic efficiency</w:t>
      </w:r>
    </w:p>
    <w:p>
      <w:pPr>
        <w:spacing w:before="0" w:after="120"/>
      </w:pPr>
      <w:r>
        <w:rPr>
          <w:b/>
        </w:rPr>
        <w:t xml:space="preserve">Source: </w:t>
      </w:r>
      <w:r>
        <w:t>RSC - Energy Environ. Sci. latest articles</w:t>
      </w:r>
      <w:r>
        <w:t xml:space="preserve">    </w:t>
      </w:r>
      <w:r>
        <w:rPr>
          <w:b/>
        </w:rPr>
        <w:t xml:space="preserve">Pub date: </w:t>
      </w:r>
      <w:r>
        <w:t>2026-01-21 00:00:00+00:00</w:t>
      </w:r>
    </w:p>
    <w:p>
      <w:pPr>
        <w:spacing w:before="0" w:after="120"/>
      </w:pPr>
      <w:r>
        <w:rPr>
          <w:b/>
        </w:rPr>
        <w:t xml:space="preserve">Notes: </w:t>
      </w:r>
      <w:r>
        <w:t>abstract_source=rsc_html</w:t>
      </w:r>
    </w:p>
    <w:p>
      <w:pPr>
        <w:spacing w:before="0" w:after="80" w:lineRule="auto" w:line="276"/>
      </w:pPr>
      <w:r>
        <w:rPr>
          <w:b/>
        </w:rPr>
        <w:t xml:space="preserve">摘要（ZH）: </w:t>
      </w:r>
      <w:r>
        <w:t>干处理厚密电极是提高电池能量密度的关键战略,但是,厚干电极,特别是阳极,受到离离子运动有限的影响,造成初始周期内不统一的固电中间相相(SEI)形成和高度不可逆能力丧失;此外,加工过程中所需的粘合基质层增加了电阻力,需要增加湿处理步骤,从而破坏性能和工艺完整性。为了解决这些问题,我们建议为厚电极制定一种低层锂-金属配置的预爆战略。在这里,一层地下的锂金属同时发挥初级功能,补偿初始周期内不可逆转的锂流失,并推广统一的SEIFF。</w:t>
      </w:r>
    </w:p>
    <w:p>
      <w:pPr>
        <w:spacing w:before="0" w:after="200" w:lineRule="auto" w:line="276"/>
      </w:pPr>
      <w:r>
        <w:rPr>
          <w:b/>
        </w:rPr>
        <w:t xml:space="preserve">Abstract (EN): </w:t>
      </w:r>
      <w:r>
        <w:t>Dry-processed thick electrodes are a key strategy for increasing the energy density of batteries. However, thick dry electrodes, especially anodes, suffer from limited ion mobility, causing non-uniform solid-electrolyte interphase (SEI) formation and high irreversible capacity loss during the initial cycle. Moreover, the adhesive primer layer required during processing increases electrical resistance and necessitates additional wet-processing steps, thereby undermining both performance and process integrity. To address these issues, we propose an underlayer lithium-metal-configured prelithiation strategy for thick electrodes. Here, a lithium metal underlayer simultaneously functions as a primer, compensates for irreversible lithium loss during the initial cycle, and promotes uniform SEI formation through a chemical reaction. Consequently, this strategy enhances the initial Coulombic efficiency and cycle stability of high-energy-density silicon-graphite/NCM811 full-cells. By overcoming the limitations of conventional dry process, it enables a fully dry manufacturing process and advances the development of next-generation high-energy-density batteries.</w:t>
      </w:r>
    </w:p>
    <w:p>
      <w:pPr>
        <w:spacing w:before="120" w:after="120"/>
      </w:pPr>
      <w:r>
        <w:rPr>
          <w:sz w:val="18"/>
        </w:rPr>
        <w:t>——————————————————————————————————————————————————————————————————————</w:t>
      </w:r>
    </w:p>
    <w:p>
      <w:pPr>
        <w:spacing w:before="160" w:after="40" w:line="240" w:lineRule="auto"/>
      </w:pPr>
      <w:r>
        <w:rPr>
          <w:b/>
        </w:rPr>
        <w:t xml:space="preserve">[330] </w:t>
      </w:r>
      <w:hyperlink r:id="rId535">
        <w:r>
          <w:rPr>
            <w:color w:val="1155CC"/>
            <w:u w:val="single"/>
          </w:rPr>
          <w:t>采用混合数据模型驱动方法,对各种分布式分布式能源资源进行时间分离的电力灵活度综合组合</w:t>
        </w:r>
      </w:hyperlink>
    </w:p>
    <w:p>
      <w:pPr>
        <w:spacing w:before="0" w:after="80"/>
      </w:pPr>
      <w:r>
        <w:rPr>
          <w:i/>
          <w:sz w:val="20"/>
        </w:rPr>
        <w:t>EN: A hybrid data-model driven approach for time-decoupled power flexibility aggregation of heterogeneous distributed energy resources</w:t>
      </w:r>
    </w:p>
    <w:p>
      <w:pPr>
        <w:spacing w:before="0" w:after="120"/>
      </w:pPr>
      <w:r>
        <w:rPr>
          <w:b/>
        </w:rPr>
        <w:t xml:space="preserve">Source: </w:t>
      </w:r>
      <w:r>
        <w:t>ScienceDirect Publication: Applied Energy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[331] </w:t>
      </w:r>
      <w:hyperlink r:id="rId536">
        <w:r>
          <w:rPr>
            <w:color w:val="1155CC"/>
            <w:u w:val="single"/>
          </w:rPr>
          <w:t>Nonotwin工程使P-Type Bismuth Telluride热电</w:t>
        </w:r>
      </w:hyperlink>
    </w:p>
    <w:p>
      <w:pPr>
        <w:spacing w:before="0" w:after="80"/>
      </w:pPr>
      <w:r>
        <w:rPr>
          <w:i/>
          <w:sz w:val="20"/>
        </w:rPr>
        <w:t>EN: Nanotwin Engineering Enables Exceptional Thermal Stability in P-Type Bismuth Telluride Thermoelectrics</w:t>
      </w:r>
    </w:p>
    <w:p>
      <w:pPr>
        <w:spacing w:before="0" w:after="120"/>
      </w:pPr>
      <w:r>
        <w:rPr>
          <w:b/>
        </w:rPr>
        <w:t xml:space="preserve">Source: </w:t>
      </w:r>
      <w:r>
        <w:t>RSC - Energy Environ. Sci. latest articles</w:t>
      </w:r>
      <w:r>
        <w:t xml:space="preserve">    </w:t>
      </w:r>
      <w:r>
        <w:rPr>
          <w:b/>
        </w:rPr>
        <w:t xml:space="preserve">Pub date: </w:t>
      </w:r>
      <w:r>
        <w:t>2026-01-21 00:00:00+00:00</w:t>
      </w:r>
    </w:p>
    <w:p>
      <w:pPr>
        <w:spacing w:before="0" w:after="120"/>
      </w:pPr>
      <w:r>
        <w:rPr>
          <w:b/>
        </w:rPr>
        <w:t xml:space="preserve">Notes: </w:t>
      </w:r>
      <w:r>
        <w:t>abstract_source=rsc_html</w:t>
      </w:r>
    </w:p>
    <w:p>
      <w:pPr>
        <w:spacing w:before="0" w:after="80" w:lineRule="auto" w:line="276"/>
      </w:pPr>
      <w:r>
        <w:rPr>
          <w:b/>
        </w:rPr>
        <w:t xml:space="preserve">摘要（ZH）: </w:t>
      </w:r>
      <w:r>
        <w:t>热稳定性是限制在现实世界能源转换中实际部署热电材料的关键挑战。本研究通过将密集纳米规模的双边边界纳入二聚苯乙烯基热电,同时提高热电效率、机械坚固度和运行寿命,取得了突破。以晶体对称和最小电子散射为特征的连贯的双界面,有效地减少了热导量,同时保持了充电载体的机动性。值得注意的是,材料保持了高功率系数和低热导电率,即使在长期热老化后也是如此。 设备级测试证实了异常稳定,双设计装置保留了 &gt; 98%。</w:t>
      </w:r>
    </w:p>
    <w:p>
      <w:pPr>
        <w:spacing w:before="0" w:after="200" w:lineRule="auto" w:line="276"/>
      </w:pPr>
      <w:r>
        <w:rPr>
          <w:b/>
        </w:rPr>
        <w:t xml:space="preserve">Abstract (EN): </w:t>
      </w:r>
      <w:r>
        <w:t>Thermal stability is a critical challenge limiting the practical deployment of thermoelectric materials in real-world energy conversion. This study presents a breakthrough by incorporating dense nanoscale twin boundaries into bismuth-telluride-based thermoelectrics, achieving concurrent improvements in thermoelectric efficiency, mechanical robustness, and operational longevity. The coherent twin interfaces, characterized by their crystallographic symmetry and minimal electron scattering, effectively reduce lattice thermal conductivity while preserving charge carrier mobility. Remarkably, the material maintains a high power factor and a low thermal conductivity even after extended thermal aging. Device-level testing confirms exceptional stability, with twin-engineered devices retaining &gt;98% of their output power and conversion efficiency across repeated thermal cycles, alongside intact interfacial contacts and no observable microstructural degradation. These results highlight nanotwin boundary engineering as a robust microstructural design paradigm for developing high-performance, durable thermoelectric device applications.</w:t>
      </w:r>
    </w:p>
    <w:p>
      <w:pPr>
        <w:spacing w:before="120" w:after="120"/>
      </w:pPr>
      <w:r>
        <w:rPr>
          <w:sz w:val="18"/>
        </w:rPr>
        <w:t>——————————————————————————————————————————————————————————————————————</w:t>
      </w:r>
    </w:p>
    <w:p>
      <w:pPr>
        <w:spacing w:before="160" w:after="40" w:line="240" w:lineRule="auto"/>
      </w:pPr>
      <w:r>
        <w:rPr>
          <w:b/>
        </w:rPr>
        <w:t xml:space="preserve">[332] </w:t>
      </w:r>
      <w:hyperlink r:id="rId537">
        <w:r>
          <w:rPr>
            <w:color w:val="1155CC"/>
            <w:u w:val="single"/>
          </w:rPr>
          <w:t>根据N/P比率控制锂离子电池组的锂电镀机制调查</w:t>
        </w:r>
      </w:hyperlink>
    </w:p>
    <w:p>
      <w:pPr>
        <w:spacing w:before="0" w:after="80"/>
      </w:pPr>
      <w:r>
        <w:rPr>
          <w:i/>
          <w:sz w:val="20"/>
        </w:rPr>
        <w:t>EN: Investigation of lithium plating mechanism based on N/P ratio controlled lithium-ion batteries</w:t>
      </w:r>
    </w:p>
    <w:p>
      <w:pPr>
        <w:spacing w:before="0" w:after="120"/>
      </w:pPr>
      <w:r>
        <w:rPr>
          <w:b/>
        </w:rPr>
        <w:t xml:space="preserve">Source: </w:t>
      </w:r>
      <w:r>
        <w:t>ScienceDirect Publication: Applied Energy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[333] </w:t>
      </w:r>
      <w:hyperlink r:id="rId538">
        <w:r>
          <w:rPr>
            <w:color w:val="1155CC"/>
            <w:u w:val="single"/>
          </w:rPr>
          <w:t>超分辨率成像时代的荧光染色:新的机遇、挑战和演变</w:t>
        </w:r>
      </w:hyperlink>
    </w:p>
    <w:p>
      <w:pPr>
        <w:spacing w:before="0" w:after="80"/>
      </w:pPr>
      <w:r>
        <w:rPr>
          <w:i/>
          <w:sz w:val="20"/>
        </w:rPr>
        <w:t>EN: Fluorescent dyes in the era of super-resolution imaging: new opportunities, challenges, and evolution</w:t>
      </w:r>
    </w:p>
    <w:p>
      <w:pPr>
        <w:spacing w:before="0" w:after="120"/>
      </w:pPr>
      <w:r>
        <w:rPr>
          <w:b/>
        </w:rPr>
        <w:t xml:space="preserve">Source: </w:t>
      </w:r>
      <w:r>
        <w:t>RSC - Chem. Soc. Rev. latest articles</w:t>
      </w:r>
      <w:r>
        <w:t xml:space="preserve">    </w:t>
      </w:r>
      <w:r>
        <w:rPr>
          <w:b/>
        </w:rPr>
        <w:t xml:space="preserve">Pub date: </w:t>
      </w:r>
      <w:r>
        <w:t>2026-01-21 00:00:00+00:00</w:t>
      </w:r>
    </w:p>
    <w:p>
      <w:pPr>
        <w:spacing w:before="0" w:after="120"/>
      </w:pPr>
      <w:r>
        <w:rPr>
          <w:b/>
        </w:rPr>
        <w:t xml:space="preserve">Notes: </w:t>
      </w:r>
      <w:r>
        <w:t>abstract_source=rsc_html</w:t>
      </w:r>
    </w:p>
    <w:p>
      <w:pPr>
        <w:spacing w:before="0" w:after="80" w:lineRule="auto" w:line="276"/>
      </w:pPr>
      <w:r>
        <w:rPr>
          <w:b/>
        </w:rPr>
        <w:t xml:space="preserve">摘要（ZH）: </w:t>
      </w:r>
      <w:r>
        <w:t>超分辨率荧光成像(SRI)重新定义了光学显微镜的能力,使生物结构在纳米尺度上可视化。这一范式转变是由统一原则驱动的:通过精确控制氟磷(通常称为“空间交易时间”)的暂时排放实现空间分辨率,这项战略从根本上依赖于精确调控荧光排放动态,这种调控将荧光白从被动标志提升到成像性能的积极决定因素。这一转变为荧光染色提供了历史性机会,这是最古老的合成有机分子类别之一,通过SRI重振和推动其发展进入新时代。与此同时,它引入了前所未有的新时代。</w:t>
      </w:r>
    </w:p>
    <w:p>
      <w:pPr>
        <w:spacing w:before="0" w:after="200" w:lineRule="auto" w:line="276"/>
      </w:pPr>
      <w:r>
        <w:rPr>
          <w:b/>
        </w:rPr>
        <w:t xml:space="preserve">Abstract (EN): </w:t>
      </w:r>
      <w:r>
        <w:t>Super-resolution fluorescence imaging (SRI) has redefined the capabilities of optical microscopy, enabling the visualization of biological structures at the nanoscale. This paradigm shift is driven by a unifying principle: achieving spatial resolution by precisely controlling the temporal emission of fluorophores, often referred to as “trading time for space”. This strategy relies fundamentally on the precise modulation of fluorescence emission dynamics, which elevates fluorescent dyes from passive markers to active determinants of imaging performance. This shift represents a historic opportunity for fluorescent dyes, one of the oldest classes of synthetic organic molecules, with SRI reinvigorating and propelling their development into a new era. At the same time, it introduces unprecedented challenges, requiring fluorescent dyes with tailored photophysical properties—such as enhanced brightness, engineered photoswitching kinetics, and superior photostability—that exceed the demands of conventional microscopy. This tutorial review examines how these challenges are driving the evolution of fluorescent dyes. We explore the molecular engineering strategies used to meet the rigorous demands of SRI and discuss how these advancements are pushing the boundaries of SRI technology.</w:t>
      </w:r>
    </w:p>
    <w:p>
      <w:pPr>
        <w:spacing w:before="120" w:after="120"/>
      </w:pPr>
      <w:r>
        <w:rPr>
          <w:sz w:val="18"/>
        </w:rPr>
        <w:t>——————————————————————————————————————————————————————————————————————</w:t>
      </w:r>
    </w:p>
    <w:p>
      <w:pPr>
        <w:spacing w:before="160" w:after="40" w:line="240" w:lineRule="auto"/>
      </w:pPr>
      <w:r>
        <w:rPr>
          <w:b/>
        </w:rPr>
        <w:t xml:space="preserve">[334] </w:t>
      </w:r>
      <w:hyperlink r:id="rId539">
        <w:r>
          <w:rPr>
            <w:color w:val="1155CC"/>
            <w:u w:val="single"/>
          </w:rPr>
          <w:t>行星成形磁盘中的硅酸盐</w:t>
        </w:r>
      </w:hyperlink>
    </w:p>
    <w:p>
      <w:pPr>
        <w:spacing w:before="0" w:after="80"/>
      </w:pPr>
      <w:r>
        <w:rPr>
          <w:i/>
          <w:sz w:val="20"/>
        </w:rPr>
        <w:t>EN: Accretion bursts crystallize silicates in a planet-forming disk</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在高温(&gt;900K)(refs. 1.2)下形成晶体硅酸盐形式(&gt;900K)(refs. 1.2)。在彗星3,4,5,6,6显示太阳早期系统存在高温尘处理,然后将高温尘处理转移到彗星成形区域,然而,在类似太阳的原始星中这种晶体化和再分配的直接证据仍然不明。通过比较Pames Webbb空间望远镜中红外光谱,我们探测到了仅在爆发期间出现的晶体(白石和恒星)排放特征。这些特征的出现表明,在排泄物破裂期间热内盘中热喷射形成活跃的晶体。我们还检测到一个嵌入式流——一种由S(s)附着的凝胶化原子喷射机。</w:t>
      </w:r>
    </w:p>
    <w:p>
      <w:pPr>
        <w:spacing w:before="0" w:after="200" w:lineRule="auto" w:line="276"/>
      </w:pPr>
      <w:r>
        <w:rPr>
          <w:b/>
        </w:rPr>
        <w:t xml:space="preserve">Abstract (EN): </w:t>
      </w:r>
      <w:r>
        <w:t>Crystalline silicates form at high temperatures (&gt;900 K) (refs. 1,2). Their presence in comets3,4,5,6 suggests that high-temperature dust processing occurred in the early Solar System and was subsequently transported outwards to comet-forming regions. However, direct evidence for this crystallization and redistribution in Sun-like protostars has remained unknown. By comparing James Webb Space Telescope mid-infrared spectra of the periodically bursting protostar EC 53 (ref. 7), we detect crystalline silicate (forsterite and enstatite) emission features that appear only during the burst. The emergence of these features indicates active crystal formation by thermal annealing in the hot inner disk during the accretion burst. We also detect a nested outflow—a collimated atomic jet enclosed by slower molecular outflows, consistent with magnetohydrodynamic wind models8. This configuration provides a mechanism for the outward transport of freshly crystallized silicates9. To our knowledge, our results provide the first direct observational evidence of in situ silicate crystallization during episodic accretion bursts in a very young star still embedded in its dense envelope. Although we do not directly detect grains transported to the outer disk, the observed trends are consistent with outward redistribution, indicating that both dust processing and transport occur during the earliest and most dynamic stages of star formation.</w:t>
      </w:r>
    </w:p>
    <w:p>
      <w:pPr>
        <w:spacing w:before="120" w:after="120"/>
      </w:pPr>
      <w:r>
        <w:rPr>
          <w:sz w:val="18"/>
        </w:rPr>
        <w:t>——————————————————————————————————————————————————————————————————————</w:t>
      </w:r>
    </w:p>
    <w:p>
      <w:pPr>
        <w:spacing w:before="160" w:after="40" w:line="240" w:lineRule="auto"/>
      </w:pPr>
      <w:r>
        <w:rPr>
          <w:b/>
        </w:rPr>
        <w:t xml:space="preserve">[335] </w:t>
      </w:r>
      <w:hyperlink r:id="rId540">
        <w:r>
          <w:rPr>
            <w:color w:val="1155CC"/>
            <w:u w:val="single"/>
          </w:rPr>
          <w:t>高稳定、无高高空超高空-北天顶高空高地表层</w:t>
        </w:r>
      </w:hyperlink>
    </w:p>
    <w:p>
      <w:pPr>
        <w:spacing w:before="0" w:after="80"/>
      </w:pPr>
      <w:r>
        <w:rPr>
          <w:i/>
          <w:sz w:val="20"/>
        </w:rPr>
        <w:t>EN: Lattice-Coherent Epitaxial Surface Engineering in Highly Stable Co-Free Ultrahigh-Ni Cathodes</w:t>
      </w:r>
    </w:p>
    <w:p>
      <w:pPr>
        <w:spacing w:before="0" w:after="120"/>
      </w:pPr>
      <w:r>
        <w:rPr>
          <w:b/>
        </w:rPr>
        <w:t xml:space="preserve">Source: </w:t>
      </w:r>
      <w:r>
        <w:t>RSC - Energy Environ. Sci. latest articles</w:t>
      </w:r>
      <w:r>
        <w:t xml:space="preserve">    </w:t>
      </w:r>
      <w:r>
        <w:rPr>
          <w:b/>
        </w:rPr>
        <w:t xml:space="preserve">Pub date: </w:t>
      </w:r>
      <w:r>
        <w:t>2026-01-21 00:00:00+00:00</w:t>
      </w:r>
    </w:p>
    <w:p>
      <w:pPr>
        <w:spacing w:before="0" w:after="120"/>
      </w:pPr>
      <w:r>
        <w:rPr>
          <w:b/>
        </w:rPr>
        <w:t xml:space="preserve">Notes: </w:t>
      </w:r>
      <w:r>
        <w:t>abstract_source=rsc_html</w:t>
      </w:r>
    </w:p>
    <w:p>
      <w:pPr>
        <w:spacing w:before="0" w:after="80" w:lineRule="auto" w:line="276"/>
      </w:pPr>
      <w:r>
        <w:rPr>
          <w:b/>
        </w:rPr>
        <w:t xml:space="preserve">摘要（ZH）: </w:t>
      </w:r>
      <w:r>
        <w:t>减缓地表驱动的结构降解,向内扩散并耗尽所有活性粒子,对于改善无超Ni-NMAs(LiNi1-x-y Mnx AL y O 2,1-x-y-z-z  0.9)的周期寿命至关重要。这里,在LiNi 0.9 Mn 0.05 Al 0.05 O 2中,通过设计二级粒子的内部成分分布,同时改善地表化学和机械完整性,精确地在二级粒子表面主要粒子的边缘处安装了一个具有稳定低耐久值状态和精细化初级粒子的上层,主要结果表明,在粒子结晶上留下的Mn 4+有助于形成一个本地一致的Li/Ni反地点缺陷。</w:t>
      </w:r>
    </w:p>
    <w:p>
      <w:pPr>
        <w:spacing w:before="0" w:after="200" w:lineRule="auto" w:line="276"/>
      </w:pPr>
      <w:r>
        <w:rPr>
          <w:b/>
        </w:rPr>
        <w:t xml:space="preserve">Abstract (EN): </w:t>
      </w:r>
      <w:r>
        <w:t>Mitigating surface-initiated structural degradation that propagates inward and depletes all active particles is critical to improving the cycle lifespan of Co-free ultrahigh-Ni NMAs (LiNi 1-x-y Mn x Al y O 2 , 1-x-y-z ≥ 0.9) cathodes. Herein, an epitaxially grown lattice-coherent surface with stabilized low-Ni valence state and refined primary particles have been precisely implemented in LiNi 0.9 Mn 0.05 Al 0.05 O 2 by designing the internal composition distribution within secondary particles, simultaneously ameliorating surface chemistry and mechanical integrity. Key findings indicate that Mn 4+ retained on the particle crust facilitates a layer of localized coherent Li/Ni antisite defects on the periphery of the primary particles located on the surface of the secondary particle, which stabilizes the intrinsic nature of surface lattice. Meanwhile, thermally driven and inward diffusion of Mn during calcination, which acts as an oxygen carrier, ameliorates the local oxygen environment and suppresses interfacefusion intermediate phases (cation mixing) to refine the primary particles. The robust morphological integrity provided by refined primary particles prevents intergranular crack, confining interfacial parasitic reactions to the surface region of secondary particles protected by the lattice-coherent epitaxial surface. This universal approach optimally balances surface stabilization with charge transfer, significant enhancing capacity retention and rate capability for NMA cathode while opening new avenue for the next generation Co-free ultrahigh-Ni cathodes.</w:t>
      </w:r>
    </w:p>
    <w:p>
      <w:pPr>
        <w:spacing w:before="120" w:after="120"/>
      </w:pPr>
      <w:r>
        <w:rPr>
          <w:sz w:val="18"/>
        </w:rPr>
        <w:t>——————————————————————————————————————————————————————————————————————</w:t>
      </w:r>
    </w:p>
    <w:p>
      <w:pPr>
        <w:spacing w:before="160" w:after="40" w:line="240" w:lineRule="auto"/>
      </w:pPr>
      <w:r>
        <w:rPr>
          <w:b/>
        </w:rPr>
        <w:t xml:space="preserve">[336] </w:t>
      </w:r>
      <w:hyperlink r:id="rId541">
        <w:r>
          <w:rPr>
            <w:color w:val="1155CC"/>
            <w:u w:val="single"/>
          </w:rPr>
          <w:t>印尼洞穴的手触角是世界上最古老的艺术作品。</w:t>
        </w:r>
      </w:hyperlink>
    </w:p>
    <w:p>
      <w:pPr>
        <w:spacing w:before="0" w:after="80"/>
      </w:pPr>
      <w:r>
        <w:rPr>
          <w:i/>
          <w:sz w:val="20"/>
        </w:rPr>
        <w:t>EN: Hand stencils in Indonesian cave are world’s oldest known artworks</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[337] </w:t>
      </w:r>
      <w:hyperlink r:id="rId542">
        <w:r>
          <w:rPr>
            <w:color w:val="1155CC"/>
            <w:u w:val="single"/>
          </w:rPr>
          <w:t>观察到最大天体的量子效应</w:t>
        </w:r>
      </w:hyperlink>
    </w:p>
    <w:p>
      <w:pPr>
        <w:spacing w:before="0" w:after="80"/>
      </w:pPr>
      <w:r>
        <w:rPr>
          <w:i/>
          <w:sz w:val="20"/>
        </w:rPr>
        <w:t>EN: Quantum effect observed for biggest objects yet</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[338] </w:t>
      </w:r>
      <w:hyperlink r:id="rId543">
        <w:r>
          <w:rPr>
            <w:color w:val="1155CC"/>
            <w:u w:val="single"/>
          </w:rPr>
          <w:t>说明鸟的内视网膜 没有氧能如何运作 解决了350年前的 结构谜</w:t>
        </w:r>
      </w:hyperlink>
    </w:p>
    <w:p>
      <w:pPr>
        <w:spacing w:before="0" w:after="80"/>
      </w:pPr>
      <w:r>
        <w:rPr>
          <w:i/>
          <w:sz w:val="20"/>
        </w:rPr>
        <w:t>EN: Illuminating how the bird inner retina works without oxygen solves a 350-year-old structural mystery</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544">
        <w:r>
          <w:rPr>
            <w:color w:val="1155CC"/>
            <w:u w:val="single"/>
          </w:rPr>
          <w:t>埃塞俄比亚阿法尔地区共有各种早期荷米宁物种</w:t>
        </w:r>
      </w:hyperlink>
    </w:p>
    <w:p>
      <w:pPr>
        <w:spacing w:before="0" w:after="80"/>
      </w:pPr>
      <w:r>
        <w:rPr>
          <w:i/>
          <w:sz w:val="20"/>
        </w:rPr>
        <w:t>EN: A variety of early hominin species shared the Afar region of Ethiopia</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[340] </w:t>
      </w:r>
      <w:hyperlink r:id="rId545">
        <w:r>
          <w:rPr>
            <w:color w:val="1155CC"/>
            <w:u w:val="single"/>
          </w:rPr>
          <w:t>在混合质谱纳米结构中挖出隐藏路径</w:t>
        </w:r>
      </w:hyperlink>
    </w:p>
    <w:p>
      <w:pPr>
        <w:spacing w:before="0" w:after="80"/>
      </w:pPr>
      <w:r>
        <w:rPr>
          <w:i/>
          <w:sz w:val="20"/>
        </w:rPr>
        <w:t>EN: Revealing hidden pathways in hybrid plasmonic nanostructures</w:t>
      </w:r>
    </w:p>
    <w:p>
      <w:pPr>
        <w:spacing w:before="0" w:after="120"/>
      </w:pPr>
      <w:r>
        <w:rPr>
          <w:b/>
        </w:rPr>
        <w:t xml:space="preserve">Source: </w:t>
      </w:r>
      <w:r>
        <w:t>Nature Nanotechnology</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[341] </w:t>
      </w:r>
      <w:hyperlink r:id="rId546">
        <w:r>
          <w:rPr>
            <w:color w:val="1155CC"/>
            <w:u w:val="single"/>
          </w:rPr>
          <w:t>富人停止买游艇 一年来卖了</w:t>
        </w:r>
      </w:hyperlink>
    </w:p>
    <w:p>
      <w:pPr>
        <w:spacing w:before="0" w:after="80"/>
      </w:pPr>
      <w:r>
        <w:rPr>
          <w:i/>
          <w:sz w:val="20"/>
        </w:rPr>
        <w:t>EN: The rich stopped buying yachts the year time went on sale</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[342] </w:t>
      </w:r>
      <w:hyperlink r:id="rId547">
        <w:r>
          <w:rPr>
            <w:color w:val="1155CC"/>
            <w:u w:val="single"/>
          </w:rPr>
          <w:t>美国前线社区的脆弱程度超过气候担忧</w:t>
        </w:r>
      </w:hyperlink>
    </w:p>
    <w:p>
      <w:pPr>
        <w:spacing w:before="0" w:after="80"/>
      </w:pPr>
      <w:r>
        <w:rPr>
          <w:i/>
          <w:sz w:val="20"/>
        </w:rPr>
        <w:t>EN: Vulnerability outpaces climate worry in US frontline communities</w:t>
      </w:r>
    </w:p>
    <w:p>
      <w:pPr>
        <w:spacing w:before="0" w:after="120"/>
      </w:pPr>
      <w:r>
        <w:rPr>
          <w:b/>
        </w:rPr>
        <w:t xml:space="preserve">Source: </w:t>
      </w:r>
      <w:r>
        <w:t>One Earth</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[343] </w:t>
      </w:r>
      <w:hyperlink r:id="rId548">
        <w:r>
          <w:rPr>
            <w:color w:val="1155CC"/>
            <w:u w:val="single"/>
          </w:rPr>
          <w:t>通过合作型多试剂和机器人系统进行知识驱动自主材料研究</w:t>
        </w:r>
      </w:hyperlink>
    </w:p>
    <w:p>
      <w:pPr>
        <w:spacing w:before="0" w:after="80"/>
      </w:pPr>
      <w:r>
        <w:rPr>
          <w:i/>
          <w:sz w:val="20"/>
        </w:rPr>
        <w:t>EN: Knowledge-driven autonomous materials research via collaborative multi-agent and robotic system</w:t>
      </w:r>
    </w:p>
    <w:p>
      <w:pPr>
        <w:spacing w:before="0" w:after="120"/>
      </w:pPr>
      <w:r>
        <w:rPr>
          <w:b/>
        </w:rPr>
        <w:t xml:space="preserve">Source: </w:t>
      </w:r>
      <w:r>
        <w:t>Matter</w:t>
      </w:r>
      <w:r>
        <w:t xml:space="preserve">    </w:t>
      </w:r>
      <w:r>
        <w:rPr>
          <w:b/>
        </w:rPr>
        <w:t xml:space="preserve">Pub date: </w:t>
      </w:r>
      <w:r>
        <w:t>2026-01-21 00:00:00+00:00</w:t>
      </w:r>
    </w:p>
    <w:p>
      <w:pPr>
        <w:spacing w:before="0" w:after="120"/>
      </w:pPr>
      <w:r>
        <w:rPr>
          <w:b/>
        </w:rPr>
        <w:t xml:space="preserve">Notes: </w:t>
      </w:r>
      <w:r>
        <w:t>abstract_source=rss_cell</w:t>
      </w:r>
    </w:p>
    <w:p>
      <w:pPr>
        <w:spacing w:before="0" w:after="80" w:lineRule="auto" w:line="276"/>
      </w:pPr>
      <w:r>
        <w:rPr>
          <w:b/>
        </w:rPr>
        <w:t xml:space="preserve">摘要（ZH）: </w:t>
      </w:r>
      <w:r>
        <w:t>多试剂和机器人合作系统(MARS)是一个等级知识驱动框架,它协调了19个LLM代理,并提供了16个具体领域的工具,目的是加速材料研究;通过协调专门代理,利用具体领域的工具,MARS自主地进行全周期材料开发,从设计到合成和优化;该系统显示,通过跨领域知识整合,在开发一个水中稳定的百草枯纳米复合物方面加速了60倍;这一范式转变使研究人员能够关注创造性的解决问题方法,而AI则处理重复性任务,从根本上改变材料创新方法。</w:t>
      </w:r>
    </w:p>
    <w:p>
      <w:pPr>
        <w:spacing w:before="0" w:after="200" w:lineRule="auto" w:line="276"/>
      </w:pPr>
      <w:r>
        <w:rPr>
          <w:b/>
        </w:rPr>
        <w:t xml:space="preserve">Abstract (EN): </w:t>
      </w:r>
      <w:r>
        <w:t>The collaborative multi-agent and robot system (MARS), a hierarchical knowledge-driven framework coordinating 19 LLM agents with 16 domain-specific tools, is developed to accelerate materials research. By coordinating specialized agents with domain-specific tools, MARS autonomously executes full-cycle materials development, from design to synthesis and optimization. The system demonstrated a 60-fold acceleration in developing a water-stable perovskite nanocomposite through cross-domain knowledge integration. This paradigm shift enables researchers to focus on creative problem-solving while AI handles repetitive tasks, fundamentally changing materials innovation approaches.</w:t>
      </w:r>
    </w:p>
    <w:p>
      <w:pPr>
        <w:spacing w:before="120" w:after="120"/>
      </w:pPr>
      <w:r>
        <w:rPr>
          <w:sz w:val="18"/>
        </w:rPr>
        <w:t>——————————————————————————————————————————————————————————————————————</w:t>
      </w:r>
    </w:p>
    <w:p>
      <w:pPr>
        <w:spacing w:before="160" w:after="40" w:line="240" w:lineRule="auto"/>
      </w:pPr>
      <w:r>
        <w:rPr>
          <w:b/>
        </w:rPr>
        <w:t xml:space="preserve">[344] </w:t>
      </w:r>
      <w:hyperlink r:id="rId549">
        <w:r>
          <w:rPr>
            <w:color w:val="1155CC"/>
            <w:u w:val="single"/>
          </w:rPr>
          <w:t>具有可交换的非对等电子运输方式的威基半金属磁性三维外壳切片</w:t>
        </w:r>
      </w:hyperlink>
    </w:p>
    <w:p>
      <w:pPr>
        <w:spacing w:before="0" w:after="80"/>
      </w:pPr>
      <w:r>
        <w:rPr>
          <w:i/>
          <w:sz w:val="20"/>
        </w:rPr>
        <w:t>EN: Nanosculpted 3D helices of a magnetic Weyl semimetal with switchable non-reciprocal electron transport</w:t>
      </w:r>
    </w:p>
    <w:p>
      <w:pPr>
        <w:spacing w:before="0" w:after="120"/>
      </w:pPr>
      <w:r>
        <w:rPr>
          <w:b/>
        </w:rPr>
        <w:t xml:space="preserve">Source: </w:t>
      </w:r>
      <w:r>
        <w:t>Nature Nanotechnology</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材料的新兴特性受其基础原子、旋转和充电顺序的对称性调节。 因此,内在物质特性通常限制对称破碎效应的探索。 聚焦离子束(FIB)的制造现在能够将散装晶体结构构造成超精密的运输装置,从而可以研究中微镜长度尺度上的几何对称断裂。 我们在这里将FIB纳米结构扩展为三维、卷轴和电荷定序。 我们使用高流动性、中度磁性微米微米、直径为1至4微米、方位从500纳米至2微米的单晶体晶体,在10K至190K温度之间对直升机装置进行锁定测量。</w:t>
      </w:r>
    </w:p>
    <w:p>
      <w:pPr>
        <w:spacing w:before="0" w:after="200" w:lineRule="auto" w:line="276"/>
      </w:pPr>
      <w:r>
        <w:rPr>
          <w:b/>
        </w:rPr>
        <w:t xml:space="preserve">Abstract (EN): </w:t>
      </w:r>
      <w:r>
        <w:t>The emergent properties of materials are governed by the symmetries of their underlying atomic, spin and charge order. Therefore, intrinsic material properties usually constrain the exploration of symmetry-breaking effects. Focused ion beam (FIB) fabrication now enables the structuring of bulk crystals into ultraprecise transport devices, allowing the study of geometrical symmetry breaking on mesoscopic length scales. Here we extend FIB nanostructuring into three-dimensional, curvilinear geometries. Using single crystals of the high-mobility, centrosymmetric magnetic Weyl semimetal Co3Sn2S2, we sculpt helices with lengths of 3–14 μm, diameters of 1–4 μm and pitches ranging from 500 nm to 2 μm. Lock-in measurements on the helical devices at temperatures between 10 K and 190 K show that the combination of imposed inversion symmetry-breaking geometry and ferromagnetism yields non-reciprocal electron transport—or diode effect—at zero applied magnetic field, exceeding classical self-field expectations by orders of magnitude at low temperatures. We attribute this behaviour to the quasi-ballistic motion of carriers as the mean free path approaches the length scale of the chiral device geometry. Finally, we show that current pulses can switch the magnetization of the device. These results highlight the potential of FIB nanosculpting to engineer symmetry and functionality beyond conventional device geometries.</w:t>
      </w:r>
    </w:p>
    <w:p>
      <w:pPr>
        <w:spacing w:before="120" w:after="120"/>
      </w:pPr>
      <w:r>
        <w:rPr>
          <w:sz w:val="18"/>
        </w:rPr>
        <w:t>——————————————————————————————————————————————————————————————————————</w:t>
      </w:r>
    </w:p>
    <w:p>
      <w:pPr>
        <w:spacing w:before="160" w:after="40" w:line="240" w:lineRule="auto"/>
      </w:pPr>
      <w:r>
        <w:rPr>
          <w:b/>
        </w:rPr>
        <w:t xml:space="preserve">[345] </w:t>
      </w:r>
      <w:hyperlink r:id="rId550">
        <w:r>
          <w:rPr>
            <w:color w:val="1155CC"/>
            <w:u w:val="single"/>
          </w:rPr>
          <w:t>工程微粘合双特定纳米体增强对呼吸道病原体的肌肉免疫力</w:t>
        </w:r>
      </w:hyperlink>
    </w:p>
    <w:p>
      <w:pPr>
        <w:spacing w:before="0" w:after="80"/>
      </w:pPr>
      <w:r>
        <w:rPr>
          <w:i/>
          <w:sz w:val="20"/>
        </w:rPr>
        <w:t>EN: Engineered mucus-tethering bispecific nanobodies enhance mucosal immunity against respiratory pathogens</w:t>
      </w:r>
    </w:p>
    <w:p>
      <w:pPr>
        <w:spacing w:before="0" w:after="120"/>
      </w:pPr>
      <w:r>
        <w:rPr>
          <w:b/>
        </w:rPr>
        <w:t xml:space="preserve">Source: </w:t>
      </w:r>
      <w:r>
        <w:t>Nature Nanotechnology</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尽管在疫苗和抗病毒药物开发方面取得了进展,但预防呼吸病毒感染和传染仍然是全世界面临的重大挑战,这些方法的一个明显局限性是,它们不能在最初感染地点即呼吸系统肌肉感染的土壤中提供强有力的保护,而目前,加强肌肉免疫抗呼吸性病原体的战略仍然缺乏。在这里,我们制造了粘结粘结的双特定纳米体,通过结合其表层蛋白,使病毒同时失效,并通过确保它们具有粘性,将病毒困在肌肉中。与传统的非粘合性纳米体相比,这些粘合性双特定纳米体在残留体中的留存量有所增加。</w:t>
      </w:r>
    </w:p>
    <w:p>
      <w:pPr>
        <w:spacing w:before="0" w:after="200" w:lineRule="auto" w:line="276"/>
      </w:pPr>
      <w:r>
        <w:rPr>
          <w:b/>
        </w:rPr>
        <w:t xml:space="preserve">Abstract (EN): </w:t>
      </w:r>
      <w:r>
        <w:t>Despite advances in vaccine and antiviral drug development, the prevention of respiratory viral infection and transmission remains a substantial challenge worldwide. One obvious limitation of these approaches is that they do not provide robust protection at the initial site of infection, which is the respiratory mucosa. Currently, strategies to enhance mucosal immunity against respiratory pathogens remain lacking. Here we engineered mucus-tethering bispecific nanobodies designed to provide the simultaneous neutralization of viruses by binding to their surface proteins and the entrapment of viruses within the mucus by securing them to mucin. Compared with conventional non-mucus-tethering nanobodies, these mucus-tethering bispecific nanobodies demonstrated increased retention in the respiratory tract, provided enhanced protection against influenza viral infection in mice and reduced SARS-CoV-2 transmission in hamsters. Together, our findings represent a promising strategy for enhancing mucosal defences against respiratory viruses by blocking viral entry and limiting onward transmission.</w:t>
      </w:r>
    </w:p>
    <w:p>
      <w:pPr>
        <w:spacing w:before="120" w:after="120"/>
      </w:pPr>
      <w:r>
        <w:rPr>
          <w:sz w:val="18"/>
        </w:rPr>
        <w:t>——————————————————————————————————————————————————————————————————————</w:t>
      </w:r>
    </w:p>
    <w:p>
      <w:pPr>
        <w:spacing w:before="160" w:after="40" w:line="240" w:lineRule="auto"/>
      </w:pPr>
      <w:r>
        <w:rPr>
          <w:b/>
        </w:rPr>
        <w:t xml:space="preserve">[346] </w:t>
      </w:r>
      <w:hyperlink r:id="rId551">
        <w:r>
          <w:rPr>
            <w:color w:val="1155CC"/>
            <w:u w:val="single"/>
          </w:rPr>
          <w:t>阿法尔化石显示Parholicus的分布广泛和多功能性</w:t>
        </w:r>
      </w:hyperlink>
    </w:p>
    <w:p>
      <w:pPr>
        <w:spacing w:before="0" w:after="80"/>
      </w:pPr>
      <w:r>
        <w:rPr>
          <w:i/>
          <w:sz w:val="20"/>
        </w:rPr>
        <w:t>EN: Afar fossil shows broad distribution and versatility of Paranthropus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埃塞俄比亚东北部的阿法尔萧条含有丰富的古生物学和考古记录,记录了600万年人类进化的古代古代古代和考古记录。大量动物证据将进化模式与古代环境变化作为主要的基本力量联系在一起。 今天承认的许多早期的荷米因动物分类群是在阿法尔发现的,但帕罗努特斯在该地区显然没有出现。这里我们报告在米莱-洛格亚研究区发现一个我们归因于帕罗图斯的部分下层,日期在250万至290万年前,出现在一个深为人们熟知的时间和动物背景中。该发现属于帕罗图斯最古老的化石之一,表明从最早已知的表面看,这个基因具有更大的地理特征。</w:t>
      </w:r>
    </w:p>
    <w:p>
      <w:pPr>
        <w:spacing w:before="0" w:after="200" w:lineRule="auto" w:line="276"/>
      </w:pPr>
      <w:r>
        <w:rPr>
          <w:b/>
        </w:rPr>
        <w:t xml:space="preserve">Abstract (EN): </w:t>
      </w:r>
      <w:r>
        <w:t>The Afar depression in northeastern Ethiopia contains a rich palaeontological and archaeological record, which documents 6 million years of human evolution. Abundant faunal evidence links evolutionary patterns with palaeoenvironmental change as a principal underlying force1. Many of the earlier hominin taxa recognized today are found in the Afar, but Paranthropus has been conspicuously absent from the region. Here we report on the discovery, in the Mille-Logya research area, of a partial mandible that we attribute to Paranthropus, dated to between 2.5 and 2.9 million years ago and found in a well-understood chronological and faunal context. The find is among the oldest fossils attributable to Paranthropus and indicates that this genus, from its earliest known appearance, had a greater geographic distribution than previously documented2. Often seen as a dietary specialist feeding on tough food, the range of diverse habitats with which eastern African Paranthropus can now be associated shows that this suggested adaptive niche did not restrict its ability to disperse as widely as species of Australopithecus and early Homo. The discovery of Paranthropus in the Afar emphasizes how little is known about hominin evolution in eastern Africa during the crucial period between 3 and 2.5 million years ago, when this genus and the Homo lineage presumably emerged.</w:t>
      </w:r>
    </w:p>
    <w:p>
      <w:pPr>
        <w:spacing w:before="120" w:after="120"/>
      </w:pPr>
      <w:r>
        <w:rPr>
          <w:sz w:val="18"/>
        </w:rPr>
        <w:t>——————————————————————————————————————————————————————————————————————</w:t>
      </w:r>
    </w:p>
    <w:p>
      <w:pPr>
        <w:spacing w:before="160" w:after="40" w:line="240" w:lineRule="auto"/>
      </w:pPr>
      <w:r>
        <w:rPr>
          <w:b/>
        </w:rPr>
        <w:t xml:space="preserve">[347] </w:t>
      </w:r>
      <w:hyperlink r:id="rId552">
        <w:r>
          <w:rPr>
            <w:color w:val="1155CC"/>
            <w:u w:val="single"/>
          </w:rPr>
          <w:t>来自空间快照的时间组织动态</w:t>
        </w:r>
      </w:hyperlink>
    </w:p>
    <w:p>
      <w:pPr>
        <w:spacing w:before="0" w:after="80"/>
      </w:pPr>
      <w:r>
        <w:rPr>
          <w:i/>
          <w:sz w:val="20"/>
        </w:rPr>
        <w:t>EN: Temporal tissue dynamics from a spatial snapshot</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1 然而,由于缺乏在人体组织本地背景下长期跟踪细胞群的方法,因此缺乏在人体组织本地背景下长期跟踪细胞群的方法,因为生物检查只提供一张照片。这里我们介绍一个镜头的组织动态重建(OSDR),这是根据单一组织样本估计细胞群动态模型的一种方法。OSDR利用空间蛋白学了解蜂群的组成如何影响分裂率,提供了细胞群随时间变化的动态模型。我们对人类乳腺癌数据应用OSDR,2,3,4,并重建两个固定点的纤维肿和大型phage互动,5,6。这些固定点与热和冷纤维化相对应。</w:t>
      </w:r>
    </w:p>
    <w:p>
      <w:pPr>
        <w:spacing w:before="0" w:after="200" w:lineRule="auto" w:line="276"/>
      </w:pPr>
      <w:r>
        <w:rPr>
          <w:b/>
        </w:rPr>
        <w:t xml:space="preserve">Abstract (EN): </w:t>
      </w:r>
      <w:r>
        <w:t>Physiological and pathological processes such as inflammation and cancer emerge from interactions between cells over time1. However, methods to follow cell populations over time within the native context of a human tissue are lacking because a biopsy offers only a single snapshot. Here we present one-shot tissue dynamics reconstruction (OSDR), an approach to estimate a dynamical model of cell populations based on a single tissue sample. OSDR uses spatial proteomics to learn how the composition of cellular neighbourhoods influences division rate, providing a dynamical model of cell population change over time. We apply OSDR to human breast cancer data2,3,4, and reconstruct two fixed points of fibroblasts and macrophage interactions5,6. These fixed points correspond to hot and cold fibrosis7, in agreement with co-culture experiments that measured these dynamics directly8. We then use OSDR to discover a pulse-generating excitable circuit of T and B cells in the tumour microenvironment, suggesting temporal flares of anticancer immune responses. Finally, we study longitudinal biopsies from a triple-negative breast cancer clinical trial3, in which OSDR predicts the collapse of the tumour cell population in responders but not in non-responders, based on early-treatment biopsies. OSDR can be applied to a wide range of spatial proteomics assays to enable analysis of tissue dynamics based on patient biopsies.</w:t>
      </w:r>
    </w:p>
    <w:p>
      <w:pPr>
        <w:spacing w:before="120" w:after="120"/>
      </w:pPr>
      <w:r>
        <w:rPr>
          <w:sz w:val="18"/>
        </w:rPr>
        <w:t>——————————————————————————————————————————————————————————————————————</w:t>
      </w:r>
    </w:p>
    <w:p>
      <w:pPr>
        <w:spacing w:before="160" w:after="40" w:line="240" w:lineRule="auto"/>
      </w:pPr>
      <w:r>
        <w:rPr>
          <w:b/>
        </w:rPr>
        <w:t xml:space="preserve">[348] </w:t>
      </w:r>
      <w:hyperlink r:id="rId553">
        <w:r>
          <w:rPr>
            <w:color w:val="1155CC"/>
            <w:u w:val="single"/>
          </w:rPr>
          <w:t>超磁力的对称、显微镜和光谱信号</w:t>
        </w:r>
      </w:hyperlink>
    </w:p>
    <w:p>
      <w:pPr>
        <w:spacing w:before="0" w:after="80"/>
      </w:pPr>
      <w:r>
        <w:rPr>
          <w:i/>
          <w:sz w:val="20"/>
        </w:rPr>
        <w:t>EN: Symmetry, microscopy and spectroscopy signatures of altermagnetism</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最近发现的变磁体的发现,部分是由于对补偿性磁铁的研究导致磁铁转向高度可伸缩的脊柱技术。同时,变磁铁与以非常规超流层阶段进行非常规超流层订购的反动波高端波性质相同,这在过去几十年中一直处于研究的最前沿。这些例子表明从广泛的科学和技术角度对变磁法的兴趣。我们在这里审查变磁的对称性、显微镜和光谱学特征。我们描述了自发破碎和保留的对称性,将变磁体描述为与d、g或i-波补偿的共线性旋转的不同物质阶段。从微弱的相互作用金属到坚固的金属材料。</w:t>
      </w:r>
    </w:p>
    <w:p>
      <w:pPr>
        <w:spacing w:before="0" w:after="200" w:lineRule="auto" w:line="276"/>
      </w:pPr>
      <w:r>
        <w:rPr>
          <w:b/>
        </w:rPr>
        <w:t xml:space="preserve">Abstract (EN): </w:t>
      </w:r>
      <w:r>
        <w:t>The recent discovery of altermagnetism was in part motivated by the research of compensated magnets towards highly scalable spintronic technologies. Simultaneously, altermagnetism shares the anisotropic higher-partial-wave nature of ordering with unconventional superfluid phases, which have been at the forefront of research for the past several decades. These examples illustrate the interest in altermagnetism from a broad range of science and technology perspectives. Here we review the symmetry, microscopy and spectroscopy signatures of altermagnetism. We describe the spontaneously broken and retained symmetries that delineate altermagnetism as a distinct phase of matter with d-, g- or i-wave compensated collinear spin ordering. In materials ranging from weakly interacting metals to strongly correlated insulators, the microscopic crystal-structure realizations of the altermagnetic symmetries feature a characteristic ferroic order of anisotropic higher-partial-wave components of atomic-scale spin densities. These symmetry and microscopy signatures of altermagnetism are directly reflected in spin-dependent electronic spectra and responses. We review salient band-structure features originating from the altermagnetic ordering, and from its interplay with spin–orbit coupling and topological phenomena. Throughout, we compare altermagnetism with traditional ferromagnetism and Néel antiferromagnetism, and with magnetic phases with symmetry-protected compensated non-collinear spin orders. We accompany the theoretical discussions with references to relevant experiments.</w:t>
      </w:r>
    </w:p>
    <w:p>
      <w:pPr>
        <w:spacing w:before="120" w:after="120"/>
      </w:pPr>
      <w:r>
        <w:rPr>
          <w:sz w:val="18"/>
        </w:rPr>
        <w:t>——————————————————————————————————————————————————————————————————————</w:t>
      </w:r>
    </w:p>
    <w:p>
      <w:pPr>
        <w:spacing w:before="160" w:after="40" w:line="240" w:lineRule="auto"/>
      </w:pPr>
      <w:r>
        <w:rPr>
          <w:b/>
        </w:rPr>
        <w:t xml:space="preserve">[349] </w:t>
      </w:r>
      <w:hyperlink r:id="rId554">
        <w:r>
          <w:rPr>
            <w:color w:val="1155CC"/>
            <w:u w:val="single"/>
          </w:rPr>
          <w:t>由剪流引起的喷气式喷气式飞机驱动的大型迪纳摩</w:t>
        </w:r>
      </w:hyperlink>
    </w:p>
    <w:p>
      <w:pPr>
        <w:spacing w:before="0" w:after="80"/>
      </w:pPr>
      <w:r>
        <w:rPr>
          <w:i/>
          <w:sz w:val="20"/>
        </w:rPr>
        <w:t>EN: Large-scale dynamos driven by shear-flow-induced jets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磁场在所占据的每一个规模上都影响到各种现象,包括恒星形成、宇宙射线运输、充电粒子加速、空间天气、行星大气中的迁移和实验室等离子体,这些领域往往是由动荡流产生的,在称为“长长长长”的进程中由动荡流产生和维持的。1955年,E.N.Parker对小规模动荡的影响进行了参数化,以提出一种中位场底线理论。1 广泛使用的理论复制了观测到的大型田地,但在调试参数方面遇到了困难,因为从最初的原则来看,这些参数是没有道理的:关于动荡流的研究显示交织的磁场,由于剪流的锻炼,这些磁场被叠叠成并分裂成小规模结构。</w:t>
      </w:r>
    </w:p>
    <w:p>
      <w:pPr>
        <w:spacing w:before="0" w:after="200" w:lineRule="auto" w:line="276"/>
      </w:pPr>
      <w:r>
        <w:rPr>
          <w:b/>
        </w:rPr>
        <w:t xml:space="preserve">Abstract (EN): </w:t>
      </w:r>
      <w:r>
        <w:t>At every scale they occupy, magnetic fields affect various phenomena, including star formation, cosmic-ray transport, charged-particle acceleration, space weather, transport in planetary atmospheres and laboratory plasmas. These fields are often generated and sustained by turbulent flows in a process called the dynamo. In 1955, E. N. Parker parameterized the effects of small-scale turbulence to propose a mean-field dynamo theory1. The widely used theory reproduces observed large-scale fields but suffers from difficulty in tuning parameters as they are not justified from first principles: studies of turbulent flows show tangled magnetic fields, which are folded and fragmented into small-scale structures owing to shear-flow straining2,3. Here, considering a shear flow that is unstable and driven, we develop analytic theory and perform three-dimensional, advanced computer simulations of turbulence with up to 4,096 × 4,096 × 8,192 grid points, showing ab initio generation of quasi-periodic, large-scale magnetic fields. The generation occurs via the mean-vorticity effect—an additional mean-field dynamo process postulated4 in 1990. Crucial to this dynamo is the prior generation of large-scale three-dimensional jets, robustly produced as topologically protected and exact nonlinear solutions of the magnetohydrodynamic equations. The jet-driven dynamo applies to shear-driven laboratory and astrophysical systems. These include binary neutron star mergers5,6, where the reported dynamo probably operates on microsecond timescales to produce in milliseconds some of the strongest magnetic fields in the Universe7, providing signals for multi-messenger astronomy8.</w:t>
      </w:r>
    </w:p>
    <w:p>
      <w:pPr>
        <w:spacing w:before="120" w:after="120"/>
      </w:pPr>
      <w:r>
        <w:rPr>
          <w:sz w:val="18"/>
        </w:rPr>
        <w:t>——————————————————————————————————————————————————————————————————————</w:t>
      </w:r>
    </w:p>
    <w:p>
      <w:pPr>
        <w:spacing w:before="160" w:after="40" w:line="240" w:lineRule="auto"/>
      </w:pPr>
      <w:r>
        <w:rPr>
          <w:b/>
        </w:rPr>
        <w:t xml:space="preserve">[350] </w:t>
      </w:r>
      <w:hyperlink r:id="rId555">
        <w:r>
          <w:rPr>
            <w:color w:val="1155CC"/>
            <w:u w:val="single"/>
          </w:rPr>
          <w:t>利用纳米粒子物质波干涉测量法检验量子力学</w:t>
        </w:r>
      </w:hyperlink>
    </w:p>
    <w:p>
      <w:pPr>
        <w:spacing w:before="0" w:after="80"/>
      </w:pPr>
      <w:r>
        <w:rPr>
          <w:i/>
          <w:sz w:val="20"/>
        </w:rPr>
        <w:t>EN: Probing quantum mechanics with nanoparticle matter-wave interferometry</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量子叠加原则是物理学的基本概念1 和无数量子技术的基础2,3 但它仍然常常被视为反直觉,因为我们没有在日常生活的宏观尺度上观察其关键特征。因此,很有意思的问题是,当我们增加物体的大小和复杂性时,量子特性是如何持续或变化的。 4 这个问题的示范试验可以通过量子波干涉测量实现,在这种测量中,单个大规模粒子的移动被迁移,需要用波函数来描述,波函数跨越远大于粒子本身的区域。 5 多年来,随着一系列质量和复杂性不断增大的物体6,7,8,9 以及越来越多的社区旨在将这一问题推向前视线。</w:t>
      </w:r>
    </w:p>
    <w:p>
      <w:pPr>
        <w:spacing w:before="0" w:after="200" w:lineRule="auto" w:line="276"/>
      </w:pPr>
      <w:r>
        <w:rPr>
          <w:b/>
        </w:rPr>
        <w:t xml:space="preserve">Abstract (EN): </w:t>
      </w:r>
      <w:r>
        <w:t>The quantum superposition principle is a fundamental concept of physics1 and the basis of numerous quantum technologies2,3. Yet, it is still often regarded counterintuitive because we do not observe its key features on the macroscopic scales of our daily lives. It is, therefore, interesting to ask how quantum properties persist or change as we increase the size and complexity of objects4. A model test for this question can be realized by matter-wave interferometry, in which the motion of individual massive particles becomes delocalized and needs to be described by a wave function that spans regions far larger than the particle itself5. Over the years, this has been explored with a series of objects of increasing mass and complexity6,7,8,9 and a growing community aims at pushing this to ever larger limits. Here we present an experimental platform that extends matter-wave interference to large metal clusters, a qualitatively new material class for quantum experiments. We specifically demonstrate quantum interference of sodium nanoparticles, which can each contain more than 7,000 atoms at masses greater than 170,000 Da. They propagate in a Schrödinger cat state with a macroscopicity10 of μ = 15.5, surpassing previous experiments5,9,11 by an order of magnitude.</w:t>
      </w:r>
    </w:p>
    <w:p>
      <w:pPr>
        <w:spacing w:before="120" w:after="120"/>
      </w:pPr>
      <w:r>
        <w:rPr>
          <w:sz w:val="18"/>
        </w:rPr>
        <w:t>——————————————————————————————————————————————————————————————————————</w:t>
      </w:r>
    </w:p>
    <w:p>
      <w:pPr>
        <w:spacing w:before="160" w:after="40" w:line="240" w:lineRule="auto"/>
      </w:pPr>
      <w:r>
        <w:rPr>
          <w:b/>
        </w:rPr>
        <w:t xml:space="preserve">[351] </w:t>
      </w:r>
      <w:hyperlink r:id="rId556">
        <w:r>
          <w:rPr>
            <w:color w:val="1155CC"/>
            <w:u w:val="single"/>
          </w:rPr>
          <w:t>使用热可交换溶剂直接从盐水混合物中的碱性金属碳化物中提取锂</w:t>
        </w:r>
      </w:hyperlink>
    </w:p>
    <w:p>
      <w:pPr>
        <w:spacing w:before="0" w:after="80"/>
      </w:pPr>
      <w:r>
        <w:rPr>
          <w:i/>
          <w:sz w:val="20"/>
        </w:rPr>
        <w:t>EN: A novel approach for direct lithium extraction from alkali metal cations in brine mixtures using thermally switchable solvents</w:t>
      </w:r>
    </w:p>
    <w:p>
      <w:pPr>
        <w:spacing w:before="0" w:after="120"/>
      </w:pPr>
      <w:r>
        <w:rPr>
          <w:b/>
        </w:rPr>
        <w:t xml:space="preserve">Source: </w:t>
      </w:r>
      <w:r>
        <w:t>Joule</w:t>
      </w:r>
      <w:r>
        <w:t xml:space="preserve">    </w:t>
      </w:r>
      <w:r>
        <w:rPr>
          <w:b/>
        </w:rPr>
        <w:t xml:space="preserve">Pub date: </w:t>
      </w:r>
      <w:r>
        <w:t>2026-01-21 00:00:00+00:00</w:t>
      </w:r>
    </w:p>
    <w:p>
      <w:pPr>
        <w:spacing w:before="0" w:after="120"/>
      </w:pPr>
      <w:r>
        <w:rPr>
          <w:b/>
        </w:rPr>
        <w:t xml:space="preserve">Notes: </w:t>
      </w:r>
      <w:r>
        <w:t>abstract_source=rss_cell</w:t>
      </w:r>
    </w:p>
    <w:p>
      <w:pPr>
        <w:spacing w:before="0" w:after="80" w:lineRule="auto" w:line="276"/>
      </w:pPr>
      <w:r>
        <w:rPr>
          <w:b/>
        </w:rPr>
        <w:t xml:space="preserve">摘要（ZH）: </w:t>
      </w:r>
      <w:r>
        <w:t>一种新型的可交换溶剂选择性提炼(S3E)技术利用热反应胺从复杂的盐水中进行高度选择性的锂回收。 温率波动小,将溶剂溶剂溶剂溶剂溶剂溶利性降低,即使多加1 000x钠或钾,也能够优先提取锂。 S3E保持溶剂稳定性和选择性,并反复选择可缩放的锂回收周期。 S3E保持溶剂稳定性和选择性。</w:t>
      </w:r>
    </w:p>
    <w:p>
      <w:pPr>
        <w:spacing w:before="0" w:after="200" w:lineRule="auto" w:line="276"/>
      </w:pPr>
      <w:r>
        <w:rPr>
          <w:b/>
        </w:rPr>
        <w:t xml:space="preserve">Abstract (EN): </w:t>
      </w:r>
      <w:r>
        <w:t>A novel switchable solvent selective extraction (S3E) technology utilizes thermo-responsive amines for highly selective lithium recovery from complex brines. A modest temperature swing toggles solvent hydrophilicity, enabling preferential lithium extraction even with 1,000× more sodium or potassium. S3E maintains solvent stability and selectivity over repeated cycles for scalable lithium recovery.</w:t>
      </w:r>
    </w:p>
    <w:p>
      <w:pPr>
        <w:spacing w:before="120" w:after="120"/>
      </w:pPr>
      <w:r>
        <w:rPr>
          <w:sz w:val="18"/>
        </w:rPr>
        <w:t>——————————————————————————————————————————————————————————————————————</w:t>
      </w:r>
    </w:p>
    <w:p>
      <w:pPr>
        <w:spacing w:before="160" w:after="40" w:line="240" w:lineRule="auto"/>
      </w:pPr>
      <w:r>
        <w:rPr>
          <w:b/>
        </w:rPr>
        <w:t xml:space="preserve">[352] </w:t>
      </w:r>
      <w:hyperlink r:id="rId557">
        <w:r>
          <w:rPr>
            <w:color w:val="1155CC"/>
            <w:u w:val="single"/>
          </w:rPr>
          <w:t>人类重组和中微粒化形成形态</w:t>
        </w:r>
      </w:hyperlink>
    </w:p>
    <w:p>
      <w:pPr>
        <w:spacing w:before="0" w:after="80"/>
      </w:pPr>
      <w:r>
        <w:rPr>
          <w:i/>
          <w:sz w:val="20"/>
        </w:rPr>
        <w:t>EN: Common variation in meiosis genes shapes human recombination and aneuploidy</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造成人类怀孕损失的主要原因是内核质,常常追踪女性中性病1,2期间染色体隔离的错误。2 虽然已知异常交叉重组会给内核3,4,4,4带来风险,但有限的数据妨碍了对这些关键分子苯型潜在共享遗传基础的理解。为解决这一差距,我们从22,850组生物父母的体外受精胚中对139,416个受精胚的植入前基因测试数据进行了回溯分析。通过跟踪机型的传播,我们发现了3,809,412个交叉交叉体,以及92,485个中聚体染色体。与这些胚胎在染色体配对和分离中的作用一致,这些交叉体的数值较低。我们的分析还发现,一个环形型的染色体存在。</w:t>
      </w:r>
    </w:p>
    <w:p>
      <w:pPr>
        <w:spacing w:before="0" w:after="200" w:lineRule="auto" w:line="276"/>
      </w:pPr>
      <w:r>
        <w:rPr>
          <w:b/>
        </w:rPr>
        <w:t xml:space="preserve">Abstract (EN): </w:t>
      </w:r>
      <w:r>
        <w:t>The leading cause of human pregnancy loss is aneuploidy, often tracing to errors in chromosome segregation during female meiosis1,2. Although abnormal crossover recombination is known to confer risk for aneuploidy3,4, limited data have hindered understanding of the potential shared genetic basis of these key molecular phenotypes. To address this gap, we performed retrospective analysis of pre-implantation genetic testing data from 139,416 in vitro fertilized embryos from 22,850 sets of biological parents. By tracing transmission of haplotypes, we identified 3,809,412 crossovers, as well as 92,485 aneuploid chromosomes. Counts of crossovers were lower in aneuploid versus euploid embryos, consistent with their role in chromosome pairing and segregation. Our analyses further revealed that a common haplotype spanning the meiotic cohesin SMC1B is associated significantly with both crossover count and maternal meiotic aneuploidy, with evidence supporting a non-coding cis-regulatory mechanism. Transcriptome- and phenome-wide association tests also implicated variation in the synaptonemal complex component C14orf39 and crossover-regulating ubiquitin ligases CCNB1IP1 and RNF212 in meiotic aneuploidy risk. More broadly, variants associated with aneuploidy often showed secondary associations with recombination, and several also exhibited associations with reproductive ageing traits. Our findings highlight the dual role of recombination in generating genetic diversity, while ensuring meiotic fidelity.</w:t>
      </w:r>
    </w:p>
    <w:p>
      <w:pPr>
        <w:spacing w:before="120" w:after="120"/>
      </w:pPr>
      <w:r>
        <w:rPr>
          <w:sz w:val="18"/>
        </w:rPr>
        <w:t>——————————————————————————————————————————————————————————————————————</w:t>
      </w:r>
    </w:p>
    <w:p>
      <w:pPr>
        <w:spacing w:before="160" w:after="40" w:line="240" w:lineRule="auto"/>
      </w:pPr>
      <w:r>
        <w:rPr>
          <w:b/>
        </w:rPr>
        <w:t xml:space="preserve">[353] </w:t>
      </w:r>
      <w:hyperlink r:id="rId558">
        <w:r>
          <w:rPr>
            <w:color w:val="1155CC"/>
            <w:u w:val="single"/>
          </w:rPr>
          <w:t>半数以上主要研究作者说,资金正在下降</w:t>
        </w:r>
      </w:hyperlink>
    </w:p>
    <w:p>
      <w:pPr>
        <w:spacing w:before="0" w:after="80"/>
      </w:pPr>
      <w:r>
        <w:rPr>
          <w:i/>
          <w:sz w:val="20"/>
        </w:rPr>
        <w:t>EN: More than half of authors of leading research say funding is declining</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[354] </w:t>
      </w:r>
      <w:hyperlink r:id="rId559">
        <w:r>
          <w:rPr>
            <w:color w:val="1155CC"/>
            <w:u w:val="single"/>
          </w:rPr>
          <w:t>质子交换薄膜电解器的跨平平面基丝状丝状蒸气效率</w:t>
        </w:r>
      </w:hyperlink>
    </w:p>
    <w:p>
      <w:pPr>
        <w:spacing w:before="0" w:after="80"/>
      </w:pPr>
      <w:r>
        <w:rPr>
          <w:i/>
          <w:sz w:val="20"/>
        </w:rPr>
        <w:t>EN: Cross-plane iridium-based filaments sap efficiency in proton exchange membrane electrolyzers</w:t>
      </w:r>
    </w:p>
    <w:p>
      <w:pPr>
        <w:spacing w:before="0" w:after="120"/>
      </w:pPr>
      <w:r>
        <w:rPr>
          <w:b/>
        </w:rPr>
        <w:t xml:space="preserve">Source: </w:t>
      </w:r>
      <w:r>
        <w:t>Joule</w:t>
      </w:r>
      <w:r>
        <w:t xml:space="preserve">    </w:t>
      </w:r>
      <w:r>
        <w:rPr>
          <w:b/>
        </w:rPr>
        <w:t xml:space="preserve">Pub date: </w:t>
      </w:r>
      <w:r>
        <w:t>2026-01-21 00:00:00+00:00</w:t>
      </w:r>
    </w:p>
    <w:p>
      <w:pPr>
        <w:spacing w:before="0" w:after="120"/>
      </w:pPr>
      <w:r>
        <w:rPr>
          <w:b/>
        </w:rPr>
        <w:t xml:space="preserve">Notes: </w:t>
      </w:r>
      <w:r>
        <w:t>abstract_source=rss_cell</w:t>
      </w:r>
    </w:p>
    <w:p>
      <w:pPr>
        <w:spacing w:before="0" w:after="80" w:lineRule="auto" w:line="276"/>
      </w:pPr>
      <w:r>
        <w:rPr>
          <w:b/>
        </w:rPr>
        <w:t xml:space="preserve">摘要（ZH）: </w:t>
      </w:r>
      <w:r>
        <w:t>这项研究显示,在质子交换膜电解器、创造寄生性流道和降低系统效率的质子交换膜电解器中,导电丝可以在整个膜中形成。 研究结果将丝质形成与多孔的运输层设计联系起来,为工业水电解器的耐用性和寿命的提高提供了深刻的见解。</w:t>
      </w:r>
    </w:p>
    <w:p>
      <w:pPr>
        <w:spacing w:before="0" w:after="200" w:lineRule="auto" w:line="276"/>
      </w:pPr>
      <w:r>
        <w:rPr>
          <w:b/>
        </w:rPr>
        <w:t xml:space="preserve">Abstract (EN): </w:t>
      </w:r>
      <w:r>
        <w:t>This study reveals that conductive iridium filaments can form across the membrane in proton exchange membrane electrolyzers, creating parasitic current pathways and reducing system efficiency. The findings link filament formation to porous transport layer design, providing insights to improve the durability and lifetime of industrial water electrolyzers.</w:t>
      </w:r>
    </w:p>
    <w:p>
      <w:pPr>
        <w:spacing w:before="120" w:after="120"/>
      </w:pPr>
      <w:r>
        <w:rPr>
          <w:sz w:val="18"/>
        </w:rPr>
        <w:t>——————————————————————————————————————————————————————————————————————</w:t>
      </w:r>
    </w:p>
    <w:p>
      <w:pPr>
        <w:spacing w:before="160" w:after="40" w:line="240" w:lineRule="auto"/>
      </w:pPr>
      <w:r>
        <w:rPr>
          <w:b/>
        </w:rPr>
        <w:t xml:space="preserve">[355] </w:t>
      </w:r>
      <w:hyperlink r:id="rId560">
        <w:r>
          <w:rPr>
            <w:color w:val="1155CC"/>
            <w:u w:val="single"/>
          </w:rPr>
          <w:t>女孩从青春期开始就更年轻——为什么,风险是什么?</w:t>
        </w:r>
      </w:hyperlink>
    </w:p>
    <w:p>
      <w:pPr>
        <w:spacing w:before="0" w:after="80"/>
      </w:pPr>
      <w:r>
        <w:rPr>
          <w:i/>
          <w:sz w:val="20"/>
        </w:rPr>
        <w:t>EN: Girls are starting puberty younger — why, and what are the risks?</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[356] </w:t>
      </w:r>
      <w:hyperlink r:id="rId561">
        <w:r>
          <w:rPr>
            <w:color w:val="1155CC"/>
            <w:u w:val="single"/>
          </w:rPr>
          <w:t>解开多巴胺与多氯胺酮和多氯二苯并二噁英之间的联系</w:t>
        </w:r>
      </w:hyperlink>
    </w:p>
    <w:p>
      <w:pPr>
        <w:spacing w:before="0" w:after="80"/>
      </w:pPr>
      <w:r>
        <w:rPr>
          <w:i/>
          <w:sz w:val="20"/>
        </w:rPr>
        <w:t>EN: Untangling the connection between dopamine and ADHD</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[357] </w:t>
      </w:r>
      <w:hyperlink r:id="rId562">
        <w:r>
          <w:rPr>
            <w:color w:val="1155CC"/>
            <w:u w:val="single"/>
          </w:rPr>
          <w:t>注: VEGFFR2的同值调节其细胞内贩运和病理血管起源</w:t>
        </w:r>
      </w:hyperlink>
    </w:p>
    <w:p>
      <w:pPr>
        <w:spacing w:before="0" w:after="80"/>
      </w:pPr>
      <w:r>
        <w:rPr>
          <w:i/>
          <w:sz w:val="20"/>
        </w:rPr>
        <w:t>EN: Retraction Note: SUMOylation of VEGFR2 regulates its intracellular trafficking and pathological angiogenesis</w:t>
      </w:r>
    </w:p>
    <w:p>
      <w:pPr>
        <w:spacing w:before="0" w:after="120"/>
      </w:pPr>
      <w:r>
        <w:rPr>
          <w:b/>
        </w:rPr>
        <w:t xml:space="preserve">Source: </w:t>
      </w:r>
      <w:r>
        <w:t>Nature Communications</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[358] </w:t>
      </w:r>
      <w:hyperlink r:id="rId563">
        <w:r>
          <w:rPr>
            <w:color w:val="1155CC"/>
            <w:u w:val="single"/>
          </w:rPr>
          <w:t>一种由短短药药效尾巴界定的超长的超长碳氢化合物二氯杂草药</w:t>
        </w:r>
      </w:hyperlink>
    </w:p>
    <w:p>
      <w:pPr>
        <w:spacing w:before="0" w:after="80"/>
      </w:pPr>
      <w:r>
        <w:rPr>
          <w:i/>
          <w:sz w:val="20"/>
        </w:rPr>
        <w:t>EN: An ultra-long-acting dimeric bictegravir prodrug defined by a short pharmacokinetic tail</w:t>
      </w:r>
    </w:p>
    <w:p>
      <w:pPr>
        <w:spacing w:before="0" w:after="120"/>
      </w:pPr>
      <w:r>
        <w:rPr>
          <w:b/>
        </w:rPr>
        <w:t xml:space="preserve">Source: </w:t>
      </w:r>
      <w:r>
        <w:t>Nature Communications</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超长效抗逆转录病毒配方(ULA)抗逆转录病毒配方,注射量低,抗药性障碍高,以及短药效动力学尾巴(PK),能够改变艾滋病毒-1治疗方法。在这里,我们把每日口服强效口服抗逆转录病毒药物(BIC)这一强效日口服口服抗逆转录病毒药物转化为单一和同异性酯酯酯酯酯分泌药物。同同性抗药性纳米素富集性、NMNBIC,显示血浆BIC含量超过蛋白调整后95%抑制浓度(PA-IC95)16倍以上,在Sprague Dawley大鼠一次性注射后6个月的时间里(PA-IC95),其结果与短片PK尾和晚剂量豁免的可能性平行。单体抗药性纳米素(NM2BIC)在一次性注射后显示比PA-IC95高一年的血浆BIC浓度低于PA-IC浓度。在重复注射后,NMXBIC和N2BIC是N2BIC。</w:t>
      </w:r>
    </w:p>
    <w:p>
      <w:pPr>
        <w:spacing w:before="0" w:after="200" w:lineRule="auto" w:line="276"/>
      </w:pPr>
      <w:r>
        <w:rPr>
          <w:b/>
        </w:rPr>
        <w:t xml:space="preserve">Abstract (EN): </w:t>
      </w:r>
      <w:r>
        <w:t>Ultra-long-acting (ULA) antiretroviral parenteral formulations, with low injection volumes, high resistance barriers, and short pharmacokinetic (PK) tails, can transform HIV-1 therapeutics. Here, we converted bictegravir (BIC), a potent daily oral antiretroviral drug, into monomeric and homodimeric ester prodrugs. The homodimeric prodrug nanosuspension, NMXBIC, shows sustained plasma BIC levels &gt; 16 times the protein-adjusted 95% inhibitory concentration (PA-IC95) for six months after a single injection in Sprague Dawley rats. The results paralleled a short PK tail with the potential for late dose forgiveness. The monomeric prodrug nanosuspension, NM2BIC, shows lower year-long plasma BIC concentrations above PA-IC95 after a single injection. After repeated injections, NMXBIC and NM2BIC are well tolerated in New Zealand White rabbits. NMXBIC’s physicochemical properties and high BIC loading/unit mass of the prodrug contribute to its unique ULA PK profile. These results support its development as a ULA formulation for HIV-1 treatment and prevention.</w:t>
      </w:r>
    </w:p>
    <w:p>
      <w:pPr>
        <w:spacing w:before="120" w:after="120"/>
      </w:pPr>
      <w:r>
        <w:rPr>
          <w:sz w:val="18"/>
        </w:rPr>
        <w:t>——————————————————————————————————————————————————————————————————————</w:t>
      </w:r>
    </w:p>
    <w:p>
      <w:pPr>
        <w:spacing w:before="160" w:after="40" w:line="240" w:lineRule="auto"/>
      </w:pPr>
      <w:r>
        <w:rPr>
          <w:b/>
        </w:rPr>
        <w:t xml:space="preserve">[359] </w:t>
      </w:r>
      <w:hyperlink r:id="rId564">
        <w:r>
          <w:rPr>
            <w:color w:val="1155CC"/>
            <w:u w:val="single"/>
          </w:rPr>
          <w:t>管中素皮肤测试的演进暴露了可常规的Mtb-反应性T细胞元体</w:t>
        </w:r>
      </w:hyperlink>
    </w:p>
    <w:p>
      <w:pPr>
        <w:spacing w:before="0" w:after="80"/>
      </w:pPr>
      <w:r>
        <w:rPr>
          <w:i/>
          <w:sz w:val="20"/>
        </w:rPr>
        <w:t>EN: Evolution of the tuberculin skin test reveals generalisable Mtb-reactive T cell metaclones</w:t>
      </w:r>
    </w:p>
    <w:p>
      <w:pPr>
        <w:spacing w:before="0" w:after="120"/>
      </w:pPr>
      <w:r>
        <w:rPr>
          <w:b/>
        </w:rPr>
        <w:t xml:space="preserve">Source: </w:t>
      </w:r>
      <w:r>
        <w:t>Nature Communications</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T细胞有助于免疫保护和结核病的病发,但是对多克隆反应的测量未能解决结果的关联性。我们报告了T细胞受体(TCR)测序,作为标准化抗原挑战的模型,对Mycobactiperium 肺结核(Mtb)-反应性T细胞反应活性T反应的细胞反应的T细胞受T细胞受体(TCR)测序器(TCR)进行的时间评价。在初步非选择性地征聘T细胞之后,又对Olikoclonal T细胞扩散产生的Mtb-反应性克隆克隆人进行了浓缩。我们采用了模块化计算管道Metclonompist,对具有共同附着特性的敏感聚集式独特的TCR(TCR)进行了时间评价,我们在此应用该计算用于建立一个公共Mtb-反应性HLA受限T细胞元谱的目录。</w:t>
      </w:r>
    </w:p>
    <w:p>
      <w:pPr>
        <w:spacing w:before="0" w:after="200" w:lineRule="auto" w:line="276"/>
      </w:pPr>
      <w:r>
        <w:rPr>
          <w:b/>
        </w:rPr>
        <w:t xml:space="preserve">Abstract (EN): </w:t>
      </w:r>
      <w:r>
        <w:t>T cells contribute to immune protection and pathogenesis in tuberculosis, but measurements of polyclonal responses have failed to resolve correlates of outcome. We report the temporal evaluation of the human in vivo clonal repertoire of Mycobacterium tuberculosis (Mtb)-reactive T cell responses, by T cell receptor (TCR) sequencing at the site of the tuberculin skin test, as a model for a standardised antigenic challenge. Initial non-selective recruitment of T cells is followed by enrichment of Mtb-reactive clones arising from oligoclonal T cell proliferation. We introduce a modular computational pipeline, Metaclonotypist, to sensitively cluster distinct TCRs with shared epitope specificity, which we apply here to establish a catalogue of public Mtb-reactive HLA-restricted T cell metaclones. Although most in vivo Mtb-reactive T cells are private, 10 metaclones were sufficient to identify Mtb-T cell reactivity across our study population (N≥128), indicating striking population level immunodominance of specific TCR-peptide interactions that may inform patient stratification and vaccine development.</w:t>
      </w:r>
    </w:p>
    <w:p>
      <w:pPr>
        <w:spacing w:before="120" w:after="120"/>
      </w:pPr>
      <w:r>
        <w:rPr>
          <w:sz w:val="18"/>
        </w:rPr>
        <w:t>——————————————————————————————————————————————————————————————————————</w:t>
      </w:r>
    </w:p>
    <w:p>
      <w:pPr>
        <w:spacing w:before="160" w:after="40" w:line="240" w:lineRule="auto"/>
      </w:pPr>
      <w:r>
        <w:rPr>
          <w:b/>
        </w:rPr>
        <w:t xml:space="preserve">[360] </w:t>
      </w:r>
      <w:hyperlink r:id="rId565">
        <w:r>
          <w:rPr>
            <w:color w:val="1155CC"/>
            <w:u w:val="single"/>
          </w:rPr>
          <w:t>生命头1 000天的食糖配给和终生心脏衰竭风险</w:t>
        </w:r>
      </w:hyperlink>
    </w:p>
    <w:p>
      <w:pPr>
        <w:spacing w:before="0" w:after="80"/>
      </w:pPr>
      <w:r>
        <w:rPr>
          <w:i/>
          <w:sz w:val="20"/>
        </w:rPr>
        <w:t>EN: Sugar rationing during the first 1000 days of life and lifelong risk of heart failure</w:t>
      </w:r>
    </w:p>
    <w:p>
      <w:pPr>
        <w:spacing w:before="0" w:after="120"/>
      </w:pPr>
      <w:r>
        <w:rPr>
          <w:b/>
        </w:rPr>
        <w:t xml:space="preserve">Source: </w:t>
      </w:r>
      <w:r>
        <w:t>Nature Communications</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糖摄入量增加与心血管健康不佳有关,但早期食糖限制对心脏衰竭终身风险的影响仍不清楚。 以1953年英国糖配给的结束作为自然实验,我们根据出生时间对英国生物库的参与者进行分类,以确定早期接触食糖配给的早寿命。 这里我们显示,受早期食糖配给的人的心衰竭风险比未受爱低约14%,并且比未受爱低大约2.6年。 更长期的接触与更强烈的影响相关,而人口水平的估计数表明,大约4-5%的心脏衰竭病例可能是由于没有早期食糖的限制。 遗传易感性不易变。</w:t>
      </w:r>
    </w:p>
    <w:p>
      <w:pPr>
        <w:spacing w:before="0" w:after="200" w:lineRule="auto" w:line="276"/>
      </w:pPr>
      <w:r>
        <w:rPr>
          <w:b/>
        </w:rPr>
        <w:t xml:space="preserve">Abstract (EN): </w:t>
      </w:r>
      <w:r>
        <w:t>Elevated sugar intake has been linked to poor cardiovascular health, but the effects of early-life sugar restriction on the lifelong risk of heart failure remain unclear. Using the end of sugar rationing in the United Kingdom in 1953 as a natural experiment, we classify participants in the UK Biobank by birth timing to define early-life exposure to sugar rationing. Here we show that individuals exposed to early-life sugar rationing exhibit an approximately 14% lower risk of heart failure and develop the condition about 2.6 years later than those unexposed. Longer exposure is associated with stronger effects, and population-level estimates suggest that around 4–5% of heart failure cases may be attributable to the absence of early-life sugar restriction. Genetic susceptibility does not modify these associations but acts additively. These findings underscore the long-term importance of early-life sugar exposure for heart failure, and further studies are warranted.</w:t>
      </w:r>
    </w:p>
    <w:p>
      <w:pPr>
        <w:spacing w:before="120" w:after="120"/>
      </w:pPr>
      <w:r>
        <w:rPr>
          <w:sz w:val="18"/>
        </w:rPr>
        <w:t>——————————————————————————————————————————————————————————————————————</w:t>
      </w:r>
    </w:p>
    <w:p>
      <w:pPr>
        <w:spacing w:before="160" w:after="40" w:line="240" w:lineRule="auto"/>
      </w:pPr>
      <w:r>
        <w:rPr>
          <w:b/>
        </w:rPr>
        <w:t xml:space="preserve">[361] </w:t>
      </w:r>
      <w:hyperlink r:id="rId566">
        <w:r>
          <w:rPr>
            <w:color w:val="1155CC"/>
            <w:u w:val="single"/>
          </w:rPr>
          <w:t>以近1.5的债券定单作为合成构件块的超超双基代</w:t>
        </w:r>
      </w:hyperlink>
    </w:p>
    <w:p>
      <w:pPr>
        <w:spacing w:before="0" w:after="80"/>
      </w:pPr>
      <w:r>
        <w:rPr>
          <w:i/>
          <w:sz w:val="20"/>
        </w:rPr>
        <w:t>EN: Hyperpyramidalized alkenes with bond orders near 1.5 as synthetic building blocks</w:t>
      </w:r>
    </w:p>
    <w:p>
      <w:pPr>
        <w:spacing w:before="0" w:after="120"/>
      </w:pPr>
      <w:r>
        <w:rPr>
          <w:b/>
        </w:rPr>
        <w:t xml:space="preserve">Source: </w:t>
      </w:r>
      <w:r>
        <w:t>Nature Chemistry</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阿尔肯通常在每个终点都有三角平面的几何形形,有利的 和----勾结导致债券订单~2. 我们在这里认为,本项研究的重点是具有极端几何扭曲形式,称为超极潮相潮化的异常的藻类。 在超极多潮化的烷基中,几何形与典型的三边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平面。 1988年和平面平面平面平面平面平面平面平面平面平面</w:t>
      </w:r>
    </w:p>
    <w:p>
      <w:pPr>
        <w:spacing w:before="0" w:after="200" w:lineRule="auto" w:line="276"/>
      </w:pPr>
      <w:r>
        <w:rPr>
          <w:b/>
        </w:rPr>
        <w:t xml:space="preserve">Abstract (EN): </w:t>
      </w:r>
      <w:r>
        <w:t>Alkenes typically have trigonal planar geometries at each terminus, with favourable σ- and π-bonding leading to a bond order of ~2. Here we consider unusual alkenes that possess an extreme form of geometric distortion, termed hyperpyramidalization. In a hyperpyramidalized alkene, geometries deviate remarkably from the typical trigonal planar alkene geometry, leading to weak π-bonding and abnormal alkene bond orders approaching 1.5. Cubene and 1,7-quadricyclene, first validated in 1988 and 1979, respectively, but overlooked for decades since, are the focus of the present study. We leverage their unusually weak π-bonds in cycloadditions, enabling the construction of complex scaffolds and access to previously unrealized chemical space. The origins of the unusually low bond orders were investigated using computational methods. These efforts are expected to prompt future studies of molecules that display hyperpyramidalization or atypical bond orders.</w:t>
      </w:r>
    </w:p>
    <w:p>
      <w:pPr>
        <w:spacing w:before="120" w:after="120"/>
      </w:pPr>
      <w:r>
        <w:rPr>
          <w:sz w:val="18"/>
        </w:rPr>
        <w:t>——————————————————————————————————————————————————————————————————————</w:t>
      </w:r>
    </w:p>
    <w:p>
      <w:pPr>
        <w:spacing w:before="160" w:after="40" w:line="240" w:lineRule="auto"/>
      </w:pPr>
      <w:r>
        <w:rPr>
          <w:b/>
        </w:rPr>
        <w:t xml:space="preserve">[362] </w:t>
      </w:r>
      <w:hyperlink r:id="rId567">
        <w:r>
          <w:rPr>
            <w:color w:val="1155CC"/>
            <w:u w:val="single"/>
          </w:rPr>
          <w:t>在1L-WS2/plasmon混合结构中,从一致向不连贯的极地非线性向不连贯的极地非线性的超快过渡</w:t>
        </w:r>
      </w:hyperlink>
    </w:p>
    <w:p>
      <w:pPr>
        <w:spacing w:before="0" w:after="80"/>
      </w:pPr>
      <w:r>
        <w:rPr>
          <w:i/>
          <w:sz w:val="20"/>
        </w:rPr>
        <w:t>EN: Ultrafast transition from coherent to incoherent polariton nonlinearities in a hybrid 1L-WS2/plasmon structure</w:t>
      </w:r>
    </w:p>
    <w:p>
      <w:pPr>
        <w:spacing w:before="0" w:after="120"/>
      </w:pPr>
      <w:r>
        <w:rPr>
          <w:b/>
        </w:rPr>
        <w:t xml:space="preserve">Source: </w:t>
      </w:r>
      <w:r>
        <w:t>Nature Nanotechnology</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以原子薄度半导体为基础的Exciton 极地球是量子光电子装置的基本构件,其特性由超快和振动能量在其振动成分和光度成分之间转移来调节,从而形成极地分子准粒子,由异硫成分引致明显非线性。在金属中,微粒纳米反应器、消散现象将极地吨寿命限制在数以万计的纤维秒,因此这些极地子对于这种混合体的非线性反应的作用还有待探讨。我们在这里使用超快的二维电子光谱学(DES)来发现混合单层(1L) WS2/Plasmmonic NAM结构中一致的极地子动态。关于未交织的WS2,关于未交织的WS2,我们使用超快二维电子光谱学(DES)来发现一个混合单层(1L) WSS2/Plasmicnal结构。</w:t>
      </w:r>
    </w:p>
    <w:p>
      <w:pPr>
        <w:spacing w:before="0" w:after="200" w:lineRule="auto" w:line="276"/>
      </w:pPr>
      <w:r>
        <w:rPr>
          <w:b/>
        </w:rPr>
        <w:t xml:space="preserve">Abstract (EN): </w:t>
      </w:r>
      <w:r>
        <w:t>Exciton polaritons based on atomically thin semiconductors are essential building blocks of quantum optoelectronic devices. Their properties are governed by an ultrafast and oscillatory energy transfer between their excitonic and photonic constituents, resulting in the formation of polaritonic quasiparticles with pronounced nonlinearities induced by the excitonic component. In metallic, plasmonic nanoresonators, dissipation phenomena limit the polariton lifetime to a few tens of femtoseconds, so short that the role of these polaritons for the nonlinear response of such hybrids is yet unexplored. Here we use ultrafast two-dimensional electronic spectroscopy (2DES) to uncover coherent polariton dynamics in a hybrid monolayer (1L) WS2/plasmonic nanostructure. With respect to an uncoupled WS2 flake, we observe an over 20-fold, polarization-dependent enhancement of the optical nonlinearity and a rapid evolution of the 2DES spectra within ~70 fs. We relate these dynamics to a transition from coherent polaritons to incoherent excitations, unravel the microscopic origin of the optical nonlinearities and show the potential of coherent polaritons for ultrafast all-optical switching.</w:t>
      </w:r>
    </w:p>
    <w:p>
      <w:pPr>
        <w:spacing w:before="120" w:after="120"/>
      </w:pPr>
      <w:r>
        <w:rPr>
          <w:sz w:val="18"/>
        </w:rPr>
        <w:t>——————————————————————————————————————————————————————————————————————</w:t>
      </w:r>
    </w:p>
    <w:p>
      <w:pPr>
        <w:spacing w:before="160" w:after="40" w:line="240" w:lineRule="auto"/>
      </w:pPr>
      <w:r>
        <w:rPr>
          <w:b/>
        </w:rPr>
        <w:t xml:space="preserve">[363] </w:t>
      </w:r>
      <w:hyperlink r:id="rId568">
        <w:r>
          <w:rPr>
            <w:color w:val="1155CC"/>
            <w:u w:val="single"/>
          </w:rPr>
          <w:t>`遥控控制的'蛋白质照亮活细胞</w:t>
        </w:r>
      </w:hyperlink>
    </w:p>
    <w:p>
      <w:pPr>
        <w:spacing w:before="0" w:after="80"/>
      </w:pPr>
      <w:r>
        <w:rPr>
          <w:i/>
          <w:sz w:val="20"/>
        </w:rPr>
        <w:t>EN: ‘Remote controlled’ proteins illuminate living cells</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[364] </w:t>
      </w:r>
      <w:hyperlink r:id="rId569">
        <w:r>
          <w:rPr>
            <w:color w:val="1155CC"/>
            <w:u w:val="single"/>
          </w:rPr>
          <w:t>2026年七种技术</w:t>
        </w:r>
      </w:hyperlink>
    </w:p>
    <w:p>
      <w:pPr>
        <w:spacing w:before="0" w:after="80"/>
      </w:pPr>
      <w:r>
        <w:rPr>
          <w:i/>
          <w:sz w:val="20"/>
        </w:rPr>
        <w:t>EN: Seven technologies to watch in 2026</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[365] </w:t>
      </w:r>
      <w:hyperlink r:id="rId570">
        <w:r>
          <w:rPr>
            <w:color w:val="1155CC"/>
            <w:u w:val="single"/>
          </w:rPr>
          <w:t>在2026年制定议程的技术中,AI和核能的特征十分突出</w:t>
        </w:r>
      </w:hyperlink>
    </w:p>
    <w:p>
      <w:pPr>
        <w:spacing w:before="0" w:after="80"/>
      </w:pPr>
      <w:r>
        <w:rPr>
          <w:i/>
          <w:sz w:val="20"/>
        </w:rPr>
        <w:t>EN: AI and nuclear energy feature strongly in agenda-setting technologies for 2026</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571">
        <w:r>
          <w:rPr>
            <w:color w:val="1155CC"/>
            <w:u w:val="single"/>
          </w:rPr>
          <w:t>将婴儿送到托儿所 彻底重塑他们的微生物细胞</w:t>
        </w:r>
      </w:hyperlink>
    </w:p>
    <w:p>
      <w:pPr>
        <w:spacing w:before="0" w:after="80"/>
      </w:pPr>
      <w:r>
        <w:rPr>
          <w:i/>
          <w:sz w:val="20"/>
        </w:rPr>
        <w:t>EN: Sending babies to nursery completely reshapes their microbiomes</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572">
        <w:r>
          <w:rPr>
            <w:color w:val="1155CC"/>
            <w:u w:val="single"/>
          </w:rPr>
          <w:t>量子物理学家创造了有史以来最大的“超化 ” 。</w:t>
        </w:r>
      </w:hyperlink>
    </w:p>
    <w:p>
      <w:pPr>
        <w:spacing w:before="0" w:after="80"/>
      </w:pPr>
      <w:r>
        <w:rPr>
          <w:i/>
          <w:sz w:val="20"/>
        </w:rPr>
        <w:t>EN: Schrödinger’s cat just got bigger: quantum physicists create largest ever ‘superposition’</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573">
        <w:r>
          <w:rPr>
            <w:color w:val="1155CC"/>
            <w:u w:val="single"/>
          </w:rPr>
          <w:t>DADHD研究的六大要点</w:t>
        </w:r>
      </w:hyperlink>
    </w:p>
    <w:p>
      <w:pPr>
        <w:spacing w:before="0" w:after="80"/>
      </w:pPr>
      <w:r>
        <w:rPr>
          <w:i/>
          <w:sz w:val="20"/>
        </w:rPr>
        <w:t>EN: Six highlights from ADHD research</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574">
        <w:r>
          <w:rPr>
            <w:color w:val="1155CC"/>
            <w:u w:val="single"/>
          </w:rPr>
          <w:t>为什么ADDHD在女孩中得不到诊断</w:t>
        </w:r>
      </w:hyperlink>
    </w:p>
    <w:p>
      <w:pPr>
        <w:spacing w:before="0" w:after="80"/>
      </w:pPr>
      <w:r>
        <w:rPr>
          <w:i/>
          <w:sz w:val="20"/>
        </w:rPr>
        <w:t>EN: Why ADHD goes undiagnosed in girls</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575">
        <w:r>
          <w:rPr>
            <w:color w:val="1155CC"/>
            <w:u w:val="single"/>
          </w:rPr>
          <w:t>孕期杀螨醇是否是ADHD的风险因素?</w:t>
        </w:r>
      </w:hyperlink>
    </w:p>
    <w:p>
      <w:pPr>
        <w:spacing w:before="0" w:after="80"/>
      </w:pPr>
      <w:r>
        <w:rPr>
          <w:i/>
          <w:sz w:val="20"/>
        </w:rPr>
        <w:t>EN: Is paracetamol in pregnancy a risk factor for ADHD?</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576">
        <w:r>
          <w:rPr>
            <w:color w:val="1155CC"/>
            <w:u w:val="single"/>
          </w:rPr>
          <w:t>为什么青少年使用ADDHD 如此容易受到社交媒体的危害?</w:t>
        </w:r>
      </w:hyperlink>
    </w:p>
    <w:p>
      <w:pPr>
        <w:spacing w:before="0" w:after="80"/>
      </w:pPr>
      <w:r>
        <w:rPr>
          <w:i/>
          <w:sz w:val="20"/>
        </w:rPr>
        <w:t>EN: Why teens with ADHD are so vulnerable to the perils of social media</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577">
        <w:r>
          <w:rPr>
            <w:color w:val="1155CC"/>
            <w:u w:val="single"/>
          </w:rPr>
          <w:t>DDHD 治疗方法超越兴奋剂</w:t>
        </w:r>
      </w:hyperlink>
    </w:p>
    <w:p>
      <w:pPr>
        <w:spacing w:before="0" w:after="80"/>
      </w:pPr>
      <w:r>
        <w:rPr>
          <w:i/>
          <w:sz w:val="20"/>
        </w:rPr>
        <w:t>EN: ADHD treatments move beyond stimulants</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[373] </w:t>
      </w:r>
      <w:hyperlink r:id="rId578">
        <w:r>
          <w:rPr>
            <w:color w:val="1155CC"/>
            <w:u w:val="single"/>
          </w:rPr>
          <w:t>低功低电minmimiristor的细胞神经网络,减少间接费用</w:t>
        </w:r>
      </w:hyperlink>
    </w:p>
    <w:p>
      <w:pPr>
        <w:spacing w:before="0" w:after="80"/>
      </w:pPr>
      <w:r>
        <w:rPr>
          <w:i/>
          <w:sz w:val="20"/>
        </w:rPr>
        <w:t>EN: Low-power memristor-based cellular neural networks with reduced overhead</w:t>
      </w:r>
    </w:p>
    <w:p>
      <w:pPr>
        <w:spacing w:before="0" w:after="120"/>
      </w:pPr>
      <w:r>
        <w:rPr>
          <w:b/>
        </w:rPr>
        <w:t xml:space="preserve">Source: </w:t>
      </w:r>
      <w:r>
        <w:t>Nature Electronics</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[374] </w:t>
      </w:r>
      <w:hyperlink r:id="rId579">
        <w:r>
          <w:rPr>
            <w:color w:val="1155CC"/>
            <w:u w:val="single"/>
          </w:rPr>
          <w:t>ADHD正在上升,但是为什么呢?</w:t>
        </w:r>
      </w:hyperlink>
    </w:p>
    <w:p>
      <w:pPr>
        <w:spacing w:before="0" w:after="80"/>
      </w:pPr>
      <w:r>
        <w:rPr>
          <w:i/>
          <w:sz w:val="20"/>
        </w:rPr>
        <w:t>EN: ADHD is on the rise, but why?</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[375] </w:t>
      </w:r>
      <w:hyperlink r:id="rId580">
        <w:r>
          <w:rPr>
            <w:color w:val="1155CC"/>
            <w:u w:val="single"/>
          </w:rPr>
          <w:t>至少67800年前 在苏拉威西的摇滚艺术</w:t>
        </w:r>
      </w:hyperlink>
    </w:p>
    <w:p>
      <w:pPr>
        <w:spacing w:before="0" w:after="80"/>
      </w:pPr>
      <w:r>
        <w:rPr>
          <w:i/>
          <w:sz w:val="20"/>
        </w:rPr>
        <w:t>EN: Rock art from at least 67,800 years ago in Sulawesi</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印度尼西亚群岛是世界上已知最早的一些岩石艺术的所在地,1,2,3,4,4,4,5。 此前,在印度尼西亚苏拉威西岛西南半岛苏拉威西1,3,4,4,4,5的Maros-Pangkep卡斯特和穆纳岛东加里曼丹的Sangkulirang-Mangkalihat地区,在两个地区,据报告,在印度尼西亚两个地区,以象征性洞穴艺术和人的手触地为标志性洞穴艺术和手触地铁,提供了安全的普拉威西东南地区最早的岩石艺术模型。 其中,在穆纳岛Lian Metonduno的手触地点上,卡塔尼亚岛,卡塔尼亚岛,卡塔岛,卡卡罗尼亚群岛的卡石化石刻岩日期为71.6 3.8 000年。</w:t>
      </w:r>
    </w:p>
    <w:p>
      <w:pPr>
        <w:spacing w:before="0" w:after="200" w:lineRule="auto" w:line="276"/>
      </w:pPr>
      <w:r>
        <w:rPr>
          <w:b/>
        </w:rPr>
        <w:t xml:space="preserve">Abstract (EN): </w:t>
      </w:r>
      <w:r>
        <w:t>The Indonesian archipelago is host to some of the earliest known rock art in the world1,2,3,4,5. Previously, secure Pleistocene dates were reported for figurative cave art and stencils of human hands in two areas in Indonesia—the Maros-Pangkep karsts in the southwestern peninsula of the island of Sulawesi1,3,4,5 and the Sangkulirang-Mangkalihat region of eastern Kalimantan, Borneo2. Here we describe a series of early dated rock art motifs from the southeastern portion of Sulawesi. Among this assemblage of Pleistocene (and possibly more recent) motifs, laser-ablation U-series (LA-U-series) dating of calcite overlying a hand stencil from Liang Metanduno on Muna Island yielded a U-series date of 71.6 ± 3.8 thousand years ago (ka), providing a minimum-age constraint of 67.8 ka for the underlying motif. The Muna minimum (67.8 ± 3.8 ka) exceeds the published minimum for rock art in Maros-Pangkep by 16.6 thousand years (kyr) (ref. 5) and is 1.1 kyr greater than the published minimum for a hand stencil from Spain attributed to Neanderthals6, which until now represented the oldest demonstrated minimum-age constraint for cave art worldwide. Moreover, the presence of this extremely old art in Sulawesi suggests that the initial peopling of Sahul about 65 ka7 involved maritime journeys between Borneo and Papua, a region that remains poorly explored from an archaeological perspective.</w:t>
      </w:r>
    </w:p>
    <w:p>
      <w:pPr>
        <w:spacing w:before="120" w:after="120"/>
      </w:pPr>
      <w:r>
        <w:rPr>
          <w:sz w:val="18"/>
        </w:rPr>
        <w:t>——————————————————————————————————————————————————————————————————————</w:t>
      </w:r>
    </w:p>
    <w:p>
      <w:pPr>
        <w:spacing w:before="160" w:after="40" w:line="240" w:lineRule="auto"/>
      </w:pPr>
      <w:r>
        <w:rPr>
          <w:b/>
        </w:rPr>
        <w:t xml:space="preserve">[376] </w:t>
      </w:r>
      <w:hyperlink r:id="rId581">
        <w:r>
          <w:rPr>
            <w:color w:val="1155CC"/>
            <w:u w:val="single"/>
          </w:rPr>
          <w:t>坎布里安时期最早的脊椎动物的四只照相机型眼睛</w:t>
        </w:r>
      </w:hyperlink>
    </w:p>
    <w:p>
      <w:pPr>
        <w:spacing w:before="0" w:after="80"/>
      </w:pPr>
      <w:r>
        <w:rPr>
          <w:i/>
          <w:sz w:val="20"/>
        </w:rPr>
        <w:t>EN: Four camera-type eyes in the earliest vertebrates from the Cambrian Period</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Vertebrate 视觉主要由两对横向成像成像成像成像的照相机型眼睛所容纳,并且由非哺乳动物脊椎动物所补充,由作为光感和(或)内分泌器官的多角松皮复合体(脊椎和脊髓器官)加以补充。 1 松树复合体与横向眼睛有着共同的遗传和胚胎基础,两者都来自死脑病发育过程中的蒸发2 。 尽管人们广泛称其为王冠脊椎3 中的 " 第三只眼睛 ",但松树复合体的性质及其早期脊椎动物的假定视觉能力2 仍然未知。 在这里,我们描述了在两类宫颈眼之间,即最早已知的脊椎动物(约5.18亿年前)的两个物种(最早的518亿年前)的两色相特征,并解释这些特征。</w:t>
      </w:r>
    </w:p>
    <w:p>
      <w:pPr>
        <w:spacing w:before="0" w:after="200" w:lineRule="auto" w:line="276"/>
      </w:pPr>
      <w:r>
        <w:rPr>
          <w:b/>
        </w:rPr>
        <w:t xml:space="preserve">Abstract (EN): </w:t>
      </w:r>
      <w:r>
        <w:t>Vertebrate vision is mainly accommodated by a pair of lateral image-forming camera-type eyes and is supplemented in non-mammalian vertebrates by a dorsal pineal complex (pineal and parapineal organs) functioning as photoreceptive and/or endocrine organs1. The pineal complex shares a common genetic and embryological basis with the lateral eyes, both derived from evaginations during the development of diencephalon2. Despite being widely heralded as the ‘third eye’ in crown vertebrates3, the nature of the pineal complex and its presumed visual capability in early vertebrates2 remain unknown. Here we describe two pigmented features situated between the lateral eyes in two species of myllokunmingids, the earliest known fossil vertebrates (approximately 518 million years ago), and interpret these as pineal/parapineal organs. In both myllokunmingid species, the pineal complex contains abundant melanin-containing melanosomes identical to those in the retinal pigment epithelium in the lateral eyes, together with a distinctive, regularly ovoid structure interpreted as a lens. Our results indicate that the lateral eyes and pineal complex in myllokunmingids probably functioned as camera-type eyes capable of image formation. Thus, we propose that the four camera-type eyes represent an ancestral vertebrate character, corroborating hypotheses about the deep homology between the eyes and pineal complex.</w:t>
      </w:r>
    </w:p>
    <w:p>
      <w:pPr>
        <w:spacing w:before="120" w:after="120"/>
      </w:pPr>
      <w:r>
        <w:rPr>
          <w:sz w:val="18"/>
        </w:rPr>
        <w:t>——————————————————————————————————————————————————————————————————————</w:t>
      </w:r>
    </w:p>
    <w:p>
      <w:pPr>
        <w:spacing w:before="160" w:after="40" w:line="240" w:lineRule="auto"/>
      </w:pPr>
      <w:r>
        <w:rPr>
          <w:b/>
        </w:rPr>
        <w:t xml:space="preserve">[377] </w:t>
      </w:r>
      <w:hyperlink r:id="rId582">
        <w:r>
          <w:rPr>
            <w:color w:val="1155CC"/>
            <w:u w:val="single"/>
          </w:rPr>
          <w:t>确定E3 ligase 适配器 上的一个止动物点</w:t>
        </w:r>
      </w:hyperlink>
    </w:p>
    <w:p>
      <w:pPr>
        <w:spacing w:before="0" w:after="80"/>
      </w:pPr>
      <w:r>
        <w:rPr>
          <w:i/>
          <w:sz w:val="20"/>
        </w:rPr>
        <w:t>EN: Identification of an allosteric site on the E3 ligase adapter cereblon</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(CREBN)是硫代二苯衍生物1 的目标,该衍生物通过为降解而招募新基质,对某种血液肿瘤产生治疗效果2,3,4,4,4,4,4,3,4,3,3,3,3,5,6,7,7. 尽管对丙烯基二苯的正丙烯二烯衍生物进行了深入调查,但对丙烯基二烯二烯二烯二烯二烯二烯二烯二烯二烯二烯二烯二烯二烯二烯二烯二烯二烯二烯二烯二烯二烯二烯二烯二烯二烯二烯二烯的替代物很少了解。我们在此报告,CBNBN上有一个逐渐受保护的冷冻冷冻异源异源装点。小分子SB-405483将异源点捆绑在一起,以合作加强恒物的结合,并改变其新基基降解特征。对100多个有机丁二烯丁及其降解目标进行的一项调查显示,其中的化合物和新基次次化合物类别的趋势是SB-405483。结构调查提供了一种 mec。</w:t>
      </w:r>
    </w:p>
    <w:p>
      <w:pPr>
        <w:spacing w:before="0" w:after="200" w:lineRule="auto" w:line="276"/>
      </w:pPr>
      <w:r>
        <w:rPr>
          <w:b/>
        </w:rPr>
        <w:t xml:space="preserve">Abstract (EN): </w:t>
      </w:r>
      <w:r>
        <w:t>Cereblon (CRBN) is the target of thalidomide derivatives1 that achieve therapeutic efficacy against some haematologic neoplasias2,3,4 by recruiting neosubstrates for degradation5,6,7. Despite the intense investigation of orthosteric thalidomide derivatives, little is known about alternate binding sites on CRBN. Here we report an evolutionarily conserved cryptic allosteric binding site on CRBN. Small-molecule SB-405483 binds the allosteric site to cooperatively enhance the binding of orthosteric ligands and alter their neosubstrate degradation profiles. A survey of over 100 orthosteric ligands and their degradation targets reveals trends in the classes of compounds and neosubstrates in which degradation outcomes are enhanced or inhibited by SB-405483. Structural investigations provide a mechanistic basis for the effects of the allosteric ligand by shifting the conformational distribution of CRBNopen to a novel CRBNint and increasing the CRBNclosed state. The discovery of a cryptic allosteric binding site on CRBN that alters the functional effects of orthosteric ligands opens new directions with broad implications for improving the selectivity and efficacy of CRBN therapeutics.</w:t>
      </w:r>
    </w:p>
    <w:p>
      <w:pPr>
        <w:spacing w:before="120" w:after="120"/>
      </w:pPr>
      <w:r>
        <w:rPr>
          <w:sz w:val="18"/>
        </w:rPr>
        <w:t>——————————————————————————————————————————————————————————————————————</w:t>
      </w:r>
    </w:p>
    <w:p>
      <w:pPr>
        <w:spacing w:before="160" w:after="40" w:line="240" w:lineRule="auto"/>
      </w:pPr>
      <w:r>
        <w:rPr>
          <w:b/>
        </w:rPr>
        <w:t xml:space="preserve">[378] </w:t>
      </w:r>
      <w:hyperlink r:id="rId583">
        <w:r>
          <w:rPr>
            <w:color w:val="1155CC"/>
            <w:u w:val="single"/>
          </w:rPr>
          <w:t>Pyramidid 神经元成比例改变的中中中子型</w:t>
        </w:r>
      </w:hyperlink>
    </w:p>
    <w:p>
      <w:pPr>
        <w:spacing w:before="0" w:after="80"/>
      </w:pPr>
      <w:r>
        <w:rPr>
          <w:i/>
          <w:sz w:val="20"/>
        </w:rPr>
        <w:t>EN: Pyramidal neurons proportionately alter cortical interneuron subtypes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哺乳动物脑皮层由复杂的神经网络组成,在刺激性金字塔神经神经元和抑制性中中枢之间保持精确的平衡。累积证据表明,特定的中中子类型形成具有独特的金字塔神经等级的定型微电路,具有独特的金字塔神经1,2,3级。这里我们表明,金字塔神经在这一过程中发挥积极的作用,促进其相关的中中子子类型的生存和最终区别。在野型皮层中,中子类型丰度反映了其金字塔神经伙伴的流行。在Fezf2变异体中,这些变种缺乏L5b金字塔神经,在L6脑神经中有所扩展,相应的亚类型变化通过两种不同的机制发生:Somatastatain内中子体间转动。</w:t>
      </w:r>
    </w:p>
    <w:p>
      <w:pPr>
        <w:spacing w:before="0" w:after="200" w:lineRule="auto" w:line="276"/>
      </w:pPr>
      <w:r>
        <w:rPr>
          <w:b/>
        </w:rPr>
        <w:t xml:space="preserve">Abstract (EN): </w:t>
      </w:r>
      <w:r>
        <w:t>The mammalian cerebral cortex comprises a complex neuronal network that maintains a precise balance between excitatory pyramidal neurons and inhibitory interneurons. Accumulating evidence indicates that specific interneuron subtypes form stereotyped microcircuits with distinct pyramidal neuron classes1,2,3. Here we show that pyramidal neurons have an active role in this process by promoting the survival and terminal differentiation of their associated interneuron subtypes. In the wild-type cortex, interneuron subtype abundance mirrors the prevalence of their pyramidal neuron partners. In Fezf2 mutants, which lack L5b pyramidal neurons and are expanded in L6 intratelencephalic neurons, corresponding subtype-specific shifts occur through two distinct mechanisms: somatostatin interneurons adjust their programmed cell death, whereas parvalbumin interneurons switch their subtype identity. Silencing neuronal activity or blocking vesicular release in L5b pyramidal neurons revealed that their communication with interneurons does not require voltage-gated synaptic activity but engages both tetanus toxin-sensitive and tetanus toxin-insensitive pathways. Moreover, a targeted bioinformatic screen for ligand–receptor pairs displaying subtype-specific expression and reduced expression of pyramidal neuron-derived ligand in Fezf2 mutants identified candidate secreted factors and adhesion molecules. These findings reveal distinct, pyramidal neuron-driven mechanisms for sculpting interneuron diversity and integrating them into local cortical circuits.</w:t>
      </w:r>
    </w:p>
    <w:p>
      <w:pPr>
        <w:spacing w:before="120" w:after="120"/>
      </w:pPr>
      <w:r>
        <w:rPr>
          <w:sz w:val="18"/>
        </w:rPr>
        <w:t>——————————————————————————————————————————————————————————————————————</w:t>
      </w:r>
    </w:p>
    <w:p>
      <w:pPr>
        <w:spacing w:before="160" w:after="40" w:line="240" w:lineRule="auto"/>
      </w:pPr>
      <w:r>
        <w:rPr>
          <w:b/>
        </w:rPr>
        <w:t xml:space="preserve">[379] </w:t>
      </w:r>
      <w:hyperlink r:id="rId584">
        <w:r>
          <w:rPr>
            <w:color w:val="1155CC"/>
            <w:u w:val="single"/>
          </w:rPr>
          <w:t>分解关于人类皮下细胞归宿的基因管理网络</w:t>
        </w:r>
      </w:hyperlink>
    </w:p>
    <w:p>
      <w:pPr>
        <w:spacing w:before="0" w:after="80"/>
      </w:pPr>
      <w:r>
        <w:rPr>
          <w:i/>
          <w:sz w:val="20"/>
        </w:rPr>
        <w:t>EN: Dissecting gene regulatory networks governing human cortical cell fate</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生殖干细胞神经干细胞(RG) 神经干细胞形成细胞皮质多样性,产生刺激性神经元、寡头催化细胞和天体细胞,以及内中子和最近具有特征的内分泌细胞群1,2. 由转录因子(TF)电路协调的复杂基因方案管理着自我更新和差异之间的平衡,以及不同细胞命运之间的平衡,3,4,5,6,7,7.8。 尽管在人类皮层发展期间测量基因管制网络活动方面取得了进展,但需要进行功能研究,以评价人体皮质细胞分泌过程中TF和效应基因的作用。</w:t>
      </w:r>
    </w:p>
    <w:p>
      <w:pPr>
        <w:spacing w:before="0" w:after="200" w:lineRule="auto" w:line="276"/>
      </w:pPr>
      <w:r>
        <w:rPr>
          <w:b/>
        </w:rPr>
        <w:t xml:space="preserve">Abstract (EN): </w:t>
      </w:r>
      <w:r>
        <w:t>Human cortical neurogenesis involves conserved and specialized developmental processes during a restricted window of prenatal development. Radial glia (RG) neural stem cells shape cortical cell diversity by giving rise to excitatory neurons, oligodendrocytes and astrocytes, as well as olfactory bulb interneurons (INs) and a recently characterized population of cortical INs1,2. Complex genetic programs orchestrated by transcription factor (TF) circuits govern the balance between self-renewal and differentiation, and between different cell fates3,4,5,6,7,8. Despite progress in measuring gene regulatory network activity during human cortical development9,10,11,12, functional studies are required to evaluate the roles of TFs and effector genes in human RG lineage progression. Here we establish a human primary culture system that allows sensitive discrimination of cell fate dynamics and apply single-cell CRISPR interference (CRISPRi) screening13,14 to examine the transcriptional and cell fate consequences of 44 TFs active during cortical neurogenesis. We identified several TFs with new roles in cortical neurogenesis, including ZNF219—previously uncharacterized—that represses neural differentiation and NR2E1 and ARX that have opposing roles in regulating RG lineage plasticity and progression across developmental stages. We also detected convergent effector genes downstream of multiple TFs enriched in neurodevelopmental and neuropsychiatric disorders and observed conserved mechanisms of RG lineage plasticity across primates. We further uncovered a post-mitotic role for ARX in safeguarding IN subtype specification through repressing LMO1. Our study provides a framework for dissecting regulatory networks driving cell fate consequences during human neurogenesis.</w:t>
      </w:r>
    </w:p>
    <w:p>
      <w:pPr>
        <w:spacing w:before="120" w:after="120"/>
      </w:pPr>
      <w:r>
        <w:rPr>
          <w:sz w:val="18"/>
        </w:rPr>
        <w:t>——————————————————————————————————————————————————————————————————————</w:t>
      </w:r>
    </w:p>
    <w:p>
      <w:pPr>
        <w:spacing w:before="160" w:after="40" w:line="240" w:lineRule="auto"/>
      </w:pPr>
      <w:r>
        <w:rPr>
          <w:b/>
        </w:rPr>
        <w:t xml:space="preserve">[380] </w:t>
      </w:r>
      <w:hyperlink r:id="rId585">
        <w:r>
          <w:rPr>
            <w:color w:val="1155CC"/>
            <w:u w:val="single"/>
          </w:rPr>
          <w:t>陆地和海洋的大气微塑料排放</w:t>
        </w:r>
      </w:hyperlink>
    </w:p>
    <w:p>
      <w:pPr>
        <w:spacing w:before="0" w:after="80"/>
      </w:pPr>
      <w:r>
        <w:rPr>
          <w:i/>
          <w:sz w:val="20"/>
        </w:rPr>
        <w:t>EN: Atmospheric microplastic emissions from land and ocean</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微塑料(MPs)是全球污染物,1 但其大气分布不甚清楚。2 虽然大气的MP测量数据已变得更加丰富,但大气中排放的估计数却因数量级而异。 我们在此汇编了全球大气MPs数据集,并与大小一致的MP模型模拟进行比较。我们的模型模拟显示,测量的全球中位大气MP浓度估计值高2至4级。测量的海洋中位浓度比陆地低27倍(分别为0.003和0.08微粒m-3)。我们采用简单的测量方法估计,海洋排放的数量低于陆地排放的数量。全球陆基和海洋排放总量为6.1×1017(1.3×10)。</w:t>
      </w:r>
    </w:p>
    <w:p>
      <w:pPr>
        <w:spacing w:before="0" w:after="200" w:lineRule="auto" w:line="276"/>
      </w:pPr>
      <w:r>
        <w:rPr>
          <w:b/>
        </w:rPr>
        <w:t xml:space="preserve">Abstract (EN): </w:t>
      </w:r>
      <w:r>
        <w:t>Microplastics (MPs) are global pollutants1, yet their atmospheric distribution is poorly understood2. Although atmospheric MP measurements have become more abundant, estimates of emissions into the atmosphere vary by orders of magnitude3,4. Here we compile a global atmospheric MPs dataset and compare it with size-aligned MP model simulations. Our model simulations show two to four orders of magnitude overestimation of the measured global median atmospheric MP concentrations. Measured median concentrations over the ocean are 27 times lower than over the land (0.003 and 0.08 particles m−3, respectively). Applying a simple scaling method, we estimate that oceanic emissions are lower in number than land-based emissions. The total global land-based and oceanic emissions are 6.1 × 1017 (1.3 × 1017 to 1.1 × 1018) particles year−1 and 2.6 × 1016 (2.7 × 1015 to 5.0 × 1016) particles year−1, respectively. Our results indicate that fewer MP particles are emitted into the atmosphere than previously thought. Land sources dominate the number but not the mass emissions, indicating that MPs emission size distributions should be investigated further.</w:t>
      </w:r>
    </w:p>
    <w:p>
      <w:pPr>
        <w:spacing w:before="120" w:after="120"/>
      </w:pPr>
      <w:r>
        <w:rPr>
          <w:sz w:val="18"/>
        </w:rPr>
        <w:t>——————————————————————————————————————————————————————————————————————</w:t>
      </w:r>
    </w:p>
    <w:p>
      <w:pPr>
        <w:spacing w:before="160" w:after="40" w:line="240" w:lineRule="auto"/>
      </w:pPr>
      <w:r>
        <w:rPr>
          <w:b/>
        </w:rPr>
        <w:t xml:space="preserve">[381] </w:t>
      </w:r>
      <w:hyperlink r:id="rId586">
        <w:r>
          <w:rPr>
            <w:color w:val="1155CC"/>
            <w:u w:val="single"/>
          </w:rPr>
          <w:t>祖传不同人口对精神分裂症的生物洞见</w:t>
        </w:r>
      </w:hyperlink>
    </w:p>
    <w:p>
      <w:pPr>
        <w:spacing w:before="0" w:after="80"/>
      </w:pPr>
      <w:r>
        <w:rPr>
          <w:i/>
          <w:sz w:val="20"/>
        </w:rPr>
        <w:t>EN: Biological insights into schizophrenia from ancestrally diverse populations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精神分裂症和相关的心理疾病发生在所有人类中,黑人和主要是非洲祖先的精神病患者的诊断率最高。 十年的研究已经为精神分裂症建立了高度遗传性和多基因基础,这种基础在人口2,3,4,4,4。 然而,对欧洲组群的招募偏向导致发现,非洲人口无法普遍接受。 将世界上基因最多样化的人口排除在外,限制了我们对疾病生物学的理解,并有可能加剧健康差距。 我们在这里表明,电子健康记录与百万兽医方案(MVP)6 的基因组数据相联系,这是一个国家研究方案,研究基因、生活方式、军事外出效应的影响。</w:t>
      </w:r>
    </w:p>
    <w:p>
      <w:pPr>
        <w:spacing w:before="0" w:after="200" w:lineRule="auto" w:line="276"/>
      </w:pPr>
      <w:r>
        <w:rPr>
          <w:b/>
        </w:rPr>
        <w:t xml:space="preserve">Abstract (EN): </w:t>
      </w:r>
      <w:r>
        <w:t>Schizophrenia and related psychoses occur in all human populations, with the highest rates of diagnosis among Black individuals and those of mainly African ancestry1. Decades of research have established a highly heritable and polygenic basis for schizophrenia, which is mostly shared across populations2,3,4. However, a recruitment bias towards European cohorts5 has led to discoveries that are poorly generalizable to African populations. This exclusion of the world’s most genetically diverse populations narrows our understanding of disease biology and risks exacerbating health disparities. Here we show that electronic health records linked with genomic data from the Million Veteran Program (MVP)6—a national research programme that looks at the effects of genes, lifestyle, military experiences and exposures on the health and wellness of veterans—enable a comprehensive assessment of schizophrenia genetics in populations of African ancestry in the USA. We identify ancestry-independent associations in African populations and expand the catalogue of implicated regions by more than 100 loci. Through statistical fine-mapping and integrative transcriptomic analyses, we refine disease-associated signals to consensus genes with convergent neurobiological functions. These findings provide a much-needed view of schizophrenia’s genetic architecture in populations of African ancestry, and offer biological insights that both extend previous work and broaden its global relevance.</w:t>
      </w:r>
    </w:p>
    <w:p>
      <w:pPr>
        <w:spacing w:before="120" w:after="120"/>
      </w:pPr>
      <w:r>
        <w:rPr>
          <w:sz w:val="18"/>
        </w:rPr>
        <w:t>——————————————————————————————————————————————————————————————————————</w:t>
      </w:r>
    </w:p>
    <w:p>
      <w:pPr>
        <w:spacing w:before="160" w:after="40" w:line="240" w:lineRule="auto"/>
      </w:pPr>
      <w:r>
        <w:rPr>
          <w:b/>
        </w:rPr>
        <w:t xml:space="preserve">[382] </w:t>
      </w:r>
      <w:hyperlink r:id="rId587">
        <w:r>
          <w:rPr>
            <w:color w:val="1155CC"/>
            <w:u w:val="single"/>
          </w:rPr>
          <w:t>大脑边界的拾取细胞开发的一致演变</w:t>
        </w:r>
      </w:hyperlink>
    </w:p>
    <w:p>
      <w:pPr>
        <w:spacing w:before="0" w:after="80"/>
      </w:pPr>
      <w:r>
        <w:rPr>
          <w:i/>
          <w:sz w:val="20"/>
        </w:rPr>
        <w:t>EN: Convergent evolution of scavenger cell development at brain borders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脊椎骨中中枢神经系统受血液-脑屏障和脑膜膜膜保护,确保免疫特权。 1 在哺乳动物大脑中,微生物和与屏障相关或边界相关大型动物(BAMs)提供免疫监视和排泄废物,2 但进化如何形成免疫细胞多样性和功能并没有得到理解。 在斑马鱼中,血管衍生的淋巴性内分泌细胞(MULEC)线条在中央神经系统边界3,4,5。 在这里,我们确定奇落系数相关2(osr2)是粘膜中枢差异与维护的具体标志和调节器。 osr2控制了混凝土中枢细胞从相互连接的内皮细胞向个体取血细胞的过渡,其部分方式是控制 o 。</w:t>
      </w:r>
    </w:p>
    <w:p>
      <w:pPr>
        <w:spacing w:before="0" w:after="200" w:lineRule="auto" w:line="276"/>
      </w:pPr>
      <w:r>
        <w:rPr>
          <w:b/>
        </w:rPr>
        <w:t xml:space="preserve">Abstract (EN): </w:t>
      </w:r>
      <w:r>
        <w:t>The vertebrate central nervous system is protected by the blood–brain barrier and meningeal membranes, which ensure immune privilege1. In the mammalian brain, microglia and barrier-associated or border-associated macrophages (BAMs) provide immune surveillance and scavenge wastes2, yet how evolution shaped immune-cell diversity and function is not understood. In zebrafish, a vascular-derived mural lymphatic endothelial cell (muLEC) lineage fulfils scavenger cell functions at central nervous system borders3,4,5. Here we identify the transcription factor odd-skipped related 2 (osr2) as a specific marker and regulator of muLEC differentiation and maintenance. osr2 controls the transition of muLECs from interconnected endothelial cells to individual scavenger cells in part by means of control of cadherin-6. muLECs are more transcriptionally similar to BAMs than to other mammalian meningeal cells and share several functions in tissue homeostasis. However, BAMs are absent from zebrafish and muLECs from mice and humans. Analysis of osr2, lymphatic endothelial cell (LEC) and BAM markers in diverse vertebrate species reveals muLECs as an ancient lineage and BAMs a recent mammalian specialization. muLECs and BAMs share functional analogies but are not homologous, providing an example of convergent evolution. This highlights the physiological importance of meningeal scavenger cells and the developmental plasticity of LECs in generating specialized cell types throughout evolution.</w:t>
      </w:r>
    </w:p>
    <w:p>
      <w:pPr>
        <w:spacing w:before="120" w:after="120"/>
      </w:pPr>
      <w:r>
        <w:rPr>
          <w:sz w:val="18"/>
        </w:rPr>
        <w:t>——————————————————————————————————————————————————————————————————————</w:t>
      </w:r>
    </w:p>
    <w:p>
      <w:pPr>
        <w:spacing w:before="160" w:after="40" w:line="240" w:lineRule="auto"/>
      </w:pPr>
      <w:r>
        <w:rPr>
          <w:b/>
        </w:rPr>
        <w:t xml:space="preserve">[383] </w:t>
      </w:r>
      <w:hyperlink r:id="rId588">
        <w:r>
          <w:rPr>
            <w:color w:val="1155CC"/>
            <w:u w:val="single"/>
          </w:rPr>
          <w:t>利用DNA三向交界处建造复杂多样的DNA序列</w:t>
        </w:r>
      </w:hyperlink>
    </w:p>
    <w:p>
      <w:pPr>
        <w:spacing w:before="0" w:after="80"/>
      </w:pPr>
      <w:r>
        <w:rPr>
          <w:i/>
          <w:sz w:val="20"/>
        </w:rPr>
        <w:t>EN: Construction of complex and diverse DNA sequences using DNA three-way junctions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建立全新的合成DNA序列的能力对生物学工程和研究生物学至关重要。然而,生产长期复杂的合成DNA序列和图书馆的能力目前落后于对DNA1的排序和编辑能力。 2 所有现有的DNA组装技术都依赖最终构造中发现的DNA序列信息,以直接组装DNA分子3、5、6、7、7、7、8、9、10、11。由于这一模式,这些序列无法在不影响最后序列的情况下广泛优化,专门用于组装。为了从根本上应对这一挑战,我们在这里展示了一种新的DNA组装技术的发展,即名为Didewinder的技术,它将指导组装的信息与使用DNA三路j的最后组装序列分开。</w:t>
      </w:r>
    </w:p>
    <w:p>
      <w:pPr>
        <w:spacing w:before="0" w:after="200" w:lineRule="auto" w:line="276"/>
      </w:pPr>
      <w:r>
        <w:rPr>
          <w:b/>
        </w:rPr>
        <w:t xml:space="preserve">Abstract (EN): </w:t>
      </w:r>
      <w:r>
        <w:t>The ability to construct entirely new synthetic DNA sequences de novo is essential to engineering and studying biology. However, the ability to produce long complex synthetic DNA sequences and libraries currently lags behind the ability to sequence and edit DNA1,2. All existing DNA-assembly technologies rely on DNA sequence information found within the final construct to direct assembly between DNA molecules3,4,5,6,7,8,9,10,11. As a result of this paradigm, these sequences cannot be extensively optimized specifically for assembly without affecting the final sequence. To fundamentally address this challenge, here we show the development of a new DNA assembly technique named Sidewinder that separates the information that guides assembly from the final assembled sequence using DNA three-way junctions. We demonstrate the transformative nature of the Sidewinder technique with highly robust and accurate construction of a 40-piece multifragment assembly, complex DNA sequences of both high GC content and high repeats, parallel assembly of multiple distinct genes in the same reaction and a combinatorial library with a large number of diversified positions across the entire length of the gene for high coverage of a library of 442,368 variants. This technology enables high-fidelity DNA assembly with a misconnection rate at the three-way junction of approximately 1 in 1,000,000.</w:t>
      </w:r>
    </w:p>
    <w:p>
      <w:pPr>
        <w:spacing w:before="120" w:after="120"/>
      </w:pPr>
      <w:r>
        <w:rPr>
          <w:sz w:val="18"/>
        </w:rPr>
        <w:t>——————————————————————————————————————————————————————————————————————</w:t>
      </w:r>
    </w:p>
    <w:p>
      <w:pPr>
        <w:spacing w:before="160" w:after="40" w:line="240" w:lineRule="auto"/>
      </w:pPr>
      <w:r>
        <w:rPr>
          <w:b/>
        </w:rPr>
        <w:t xml:space="preserve">[384] </w:t>
      </w:r>
      <w:hyperlink r:id="rId589">
        <w:r>
          <w:rPr>
            <w:color w:val="1155CC"/>
            <w:u w:val="single"/>
          </w:rPr>
          <w:t>LetA 定义一个结构上不同的运输者家庭</w:t>
        </w:r>
      </w:hyperlink>
    </w:p>
    <w:p>
      <w:pPr>
        <w:spacing w:before="0" w:after="80"/>
      </w:pPr>
      <w:r>
        <w:rPr>
          <w:i/>
          <w:sz w:val="20"/>
        </w:rPr>
        <w:t>EN: LetA defines a structurally distinct transporter family</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从小糖到整个蛋白,通过细胞膜1,2,3,3 细胞膜1,3,3. 描述的一些结构上不同的蛋白家庭占已知的膜运输过程的多数4,5,6;然而,许多具有预期运输功能的膜蛋白仍未被描述出来。在这里,我们确定了Esherichia coli LetAB的结构,这是一个涉及外膜完整性的磷素运输器,发现LetA采用了一种在结构上和进化上与已知的运输者家庭无关的独特结构。 LetA将内膜本地化,在那里,它准备将脂质装入其捆绑的伴侣,LetB,一个哺乳动物细胞入口(MCE),它构成大约225 长 t。LetB,一个哺乳动物细胞入口(MCE)蛋白。</w:t>
      </w:r>
    </w:p>
    <w:p>
      <w:pPr>
        <w:spacing w:before="0" w:after="200" w:lineRule="auto" w:line="276"/>
      </w:pPr>
      <w:r>
        <w:rPr>
          <w:b/>
        </w:rPr>
        <w:t xml:space="preserve">Abstract (EN): </w:t>
      </w:r>
      <w:r>
        <w:t>Membrane transport proteins translocate diverse cargos, ranging from small sugars to entire proteins, across cellular membranes1,2,3. A few structurally distinct protein families have been described that account for most of the known membrane transport processes4,5,6. However, many membrane proteins with predicted transporter functions remain uncharacterized. Here we determined the structure of Escherichia coli LetAB, a phospholipid transporter involved in outer membrane integrity, and found that LetA adopts a distinct architecture that is structurally and evolutionarily unrelated to known transporter families. LetA localizes to the inner membrane, where it is poised to load lipids into its binding partner, LetB, a mammalian cell entry (MCE) protein that forms an approximately 225 Å long tunnel for lipid transport across the cell envelope. Unexpectedly, the LetA transmembrane domains adopt a fold that is evolutionarily related to the eukaryotic tetraspanin family of membrane proteins, including transmembrane AMPA receptor regulatory proteins (TARPs) and claudins. Through a combination of deep mutational scanning, molecular dynamics simulations, AlphaFold-predicted alternative states and functional studies, we present a model for how the LetA-like family of membrane transporters facilitates the transport of lipids across the bacterial cell envelope.</w:t>
      </w:r>
    </w:p>
    <w:p>
      <w:pPr>
        <w:spacing w:before="120" w:after="120"/>
      </w:pPr>
      <w:r>
        <w:rPr>
          <w:sz w:val="18"/>
        </w:rPr>
        <w:t>——————————————————————————————————————————————————————————————————————</w:t>
      </w:r>
    </w:p>
    <w:p>
      <w:pPr>
        <w:spacing w:before="160" w:after="40" w:line="240" w:lineRule="auto"/>
      </w:pPr>
      <w:r>
        <w:rPr>
          <w:b/>
        </w:rPr>
        <w:t xml:space="preserve">[385] </w:t>
      </w:r>
      <w:hyperlink r:id="rId590">
        <w:r>
          <w:rPr>
            <w:color w:val="1155CC"/>
            <w:u w:val="single"/>
          </w:rPr>
          <w:t>掠夺性侵略,通过适应无核动力电路而演变</w:t>
        </w:r>
      </w:hyperlink>
    </w:p>
    <w:p>
      <w:pPr>
        <w:spacing w:before="0" w:after="80"/>
      </w:pPr>
      <w:r>
        <w:rPr>
          <w:i/>
          <w:sz w:val="20"/>
        </w:rPr>
        <w:t>EN: Predatory aggression evolved through adaptations to noradrenergic circuits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行为是通过自然选择而演化的适应性特征。关键的是,影响行为创新的遗传、分子和神经改变不易理解。1在这里,我们确定了与无脊椎侵略进化相关的专门适应性变化。2 我们利用掠夺性线虫Prisitionchous,从行为跟踪数据中开发了一个机器学习模型,并确定了与攻击性事件相关的强健行为状态。惊人的是,掠夺性侵略与线虫进化中的关键电路的重新接轨同时发生。我们发现了对新热量路径的改变,我们发现章甲胺促进了侵略性掠食性大爆发,而亚胺对抗性诱导被动状态。通过章胺受体Ppa-Pa-进行移动。</w:t>
      </w:r>
    </w:p>
    <w:p>
      <w:pPr>
        <w:spacing w:before="0" w:after="200" w:lineRule="auto" w:line="276"/>
      </w:pPr>
      <w:r>
        <w:rPr>
          <w:b/>
        </w:rPr>
        <w:t xml:space="preserve">Abstract (EN): </w:t>
      </w:r>
      <w:r>
        <w:t>Behaviours are adaptive traits evolving through natural selection. Crucially, the genetic, molecular and neural modifications that shape behavioural innovations are poorly understood1. Here, we identify specialized adaptations linked to the evolution of invertebrate aggression2. Using the predatory nematode Pristionchus pacificus, we developed a machine learning model from behavioural tracking data and identified robust behavioural states associated with aggressive episodes. Strikingly, predatory aggression coincides with a rewiring of key circuits across nematode evolution. We find modifications to the noradrenergic pathway, with octopamine promoting aggressive predatory bouts whereas tyramine antagonistically induces passive states. Modulation occurs through the octopamine receptors Ppa-ser-3 and Ppa-ser-6, and tyramine receptor Ppa-lgc-55. These localize to sensory neurons whose inhibition diminishes aggressive events. Crucially, this octopaminergic innovation emerged within this predatory lineage, consistent with an ancient divergence in function. Thus, evolutionary adaptations in noradrenergic circuits facilitated the emergence of aggressive behavioural states associated with complex predatory traits.</w:t>
      </w:r>
    </w:p>
    <w:p>
      <w:pPr>
        <w:spacing w:before="120" w:after="120"/>
      </w:pPr>
      <w:r>
        <w:rPr>
          <w:sz w:val="18"/>
        </w:rPr>
        <w:t>——————————————————————————————————————————————————————————————————————</w:t>
      </w:r>
    </w:p>
    <w:p>
      <w:pPr>
        <w:spacing w:before="160" w:after="40" w:line="240" w:lineRule="auto"/>
      </w:pPr>
      <w:r>
        <w:rPr>
          <w:b/>
        </w:rPr>
        <w:t xml:space="preserve">[386] </w:t>
      </w:r>
      <w:hyperlink r:id="rId591">
        <w:r>
          <w:rPr>
            <w:color w:val="1155CC"/>
            <w:u w:val="single"/>
          </w:rPr>
          <w:t>解体时的极端巴洛氏体效应</w:t>
        </w:r>
      </w:hyperlink>
    </w:p>
    <w:p>
      <w:pPr>
        <w:spacing w:before="0" w:after="80"/>
      </w:pPr>
      <w:r>
        <w:rPr>
          <w:i/>
          <w:sz w:val="20"/>
        </w:rPr>
        <w:t>EN: Extreme barocaloric effect at dissolution</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冷冻对于现代社会是不可或缺的,1 然而,占主导地位的蒸汽压缩系统依赖于环境有害的氟化碳制冷剂,具有高全球升温潜能值,2,3,4,4,4,4,固态热制冷提供了低碳替代品5,6,7,但实际部署受到冷却能力有限和需要二级液体的低效率间接热传输的阻碍。我们在这里报告了NH4SCN的水溶液中极端的巴洛卡洛效应,这种溶液是压力调解和降水所促成的。这一机制提供了特别大的冷却能力,并显著提高了冷却效率。我们在室内温度下溶液中实现了26.8K的原位温度下降,超过了所有已知的热量材料。</w:t>
      </w:r>
    </w:p>
    <w:p>
      <w:pPr>
        <w:spacing w:before="0" w:after="200" w:lineRule="auto" w:line="276"/>
      </w:pPr>
      <w:r>
        <w:rPr>
          <w:b/>
        </w:rPr>
        <w:t xml:space="preserve">Abstract (EN): </w:t>
      </w:r>
      <w:r>
        <w:t>Refrigeration is indispensable to modern society1, yet the dominant vapour-compression systems rely on environmentally harmful fluorocarbon refrigerants with high global warming potential2,3,4. Solid-state caloric refrigeration offers a low-carbon alternative5,6,7, but its practical deployment has been hindered by limited cooling capacity and the inefficient indirect heat transfer that requires secondary fluids. Here we report an extreme barocaloric effect in NH4SCN aqueous solutions enabled by pressure-tuned dissolution and precipitation. This mechanism delivers an exceptionally large cooling capacity and markedly enhanced cooling efficiency. We obtain an in situ temperature drop of 26.8 K in the solution at room temperature, surpassing all known caloric materials. A Carnot-like cycle is designed to deliver 67 J g−1 cooling capacity per cycle with a second-law efficiency of 77%, benefiting from the extremely large temperature drops and direct heat transfer due to the self-circulating aqueous solution. Beyond the phase-transition scenario, this dissolution-based approach that combines the merits of current leading technologies emerges as a promising sustainable refrigeration solution.</w:t>
      </w:r>
    </w:p>
    <w:p>
      <w:pPr>
        <w:spacing w:before="120" w:after="120"/>
      </w:pPr>
      <w:r>
        <w:rPr>
          <w:sz w:val="18"/>
        </w:rPr>
        <w:t>——————————————————————————————————————————————————————————————————————</w:t>
      </w:r>
    </w:p>
    <w:p>
      <w:pPr>
        <w:spacing w:before="160" w:after="40" w:line="240" w:lineRule="auto"/>
      </w:pPr>
      <w:r>
        <w:rPr>
          <w:b/>
        </w:rPr>
        <w:t xml:space="preserve">[387] </w:t>
      </w:r>
      <w:hyperlink r:id="rId592">
        <w:r>
          <w:rPr>
            <w:color w:val="1155CC"/>
            <w:u w:val="single"/>
          </w:rPr>
          <w:t>Bridgmanite 巨型晶体驱动岩浆海洋隔离的潜力</w:t>
        </w:r>
      </w:hyperlink>
    </w:p>
    <w:p>
      <w:pPr>
        <w:spacing w:before="0" w:after="80"/>
      </w:pPr>
      <w:r>
        <w:rPr>
          <w:i/>
          <w:sz w:val="20"/>
        </w:rPr>
        <w:t>EN: The potential for bridgmanite megacrysts to drive magma ocean segregation</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地球的早期地壳可能作为一个深层、强力凝固的岩浆海洋而存在,其固化被认为是地球长期化学和动态演变的核心。 但一个显著的不确定性是,在极端压力下形成核聚变的顶尖低门级石的颗粒大小 — — 其压强下的核聚变行为仍然无法实验性地进入。 在这里,我们展示了各种尖端技术的组合,包括由机器学习潜力驱动的多达100万原子组成的大型分子动态模拟、播种和强化采样,MgSiO3 布里德格曼尼特的晶体-熔炼的跨方能量随着压力的大幅增长而增加,超过环境压力下的硅化-液体系统,其倍于10倍的系数(雷夫斯 ) 。</w:t>
      </w:r>
    </w:p>
    <w:p>
      <w:pPr>
        <w:spacing w:before="0" w:after="200" w:lineRule="auto" w:line="276"/>
      </w:pPr>
      <w:r>
        <w:rPr>
          <w:b/>
        </w:rPr>
        <w:t xml:space="preserve">Abstract (EN): </w:t>
      </w:r>
      <w:r>
        <w:t>Earth’s early mantle probably existed as a deep, vigorously convecting magma ocean, and its solidification is considered central to the long-term chemical and dynamical evolution of the planet. Yet a notable uncertainty is the grain size of bridgmanite—the dominant lower-mantle phase—whose nucleation behaviour at extreme pressure has remained experimentally inaccessible. Here we show, using a combination of cutting-edge techniques, including large-scale molecular dynamics simulations consisting of up to 1 million atoms driven by machine learning potentials (MLPs), seeding and enhanced sampling, that crystal–melt interfacial energies of MgSiO3 bridgmanite increase substantially with pressure, surpassing those of silicate–liquid systems at ambient pressure by a factor of up to ten (refs. 1,2,3). In a deep basal magma ocean (BMO), this amplified interfacial energy, combined with the potential sluggish cooling, may permit the formation of unusually large bridgmanite crystals, up to centimetre-to-metre-scale sizes. Such potentially large crystals could drive efficient fractional crystallization and cause substantial chemical differentiation and mantle compaction. If operative, this mechanism would provide a new physical pathway linking lower-mantle material properties to early Earth stratification and it motivates future geodynamic models that explicitly incorporate supercooling, compositional convection and elemental partitioning. Our findings thus offer a plausible hypothesis connecting microscopic nucleation processes with macroscopic planetary structure, refining present views of how the Earth’s interior acquired its initial compositional architecture.</w:t>
      </w:r>
    </w:p>
    <w:p>
      <w:pPr>
        <w:spacing w:before="120" w:after="120"/>
      </w:pPr>
      <w:r>
        <w:rPr>
          <w:sz w:val="18"/>
        </w:rPr>
        <w:t>——————————————————————————————————————————————————————————————————————</w:t>
      </w:r>
    </w:p>
    <w:p>
      <w:pPr>
        <w:spacing w:before="160" w:after="40" w:line="240" w:lineRule="auto"/>
      </w:pPr>
      <w:r>
        <w:rPr>
          <w:b/>
        </w:rPr>
        <w:t xml:space="preserve">[388] </w:t>
      </w:r>
      <w:hyperlink r:id="rId593">
        <w:r>
          <w:rPr>
            <w:color w:val="1155CC"/>
            <w:u w:val="single"/>
          </w:rPr>
          <w:t>出版商校正:依赖多聚胺的代谢屏蔽管理替代复制品</w:t>
        </w:r>
      </w:hyperlink>
    </w:p>
    <w:p>
      <w:pPr>
        <w:spacing w:before="0" w:after="80"/>
      </w:pPr>
      <w:r>
        <w:rPr>
          <w:i/>
          <w:sz w:val="20"/>
        </w:rPr>
        <w:t>EN: Publisher Correction: Polyamine-dependent metabolic shielding regulates alternative splicing</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[389] </w:t>
      </w:r>
      <w:hyperlink r:id="rId594">
        <w:r>
          <w:rPr>
            <w:color w:val="1155CC"/>
            <w:u w:val="single"/>
          </w:rPr>
          <w:t>校正:多种oestradidol功能抑制铁中毒和急性肾损伤</w:t>
        </w:r>
      </w:hyperlink>
    </w:p>
    <w:p>
      <w:pPr>
        <w:spacing w:before="0" w:after="80"/>
      </w:pPr>
      <w:r>
        <w:rPr>
          <w:i/>
          <w:sz w:val="20"/>
        </w:rPr>
        <w:t>EN: Publisher Correction: Multiple oestradiol functions inhibit ferroptosis and acute kidney injury</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[390] </w:t>
      </w:r>
      <w:hyperlink r:id="rId595">
        <w:r>
          <w:rPr>
            <w:color w:val="1155CC"/>
            <w:u w:val="single"/>
          </w:rPr>
          <w:t>CuCrP2S6/Fe3GeTe2 van der Waals 气相枢纽的干涉式磁电离电联结</w:t>
        </w:r>
      </w:hyperlink>
    </w:p>
    <w:p>
      <w:pPr>
        <w:spacing w:before="0" w:after="80"/>
      </w:pPr>
      <w:r>
        <w:rPr>
          <w:i/>
          <w:sz w:val="20"/>
        </w:rPr>
        <w:t>EN: Interferroic magnetoelectric coupling at CuCrP2S6/Fe3GeTe2 van der Waals heterojunctions</w:t>
      </w:r>
    </w:p>
    <w:p>
      <w:pPr>
        <w:spacing w:before="0" w:after="120"/>
      </w:pPr>
      <w:r>
        <w:rPr>
          <w:b/>
        </w:rPr>
        <w:t xml:space="preserve">Source: </w:t>
      </w:r>
      <w:r>
        <w:t>Nature Electronics</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结合了铁电和铁磁命令的二维材料可以展现出一系列异国物理特性,并可用于节能脊柱技术等应用,然而,长距离铁指令在两个方面容易被破坏,例如,极地分解会破坏铁电序的稳定,热波动会抑制磁顺序。这里我们报告了由铁电CuCrP2S6和铁磁Fe3GeTe2的原子层产生的多极凡德华热结构。我们展示了二维Fe3GeTe2的磁性反向、非挥发性铁电动控制,并以此探测了电磁电磁电联动。CuCrP2S6的极化转换改变了3.8-nm-t的磁共振频率。</w:t>
      </w:r>
    </w:p>
    <w:p>
      <w:pPr>
        <w:spacing w:before="0" w:after="200" w:lineRule="auto" w:line="276"/>
      </w:pPr>
      <w:r>
        <w:rPr>
          <w:b/>
        </w:rPr>
        <w:t xml:space="preserve">Abstract (EN): </w:t>
      </w:r>
      <w:r>
        <w:t>Two-dimensional materials that combine ferroelectric and ferromagnetic orders could exhibit a range of exotic physical properties and find use in applications such as energy-efficient spintronics. However, long-range ferroic orders in two dimensions are prone to destruction. For example, depolarization fields can destabilize ferroelectric order and thermal fluctuations can suppress magnetic order. Here we report multiferroic van der Waals heterostructures made from atomic layers of ferroelectric CuCrP2S6 and ferromagnetic Fe3GeTe2. We demonstrate reversible, non-volatile ferroelectric control of the magnetic anisotropy of two-dimensional Fe3GeTe2, and with this, probe the interferroic magnetoelectric coupling. Polarization switching of CuCrP2S6 changes the magnetic coercivity of a 3.8-nm-thick Fe3GeTe2 layer by approximately 14 mT at a testing temperature of 153 K, with a control efficiency around 65%. The control efficiency decreases as the Fe3GeTe2 thickness increases due to the short-range interfacial magnetoelectric coupling of the heterostructure multiferroicity.</w:t>
      </w:r>
    </w:p>
    <w:p>
      <w:pPr>
        <w:spacing w:before="120" w:after="120"/>
      </w:pPr>
      <w:r>
        <w:rPr>
          <w:sz w:val="18"/>
        </w:rPr>
        <w:t>——————————————————————————————————————————————————————————————————————</w:t>
      </w:r>
    </w:p>
    <w:p>
      <w:pPr>
        <w:spacing w:before="160" w:after="40" w:line="240" w:lineRule="auto"/>
      </w:pPr>
      <w:r>
        <w:rPr>
          <w:b/>
        </w:rPr>
        <w:t xml:space="preserve">[391] </w:t>
      </w:r>
      <w:hyperlink r:id="rId596">
        <w:r>
          <w:rPr>
            <w:color w:val="1155CC"/>
            <w:u w:val="single"/>
          </w:rPr>
          <w:t>Van der Waals 异式结构变多发</w:t>
        </w:r>
      </w:hyperlink>
    </w:p>
    <w:p>
      <w:pPr>
        <w:spacing w:before="0" w:after="80"/>
      </w:pPr>
      <w:r>
        <w:rPr>
          <w:i/>
          <w:sz w:val="20"/>
        </w:rPr>
        <w:t>EN: Van der Waals heterostructures go multiferroic</w:t>
      </w:r>
    </w:p>
    <w:p>
      <w:pPr>
        <w:spacing w:before="0" w:after="120"/>
      </w:pPr>
      <w:r>
        <w:rPr>
          <w:b/>
        </w:rPr>
        <w:t xml:space="preserve">Source: </w:t>
      </w:r>
      <w:r>
        <w:t>Nature Electronics</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597">
        <w:r>
          <w:rPr>
            <w:color w:val="1155CC"/>
            <w:u w:val="single"/>
          </w:rPr>
          <w:t>相对温暖的深水层形成 持续在最后的冰川最深处</w:t>
        </w:r>
      </w:hyperlink>
    </w:p>
    <w:p>
      <w:pPr>
        <w:spacing w:before="0" w:after="80"/>
      </w:pPr>
      <w:r>
        <w:rPr>
          <w:i/>
          <w:sz w:val="20"/>
        </w:rPr>
        <w:t>EN: Relatively warm deep-water formation persisted in the Last Glacial Maximum</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上一次冰川峰值(19—23 000年前的19—23 000年前)的特点是温室气体浓度低,大陆冰盖覆盖北美和欧洲大部分地区。 因此,冰川气候差异很大,全球平均气温更冷,赤道至极地温度梯度升高,可能使湿度更强。 2 然而,在冰川气候压力下,北大西洋深海的状况仍然不确定,3,4,5,6,6,6,特别是由于深海温度和盐度限制的罕见性。 这里我们表明,西北大西洋冰川深度( &gt; 1.5公里)的温度大约为0-2°C(比今天低1.8 °C /0.5 °C (2 s.e.) ),在计算整个海洋变化之后,海水 18O为0.3 °C。</w:t>
      </w:r>
    </w:p>
    <w:p>
      <w:pPr>
        <w:spacing w:before="0" w:after="200" w:lineRule="auto" w:line="276"/>
      </w:pPr>
      <w:r>
        <w:rPr>
          <w:b/>
        </w:rPr>
        <w:t xml:space="preserve">Abstract (EN): </w:t>
      </w:r>
      <w:r>
        <w:t>The Last Glacial Maximum (19–23 thousand years ago) was characterized by low greenhouse gas concentrations and continental ice sheets that covered large parts of North America and Europe1. Glacial climate was therefore very different, with colder global mean temperatures and an increased Equator-to-pole temperature gradient, probably resulting in stronger westerlies2. However, the state of the deep North Atlantic Ocean under these glacial climate forcings remains uncertain3,4,5,6, particularly owing to the rarity of deep-ocean temperature and salinity constraints. Here we show that the temperature of the glacial deep (&gt;1.5 km) Northwest Atlantic was approximately 0–2 °C (only 1.8 ± 0.5 °C (2 s.e.) colder than today), and, after accounting for the whole-ocean change, seawater δ18O was 0.3 ± 0.1‰ (2 s.e.) higher and can be traced back to the surface subtropics via the subpolar Northeast Atlantic and Nordic Seas. Together, our hydrographic data reveal the thermal and isotopic structure of the deep Northwest Atlantic and suggest sustained production of relatively warm and probably salty North Atlantic Deep Water during the Last Glacial Maximum. Furthermore, our results provide updated constraints for benchmarking Earth system models used to project future climate change.</w:t>
      </w:r>
    </w:p>
    <w:p>
      <w:pPr>
        <w:spacing w:before="120" w:after="120"/>
      </w:pPr>
      <w:r>
        <w:rPr>
          <w:sz w:val="18"/>
        </w:rPr>
        <w:t>——————————————————————————————————————————————————————————————————————</w:t>
      </w:r>
    </w:p>
    <w:p>
      <w:pPr>
        <w:spacing w:before="160" w:after="40" w:line="240" w:lineRule="auto"/>
      </w:pPr>
      <w:r>
        <w:rPr>
          <w:b/>
        </w:rPr>
        <w:t xml:space="preserve">[393] </w:t>
      </w:r>
      <w:hyperlink r:id="rId598">
        <w:r>
          <w:rPr>
            <w:color w:val="1155CC"/>
            <w:u w:val="single"/>
          </w:rPr>
          <w:t>通过CD44启动T细胞反应</w:t>
        </w:r>
      </w:hyperlink>
    </w:p>
    <w:p>
      <w:pPr>
        <w:spacing w:before="0" w:after="80"/>
      </w:pPr>
      <w:r>
        <w:rPr>
          <w:i/>
          <w:sz w:val="20"/>
        </w:rPr>
        <w:t>EN: Fibroblastic reticular cells direct the initiation of T cell responses via CD44</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在二级淋巴性器官内,登地性细胞和T细胞的流动对于发展适应性免疫反应至关重要,1 2 这一进程的核心是纤维性长膜细胞(FRC)网络,它构成一个高度有组织的管道系统,方便登地性细胞和T细胞3、4、5、6、6个T细胞之间的移动和相互作用,以前的研究部分地说明了FRCs如何支持这些相互作用,7、8. 然而,在生理条件下运作的分子机制仍然不为人所知。在这里,我们表明,由草皮病毒细胞性细胞性细胞病毒(CMV)编码的病毒蛋白质 m11,通过瞄准FRC网络和干扰细胞CD44的关键功能来抑制抗病毒的免疫。我们发现M11与CD44有联系,并且确定,M11与CD44有联系。</w:t>
      </w:r>
    </w:p>
    <w:p>
      <w:pPr>
        <w:spacing w:before="0" w:after="200" w:lineRule="auto" w:line="276"/>
      </w:pPr>
      <w:r>
        <w:rPr>
          <w:b/>
        </w:rPr>
        <w:t xml:space="preserve">Abstract (EN): </w:t>
      </w:r>
      <w:r>
        <w:t>The movement of dendritic cells and T cells within secondary lymphoid organs is critical for the development of adaptive immune responses1,2. Central to this process is the fibroblastic reticular cell (FRC) network, which forms a highly organized conduit system that facilitates the movement of and interactions between dendritic cells and T cells3,4,5,6. Previous studies have partly characterized how FRCs support these interactions7,8. However, the molecular mechanisms that operate under physiological conditions remain unknown. Here we show that the viral protein m11, encoded by the herpesvirus murine cytomegalovirus (CMV), inhibits antiviral immunity by targeting the FRC network and interfering with a critical function of cellular CD44. We found that m11 binds to CD44 and established that m11 perturbs the molecular interactions of CD44 with its natural ligand, hyaluronic acid. The interaction of m11 with CD44 impairs the trafficking of dendritic cells within the spleen, thereby impeding efficient priming of naive T cells and the initiation of antiviral CD8 T cell responses. The targeting of CD44 by CMV reveals CD44 as a molecule that is essential to the functioning of the FRC network and uncovers a previously unrecognized stroma-based mechanism that is critical for the generation of effective T cell responses.</w:t>
      </w:r>
    </w:p>
    <w:p>
      <w:pPr>
        <w:spacing w:before="120" w:after="120"/>
      </w:pPr>
      <w:r>
        <w:rPr>
          <w:sz w:val="18"/>
        </w:rPr>
        <w:t>——————————————————————————————————————————————————————————————————————</w:t>
      </w:r>
    </w:p>
    <w:p>
      <w:pPr>
        <w:spacing w:before="160" w:after="40" w:line="240" w:lineRule="auto"/>
      </w:pPr>
      <w:r>
        <w:rPr>
          <w:b/>
        </w:rPr>
        <w:t xml:space="preserve">[394] </w:t>
      </w:r>
      <w:hyperlink r:id="rId599">
        <w:r>
          <w:rPr>
            <w:color w:val="1155CC"/>
            <w:u w:val="single"/>
          </w:rPr>
          <w:t>物理学家将7000个原子加在一起。</w:t>
        </w:r>
      </w:hyperlink>
    </w:p>
    <w:p>
      <w:pPr>
        <w:spacing w:before="0" w:after="80"/>
      </w:pPr>
      <w:r>
        <w:rPr>
          <w:i/>
          <w:sz w:val="20"/>
        </w:rPr>
        <w:t>EN: The biggest ‘Schrödinger’s cat’ yet — physicists put 7,000 atoms in superposition</w:t>
      </w:r>
    </w:p>
    <w:p>
      <w:pPr>
        <w:spacing w:before="0" w:after="120"/>
      </w:pPr>
      <w:r>
        <w:rPr>
          <w:b/>
        </w:rPr>
        <w:t xml:space="preserve">Source: </w:t>
      </w:r>
      <w:r>
        <w:t>Nature</w:t>
      </w:r>
      <w:r>
        <w:t xml:space="preserve">    </w:t>
      </w:r>
      <w:r>
        <w:rPr>
          <w:b/>
        </w:rPr>
        <w:t xml:space="preserve">Pub date: </w:t>
      </w:r>
      <w:r>
        <w:t>2026-01-21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600">
        <w:r>
          <w:rPr>
            <w:color w:val="1155CC"/>
            <w:u w:val="single"/>
          </w:rPr>
          <w:t>子 Neptunes 和超地球的核心 -- -- 信封错误</w:t>
        </w:r>
      </w:hyperlink>
    </w:p>
    <w:p>
      <w:pPr>
        <w:spacing w:before="0" w:after="80"/>
      </w:pPr>
      <w:r>
        <w:rPr>
          <w:i/>
          <w:sz w:val="20"/>
        </w:rPr>
        <w:t>EN: Core–envelope miscibility in sub-Neptunes and super-Earths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星系中最丰富的行星类型亚星系和超地球是银河系中最丰富的行星类型,与太阳系中任何种类不同,太阳系中与地球和Neptune1号之间的半径不同,2地球与Neptune1号之间的半射线,2 其结构和起源方面的基本问题仍然存在。虽然超地球的构成为岩石,3 亚星系在更大的半射线上形成一个不同的人口群,据认为由氢含量丰富的信封4 组成的岩芯组成。 5 在核心 — 脉冲界面的极端条件下(超过数千千兆帕和数千千开尔文4 ), 核心和信封之间似乎有可能发生反应,但这些反应的性质和范围还不清楚。 我们在这里使用由密度功能理论驱动的第一条原则分子动态来表明,硅和氢是完全不力的。</w:t>
      </w:r>
    </w:p>
    <w:p>
      <w:pPr>
        <w:spacing w:before="0" w:after="200" w:lineRule="auto" w:line="276"/>
      </w:pPr>
      <w:r>
        <w:rPr>
          <w:b/>
        </w:rPr>
        <w:t xml:space="preserve">Abstract (EN): </w:t>
      </w:r>
      <w:r>
        <w:t>Sub-Neptunes and super-Earths, the most abundant types of planet in the galaxy, are unlike anything in the Solar System, with radii between those of Earth and Neptune1,2. Fundamental questions remain regarding their structure and origin. Although super-Earths have a rocky composition3, sub-Neptunes form a distinct population at larger radii and are thought to consist of a rocky core overlain by a hydrogen-rich envelope4,5. At the extreme conditions of the core–envelope interface (exceeding several gigapascals and several thousand kelvin4,6), reaction between core and envelope seems possible, but the nature and extent of these reactions are unknown. Here we use first-principles molecular dynamics driven by density functional theory to show that silicate and hydrogen are completely miscible over a wide range of plausible core–envelope pressure–temperature conditions. We find the origin of miscibility in extensive chemical reaction between hydrogen and silicate, producing silane, SiO and water species, which may be observable with ongoing or future missions. Core–envelope miscibility profoundly affects the evolution of sub-Neptunes and super-Earths, by dissolving a large fraction of the hydrogen of the planet in the core and driving exchange of hydrogen between core and envelope as the planet evolves.</w:t>
      </w:r>
    </w:p>
    <w:p>
      <w:pPr>
        <w:spacing w:before="120" w:after="120"/>
      </w:pPr>
      <w:r>
        <w:rPr>
          <w:sz w:val="18"/>
        </w:rPr>
        <w:t>——————————————————————————————————————————————————————————————————————</w:t>
      </w:r>
    </w:p>
    <w:p>
      <w:pPr>
        <w:spacing w:before="160" w:after="40" w:line="240" w:lineRule="auto"/>
      </w:pPr>
      <w:r>
        <w:rPr>
          <w:b/>
        </w:rPr>
        <w:t xml:space="preserve">[396] </w:t>
      </w:r>
      <w:hyperlink r:id="rId601">
        <w:r>
          <w:rPr>
            <w:color w:val="1155CC"/>
            <w:u w:val="single"/>
          </w:rPr>
          <w:t>用于多式联运的工程蛋白质中的量子旋转共振</w:t>
        </w:r>
      </w:hyperlink>
    </w:p>
    <w:p>
      <w:pPr>
        <w:spacing w:before="0" w:after="80"/>
      </w:pPr>
      <w:r>
        <w:rPr>
          <w:i/>
          <w:sz w:val="20"/>
        </w:rPr>
        <w:t>EN: Quantum spin resonance in engineered proteins for multimodal sensing</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利用量子现象进行测量的遥感技术在材料、物理和生物科学、1、2、3、4、5、6、7、7、7、7、7、7、直到最近,用于量子传感器的生物候选物仅限于体外系统,敏感度低,容易发生轻度降解,这些限制妨碍了实际生物技术应用,妨碍了有助于其工程和优化的高通量研究。我们最近开发了一类对磁敏感的荧光蛋白蛋白,包括MagLOV,它克服了其中的许多挑战。8 我们在这里表明,通过定向演化,这些蛋白质有可能改变其对磁场和无线电频率的反应特性。我们发现,MagL发现,MagL是磁场和无线电频率的。</w:t>
      </w:r>
    </w:p>
    <w:p>
      <w:pPr>
        <w:spacing w:before="0" w:after="200" w:lineRule="auto" w:line="276"/>
      </w:pPr>
      <w:r>
        <w:rPr>
          <w:b/>
        </w:rPr>
        <w:t xml:space="preserve">Abstract (EN): </w:t>
      </w:r>
      <w:r>
        <w:t>Sensing technologies that exploit quantum phenomena for measurement are finding increasing applications across materials, physical and biological sciences1,2,3,4,5,6,7. Until recently, biological candidates for quantum sensors were limited to in vitro systems, had poor sensitivity and were prone to light-induced degradation. These limitations impeded practical biotechnological applications, and high-throughput study that would facilitate their engineering and optimization. We recently developed a class of magneto-sensitive fluorescent proteins including MagLOV, which overcomes many of these challenges8. Here we show that through directed evolution, it is possible to engineer these proteins to alter the properties of their response to magnetic fields and radio frequencies. We find that MagLOV exhibits optically detected magnetic resonance in living bacterial cells at room temperature, at sufficiently high signal-to-noise for single-cell detection. These effects are explained through the radical-pair mechanism, which involves the protein backbone and a bound flavin cofactor. Using optically detected magnetic resonance and fluorescence magnetic-field effects, we explore a range of applications, including spatial localization of fluorescence signals using gradient fields (that is, magnetic resonance imaging using a genetically encoded probe), sensing of the molecular microenvironment, multiplexing of bio-imaging and lock-in detection, mitigating typical biological imaging challenges such as light scattering and autofluorescence. Taken together, our results represent a suite of sensing modalities for engineered biological systems, based on and designed around understanding the quantum-mechanical properties of magneto-sensitive fluorescent proteins.</w:t>
      </w:r>
    </w:p>
    <w:p>
      <w:pPr>
        <w:spacing w:before="120" w:after="120"/>
      </w:pPr>
      <w:r>
        <w:rPr>
          <w:sz w:val="18"/>
        </w:rPr>
        <w:t>——————————————————————————————————————————————————————————————————————</w:t>
      </w:r>
    </w:p>
    <w:p>
      <w:pPr>
        <w:spacing w:before="160" w:after="40" w:line="240" w:lineRule="auto"/>
      </w:pPr>
      <w:r>
        <w:rPr>
          <w:b/>
        </w:rPr>
        <w:t xml:space="preserve">[397] </w:t>
      </w:r>
      <w:hyperlink r:id="rId602">
        <w:r>
          <w:rPr>
            <w:color w:val="1155CC"/>
            <w:u w:val="single"/>
          </w:rPr>
          <w:t>从单细胞向组织内大型巨细胞的过渡需要DHPS。</w:t>
        </w:r>
      </w:hyperlink>
    </w:p>
    <w:p>
      <w:pPr>
        <w:spacing w:before="0" w:after="80"/>
      </w:pPr>
      <w:r>
        <w:rPr>
          <w:i/>
          <w:sz w:val="20"/>
        </w:rPr>
        <w:t>EN: The transition from monocyte to tissue-resident macrophage requires DHPS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在胚胎产生、当地自我更新和通过清除死亡细胞和碎片1,2,3,4,4,5,6,6,5,6,在组织损伤期间,从骨髓获得的单细胞进入组织中,并区分成RTM组织,修复组织,补充在底部的大型细胞。 控制单细胞向RTM过渡和保持成熟的RTM跨组织体的通用细胞喷射机制仍然难以捉摸。 这里,我们显示脱氧苯丙胺合成酶(DHPS)是一种酶,对eIF5A5,5,7的翻译因精子而依赖希米丁的希普素修改进行介质介质介质,这是对REF5A5,7进行区分和维护所必需的。</w:t>
      </w:r>
    </w:p>
    <w:p>
      <w:pPr>
        <w:spacing w:before="0" w:after="200" w:lineRule="auto" w:line="276"/>
      </w:pPr>
      <w:r>
        <w:rPr>
          <w:b/>
        </w:rPr>
        <w:t xml:space="preserve">Abstract (EN): </w:t>
      </w:r>
      <w:r>
        <w:t>Tissue-resident macrophages (RTMs) form during embryogenesis, self-renew locally, and regulate tissue homeostasis by clearing dead cells and debris1,2,3,4,5,6. During tissue damage, however, bone-marrow-derived monocytes enter tissues and differentiate into RTMs, repairing the tissue and replenishing macrophages in the niche1. The universal cell-intrinsic mechanisms that control the monocyte-to-RTM transition and the maintenance of mature RTMs across tissues remain elusive3. Here we show that deoxyhypusine synthase (DHPS), an enzyme that mediates spermidine-dependent hypusine modification of translation factor eIF5A5,7, is required for RTM differentiation and maintenance. Mice with myeloid cell lack of DHPS (Dhps-ΔM mice) had a global defect in RTMs across tissues, resulting in persistent but ultimately futile monocyte influx. Transcriptional analyses of DHPS-deficient macrophages indicated a block in their ability to differentiate into mature RTMs, whereas proteomics revealed defects in cell adhesion and signalling pathways. Sequencing of ribosome-engaged transcripts identified a subset of mRNAs involved in cell adhesion and signalling that rely on DHPS for efficient translation. Imaging of DHPS-deficient macrophages in tissues showed differences in morphology and tissue interactions, which were correlated with their failed RTM differentiation. DHPS-deficient macrophages were also defective in critical homeostatic RTM functions including efferocytosis and tissue maintenance. Together, our results demonstrate a cell-intrinsic, tissue-agnostic pathway that drives differentiation of monocyte-derived macrophages into RTMs.</w:t>
      </w:r>
    </w:p>
    <w:p>
      <w:pPr>
        <w:spacing w:before="120" w:after="120"/>
      </w:pPr>
      <w:r>
        <w:rPr>
          <w:sz w:val="18"/>
        </w:rPr>
        <w:t>——————————————————————————————————————————————————————————————————————</w:t>
      </w:r>
    </w:p>
    <w:p>
      <w:pPr>
        <w:spacing w:before="160" w:after="40" w:line="240" w:lineRule="auto"/>
      </w:pPr>
      <w:r>
        <w:rPr>
          <w:b/>
        </w:rPr>
        <w:t xml:space="preserve">[398] </w:t>
      </w:r>
      <w:hyperlink r:id="rId603">
        <w:r>
          <w:rPr>
            <w:color w:val="1155CC"/>
            <w:u w:val="single"/>
          </w:rPr>
          <w:t>多层螺旋结构的纤维集成电路</w:t>
        </w:r>
      </w:hyperlink>
    </w:p>
    <w:p>
      <w:pPr>
        <w:spacing w:before="0" w:after="80"/>
      </w:pPr>
      <w:r>
        <w:rPr>
          <w:i/>
          <w:sz w:val="20"/>
        </w:rPr>
        <w:t>EN: Fibre integrated circuits by a multilayered spiral architecture</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纤维电子装置正在将传统纤维和服装转换成新一代的可磨损装置,这些装置能够与人体和环境积极互动,塑造未来生命,从而塑造人类身体和环境,1,2,3,4,4,5,5.纤维电子装置几乎实现了所有预期功能,例如动力6,7、感知8,9和显示10,11功能,但是,可行的信息处理纤维是建立与任何电子产品类似的智能互动纤维系统的核心,它仍然是谜题12,13,14,14,15的缺失部分。 在这里,我们通过创建具有前所未有的微设备密度和多式联运处理能力的纤维集成电路(FIC)来填补这一空白。</w:t>
      </w:r>
    </w:p>
    <w:p>
      <w:pPr>
        <w:spacing w:before="0" w:after="200" w:lineRule="auto" w:line="276"/>
      </w:pPr>
      <w:r>
        <w:rPr>
          <w:b/>
        </w:rPr>
        <w:t xml:space="preserve">Abstract (EN): </w:t>
      </w:r>
      <w:r>
        <w:t>Fibre electronic devices are transforming traditional fibres and garments into new-generation wearables that can actively interact with human bodies and the environment to shape future life1,2,3,4,5. Fibre electronic devices have achieved almost all of the desired functions, such as powering6,7, sensing8,9 and display10,11 functions. However, viable information-processing fibres, which lie at the heart of building intelligent interactive fibre systems similar to any electronic product, remain the missing piece of the puzzle12,13,14,15. Here we fill this gap by creating a fibre integrated circuit (FIC) with unprecedented microdevice density and multimodal processing capacity. The integration density reaches 100,000 transistors per centimetre, which effectively satisfies the requirements for interactive fibre systems. The FICs can not only process digital and analogue signals similar to typical commercial arithmetic chips but also achieve high-recognition-accuracy neural computing similar to that of the state-of-the-art in-memory image processors. The FICs are stable under harsh service conditions that bulky and planar counterparts have difficulty withstanding, such as repeated bending and abrasion for 10,000 cycles, stretching to 30%, twisting at an angle of 180° cm−1 and even crushing by a container truck weighing 15.6 tons. The realization of FICs enables closed-loop systems in a single fibre, without the need for any external rigid and bulky information processors. We demonstrate that this fully flexible fibre system paves the way for the interaction pattern desired in many cutting-edge applications, for example, brain–computer interfaces, smart textiles and virtual-reality wearables. This work presents new insights that can promote the development of fibre devices towards intelligent systems.</w:t>
      </w:r>
    </w:p>
    <w:p>
      <w:pPr>
        <w:spacing w:before="120" w:after="120"/>
      </w:pPr>
      <w:r>
        <w:rPr>
          <w:sz w:val="18"/>
        </w:rPr>
        <w:t>——————————————————————————————————————————————————————————————————————</w:t>
      </w:r>
    </w:p>
    <w:p>
      <w:pPr>
        <w:spacing w:before="160" w:after="40" w:line="240" w:lineRule="auto"/>
      </w:pPr>
      <w:r>
        <w:rPr>
          <w:b/>
        </w:rPr>
        <w:t xml:space="preserve">[399] </w:t>
      </w:r>
      <w:hyperlink r:id="rId604">
        <w:r>
          <w:rPr>
            <w:color w:val="1155CC"/>
            <w:u w:val="single"/>
          </w:rPr>
          <w:t>鸟类内视网膜中无氧新陈代谢,并得到了佩克滕的支持</w:t>
        </w:r>
      </w:hyperlink>
    </w:p>
    <w:p>
      <w:pPr>
        <w:spacing w:before="0" w:after="80"/>
      </w:pPr>
      <w:r>
        <w:rPr>
          <w:i/>
          <w:sz w:val="20"/>
        </w:rPr>
        <w:t>EN: Oxygen-free metabolism in the bird inner retina supported by the pecten</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神经组织对缺氧极为敏感,并依赖一个密集的血管网络来支持对氧、营养素和废物产品清除的异常高代谢需求;1,2,3,4,4,4,4,4,4,4,4,4,4,在鸟类这一新陈代代谢要求最大的神经组织之一,视网膜缺乏内血管血管5,6,这就提出了这样一个问题:这样一个具有新陈代代谢要求的神经组织如何能在不渗漏血液的情况下发挥作用。 这里我们表明,虽然外视网膜外的光受光受体外部分可以接触氧,但内鸟视网膜在视网膜神经厌氧慢性缺氧下运行,并辅之以视网膜神经的厌氧凝解。</w:t>
      </w:r>
    </w:p>
    <w:p>
      <w:pPr>
        <w:spacing w:before="0" w:after="200" w:lineRule="auto" w:line="276"/>
      </w:pPr>
      <w:r>
        <w:rPr>
          <w:b/>
        </w:rPr>
        <w:t xml:space="preserve">Abstract (EN): </w:t>
      </w:r>
      <w:r>
        <w:t>Neural tissues are exceptionally sensitive to oxygen deprivation and rely on a dense network of blood vessels to support their extraordinarily high metabolic demands for oxygen, nutrients and clearance of waste products1,2,3,4. In birds, one of the metabolically most demanding neural tissue—the retina—lacks internal blood vessels5,6. This raises the question of how such a metabolically demanding neural tissue can function without blood perfusion. Here we show that, while the photoreceptor outer segments in the outer retina have access to oxygen, the inner bird retina operates under chronic anoxia, supported by anaerobic glycolysis in the retinal neurons. We provide evidence that the pecten oculi—a uniquely vascularized structure in the vitreous humour of birds, the function of which has been debated for centuries5,6,7,8,9—supplies the anoxic inner retina with glucose and removes lactic acid. We suggest that the pecten’s metabolic support of the bird retina’s anoxia tolerance enabled first the evolution of a thick cell-dense, avascular retina, which secondarily served as an exaptation enabling retinal function during high-altitude migrations.</w:t>
      </w:r>
    </w:p>
    <w:p>
      <w:pPr>
        <w:spacing w:before="120" w:after="120"/>
      </w:pPr>
      <w:r>
        <w:rPr>
          <w:sz w:val="18"/>
        </w:rPr>
        <w:t>——————————————————————————————————————————————————————————————————————</w:t>
      </w:r>
    </w:p>
    <w:p>
      <w:pPr>
        <w:spacing w:before="160" w:after="40" w:line="240" w:lineRule="auto"/>
      </w:pPr>
      <w:r>
        <w:rPr>
          <w:b/>
        </w:rPr>
        <w:t xml:space="preserve">[400] </w:t>
      </w:r>
      <w:hyperlink r:id="rId605">
        <w:r>
          <w:rPr>
            <w:color w:val="1155CC"/>
            <w:u w:val="single"/>
          </w:rPr>
          <w:t>老龄化促进缓慢降解的合成蛋白的微细球积累</w:t>
        </w:r>
      </w:hyperlink>
    </w:p>
    <w:p>
      <w:pPr>
        <w:spacing w:before="0" w:after="80"/>
      </w:pPr>
      <w:r>
        <w:rPr>
          <w:i/>
          <w:sz w:val="20"/>
        </w:rPr>
        <w:t>EN: Ageing promotes microglial accumulation of slow-degrading synaptic proteins</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神经遗传性疾病影响全球12人中1人,并且仍然无法治愈。其病理起源的核心是神经蛋白保持和蛋白综合体积累的衰老损失,1,2。在这里,我们设计了生物遗传工具3,使我们能够标记新生神经蛋白,研究其与老龄化、其综合倾向及其与微晶体的相互作用的循环。我们显示,神经蛋白半衰期在4个月大的老鼠和24个月大的老鼠之间平均大约翻倍,个人蛋白的稳定性因大脑区域而异。此外,我们描述了包括1,726个蛋白质的老年神经蛋白质“综合体 ”, 其中近一半显示随着年龄的下降。 基因组包括众所周知的与疾病有关的蛋白质。</w:t>
      </w:r>
    </w:p>
    <w:p>
      <w:pPr>
        <w:spacing w:before="0" w:after="200" w:lineRule="auto" w:line="276"/>
      </w:pPr>
      <w:r>
        <w:rPr>
          <w:b/>
        </w:rPr>
        <w:t xml:space="preserve">Abstract (EN): </w:t>
      </w:r>
      <w:r>
        <w:t>Neurodegenerative diseases affect 1 in 12 people globally and remain incurable. Central to their pathogenesis is a loss of neuronal protein maintenance and the accumulation of protein aggregates with ageing1,2. Here we engineered bioorthogonal tools3 that enabled us to tag the nascent neuronal proteome and study its turnover with ageing, its propensity to aggregate and its interaction with microglia. We show that neuronal protein half-life approximately doubles on average between 4-month-old and 24-month-old mice, with the stability of individual proteins differing among brain regions. Furthermore, we describe the aged neuronal ‘aggregome’, which encompasses 1,726 proteins, nearly half of which show reduced degradation with age. The aggregome includes well-known proteins linked to diseases and numerous proteins previously not associated with neurodegeneration. Notably, we demonstrate that neuronal proteins accumulate in aged microglia, with 54% also displaying reduced degradation and/or aggregation with age. Among these proteins, synaptic proteins are highly enriched, which suggests that there is a cascade of events that emerge from impaired synaptic protein turnover and aggregation to the disposal of these proteins, possibly through microglial engulfment of synapses. These findings reveal the substantial loss of neuronal proteome maintenance with ageing, which could be causal for age-related synapse loss and cognitive decline.</w:t>
      </w:r>
    </w:p>
    <w:p>
      <w:pPr>
        <w:spacing w:before="120" w:after="120"/>
      </w:pPr>
      <w:r>
        <w:rPr>
          <w:sz w:val="18"/>
        </w:rPr>
        <w:t>——————————————————————————————————————————————————————————————————————</w:t>
      </w:r>
    </w:p>
    <w:p>
      <w:pPr>
        <w:spacing w:before="160" w:after="40" w:line="240" w:lineRule="auto"/>
      </w:pPr>
      <w:r>
        <w:rPr>
          <w:b/>
        </w:rPr>
        <w:t xml:space="preserve">[401] </w:t>
      </w:r>
      <w:hyperlink r:id="rId606">
        <w:r>
          <w:rPr>
            <w:color w:val="1155CC"/>
            <w:u w:val="single"/>
          </w:rPr>
          <w:t>婴儿到婴儿的菌株传播 形成发育中的内脏微生物</w:t>
        </w:r>
      </w:hyperlink>
    </w:p>
    <w:p>
      <w:pPr>
        <w:spacing w:before="0" w:after="80"/>
      </w:pPr>
      <w:r>
        <w:rPr>
          <w:i/>
          <w:sz w:val="20"/>
        </w:rPr>
        <w:t>EN: Baby-to-baby strain transmission shapes the developing gut microbiome</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婴儿微生物早期主要是由母亲在出生至生命最初几周的1,2,3,3 之间的微生物传播开始,但人与人之间的传播如何在第一年进一步塑造正在发育的微生物,仍未得到探索。我们在这里报告对婴儿、其教育者及其家人(不=134人)的婴儿、婴儿和婴儿婴儿在婴儿育苗中进行模拟微生物传播的代谢基因调查。我们在婴儿育苗和婴儿育婴后一年期间进行了密集的纵向微生物采样(n=1,013个粪便样本),在三个不同设施的育婴组内和育婴组之间进行了第一年的育婴和跟踪微生物菌株传播。我们检测到育婴群中婴儿至婴儿的微生物传播情况,即使只经过一个月的育婴后,我们还在护士的护理下进行了密集的纵向微生物采样(n=1,013个粪囊样本)。</w:t>
      </w:r>
    </w:p>
    <w:p>
      <w:pPr>
        <w:spacing w:before="0" w:after="200" w:lineRule="auto" w:line="276"/>
      </w:pPr>
      <w:r>
        <w:rPr>
          <w:b/>
        </w:rPr>
        <w:t xml:space="preserve">Abstract (EN): </w:t>
      </w:r>
      <w:r>
        <w:t>The early infant microbiome is largely primed by microbial transmission from the mother between birth and the first few weeks of life1,2,3, but how interpersonal transmission further shapes the developing microbiome in the first year remains unexplored. Here we report a metagenomic survey to model microbiome transmission in the nursery setting among babies attending the first year, their educators and their families (n = 134 individuals). We performed dense longitudinal microbiome sampling (n = 1,013 faecal samples) during the first year of nursery and tracked microbial strain transmission within and between nursery groups across 3 different facilities. We detected extensive baby-to-baby microbiome transmission within nursery groups even after only 1 month of nursery attendance, with nursery-acquired strains accounting for a proportion of the infant gut microbiome comparable to that from family by the end of the first term. Baby-to-baby transmission continued to grow over the nursery year, in an increasingly intricate transmission network with single strains spreading in some classes, and with multiple baby-acquisition and species-transmissibility patterns. Having siblings was associated with higher microbiome diversity and reduced strain acquisition from nursery peers, while antibiotic treatment was the condition that most accounted for the increased influx of strains. This study shows that microbiome transmission between babies is extensive during the first year of nursery, and points to social interactions in infancy as crucial drivers of infant microbiome development.</w:t>
      </w:r>
    </w:p>
    <w:p>
      <w:pPr>
        <w:spacing w:before="120" w:after="120"/>
      </w:pPr>
      <w:r>
        <w:rPr>
          <w:sz w:val="18"/>
        </w:rPr>
        <w:t>——————————————————————————————————————————————————————————————————————</w:t>
      </w:r>
    </w:p>
    <w:p>
      <w:pPr>
        <w:spacing w:before="160" w:after="40" w:line="240" w:lineRule="auto"/>
      </w:pPr>
      <w:r>
        <w:rPr>
          <w:b/>
        </w:rPr>
        <w:t xml:space="preserve">[402] </w:t>
      </w:r>
      <w:hyperlink r:id="rId607">
        <w:r>
          <w:rPr>
            <w:color w:val="1155CC"/>
            <w:u w:val="single"/>
          </w:rPr>
          <w:t>高塑性细胞状态在肺癌中的关键作用</w:t>
        </w:r>
      </w:hyperlink>
    </w:p>
    <w:p>
      <w:pPr>
        <w:spacing w:before="0" w:after="80"/>
      </w:pPr>
      <w:r>
        <w:rPr>
          <w:i/>
          <w:sz w:val="20"/>
        </w:rPr>
        <w:t>EN: Critical role for a high-plasticity cell state in lung cancer</w:t>
      </w:r>
    </w:p>
    <w:p>
      <w:pPr>
        <w:spacing w:before="0" w:after="120"/>
      </w:pPr>
      <w:r>
        <w:rPr>
          <w:b/>
        </w:rPr>
        <w:t xml:space="preserve">Source: </w:t>
      </w:r>
      <w:r>
        <w:t>Nature</w:t>
      </w:r>
      <w:r>
        <w:t xml:space="preserve">    </w:t>
      </w:r>
      <w:r>
        <w:rPr>
          <w:b/>
        </w:rPr>
        <w:t xml:space="preserve">Pub date: </w:t>
      </w:r>
      <w:r>
        <w:t>2026-01-21 00:00:00+00:00</w:t>
      </w:r>
    </w:p>
    <w:p>
      <w:pPr>
        <w:spacing w:before="0" w:after="120"/>
      </w:pPr>
      <w:r>
        <w:rPr>
          <w:b/>
        </w:rPr>
        <w:t xml:space="preserve">Notes: </w:t>
      </w:r>
      <w:r>
        <w:t>abstract_source=nature_html</w:t>
      </w:r>
    </w:p>
    <w:p>
      <w:pPr>
        <w:spacing w:before="0" w:after="80" w:lineRule="auto" w:line="276"/>
      </w:pPr>
      <w:r>
        <w:rPr>
          <w:b/>
        </w:rPr>
        <w:t xml:space="preserve">摘要（ZH）: </w:t>
      </w:r>
      <w:r>
        <w:t>最近的研究表明,固态肿瘤的可塑性集中在少数几组癌症细胞中,4,5,6,6,但目前还缺乏功能性研究,无法实地检查高塑性细胞状态(HPCS),我们在这里开发了鼠标模型,以便能够检测、纵向直线追踪和在体内的土生肺肿瘤中将HPCS与HPCS联系起来。 线性追踪显示,HPCS细胞具有很高的细胞状态转变能力,从而产生早期的肿瘤(差异化)和慢性肺癌细胞状态。</w:t>
      </w:r>
    </w:p>
    <w:p>
      <w:pPr>
        <w:spacing w:before="0" w:after="200" w:lineRule="auto" w:line="276"/>
      </w:pPr>
      <w:r>
        <w:rPr>
          <w:b/>
        </w:rPr>
        <w:t xml:space="preserve">Abstract (EN): </w:t>
      </w:r>
      <w:r>
        <w:t>Plasticity—the ability of cells to undergo phenotypic transitions—drives cancer progression and therapy resistance1,2,3. Recent studies have suggested that plasticity in solid tumours is concentrated in a minority subset of cancer cells4,5,6, yet functional studies examining this high-plasticity cell state (HPCS) in situ are lacking. Here we develop mouse models enabling the detection, longitudinal lineage tracing and ablation of the HPCS in autochthonous lung tumours in vivo. Lineage tracing reveals that the HPCS cells possess a high capacity for cell state transitions, giving rise to both early neoplastic (differentiated) and progressed lung cancer cell states in situ. Longitudinal lineage tracing using secreted luciferases reveals that HPCS-derived cells have a high capacity for growth compared with bulk cancer cells or another cancer cell state with features of differentiated lung epithelium. Ablation of HPCS cells in early neoplasias abrogates benign-to-malignant transition, whereas ablation in established tumours by suicide gene or chimeric antigen receptor (CAR) T cells robustly reduces tumour burden. We further demonstrate that the HPCS gives rise to therapy-resistant cell states, whereas HPCS ablation suppresses resistance to chemotherapy and oncoprotein-targeted therapy. Notably, an HPCS-like state is ubiquitous in regenerating epithelia and in carcinomas of multiple other tissues, revealing a convergence of plasticity programs. Our work establishes the HPCS as a critical hub enabling reciprocal transitions between cancer cell states. Targeting the HPCS in lung cancer and in other carcinomas may suppress cancer progression and eradicate treatment resistance.</w:t>
      </w:r>
    </w:p>
    <w:p>
      <w:pPr>
        <w:spacing w:before="120" w:after="120"/>
      </w:pPr>
      <w:r>
        <w:rPr>
          <w:sz w:val="18"/>
        </w:rPr>
        <w:t>——————————————————————————————————————————————————————————————————————</w:t>
      </w:r>
    </w:p>
    <w:p>
      <w:pPr>
        <w:spacing w:before="160" w:after="40" w:line="240" w:lineRule="auto"/>
      </w:pPr>
      <w:r>
        <w:rPr>
          <w:b/>
        </w:rPr>
        <w:t xml:space="preserve">[403] </w:t>
      </w:r>
      <w:hyperlink r:id="rId608">
        <w:r>
          <w:rPr>
            <w:color w:val="1155CC"/>
            <w:u w:val="single"/>
          </w:rPr>
          <w:t>2D MOF 与色度挥发有机化合物(VOCs)的内分泌多变性检测</w:t>
        </w:r>
      </w:hyperlink>
    </w:p>
    <w:p>
      <w:pPr>
        <w:spacing w:before="0" w:after="80"/>
      </w:pPr>
      <w:r>
        <w:rPr>
          <w:i/>
          <w:sz w:val="20"/>
        </w:rPr>
        <w:t>EN: 2D MOF with Intrinsic Porosity for Colorimetric Volatile Organic Compounds (VOCs) Detection</w:t>
      </w:r>
    </w:p>
    <w:p>
      <w:pPr>
        <w:spacing w:before="0" w:after="120"/>
      </w:pPr>
      <w:r>
        <w:rPr>
          <w:b/>
        </w:rPr>
        <w:t xml:space="preserve">Source: </w:t>
      </w:r>
      <w:r>
        <w:t>Wiley: Advanced Materials: Table of Contents</w:t>
      </w:r>
      <w:r>
        <w:t xml:space="preserve">    </w:t>
      </w:r>
      <w:r>
        <w:rPr>
          <w:b/>
        </w:rPr>
        <w:t xml:space="preserve">Pub date: </w:t>
      </w:r>
      <w:r>
        <w:t>2026-01-21 05:34:56+00:00</w:t>
      </w:r>
      <w:r>
        <w:t xml:space="preserve">    </w:t>
      </w:r>
      <w:r>
        <w:rPr>
          <w:b/>
        </w:rPr>
        <w:t xml:space="preserve">DOI: </w:t>
      </w:r>
      <w:hyperlink r:id="rId609">
        <w:r>
          <w:rPr>
            <w:color w:val="1155CC"/>
            <w:u w:val="single"/>
          </w:rPr>
          <w:t>10.1002/adma.202519243</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在这项工作中,我们报告了一个罕见的2D金属有机框架(MOF ), 其内在的机体孔隙性在接触各种挥发性有机化合物(VOC ) 时会发生明显和可逆的颜色变化。 与层平行的渠道的存在确保了永久的孔隙性,即便在用微小横向尺寸喷入纳米单体之后,也得以保存,从而克服了单层系统中对孔隙性损失的常规限制。 这种独特的结构稳定性和反应行为组合不仅凸显了 2D MOF 作为多功能和可调和的化学感测平台的潜力,而且还打开了输送纳米表的大门,重新定义了2D MOF的应用面貌。</w:t>
      </w:r>
    </w:p>
    <w:p>
      <w:pPr>
        <w:spacing w:before="0" w:after="200" w:lineRule="auto" w:line="276"/>
      </w:pPr>
      <w:r>
        <w:rPr>
          <w:b/>
        </w:rPr>
        <w:t xml:space="preserve">Abstract (EN): </w:t>
      </w:r>
      <w:r>
        <w:t>In this work, we report an uncommon 2D metal–organic framework (MOF) with intrinsic in‐plane porosity that undergoes a distinct and reversible colour change upon exposure to various volatile organic compounds (VOCs). The presence of channels oriented parallel to the layers ensures permanent porosity that is preserved even after exfoliation into nanosheets with micron‐scale lateral dimensions, thereby overcoming the conventional limitation of porosity loss in the monolayer regime. This unique combination of structural stability and responsive behaviour not only underscores the potential of 2D MOFs as versatile and tuneable platforms for chemical sensing, but also opens the door to channelled nanosheets, redefining the application landscape of 2D MOFs.</w:t>
      </w:r>
    </w:p>
    <w:p>
      <w:pPr>
        <w:spacing w:before="120" w:after="120"/>
      </w:pPr>
      <w:r>
        <w:rPr>
          <w:sz w:val="18"/>
        </w:rPr>
        <w:t>——————————————————————————————————————————————————————————————————————</w:t>
      </w:r>
    </w:p>
    <w:p>
      <w:pPr>
        <w:spacing w:before="160" w:after="40" w:line="240" w:lineRule="auto"/>
      </w:pPr>
      <w:r>
        <w:rPr>
          <w:b/>
        </w:rPr>
        <w:t xml:space="preserve">[404] </w:t>
      </w:r>
      <w:hyperlink r:id="rId610">
        <w:r>
          <w:rPr>
            <w:color w:val="1155CC"/>
            <w:u w:val="single"/>
          </w:rPr>
          <w:t>动态平极工程使超高能源储存具有最小损失</w:t>
        </w:r>
      </w:hyperlink>
    </w:p>
    <w:p>
      <w:pPr>
        <w:spacing w:before="0" w:after="80"/>
      </w:pPr>
      <w:r>
        <w:rPr>
          <w:i/>
          <w:sz w:val="20"/>
        </w:rPr>
        <w:t>EN: Dynamic Dipole Engineering Enables Ultrahigh Energy Storage With Minimal Losses</w:t>
      </w:r>
    </w:p>
    <w:p>
      <w:pPr>
        <w:spacing w:before="0" w:after="120"/>
      </w:pPr>
      <w:r>
        <w:rPr>
          <w:b/>
        </w:rPr>
        <w:t xml:space="preserve">Source: </w:t>
      </w:r>
      <w:r>
        <w:t>Wiley: Advanced Materials: Table of Contents</w:t>
      </w:r>
      <w:r>
        <w:t xml:space="preserve">    </w:t>
      </w:r>
      <w:r>
        <w:rPr>
          <w:b/>
        </w:rPr>
        <w:t xml:space="preserve">Pub date: </w:t>
      </w:r>
      <w:r>
        <w:t>2026-01-21 05:37:13+00:00</w:t>
      </w:r>
      <w:r>
        <w:t xml:space="preserve">    </w:t>
      </w:r>
      <w:r>
        <w:rPr>
          <w:b/>
        </w:rPr>
        <w:t xml:space="preserve">DOI: </w:t>
      </w:r>
      <w:hyperlink r:id="rId611">
        <w:r>
          <w:rPr>
            <w:color w:val="1155CC"/>
            <w:u w:val="single"/>
          </w:rPr>
          <w:t>10.1002/adma.202522905</w:t>
        </w:r>
      </w:hyperlink>
    </w:p>
    <w:p>
      <w:pPr>
        <w:spacing w:before="0" w:after="120"/>
      </w:pPr>
      <w:r>
        <w:rPr>
          <w:b/>
        </w:rPr>
        <w:t xml:space="preserve">Notes: </w:t>
      </w:r>
      <w:r>
        <w:t>abstract_source=crossref</w:t>
      </w:r>
    </w:p>
    <w:p>
      <w:pPr>
        <w:spacing w:before="0" w:after="80" w:lineRule="auto" w:line="276"/>
      </w:pPr>
      <w:r>
        <w:rPr>
          <w:b/>
        </w:rPr>
        <w:t xml:space="preserve">摘要（ZH）: </w:t>
      </w:r>
      <w:r>
        <w:t>实现高可回收能源密度(W rec )的ABSTACT 实现无铅电的无铅电的接近统一效率()的高可回收能源密度(W rec ), 这对于先进的脉冲电动电容器仍然是一项重大挑战,因为它们在新兴脉冲动力系统和高电压电子中发挥着中心作用。 我们在这里表明,定向的动态低极行为工程为显著的能源储存性能提供了一条有效的途径。 在级场模拟的指导下,我们设计了(Bi 0.5 Na 0.5)TiO 3(BNT) 3 基多层陶瓷电容器,以改变同流体。</w:t>
      </w:r>
    </w:p>
    <w:p>
      <w:pPr>
        <w:spacing w:before="0" w:after="200" w:lineRule="auto" w:line="276"/>
      </w:pPr>
      <w:r>
        <w:rPr>
          <w:b/>
        </w:rPr>
        <w:t xml:space="preserve">Abstract (EN): </w:t>
      </w:r>
      <w:r>
        <w:t>Achieving high recoverable energy density (</w:t>
      </w:r>
      <w:r>
        <w:t xml:space="preserve"> </w:t>
      </w:r>
      <w:r>
        <w:t>W</w:t>
      </w:r>
      <w:r>
        <w:t xml:space="preserve"> </w:t>
      </w:r>
      <w:r>
        <w:t>rec</w:t>
      </w:r>
      <w:r>
        <w:t xml:space="preserve"> </w:t>
      </w:r>
      <w:r>
        <w:t>) with near‐unity efficiency (</w:t>
      </w:r>
      <w:r>
        <w:t xml:space="preserve"> </w:t>
      </w:r>
      <w:r>
        <w:t>η</w:t>
      </w:r>
      <w:r>
        <w:t xml:space="preserve"> </w:t>
      </w:r>
      <w:r>
        <w:t>) in lead‐free dielectrics remains a major challenge for advanced pulse power capacitors, given their central role in emerging pulsed power systems and high‐voltage electronics. Here, we show that targeted engineering of dynamic dipole behavior provides an effective route to remarkable energy storage performance. Guided by phase‐field simulations, we design (Bi</w:t>
      </w:r>
      <w:r>
        <w:t xml:space="preserve"> </w:t>
      </w:r>
      <w:r>
        <w:t>0.5</w:t>
      </w:r>
      <w:r>
        <w:t xml:space="preserve"> </w:t>
      </w:r>
      <w:r>
        <w:t>Na</w:t>
      </w:r>
      <w:r>
        <w:t xml:space="preserve"> </w:t>
      </w:r>
      <w:r>
        <w:t>0.5</w:t>
      </w:r>
      <w:r>
        <w:t xml:space="preserve"> </w:t>
      </w:r>
      <w:r>
        <w:t>)TiO</w:t>
      </w:r>
      <w:r>
        <w:rPr>
          <w:vertAlign w:val="subscript"/>
        </w:rPr>
        <w:t>3</w:t>
      </w:r>
      <w:r>
        <w:t>(BNT)‐based multilayer ceramic capacitors that transform a continuous network of strongly correlated dipoles into discrete nano‐domains. Within each nano‐domain, dipoles retain strong local cooperativity, which maintains high polarization while markedly suppressing hysteresis losses. As a result, the optimized multilayer ceramic capacitors (MLCCs) achieve a recoverable energy density of 16.2 J cm</w:t>
      </w:r>
      <w:r>
        <w:t xml:space="preserve"> </w:t>
      </w:r>
      <w:r>
        <w:t>−3</w:t>
      </w:r>
      <w:r>
        <w:t xml:space="preserve"> </w:t>
      </w:r>
      <w:r>
        <w:t>, an</w:t>
      </w:r>
      <w:r>
        <w:t xml:space="preserve"> </w:t>
      </w:r>
      <w:r>
        <w:t>η</w:t>
      </w:r>
      <w:r>
        <w:t xml:space="preserve"> </w:t>
      </w:r>
      <w:r>
        <w:t>below 1.5%, and a record‐high figure of merit (</w:t>
      </w:r>
      <w:r>
        <w:t xml:space="preserve"> </w:t>
      </w:r>
      <w:r>
        <w:t>W</w:t>
      </w:r>
      <w:r>
        <w:t xml:space="preserve"> </w:t>
      </w:r>
      <w:r>
        <w:t>F</w:t>
      </w:r>
      <w:r>
        <w:t xml:space="preserve"> </w:t>
      </w:r>
      <w:r>
        <w:t>) of 1080 at 650 kV cm</w:t>
      </w:r>
      <w:r>
        <w:t xml:space="preserve"> </w:t>
      </w:r>
      <w:r>
        <w:t>−1</w:t>
      </w:r>
      <w:r>
        <w:t xml:space="preserve"> </w:t>
      </w:r>
      <w:r>
        <w:t>. This moderate operating field also produces an ultrahigh energy storage strength (</w:t>
      </w:r>
      <w:r>
        <w:t xml:space="preserve"> </w:t>
      </w:r>
      <w:r>
        <w:t>ξ</w:t>
      </w:r>
      <w:r>
        <w:t xml:space="preserve"> </w:t>
      </w:r>
      <w:r>
        <w:t>) of 249 J kV</w:t>
      </w:r>
      <w:r>
        <w:t xml:space="preserve"> </w:t>
      </w:r>
      <w:r>
        <w:t>−1</w:t>
      </w:r>
      <w:r>
        <w:t xml:space="preserve"> </w:t>
      </w:r>
      <w:r>
        <w:t>m</w:t>
      </w:r>
      <w:r>
        <w:t xml:space="preserve"> </w:t>
      </w:r>
      <w:r>
        <w:t>−2</w:t>
      </w:r>
      <w:r>
        <w:t xml:space="preserve"> </w:t>
      </w:r>
      <w:r>
        <w:t>, highlighting the efficiency of the dipole‐regulation strategy. These findings demonstrate that weakly correlated and dynamic dipoles can be harnessed to advance high‐performance, lead‐free energy storage devices and offer a viable design principle for next‐generation capacitive technologies.</w:t>
      </w:r>
    </w:p>
    <w:p>
      <w:pPr>
        <w:spacing w:before="120" w:after="120"/>
      </w:pPr>
      <w:r>
        <w:rPr>
          <w:sz w:val="18"/>
        </w:rPr>
        <w:t>——————————————————————————————————————————————————————————————————————</w:t>
      </w:r>
    </w:p>
    <w:p>
      <w:pPr>
        <w:spacing w:before="160" w:after="40" w:line="240" w:lineRule="auto"/>
      </w:pPr>
      <w:r>
        <w:rPr>
          <w:b/>
        </w:rPr>
        <w:t xml:space="preserve">[405] </w:t>
      </w:r>
      <w:hyperlink r:id="rId612">
        <w:r>
          <w:rPr>
            <w:color w:val="1155CC"/>
            <w:u w:val="single"/>
          </w:rPr>
          <w:t>调查利用假冒胶合胶合胶合体工程研究成年斑马鱼Vestibula器官中Cupula的动态</w:t>
        </w:r>
      </w:hyperlink>
    </w:p>
    <w:p>
      <w:pPr>
        <w:spacing w:before="0" w:after="80"/>
      </w:pPr>
      <w:r>
        <w:rPr>
          <w:i/>
          <w:sz w:val="20"/>
        </w:rPr>
        <w:t>EN: Investigation Into the Dynamics of the Cupula in the Vestibular Organ of Adult Zebrafish Using Metabolic Glycoengineering</w:t>
      </w:r>
    </w:p>
    <w:p>
      <w:pPr>
        <w:spacing w:before="0" w:after="120"/>
      </w:pPr>
      <w:r>
        <w:rPr>
          <w:b/>
        </w:rPr>
        <w:t xml:space="preserve">Source: </w:t>
      </w:r>
      <w:r>
        <w:t>Wiley: Angewandte Chemie International Edition: Table of Contents</w:t>
      </w:r>
      <w:r>
        <w:t xml:space="preserve">    </w:t>
      </w:r>
      <w:r>
        <w:rPr>
          <w:b/>
        </w:rPr>
        <w:t xml:space="preserve">Pub date: </w:t>
      </w:r>
      <w:r>
        <w:t>2026-01-21 05:40:21+00:00</w:t>
      </w:r>
      <w:r>
        <w:t xml:space="preserve">    </w:t>
      </w:r>
      <w:r>
        <w:rPr>
          <w:b/>
        </w:rPr>
        <w:t xml:space="preserve">DOI: </w:t>
      </w:r>
      <w:hyperlink r:id="rId613">
        <w:r>
          <w:rPr>
            <w:color w:val="1155CC"/>
            <w:u w:val="single"/>
          </w:rPr>
          <w:t>10.1002/anie.202515593</w:t>
        </w:r>
      </w:hyperlink>
    </w:p>
    <w:p>
      <w:pPr>
        <w:spacing w:before="0" w:after="120"/>
      </w:pPr>
      <w:r>
        <w:rPr>
          <w:b/>
        </w:rPr>
        <w:t xml:space="preserve">Notes: </w:t>
      </w:r>
      <w:r>
        <w:t>abstract_source=crossref</w:t>
      </w:r>
    </w:p>
    <w:p>
      <w:pPr>
        <w:spacing w:before="0" w:after="80" w:lineRule="auto" w:line="276"/>
      </w:pPr>
      <w:r>
        <w:rPr>
          <w:b/>
        </w:rPr>
        <w:t xml:space="preserve">摘要（ZH）: </w:t>
      </w:r>
      <w:r>
        <w:t>边缘外皮外皮功能的抽象突然丧失是一种常见的临床病变。这种病变的主要原因尚不得而知。鸽子先前的实验显示,在半循环运河的杯子中诱发机械渗漏,造成相当于在外围外皮外皮功能突然丧失后在人体内观察到的症状。 是一种细胞膜膜,对于检测头部角加速度至关重要。 它包括基质蛋白丁素的矩阵,该矩阵由在胸腔中的支持细胞秘密保存。 目前,尚不清楚是否继续生产氯氟素,导致永久性的肿瘤新发。 这一过程可以解释许多病人观察到的功能恢复过程。</w:t>
      </w:r>
    </w:p>
    <w:p>
      <w:pPr>
        <w:spacing w:before="0" w:after="200" w:lineRule="auto" w:line="276"/>
      </w:pPr>
      <w:r>
        <w:rPr>
          <w:b/>
        </w:rPr>
        <w:t xml:space="preserve">Abstract (EN): </w:t>
      </w:r>
      <w:r>
        <w:t>Sudden loss of peripheral vestibular function is a common clinical disorder. The primary cause of this disorder is not known. Previous experiments in pigeons showed that an induced mechanical leakage in the cupula of a semicircular canal causes symptoms equivalent to those observed in humans after sudden loss of peripheral vestibular function. The cupula is an acellular membrane, which is critical for the detection of angular acceleration of the head. It consists of the matrix glycoprotein cupulin, which is secreted by supporting cells in the crista ampullaris. Currently, it is unclear whether cupulin is continuously produced resulting in permanent cupular neogenesis. Such a process could explain recovery of function observed in many patients. We applied metabolic glycoengineering to demonstrate the existence of cupulin renewal. Intraperitoneal injection of</w:t>
      </w:r>
      <w:r>
        <w:t xml:space="preserve"> </w:t>
      </w:r>
      <w:r>
        <w:t>N</w:t>
      </w:r>
      <w:r>
        <w:t xml:space="preserve"> </w:t>
      </w:r>
      <w:r>
        <w:t>‐azidoacetylgalactosamine (GalNAz) into zebrafish leads to incorporation of this sugar in the cupula. Preparation of the cupula after various time intervals followed by fluorescence labeling by click chemistry, resulted in a distinct band within the cupula visible in fluorescence microscopy. Time‐delayed double injection gave rise to two bands. A long‐term experiment allowed to estimate that complete renewal of the zebrafish cupula occurs over a cycle of eight to ten weeks.</w:t>
      </w:r>
    </w:p>
    <w:p>
      <w:pPr>
        <w:spacing w:before="120" w:after="120"/>
      </w:pPr>
      <w:r>
        <w:rPr>
          <w:sz w:val="18"/>
        </w:rPr>
        <w:t>——————————————————————————————————————————————————————————————————————</w:t>
      </w:r>
    </w:p>
    <w:p>
      <w:pPr>
        <w:spacing w:before="160" w:after="40" w:line="240" w:lineRule="auto"/>
      </w:pPr>
      <w:r>
        <w:rPr>
          <w:b/>
        </w:rPr>
        <w:t xml:space="preserve">[406] </w:t>
      </w:r>
      <w:hyperlink r:id="rId614">
        <w:r>
          <w:rPr>
            <w:color w:val="1155CC"/>
            <w:u w:val="single"/>
          </w:rPr>
          <w:t>液-里希锰氧化氧化二氮煤炭的衰减和丧失能力:原生、中层异异性和宏观进化</w:t>
        </w:r>
      </w:hyperlink>
    </w:p>
    <w:p>
      <w:pPr>
        <w:spacing w:before="0" w:after="80"/>
      </w:pPr>
      <w:r>
        <w:rPr>
          <w:i/>
          <w:sz w:val="20"/>
        </w:rPr>
        <w:t>EN: Voltage Decay and Capacity Loss in Lithium‐Rich Manganese Oxide Cathodes: Atomic Origins, Mesoscopic Heterogeneities, and Macroscopic Evolution</w:t>
      </w:r>
    </w:p>
    <w:p>
      <w:pPr>
        <w:spacing w:before="0" w:after="120"/>
      </w:pPr>
      <w:r>
        <w:rPr>
          <w:b/>
        </w:rPr>
        <w:t xml:space="preserve">Source: </w:t>
      </w:r>
      <w:r>
        <w:t>Wiley: Advanced Materials: Table of Contents</w:t>
      </w:r>
      <w:r>
        <w:t xml:space="preserve">    </w:t>
      </w:r>
      <w:r>
        <w:rPr>
          <w:b/>
        </w:rPr>
        <w:t xml:space="preserve">Pub date: </w:t>
      </w:r>
      <w:r>
        <w:t>2026-01-21 05:40:51+00:00</w:t>
      </w:r>
      <w:r>
        <w:t xml:space="preserve">    </w:t>
      </w:r>
      <w:r>
        <w:rPr>
          <w:b/>
        </w:rPr>
        <w:t xml:space="preserve">DOI: </w:t>
      </w:r>
      <w:hyperlink r:id="rId615">
        <w:r>
          <w:rPr>
            <w:color w:val="1155CC"/>
            <w:u w:val="single"/>
          </w:rPr>
          <w:t>10.1002/adma.202521529</w:t>
        </w:r>
      </w:hyperlink>
    </w:p>
    <w:p>
      <w:pPr>
        <w:spacing w:before="0" w:after="120"/>
      </w:pPr>
      <w:r>
        <w:rPr>
          <w:b/>
        </w:rPr>
        <w:t xml:space="preserve">Notes: </w:t>
      </w:r>
      <w:r>
        <w:t>abstract_source=crossref</w:t>
      </w:r>
    </w:p>
    <w:p>
      <w:pPr>
        <w:spacing w:before="0" w:after="80" w:lineRule="auto" w:line="276"/>
      </w:pPr>
      <w:r>
        <w:rPr>
          <w:b/>
        </w:rPr>
        <w:t xml:space="preserve">摘要（ZH）: </w:t>
      </w:r>
      <w:r>
        <w:t>ABSTACT 硅富锰基氧化物(LRMO)阴极材料由于其特定容量高和能量密度超强,已成为下一代锂离子电池(LIBs)的有前途的候选产品,然而,由于电压明显衰变和循环过程中的容量丧失,这些物质的实际应用受到复杂和相互关联的机制的严重阻碍。本审查报告对LEMO材料的降解路径进行了全面、多尺度的分析,从原子层结构动态到混氧层异异性和大型粒子演变。</w:t>
      </w:r>
    </w:p>
    <w:p>
      <w:pPr>
        <w:spacing w:before="0" w:after="200" w:lineRule="auto" w:line="276"/>
      </w:pPr>
      <w:r>
        <w:rPr>
          <w:b/>
        </w:rPr>
        <w:t xml:space="preserve">Abstract (EN): </w:t>
      </w:r>
      <w:r>
        <w:t>Lithium‐rich manganese‐based oxide (LRMO) cathode materials have emerged as promising candidates for next‐generation lithium‐ion batteries (LIBs) due to their high specific capacity and exceptional energy density. Nevertheless, their practical application is significantly hindered by pronounced voltage decay and capacity loss during cycling, which stem from complex and interrelated mechanisms. This review presents a comprehensive, multi‐scale analysis of the degradation pathways in LRMO materials, spanning from atomic‐level structural dynamics to mesoscopic heterogeneities and macroscopic particle evolution. Special focus is directed toward unraveling the synergistic interplay between oxygen anionic and cationic redox processes, oxygen release, transition metal ions (TMs) migration, irreversible phase transitions, heterogeneous electrochemical reactions, and operational conditions. By integrating insights from advanced characterization, theoretical modeling, and electrochemical analyses, this review establishes a cohesive framework that elucidates the intricate relationships among oxygen activity, TMs dynamics, and structural transformations. These mechanistic insights lay a critical foundation for the development of stabilization strategies aimed at mitigating voltage decay and capacity loss. Ultimately, this review bridges the gap between fundamental mechanistic understanding and practical engineering applications, offering actionable guidance for the design of durable and high‐energy‐density LRMO cathode materials tailored for high‐performance energy storage systems.</w:t>
      </w:r>
    </w:p>
    <w:p>
      <w:pPr>
        <w:spacing w:before="120" w:after="120"/>
      </w:pPr>
      <w:r>
        <w:rPr>
          <w:sz w:val="18"/>
        </w:rPr>
        <w:t>——————————————————————————————————————————————————————————————————————</w:t>
      </w:r>
    </w:p>
    <w:p>
      <w:pPr>
        <w:spacing w:before="160" w:after="40" w:line="240" w:lineRule="auto"/>
      </w:pPr>
      <w:r>
        <w:rPr>
          <w:b/>
        </w:rPr>
        <w:t xml:space="preserve">[407] </w:t>
      </w:r>
      <w:hyperlink r:id="rId616">
        <w:r>
          <w:rPr>
            <w:color w:val="1155CC"/>
            <w:u w:val="single"/>
          </w:rPr>
          <w:t>减少有机太阳能电池中非放射性能源损失的聚合分子设计</w:t>
        </w:r>
      </w:hyperlink>
    </w:p>
    <w:p>
      <w:pPr>
        <w:spacing w:before="0" w:after="80"/>
      </w:pPr>
      <w:r>
        <w:rPr>
          <w:i/>
          <w:sz w:val="20"/>
        </w:rPr>
        <w:t>EN: Aggregation‐Induced Emission Molecular Design for Mitigating Non‐Radiative Energy Loss in Organic Solar Cells</w:t>
      </w:r>
    </w:p>
    <w:p>
      <w:pPr>
        <w:spacing w:before="0" w:after="120"/>
      </w:pPr>
      <w:r>
        <w:rPr>
          <w:b/>
        </w:rPr>
        <w:t xml:space="preserve">Source: </w:t>
      </w:r>
      <w:r>
        <w:t>Wiley: Advanced Materials: Table of Contents</w:t>
      </w:r>
      <w:r>
        <w:t xml:space="preserve">    </w:t>
      </w:r>
      <w:r>
        <w:rPr>
          <w:b/>
        </w:rPr>
        <w:t xml:space="preserve">Pub date: </w:t>
      </w:r>
      <w:r>
        <w:t>2026-01-21 05:42:17+00:00</w:t>
      </w:r>
      <w:r>
        <w:t xml:space="preserve">    </w:t>
      </w:r>
      <w:r>
        <w:rPr>
          <w:b/>
        </w:rPr>
        <w:t xml:space="preserve">DOI: </w:t>
      </w:r>
      <w:hyperlink r:id="rId617">
        <w:r>
          <w:rPr>
            <w:color w:val="1155CC"/>
            <w:u w:val="single"/>
          </w:rPr>
          <w:t>10.1002/adma.202519588</w:t>
        </w:r>
      </w:hyperlink>
    </w:p>
    <w:p>
      <w:pPr>
        <w:spacing w:before="0" w:after="120"/>
      </w:pPr>
      <w:r>
        <w:rPr>
          <w:b/>
        </w:rPr>
        <w:t xml:space="preserve">Notes: </w:t>
      </w:r>
      <w:r>
        <w:t>abstract_source=crossref</w:t>
      </w:r>
    </w:p>
    <w:p>
      <w:pPr>
        <w:spacing w:before="0" w:after="80" w:lineRule="auto" w:line="276"/>
      </w:pPr>
      <w:r>
        <w:rPr>
          <w:b/>
        </w:rPr>
        <w:t xml:space="preserve">摘要（ZH）: </w:t>
      </w:r>
      <w:r>
        <w:t>非放射性能源损失仍然是限制开放电路电压(V OC)和有机太阳能电池(OSCs)效率的关键瓶颈。 在这里,我们引入了分子设计战略,利用聚合物诱发的排放(AIE)来抑制聚氨(NUBACT),从而抑制导致的排气并增强固态光照量产量(PLQY),从而减轻非放射性再融合。一种原型AIE motif(四苯乙烯)已被纳入Y系列非富尔尼接受者生成dTPE的终端组,该终端组显示出高性能Y-系列接受者以前没有观察到的AIE的特性。光光光化研究显示,DTPEachiev具有不同特性。</w:t>
      </w:r>
    </w:p>
    <w:p>
      <w:pPr>
        <w:spacing w:before="0" w:after="200" w:lineRule="auto" w:line="276"/>
      </w:pPr>
      <w:r>
        <w:rPr>
          <w:b/>
        </w:rPr>
        <w:t xml:space="preserve">Abstract (EN): </w:t>
      </w:r>
      <w:r>
        <w:t>Non‐radiative energy loss remains a critical bottleneck limiting the open‐circuit voltage (</w:t>
      </w:r>
      <w:r>
        <w:t xml:space="preserve"> </w:t>
      </w:r>
      <w:r>
        <w:t>V</w:t>
      </w:r>
      <w:r>
        <w:t xml:space="preserve"> </w:t>
      </w:r>
      <w:r>
        <w:t>OC</w:t>
      </w:r>
      <w:r>
        <w:t xml:space="preserve"> </w:t>
      </w:r>
      <w:r>
        <w:t>) and efficiency of organic solar cells (OSCs). Here, we introduce a molecular design strategy that leverages aggregation‐induced emission (AIE) to suppress aggregation‐caused quenching and enhance solid‐state photoluminescence quantum yield (PLQY), thereby mitigating non‐radiative recombination. A prototypical AIE motif, tetraphenylethylene, was incorporated into the terminal group of a Y‐series non‐fullerene acceptor to yield dTPE, which exhibits distinct AIE characteristics not previously observed in high‐performance Y‐series acceptors. Photoluminescence studies reveal that dTPE achieves a threefold enhancement in PLQY compared to L8BO‐C4 in the film, leading to an electroluminescence external quantum efficiency more than an order of magnitude higher than that of D18:L8BO‐C4. Consequently, the binary D18:dTPE device achieves a remarkably low non‐radiative recombination loss of 0.130 eV. When incorporated as a guest into D18:L8BO‐C4 blends, dTPE enables a non‐radiative voltage loss of only 0.190 eV and an unprecedented</w:t>
      </w:r>
      <w:r>
        <w:t xml:space="preserve"> </w:t>
      </w:r>
      <w:r>
        <w:t>V</w:t>
      </w:r>
      <w:r>
        <w:t xml:space="preserve"> </w:t>
      </w:r>
      <w:r>
        <w:t>OC</w:t>
      </w:r>
      <w:r>
        <w:t xml:space="preserve"> </w:t>
      </w:r>
      <w:r>
        <w:t>of 0.93 V, yielding an efficiency of 20.5%. To our knowledge, this represents the highest</w:t>
      </w:r>
      <w:r>
        <w:t xml:space="preserve"> </w:t>
      </w:r>
      <w:r>
        <w:t>V</w:t>
      </w:r>
      <w:r>
        <w:t xml:space="preserve"> </w:t>
      </w:r>
      <w:r>
        <w:t>OC</w:t>
      </w:r>
      <w:r>
        <w:t xml:space="preserve"> </w:t>
      </w:r>
      <w:r>
        <w:t>reported for OSCs with efficiencies above 20%. This work establishes AIE molecular design as an effective pathway to overcome intrinsic limitations of Y‐series acceptors and provides guiding principles for mitigating non‐radiative energy loss in next‐generation OSCs.</w:t>
      </w:r>
    </w:p>
    <w:p>
      <w:pPr>
        <w:spacing w:before="120" w:after="120"/>
      </w:pPr>
      <w:r>
        <w:rPr>
          <w:sz w:val="18"/>
        </w:rPr>
        <w:t>——————————————————————————————————————————————————————————————————————</w:t>
      </w:r>
    </w:p>
    <w:p>
      <w:pPr>
        <w:spacing w:before="160" w:after="40" w:line="240" w:lineRule="auto"/>
      </w:pPr>
      <w:r>
        <w:rPr>
          <w:b/>
        </w:rPr>
        <w:t xml:space="preserve">[408] </w:t>
      </w:r>
      <w:hyperlink r:id="rId618">
        <w:r>
          <w:rPr>
            <w:color w:val="1155CC"/>
            <w:u w:val="single"/>
          </w:rPr>
          <w:t>通过非对称主力组 Sn 单原子催化器最大限度地减少工业电合成中的H2O2损失</w:t>
        </w:r>
      </w:hyperlink>
    </w:p>
    <w:p>
      <w:pPr>
        <w:spacing w:before="0" w:after="80"/>
      </w:pPr>
      <w:r>
        <w:rPr>
          <w:i/>
          <w:sz w:val="20"/>
        </w:rPr>
        <w:t>EN: Minimizing H2O2 Loss in Industrial Electrosynthesis via Asymmetric Main‐Group Sn Single‐Atom Catalysts</w:t>
      </w:r>
    </w:p>
    <w:p>
      <w:pPr>
        <w:spacing w:before="0" w:after="120"/>
      </w:pPr>
      <w:r>
        <w:rPr>
          <w:b/>
        </w:rPr>
        <w:t xml:space="preserve">Source: </w:t>
      </w:r>
      <w:r>
        <w:t>Wiley: Angewandte Chemie International Edition: Table of Contents</w:t>
      </w:r>
      <w:r>
        <w:t xml:space="preserve">    </w:t>
      </w:r>
      <w:r>
        <w:rPr>
          <w:b/>
        </w:rPr>
        <w:t xml:space="preserve">Pub date: </w:t>
      </w:r>
      <w:r>
        <w:t>2026-01-21 05:42:21+00:00</w:t>
      </w:r>
      <w:r>
        <w:t xml:space="preserve">    </w:t>
      </w:r>
      <w:r>
        <w:rPr>
          <w:b/>
        </w:rPr>
        <w:t xml:space="preserve">DOI: </w:t>
      </w:r>
      <w:hyperlink r:id="rId619">
        <w:r>
          <w:rPr>
            <w:color w:val="1155CC"/>
            <w:u w:val="single"/>
          </w:rPr>
          <w:t>10.1002/anie.202523314</w:t>
        </w:r>
      </w:hyperlink>
    </w:p>
    <w:p>
      <w:pPr>
        <w:spacing w:before="0" w:after="120"/>
      </w:pPr>
      <w:r>
        <w:rPr>
          <w:b/>
        </w:rPr>
        <w:t xml:space="preserve">Notes: </w:t>
      </w:r>
      <w:r>
        <w:t>abstract_source=crossref</w:t>
      </w:r>
    </w:p>
    <w:p>
      <w:pPr>
        <w:spacing w:before="0" w:after="80" w:lineRule="auto" w:line="276"/>
      </w:pPr>
      <w:r>
        <w:rPr>
          <w:b/>
        </w:rPr>
        <w:t xml:space="preserve">摘要（ZH）: </w:t>
      </w:r>
      <w:r>
        <w:t>摘要 透透氧减少二-电子氧反应的过氧化氢(H 2 O 2 )的电合成,为H 2 O 2 现场生产提供了一条有吸引力和可持续的途径,然而,其更广泛的适用性受到以下产量的限制,其主要原因是选择性不足以及H 2 O 2 发生电化学和/或化学分解。 我们在这里证明,非对称的N/S协调的主要Sn级场地能够有效地稳定氧中间体并迅速脱去。</w:t>
      </w:r>
    </w:p>
    <w:p>
      <w:pPr>
        <w:spacing w:before="0" w:after="200" w:lineRule="auto" w:line="276"/>
      </w:pPr>
      <w:r>
        <w:rPr>
          <w:b/>
        </w:rPr>
        <w:t xml:space="preserve">Abstract (EN): </w:t>
      </w:r>
      <w:r>
        <w:t>The electrosynthesis of hydrogen peroxide (H</w:t>
      </w:r>
      <w:r>
        <w:rPr>
          <w:vertAlign w:val="subscript"/>
        </w:rPr>
        <w:t>2</w:t>
      </w:r>
      <w:r>
        <w:t>O</w:t>
      </w:r>
      <w:r>
        <w:rPr>
          <w:vertAlign w:val="subscript"/>
        </w:rPr>
        <w:t>2</w:t>
      </w:r>
      <w:r>
        <w:t>) via the two‐electron oxygen reduction reaction offers an appealing and sustainable route for on‐site H</w:t>
      </w:r>
      <w:r>
        <w:rPr>
          <w:vertAlign w:val="subscript"/>
        </w:rPr>
        <w:t>2</w:t>
      </w:r>
      <w:r>
        <w:t>O</w:t>
      </w:r>
      <w:r>
        <w:rPr>
          <w:vertAlign w:val="subscript"/>
        </w:rPr>
        <w:t>2</w:t>
      </w:r>
      <w:r>
        <w:t>production. However, its broader applicability is constrained by subpar yields, primarily resulting from insufficient selectivity and the occurrence of electrochemical and/or chemical decomposition of H</w:t>
      </w:r>
      <w:r>
        <w:rPr>
          <w:vertAlign w:val="subscript"/>
        </w:rPr>
        <w:t>2</w:t>
      </w:r>
      <w:r>
        <w:t>O</w:t>
      </w:r>
      <w:r>
        <w:rPr>
          <w:vertAlign w:val="subscript"/>
        </w:rPr>
        <w:t>2</w:t>
      </w:r>
      <w:r>
        <w:t>. Herein, we demonstrate that asymmetric N/S co‐coordinated main‐group Sn sites can effectively stabilize oxygen intermediates and rapidly desorb the generated H</w:t>
      </w:r>
      <w:r>
        <w:rPr>
          <w:vertAlign w:val="subscript"/>
        </w:rPr>
        <w:t>2</w:t>
      </w:r>
      <w:r>
        <w:t>O</w:t>
      </w:r>
      <w:r>
        <w:rPr>
          <w:vertAlign w:val="subscript"/>
        </w:rPr>
        <w:t>2</w:t>
      </w:r>
      <w:r>
        <w:t>, thereby enhancing 2e</w:t>
      </w:r>
      <w:r>
        <w:t xml:space="preserve"> </w:t>
      </w:r>
      <w:r>
        <w:t>−</w:t>
      </w:r>
      <w:r>
        <w:t>ORR pathway selectivity while suppressing undesirable H</w:t>
      </w:r>
      <w:r>
        <w:rPr>
          <w:vertAlign w:val="subscript"/>
        </w:rPr>
        <w:t>2</w:t>
      </w:r>
      <w:r>
        <w:t>O</w:t>
      </w:r>
      <w:r>
        <w:rPr>
          <w:vertAlign w:val="subscript"/>
        </w:rPr>
        <w:t>2</w:t>
      </w:r>
      <w:r>
        <w:t>decomposition reactions. At an industrially relevant current density of 300 mA cm</w:t>
      </w:r>
      <w:r>
        <w:t xml:space="preserve"> </w:t>
      </w:r>
      <w:r>
        <w:t>−2</w:t>
      </w:r>
      <w:r>
        <w:t xml:space="preserve"> </w:t>
      </w:r>
      <w:r>
        <w:t>, the main‐group catalyst achieves an exceptional H</w:t>
      </w:r>
      <w:r>
        <w:rPr>
          <w:vertAlign w:val="subscript"/>
        </w:rPr>
        <w:t>2</w:t>
      </w:r>
      <w:r>
        <w:t>O</w:t>
      </w:r>
      <w:r>
        <w:rPr>
          <w:vertAlign w:val="subscript"/>
        </w:rPr>
        <w:t>2</w:t>
      </w:r>
      <w:r>
        <w:t>faradaic efficiency of 93%. When scaled to an industrial sized area of 100 cm</w:t>
      </w:r>
      <w:r>
        <w:rPr>
          <w:vertAlign w:val="subscript"/>
        </w:rPr>
        <w:t>2</w:t>
      </w:r>
      <w:r>
        <w:t>, the pilot reactor delivers an impressive H</w:t>
      </w:r>
      <w:r>
        <w:rPr>
          <w:vertAlign w:val="subscript"/>
        </w:rPr>
        <w:t>2</w:t>
      </w:r>
      <w:r>
        <w:t>O</w:t>
      </w:r>
      <w:r>
        <w:rPr>
          <w:vertAlign w:val="subscript"/>
        </w:rPr>
        <w:t>2</w:t>
      </w:r>
      <w:r>
        <w:t>production rate of 353.5 mmol h</w:t>
      </w:r>
      <w:r>
        <w:t xml:space="preserve"> </w:t>
      </w:r>
      <w:r>
        <w:t>−1</w:t>
      </w:r>
      <w:r>
        <w:t xml:space="preserve"> </w:t>
      </w:r>
      <w:r>
        <w:t>at 20 A. In situ characterizations and theoretical simulations reveal that the main‐group Sn sites exhibit inertness toward activation of H</w:t>
      </w:r>
      <w:r>
        <w:rPr>
          <w:vertAlign w:val="subscript"/>
        </w:rPr>
        <w:t>2</w:t>
      </w:r>
      <w:r>
        <w:t>O</w:t>
      </w:r>
      <w:r>
        <w:rPr>
          <w:vertAlign w:val="subscript"/>
        </w:rPr>
        <w:t>2</w:t>
      </w:r>
      <w:r>
        <w:t>, thereby mitigating H</w:t>
      </w:r>
      <w:r>
        <w:rPr>
          <w:vertAlign w:val="subscript"/>
        </w:rPr>
        <w:t>2</w:t>
      </w:r>
      <w:r>
        <w:t>O</w:t>
      </w:r>
      <w:r>
        <w:rPr>
          <w:vertAlign w:val="subscript"/>
        </w:rPr>
        <w:t>2</w:t>
      </w:r>
      <w:r>
        <w:t>loss in electrosynthesis. The asymmetric N/S‐coordination enhances electron transfer between the Sn center and oxygen intermediates, stabilizing the *OOH intermediate and facilitating H</w:t>
      </w:r>
      <w:r>
        <w:rPr>
          <w:vertAlign w:val="subscript"/>
        </w:rPr>
        <w:t>2</w:t>
      </w:r>
      <w:r>
        <w:t>O</w:t>
      </w:r>
      <w:r>
        <w:rPr>
          <w:vertAlign w:val="subscript"/>
        </w:rPr>
        <w:t>2</w:t>
      </w:r>
      <w:r>
        <w:t>generation. This work presents a promising strategy for minimizing H</w:t>
      </w:r>
      <w:r>
        <w:rPr>
          <w:vertAlign w:val="subscript"/>
        </w:rPr>
        <w:t>2</w:t>
      </w:r>
      <w:r>
        <w:t>O</w:t>
      </w:r>
      <w:r>
        <w:rPr>
          <w:vertAlign w:val="subscript"/>
        </w:rPr>
        <w:t>2</w:t>
      </w:r>
      <w:r>
        <w:t>loss in electrochemical production via the rational design of main‐group catalysts with well‐defined coordination and electronic structures.</w:t>
      </w:r>
    </w:p>
    <w:p>
      <w:pPr>
        <w:spacing w:before="120" w:after="120"/>
      </w:pPr>
      <w:r>
        <w:rPr>
          <w:sz w:val="18"/>
        </w:rPr>
        <w:t>——————————————————————————————————————————————————————————————————————</w:t>
      </w:r>
    </w:p>
    <w:p>
      <w:pPr>
        <w:spacing w:before="160" w:after="40" w:line="240" w:lineRule="auto"/>
      </w:pPr>
      <w:r>
        <w:rPr>
          <w:b/>
        </w:rPr>
        <w:t xml:space="preserve">[409] </w:t>
      </w:r>
      <w:hyperlink r:id="rId620">
        <w:r>
          <w:rPr>
            <w:color w:val="1155CC"/>
            <w:u w:val="single"/>
          </w:rPr>
          <w:t>综合阴极中固体电解解和不相异扩散的液态电解和液态分流动态的可行技术纳米级跟踪</w:t>
        </w:r>
      </w:hyperlink>
    </w:p>
    <w:p>
      <w:pPr>
        <w:spacing w:before="0" w:after="80"/>
      </w:pPr>
      <w:r>
        <w:rPr>
          <w:i/>
          <w:sz w:val="20"/>
        </w:rPr>
        <w:t>EN: Diffraction‐Enabled Operando Nanoscale Tracking of Li‐ion Dynamics of Solid Electrolyte and Inhomogeneous Diffusion in Composite Cathode</w:t>
      </w:r>
    </w:p>
    <w:p>
      <w:pPr>
        <w:spacing w:before="0" w:after="120"/>
      </w:pPr>
      <w:r>
        <w:rPr>
          <w:b/>
        </w:rPr>
        <w:t xml:space="preserve">Source: </w:t>
      </w:r>
      <w:r>
        <w:t>Wiley: Angewandte Chemie International Edition: Table of Contents</w:t>
      </w:r>
      <w:r>
        <w:t xml:space="preserve">    </w:t>
      </w:r>
      <w:r>
        <w:rPr>
          <w:b/>
        </w:rPr>
        <w:t xml:space="preserve">Pub date: </w:t>
      </w:r>
      <w:r>
        <w:t>2026-01-21 05:44:01+00:00</w:t>
      </w:r>
      <w:r>
        <w:t xml:space="preserve">    </w:t>
      </w:r>
      <w:r>
        <w:rPr>
          <w:b/>
        </w:rPr>
        <w:t xml:space="preserve">DOI: </w:t>
      </w:r>
      <w:hyperlink r:id="rId621">
        <w:r>
          <w:rPr>
            <w:color w:val="1155CC"/>
            <w:u w:val="single"/>
          </w:rPr>
          <w:t>10.1002/anie.202520281</w:t>
        </w:r>
      </w:hyperlink>
    </w:p>
    <w:p>
      <w:pPr>
        <w:spacing w:before="0" w:after="120"/>
      </w:pPr>
      <w:r>
        <w:rPr>
          <w:b/>
        </w:rPr>
        <w:t xml:space="preserve">Notes: </w:t>
      </w:r>
      <w:r>
        <w:t>abstract_source=crossref</w:t>
      </w:r>
    </w:p>
    <w:p>
      <w:pPr>
        <w:spacing w:before="0" w:after="80" w:lineRule="auto" w:line="276"/>
      </w:pPr>
      <w:r>
        <w:rPr>
          <w:b/>
        </w:rPr>
        <w:t xml:space="preserve">摘要（ZH）: </w:t>
      </w:r>
      <w:r>
        <w:t>在液体电池中的阴极活性材料(CAMs)中,对Li+扩散的抽象摘要大多进行了研究,但在固态电解解器(SSES)和全部固态电池中却很少加以探讨。在这里,通过在复合阴极中侧重于SSSE(ASSLBs),确定了所有固态锂电池(ASSLBs)的有效方法。</w:t>
      </w:r>
    </w:p>
    <w:p>
      <w:pPr>
        <w:spacing w:before="0" w:after="200" w:lineRule="auto" w:line="276"/>
      </w:pPr>
      <w:r>
        <w:rPr>
          <w:b/>
        </w:rPr>
        <w:t xml:space="preserve">Abstract (EN): </w:t>
      </w:r>
      <w:r>
        <w:t>Li</w:t>
      </w:r>
      <w:r>
        <w:t xml:space="preserve"> </w:t>
      </w:r>
      <w:r>
        <w:t>+</w:t>
      </w:r>
      <w:r>
        <w:t xml:space="preserve"> </w:t>
      </w:r>
      <w:r>
        <w:t>diffusion has mostly been studied in cathode active materials (CAMs) in liquid batteries, whereas it remains rarely explored in solid‐state electrolytes (SSEs) and all‐solid‐state batteries. Herein, diffraction was established as an effective method for all‐solid‐state lithium batteries (ASSLBs) by focusing on SSE in composite cathodes. Operando synchrotron x‐ray diffraction presented diffraction angle shifts of certain Li</w:t>
      </w:r>
      <w:r>
        <w:rPr>
          <w:vertAlign w:val="subscript"/>
        </w:rPr>
        <w:t>3</w:t>
      </w:r>
      <w:r>
        <w:t>InCl</w:t>
      </w:r>
      <w:r>
        <w:rPr>
          <w:vertAlign w:val="subscript"/>
        </w:rPr>
        <w:t>6</w:t>
      </w:r>
      <w:r>
        <w:t>Bragg planes during the first ASSLB cycle due to lithiation/delithiation into its lattice, whose preferred Li</w:t>
      </w:r>
      <w:r>
        <w:t xml:space="preserve"> </w:t>
      </w:r>
      <w:r>
        <w:t>+</w:t>
      </w:r>
      <w:r>
        <w:t xml:space="preserve"> </w:t>
      </w:r>
      <w:r>
        <w:t>migration pathways were suggested by the partiality of these shifts, and the three‐phase evolution indicated the fundamental Li</w:t>
      </w:r>
      <w:r>
        <w:t xml:space="preserve"> </w:t>
      </w:r>
      <w:r>
        <w:t>+</w:t>
      </w:r>
      <w:r>
        <w:t xml:space="preserve"> </w:t>
      </w:r>
      <w:r>
        <w:t>diffusion kinetics factors. X‐ray nanodiffraction (XND) mapped nanoscale inhomogeneous Li</w:t>
      </w:r>
      <w:r>
        <w:t xml:space="preserve"> </w:t>
      </w:r>
      <w:r>
        <w:t>+</w:t>
      </w:r>
      <w:r>
        <w:t xml:space="preserve"> </w:t>
      </w:r>
      <w:r>
        <w:t>distributions and diffusion within individual Li</w:t>
      </w:r>
      <w:r>
        <w:rPr>
          <w:vertAlign w:val="subscript"/>
        </w:rPr>
        <w:t>3</w:t>
      </w:r>
      <w:r>
        <w:t>InCl</w:t>
      </w:r>
      <w:r>
        <w:rPr>
          <w:vertAlign w:val="subscript"/>
        </w:rPr>
        <w:t>6</w:t>
      </w:r>
      <w:r>
        <w:t>particles, revealing facilitated Li</w:t>
      </w:r>
      <w:r>
        <w:t xml:space="preserve"> </w:t>
      </w:r>
      <w:r>
        <w:t>+</w:t>
      </w:r>
      <w:r>
        <w:t xml:space="preserve"> </w:t>
      </w:r>
      <w:r>
        <w:t>conduction in high‐crystallinity regions and their role as pathways across SSE/CAM interfaces, and the most negatively strained regions were shown to be less susceptible to Li</w:t>
      </w:r>
      <w:r>
        <w:t xml:space="preserve"> </w:t>
      </w:r>
      <w:r>
        <w:t>+</w:t>
      </w:r>
      <w:r>
        <w:t xml:space="preserve"> </w:t>
      </w:r>
      <w:r>
        <w:t>insertion. XND from various electrochemical techniques inferred high transient charging rates to be the culprit of irreversible Li</w:t>
      </w:r>
      <w:r>
        <w:t xml:space="preserve"> </w:t>
      </w:r>
      <w:r>
        <w:t>+</w:t>
      </w:r>
      <w:r>
        <w:t xml:space="preserve"> </w:t>
      </w:r>
      <w:r>
        <w:t>diffusion instead of the overall charging depth. This study proved diffraction to be a potent tool to probe intricate Li</w:t>
      </w:r>
      <w:r>
        <w:t xml:space="preserve"> </w:t>
      </w:r>
      <w:r>
        <w:t>+</w:t>
      </w:r>
      <w:r>
        <w:t xml:space="preserve"> </w:t>
      </w:r>
      <w:r>
        <w:t>dynamics in ASSLBs and provide microscopic insights for optimal battery designs.</w:t>
      </w:r>
    </w:p>
    <w:p>
      <w:pPr>
        <w:spacing w:before="120" w:after="120"/>
      </w:pPr>
      <w:r>
        <w:rPr>
          <w:sz w:val="18"/>
        </w:rPr>
        <w:t>——————————————————————————————————————————————————————————————————————</w:t>
      </w:r>
    </w:p>
    <w:p>
      <w:pPr>
        <w:spacing w:before="160" w:after="40" w:line="240" w:lineRule="auto"/>
      </w:pPr>
      <w:r>
        <w:rPr>
          <w:b/>
        </w:rPr>
        <w:t xml:space="preserve">[410] </w:t>
      </w:r>
      <w:hyperlink r:id="rId622">
        <w:r>
          <w:rPr>
            <w:color w:val="1155CC"/>
            <w:u w:val="single"/>
          </w:rPr>
          <w:t>色彩调控和强压被动抗辐射冷却两层结构的无缝接缝界面反光反光反光</w:t>
        </w:r>
      </w:hyperlink>
    </w:p>
    <w:p>
      <w:pPr>
        <w:spacing w:before="0" w:after="80"/>
      </w:pPr>
      <w:r>
        <w:rPr>
          <w:i/>
          <w:sz w:val="20"/>
        </w:rPr>
        <w:t>EN: Photonic Inverse Opal‐Enabled Seamless Interface of Bilayer Structure for Color Regulation and Robust Passive Radiative Cooling</w:t>
      </w:r>
    </w:p>
    <w:p>
      <w:pPr>
        <w:spacing w:before="0" w:after="120"/>
      </w:pPr>
      <w:r>
        <w:rPr>
          <w:b/>
        </w:rPr>
        <w:t xml:space="preserve">Source: </w:t>
      </w:r>
      <w:r>
        <w:t>Wiley: Advanced Materials: Table of Contents</w:t>
      </w:r>
      <w:r>
        <w:t xml:space="preserve">    </w:t>
      </w:r>
      <w:r>
        <w:rPr>
          <w:b/>
        </w:rPr>
        <w:t xml:space="preserve">Pub date: </w:t>
      </w:r>
      <w:r>
        <w:t>2026-01-21 05:44:54+00:00</w:t>
      </w:r>
      <w:r>
        <w:t xml:space="preserve">    </w:t>
      </w:r>
      <w:r>
        <w:rPr>
          <w:b/>
        </w:rPr>
        <w:t xml:space="preserve">DOI: </w:t>
      </w:r>
      <w:hyperlink r:id="rId623">
        <w:r>
          <w:rPr>
            <w:color w:val="1155CC"/>
            <w:u w:val="single"/>
          </w:rPr>
          <w:t>10.1002/adma.202522922</w:t>
        </w:r>
      </w:hyperlink>
    </w:p>
    <w:p>
      <w:pPr>
        <w:spacing w:before="0" w:after="120"/>
      </w:pPr>
      <w:r>
        <w:rPr>
          <w:b/>
        </w:rPr>
        <w:t xml:space="preserve">Notes: </w:t>
      </w:r>
      <w:r>
        <w:t>abstract_source=crossref</w:t>
      </w:r>
    </w:p>
    <w:p>
      <w:pPr>
        <w:spacing w:before="0" w:after="80" w:lineRule="auto" w:line="276"/>
      </w:pPr>
      <w:r>
        <w:rPr>
          <w:b/>
        </w:rPr>
        <w:t xml:space="preserve">摘要（ZH）: </w:t>
      </w:r>
      <w:r>
        <w:t>ABSTACT 色彩多样的日间被动散热冷却已成为一种具有吸引力的零能源冷却技术,将美学吸引力与热管理相结合,然而,同时实现高冷却效率和机械坚固性仍具有挑战性,这既受狭窄的太阳反射带宽和单层光学结构的有限光谱金枪鱼可捕量的限制,也受多层结构结构中不同频谱的制约。在这里,我们展示了一种规模排外和辅助选择性渗透战略,用于结构结构化有色日间散热冷却(SCDRC)表。</w:t>
      </w:r>
    </w:p>
    <w:p>
      <w:pPr>
        <w:spacing w:before="0" w:after="200" w:lineRule="auto" w:line="276"/>
      </w:pPr>
      <w:r>
        <w:rPr>
          <w:b/>
        </w:rPr>
        <w:t xml:space="preserve">Abstract (EN): </w:t>
      </w:r>
      <w:r>
        <w:t>Colorful passive daytime radiative cooling has emerged as an attractive zero‐energy‐cooling technology that integrates aesthetic appeal with thermal management. However, achieving concurrent high cooling efficiency and mechanical robustness remains challenging, constrained either by the narrow solar reflection bandwidth and limited spectral tunability of monolayer photonic structures, or by interfacial heterogeneities in multilayer architectures. Here, we demonstrate a size‐exclusion‐assisted selective infiltration strategy for fabricating structurally colored daytime radiative cooling (SCDRC) sheets. A polymer phase exhibiting negligible solar absorption and high infrared emissivity permeates preassembled colloidal crystal templates, forming an ordered inverse opal layer upon etching, whereas microscale boron nitride platelets selectively excluded from the template organize into a packed solar‐reflective microstructure. The resulting SCDRC sheets display tunable colors through pore geometry control, achieving &amp;gt;96% solar reflectance, &amp;gt;94% mid‐infrared emissivity, a sub‐ambient temperature reduction of 7°C in outdoor environments, and an average cooling power reduction of 20.7% across diverse climatic zones in China. The photonic framework demonstrates exceptional stability under prolonged thermal and humidity exposure, guaranteeing persistent coloration and cooling performance. This seamless‐interface bilayer fabrication strategy establishes a viable platform for developing durable colored cooling materials integrating aesthetic appeal with energy‐saving functionality, showing significant potential for advanced architectural and industrial applications.</w:t>
      </w:r>
    </w:p>
    <w:p>
      <w:pPr>
        <w:spacing w:before="120" w:after="120"/>
      </w:pPr>
      <w:r>
        <w:rPr>
          <w:sz w:val="18"/>
        </w:rPr>
        <w:t>——————————————————————————————————————————————————————————————————————</w:t>
      </w:r>
    </w:p>
    <w:p>
      <w:pPr>
        <w:spacing w:before="160" w:after="40" w:line="240" w:lineRule="auto"/>
      </w:pPr>
      <w:r>
        <w:rPr>
          <w:b/>
        </w:rPr>
        <w:t xml:space="preserve">[411] </w:t>
      </w:r>
      <w:hyperlink r:id="rId624">
        <w:r>
          <w:rPr>
            <w:color w:val="1155CC"/>
            <w:u w:val="single"/>
          </w:rPr>
          <w:t>双对时间-对称两形态地形诱导器</w:t>
        </w:r>
      </w:hyperlink>
    </w:p>
    <w:p>
      <w:pPr>
        <w:spacing w:before="0" w:after="80"/>
      </w:pPr>
      <w:r>
        <w:rPr>
          <w:i/>
          <w:sz w:val="20"/>
        </w:rPr>
        <w:t>EN: Parity‐Time‐Symmetric Bimorphic Topological Insulators</w:t>
      </w:r>
    </w:p>
    <w:p>
      <w:pPr>
        <w:spacing w:before="0" w:after="120"/>
      </w:pPr>
      <w:r>
        <w:rPr>
          <w:b/>
        </w:rPr>
        <w:t xml:space="preserve">Source: </w:t>
      </w:r>
      <w:r>
        <w:t>Wiley: Advanced Materials: Table of Contents</w:t>
      </w:r>
      <w:r>
        <w:t xml:space="preserve">    </w:t>
      </w:r>
      <w:r>
        <w:rPr>
          <w:b/>
        </w:rPr>
        <w:t xml:space="preserve">Pub date: </w:t>
      </w:r>
      <w:r>
        <w:t>2026-01-21 05:47:20+00:00</w:t>
      </w:r>
      <w:r>
        <w:t xml:space="preserve">    </w:t>
      </w:r>
      <w:r>
        <w:rPr>
          <w:b/>
        </w:rPr>
        <w:t xml:space="preserve">DOI: </w:t>
      </w:r>
      <w:hyperlink r:id="rId625">
        <w:r>
          <w:rPr>
            <w:color w:val="1155CC"/>
            <w:u w:val="single"/>
          </w:rPr>
          <w:t>10.1002/adma.202519324</w:t>
        </w:r>
      </w:hyperlink>
    </w:p>
    <w:p>
      <w:pPr>
        <w:spacing w:before="0" w:after="120"/>
      </w:pPr>
      <w:r>
        <w:rPr>
          <w:b/>
        </w:rPr>
        <w:t xml:space="preserve">Notes: </w:t>
      </w:r>
      <w:r>
        <w:t>abstract_source=crossref</w:t>
      </w:r>
    </w:p>
    <w:p>
      <w:pPr>
        <w:spacing w:before="0" w:after="80" w:lineRule="auto" w:line="276"/>
      </w:pPr>
      <w:r>
        <w:rPr>
          <w:b/>
        </w:rPr>
        <w:t xml:space="preserve">摘要（ZH）: </w:t>
      </w:r>
      <w:r>
        <w:t>我们建议并实验地实现一个对等时间(()对称的双形态表层绝缘器,其特点是第一阶段和第二阶段的地貌相交并存。我们的平台使用在2D光学波向导阵列中实施的反常花花样模型,在2D光学波导阵列中,通过一个四步驱动协议保持对称性,与时速设计的损失保持对称性。尽管存在着分离,但我们证明,对称性能确保了纯粹真实的、准能源频谱贯穿地表层,有效地稳定了边界模式,以对抗非赫米提亚系统典型的动态不稳定性和模式竞争。我们实验性地通过观察单向、顺时针观测,提供了非赫米蒂亚两形态阶段的明确证据。</w:t>
      </w:r>
    </w:p>
    <w:p>
      <w:pPr>
        <w:spacing w:before="0" w:after="200" w:lineRule="auto" w:line="276"/>
      </w:pPr>
      <w:r>
        <w:rPr>
          <w:b/>
        </w:rPr>
        <w:t xml:space="preserve">Abstract (EN): </w:t>
      </w:r>
      <w:r>
        <w:t>We propose and experimentally realize a parity‐time ()‐symmetric bimorphic topological insulator, characterized by the coexistence of first‐ and second‐order topological phases. Our platform utilizes an anomalous Floquet model implemented in a 2D optical waveguide array, where  symmetry is maintained via a four‐step driving protocol with spatiotemporally engineered loss. Despite the presence of dissipation, we demonstrate that the  symmetry ensures a purely real quasienergy spectrum across the topological regime, effectively stabilizing boundary modes against the dynamical instabilities and mode competition typical of non‐Hermitian systems. Experimentally, we provide unambiguous evidence of this non‐Hermitian bimorphic phase by observing unidirectional, clockwise edge transport in the zero gap and robust corner localization in the  gap. Our findings pave the way for further exploration of  ‐symmetric and non‐Hermitian topological phases in nonlinear and many‐body regimes and provide novel insights into the realization of topological insulators in open quantum systems.</w:t>
      </w:r>
    </w:p>
    <w:p>
      <w:pPr>
        <w:spacing w:before="120" w:after="120"/>
      </w:pPr>
      <w:r>
        <w:rPr>
          <w:sz w:val="18"/>
        </w:rPr>
        <w:t>——————————————————————————————————————————————————————————————————————</w:t>
      </w:r>
    </w:p>
    <w:p>
      <w:pPr>
        <w:spacing w:before="160" w:after="40" w:line="240" w:lineRule="auto"/>
      </w:pPr>
      <w:r>
        <w:rPr>
          <w:b/>
        </w:rPr>
        <w:t xml:space="preserve">[412] </w:t>
      </w:r>
      <w:hyperlink r:id="rId626">
        <w:r>
          <w:rPr>
            <w:color w:val="1155CC"/>
            <w:u w:val="single"/>
          </w:rPr>
          <w:t>重新想象以碳氢氟化物为基础的氟化物:来自波龙替代物的电源转移 触发聚合物和水晶化 诱导排放</w:t>
        </w:r>
      </w:hyperlink>
    </w:p>
    <w:p>
      <w:pPr>
        <w:spacing w:before="0" w:after="80"/>
      </w:pPr>
      <w:r>
        <w:rPr>
          <w:i/>
          <w:sz w:val="20"/>
        </w:rPr>
        <w:t>EN: Reimagining o‐Carborane‐Based Fluorophores: Charge‐Transfer from Boron Substituents Triggers Aggregation‐ and Crystallization‐Induced Emission</w:t>
      </w:r>
    </w:p>
    <w:p>
      <w:pPr>
        <w:spacing w:before="0" w:after="120"/>
      </w:pPr>
      <w:r>
        <w:rPr>
          <w:b/>
        </w:rPr>
        <w:t xml:space="preserve">Source: </w:t>
      </w:r>
      <w:r>
        <w:t>Wiley: Angewandte Chemie International Edition: Table of Contents</w:t>
      </w:r>
      <w:r>
        <w:t xml:space="preserve">    </w:t>
      </w:r>
      <w:r>
        <w:rPr>
          <w:b/>
        </w:rPr>
        <w:t xml:space="preserve">Pub date: </w:t>
      </w:r>
      <w:r>
        <w:t>2026-01-21 05:47:37+00:00</w:t>
      </w:r>
      <w:r>
        <w:t xml:space="preserve">    </w:t>
      </w:r>
      <w:r>
        <w:rPr>
          <w:b/>
        </w:rPr>
        <w:t xml:space="preserve">DOI: </w:t>
      </w:r>
      <w:hyperlink r:id="rId627">
        <w:r>
          <w:rPr>
            <w:color w:val="1155CC"/>
            <w:u w:val="single"/>
          </w:rPr>
          <w:t>10.1002/anie.202521741</w:t>
        </w:r>
      </w:hyperlink>
    </w:p>
    <w:p>
      <w:pPr>
        <w:spacing w:before="0" w:after="120"/>
      </w:pPr>
      <w:r>
        <w:rPr>
          <w:b/>
        </w:rPr>
        <w:t xml:space="preserve">Notes: </w:t>
      </w:r>
      <w:r>
        <w:t>abstract_source=crossref</w:t>
      </w:r>
    </w:p>
    <w:p>
      <w:pPr>
        <w:spacing w:before="0" w:after="80" w:lineRule="auto" w:line="276"/>
      </w:pPr>
      <w:r>
        <w:rPr>
          <w:b/>
        </w:rPr>
        <w:t xml:space="preserve">摘要（ZH）: </w:t>
      </w:r>
      <w:r>
        <w:t>以碳原子为基础的含氟磷摘要因其集成、诱发和晶化的由排放物(AIE和CIE)的特性而得到广泛承认,成为用于诸如生物成像或光电子等荧光应用材料的宝贵构件。直到现在,观察AIE/CIE要求通过碳原子原子将氟磷附在碳原子上,这必然限制了进一步的功能化可能性。在此,我们首次报告Boron-subeted carboranes(替代位置为9)展示了AIE/CIE的活动,该活动源于通过碳脊椎与碳原子笼相连的子体的光源性电子转移。此外,固态层还显示了由碳原子笼相连的子体的光源和诱发电子转移产生的AIE/CIE活动。</w:t>
      </w:r>
    </w:p>
    <w:p>
      <w:pPr>
        <w:spacing w:before="0" w:after="200" w:lineRule="auto" w:line="276"/>
      </w:pPr>
      <w:r>
        <w:rPr>
          <w:b/>
        </w:rPr>
        <w:t xml:space="preserve">Abstract (EN): </w:t>
      </w:r>
      <w:r>
        <w:t>o</w:t>
      </w:r>
      <w:r>
        <w:t xml:space="preserve"> </w:t>
      </w:r>
      <w:r>
        <w:t>‐Carborane‐based fluorophores are widely recognized for their aggregation‐induced and crystallization‐induced emission (AIE and CIE) properties, making them valuable building blocks for materials used in fluorescence applications such as bioimaging or optoelectronics. Until now, observing AIE/CIE required the fluorophore to be attached via the carbon atom of the carborane, inherently limiting further functionalization possibilities. Herein, we report for the first time that boron‐substituted carboranes (substituent is at position 9) exhibit AIE/CIE activity, which originates from photoexcitation‐induced electron‐transfer from the substituents linked to the carborane cage via its boron vertices. Furthermore, the solid state emission can be tailored by the proper selection of the substituents. This finding not only significantly broadens the scope of AIE‐active compounds but also offers new design strategies for the development of luminescent carborane‐based materials.</w:t>
      </w:r>
    </w:p>
    <w:p>
      <w:pPr>
        <w:spacing w:before="120" w:after="120"/>
      </w:pPr>
      <w:r>
        <w:rPr>
          <w:sz w:val="18"/>
        </w:rPr>
        <w:t>——————————————————————————————————————————————————————————————————————</w:t>
      </w:r>
    </w:p>
    <w:p>
      <w:pPr>
        <w:spacing w:before="160" w:after="40" w:line="240" w:lineRule="auto"/>
      </w:pPr>
      <w:r>
        <w:rPr>
          <w:b/>
        </w:rPr>
        <w:t xml:space="preserve">[413] </w:t>
      </w:r>
      <w:hyperlink r:id="rId628">
        <w:r>
          <w:rPr>
            <w:color w:val="1155CC"/>
            <w:u w:val="single"/>
          </w:rPr>
          <w:t>*无混合和H供料的同步管理</w:t>
        </w:r>
      </w:hyperlink>
    </w:p>
    <w:p>
      <w:pPr>
        <w:spacing w:before="0" w:after="80"/>
      </w:pPr>
      <w:r>
        <w:rPr>
          <w:i/>
          <w:sz w:val="20"/>
        </w:rPr>
        <w:t>EN: Synergistic Regulation of *NO Coupling and *H Supply on Sulfur‐Doped Zero‐Valent Iron Aerogels Drives Efficient Electroreduction of Nitrate to N2</w:t>
      </w:r>
    </w:p>
    <w:p>
      <w:pPr>
        <w:spacing w:before="0" w:after="120"/>
      </w:pPr>
      <w:r>
        <w:rPr>
          <w:b/>
        </w:rPr>
        <w:t xml:space="preserve">Source: </w:t>
      </w:r>
      <w:r>
        <w:t>Wiley: Angewandte Chemie International Edition: Table of Contents</w:t>
      </w:r>
      <w:r>
        <w:t xml:space="preserve">    </w:t>
      </w:r>
      <w:r>
        <w:rPr>
          <w:b/>
        </w:rPr>
        <w:t xml:space="preserve">Pub date: </w:t>
      </w:r>
      <w:r>
        <w:t>2026-01-21 05:52:25+00:00</w:t>
      </w:r>
      <w:r>
        <w:t xml:space="preserve">    </w:t>
      </w:r>
      <w:r>
        <w:rPr>
          <w:b/>
        </w:rPr>
        <w:t xml:space="preserve">DOI: </w:t>
      </w:r>
      <w:hyperlink r:id="rId629">
        <w:r>
          <w:rPr>
            <w:color w:val="1155CC"/>
            <w:u w:val="single"/>
          </w:rPr>
          <w:t>10.1002/anie.202522680</w:t>
        </w:r>
      </w:hyperlink>
    </w:p>
    <w:p>
      <w:pPr>
        <w:spacing w:before="0" w:after="120"/>
      </w:pPr>
      <w:r>
        <w:rPr>
          <w:b/>
        </w:rPr>
        <w:t xml:space="preserve">Notes: </w:t>
      </w:r>
      <w:r>
        <w:t>abstract_source=crossref</w:t>
      </w:r>
    </w:p>
    <w:p>
      <w:pPr>
        <w:spacing w:before="0" w:after="80" w:lineRule="auto" w:line="276"/>
      </w:pPr>
      <w:r>
        <w:rPr>
          <w:b/>
        </w:rPr>
        <w:t xml:space="preserve">摘要（ZH）: </w:t>
      </w:r>
      <w:r>
        <w:t>电化学硝酸白(NO 3 - ) 将电化学硝酸白(N 2) 降低到二硝基(N 2) 是一种很有希望的环境补救方法,但受到缓慢的制约: * 无连接和过度供应 * 传统电催化剂的H供应。 我们在这里建造了硫化零价铁(Fe 0@S) 气凝胶,通过 * NOQ * N 2 ON 2 进行高选择性电化学硝酸硝化氮转化。</w:t>
      </w:r>
    </w:p>
    <w:p>
      <w:pPr>
        <w:spacing w:before="0" w:after="200" w:lineRule="auto" w:line="276"/>
      </w:pPr>
      <w:r>
        <w:rPr>
          <w:b/>
        </w:rPr>
        <w:t xml:space="preserve">Abstract (EN): </w:t>
      </w:r>
      <w:r>
        <w:t>Electrochemical nitrate (NO</w:t>
      </w:r>
      <w:r>
        <w:rPr>
          <w:vertAlign w:val="subscript"/>
        </w:rPr>
        <w:t>3</w:t>
      </w:r>
      <w:r>
        <w:t>−</w:t>
      </w:r>
      <w:r>
        <w:t>) reduction to dinitrogen (N</w:t>
      </w:r>
      <w:r>
        <w:rPr>
          <w:vertAlign w:val="subscript"/>
        </w:rPr>
        <w:t>2</w:t>
      </w:r>
      <w:r>
        <w:t>) is a promising approach for environmental remediation but suffers from the sluggish</w:t>
      </w:r>
      <w:r>
        <w:t xml:space="preserve"> </w:t>
      </w:r>
      <w:r>
        <w:t>*</w:t>
      </w:r>
      <w:r>
        <w:t xml:space="preserve"> </w:t>
      </w:r>
      <w:r>
        <w:t>NO coupling and excessive</w:t>
      </w:r>
      <w:r>
        <w:t xml:space="preserve"> </w:t>
      </w:r>
      <w:r>
        <w:t>*</w:t>
      </w:r>
      <w:r>
        <w:t xml:space="preserve"> </w:t>
      </w:r>
      <w:r>
        <w:t>H supply on traditional electrocatalysts. Herein, we construct a sulfur‐doped zero‐valent iron (Fe</w:t>
      </w:r>
      <w:r>
        <w:rPr>
          <w:vertAlign w:val="subscript"/>
        </w:rPr>
        <w:t>0</w:t>
      </w:r>
      <w:r>
        <w:t>@S) aerogel that enables highly selective electrochemical nitrate‐to‐dinitrogen conversion via</w:t>
      </w:r>
      <w:r>
        <w:t xml:space="preserve"> </w:t>
      </w:r>
      <w:r>
        <w:t>*</w:t>
      </w:r>
      <w:r>
        <w:t xml:space="preserve"> </w:t>
      </w:r>
      <w:r>
        <w:t>NO→</w:t>
      </w:r>
      <w:r>
        <w:t xml:space="preserve"> </w:t>
      </w:r>
      <w:r>
        <w:t>*</w:t>
      </w:r>
      <w:r>
        <w:t xml:space="preserve"> </w:t>
      </w:r>
      <w:r>
        <w:t>N</w:t>
      </w:r>
      <w:r>
        <w:rPr>
          <w:vertAlign w:val="subscript"/>
        </w:rPr>
        <w:t>2</w:t>
      </w:r>
      <w:r>
        <w:t>O→N</w:t>
      </w:r>
      <w:r>
        <w:rPr>
          <w:vertAlign w:val="subscript"/>
        </w:rPr>
        <w:t>2</w:t>
      </w:r>
      <w:r>
        <w:t>path by synchronously regulating</w:t>
      </w:r>
      <w:r>
        <w:t xml:space="preserve"> </w:t>
      </w:r>
      <w:r>
        <w:t>*</w:t>
      </w:r>
      <w:r>
        <w:t xml:space="preserve"> </w:t>
      </w:r>
      <w:r>
        <w:t>H supply and</w:t>
      </w:r>
      <w:r>
        <w:t xml:space="preserve"> </w:t>
      </w:r>
      <w:r>
        <w:t>*</w:t>
      </w:r>
      <w:r>
        <w:t xml:space="preserve"> </w:t>
      </w:r>
      <w:r>
        <w:t>NO coupling. Mechanistic studies reveal that the aerogel's 3D porous framework enriches local NO</w:t>
      </w:r>
      <w:r>
        <w:rPr>
          <w:vertAlign w:val="subscript"/>
        </w:rPr>
        <w:t>3</w:t>
      </w:r>
      <w:r>
        <w:t>−</w:t>
      </w:r>
      <w:r>
        <w:t>near active sites, while strategic sulfur incorporation can weaken H</w:t>
      </w:r>
      <w:r>
        <w:rPr>
          <w:vertAlign w:val="subscript"/>
        </w:rPr>
        <w:t>2</w:t>
      </w:r>
      <w:r>
        <w:t>O adsorption and tune</w:t>
      </w:r>
      <w:r>
        <w:t xml:space="preserve"> </w:t>
      </w:r>
      <w:r>
        <w:t>*</w:t>
      </w:r>
      <w:r>
        <w:t xml:space="preserve"> </w:t>
      </w:r>
      <w:r>
        <w:t>NO</w:t>
      </w:r>
      <w:r>
        <w:rPr>
          <w:vertAlign w:val="subscript"/>
        </w:rPr>
        <w:t>3</w:t>
      </w:r>
      <w:r>
        <w:t>−</w:t>
      </w:r>
      <w:r>
        <w:t>binding strength, thereby lowering the energy barrier for</w:t>
      </w:r>
      <w:r>
        <w:t xml:space="preserve"> </w:t>
      </w:r>
      <w:r>
        <w:t>*</w:t>
      </w:r>
      <w:r>
        <w:t xml:space="preserve"> </w:t>
      </w:r>
      <w:r>
        <w:t>NO coupling into</w:t>
      </w:r>
      <w:r>
        <w:t xml:space="preserve"> </w:t>
      </w:r>
      <w:r>
        <w:t>*</w:t>
      </w:r>
      <w:r>
        <w:t xml:space="preserve"> </w:t>
      </w:r>
      <w:r>
        <w:t>N</w:t>
      </w:r>
      <w:r>
        <w:rPr>
          <w:vertAlign w:val="subscript"/>
        </w:rPr>
        <w:t>2</w:t>
      </w:r>
      <w:r>
        <w:t>O and subsequent reduction to N</w:t>
      </w:r>
      <w:r>
        <w:rPr>
          <w:vertAlign w:val="subscript"/>
        </w:rPr>
        <w:t>2</w:t>
      </w:r>
      <w:r>
        <w:t>. With a flow‐through electrolyzer, we achieve near‐complete removal of 50 mg/L NO</w:t>
      </w:r>
      <w:r>
        <w:rPr>
          <w:vertAlign w:val="subscript"/>
        </w:rPr>
        <w:t>3</w:t>
      </w:r>
      <w:r>
        <w:t>−</w:t>
      </w:r>
      <w:r>
        <w:t>from real surface and ground water with a high N</w:t>
      </w:r>
      <w:r>
        <w:rPr>
          <w:vertAlign w:val="subscript"/>
        </w:rPr>
        <w:t>2</w:t>
      </w:r>
      <w:r>
        <w:t>selectivity above 90%. This work provides a practical NO</w:t>
      </w:r>
      <w:r>
        <w:rPr>
          <w:vertAlign w:val="subscript"/>
        </w:rPr>
        <w:t>3</w:t>
      </w:r>
      <w:r>
        <w:t>−</w:t>
      </w:r>
      <w:r>
        <w:t>remediation method based on non‐noble metals and presents a simple strategy for the design of catalyst structure to improve N</w:t>
      </w:r>
      <w:r>
        <w:rPr>
          <w:vertAlign w:val="subscript"/>
        </w:rPr>
        <w:t>2</w:t>
      </w:r>
      <w:r>
        <w:t>selectivity.</w:t>
      </w:r>
    </w:p>
    <w:p>
      <w:pPr>
        <w:spacing w:before="120" w:after="120"/>
      </w:pPr>
      <w:r>
        <w:rPr>
          <w:sz w:val="18"/>
        </w:rPr>
        <w:t>——————————————————————————————————————————————————————————————————————</w:t>
      </w:r>
    </w:p>
    <w:p>
      <w:pPr>
        <w:spacing w:before="160" w:after="40" w:line="240" w:lineRule="auto"/>
      </w:pPr>
      <w:r>
        <w:rPr>
          <w:b/>
        </w:rPr>
        <w:t xml:space="preserve">[414] </w:t>
      </w:r>
      <w:hyperlink r:id="rId630">
        <w:r>
          <w:rPr>
            <w:color w:val="1155CC"/>
            <w:u w:val="single"/>
          </w:rPr>
          <w:t>Xeno-Nuclecleic酸的Sanger测序</w:t>
        </w:r>
      </w:hyperlink>
    </w:p>
    <w:p>
      <w:pPr>
        <w:spacing w:before="0" w:after="80"/>
      </w:pPr>
      <w:r>
        <w:rPr>
          <w:i/>
          <w:sz w:val="20"/>
        </w:rPr>
        <w:t>EN: Sanger Sequencing of Xeno‐Nucleic Acid</w:t>
      </w:r>
    </w:p>
    <w:p>
      <w:pPr>
        <w:spacing w:before="0" w:after="120"/>
      </w:pPr>
      <w:r>
        <w:rPr>
          <w:b/>
        </w:rPr>
        <w:t xml:space="preserve">Source: </w:t>
      </w:r>
      <w:r>
        <w:t>Wiley: Angewandte Chemie International Edition: Table of Contents</w:t>
      </w:r>
      <w:r>
        <w:t xml:space="preserve">    </w:t>
      </w:r>
      <w:r>
        <w:rPr>
          <w:b/>
        </w:rPr>
        <w:t xml:space="preserve">Pub date: </w:t>
      </w:r>
      <w:r>
        <w:t>2026-01-21 05:53:47+00:00</w:t>
      </w:r>
      <w:r>
        <w:t xml:space="preserve">    </w:t>
      </w:r>
      <w:r>
        <w:rPr>
          <w:b/>
        </w:rPr>
        <w:t xml:space="preserve">DOI: </w:t>
      </w:r>
      <w:hyperlink r:id="rId631">
        <w:r>
          <w:rPr>
            <w:color w:val="1155CC"/>
            <w:u w:val="single"/>
          </w:rPr>
          <w:t>10.1002/anie.202516617</w:t>
        </w:r>
      </w:hyperlink>
    </w:p>
    <w:p>
      <w:pPr>
        <w:spacing w:before="0" w:after="120"/>
      </w:pPr>
      <w:r>
        <w:rPr>
          <w:b/>
        </w:rPr>
        <w:t xml:space="preserve">Notes: </w:t>
      </w:r>
      <w:r>
        <w:t>abstract_source=crossref</w:t>
      </w:r>
    </w:p>
    <w:p>
      <w:pPr>
        <w:spacing w:before="0" w:after="80" w:lineRule="auto" w:line="276"/>
      </w:pPr>
      <w:r>
        <w:rPr>
          <w:b/>
        </w:rPr>
        <w:t xml:space="preserve">摘要（ZH）: </w:t>
      </w:r>
      <w:r>
        <w:t>抽象Xeno核核酸(XNAs)为生物技术和信息技术提供了生物稳定的遗传聚合物,但与普遍的DNA测序方法不相容。我们在此报告为XNA量身定制的Sanger测序方法,使XNA线直读至50个基点。这一新方法依赖于Bst DNA聚合酶变异体,该方法不仅承认XNA为模板,而且有效地纳入了四氧核子核糖核酸三磷基底,通过合成补充DNA为XNA的测序提供便利。Bst F 710Y变异体在催化 ddNTP集成过程中至少展示了两个更高强度的量级活动。我们的方法展示了不同骨干化学成分不同XNA系列的准确序列确定。</w:t>
      </w:r>
    </w:p>
    <w:p>
      <w:pPr>
        <w:spacing w:before="0" w:after="200" w:lineRule="auto" w:line="276"/>
      </w:pPr>
      <w:r>
        <w:rPr>
          <w:b/>
        </w:rPr>
        <w:t xml:space="preserve">Abstract (EN): </w:t>
      </w:r>
      <w:r>
        <w:t>Xeno‐nucleic acids (XNAs) offer biostable genetic polymers for biotechnology and information technology, but are incompatible with prevailing DNA sequencing methodologies. Here we report a Sanger sequencing approach tailored for XNA, enabling direct readout of XNA strands up to 50 bases. This new method relies on a Bst DNA polymerase mutant, which not only recognizes XNA as a template but also efficiently incorporates dideoxyribonucleoside triphosphate (ddNTP) substrates, facilitating sequencing of XNA by synthesis of complementary DNA. The Bst F710Y mutant exhibits at least two orders of magnitude higher activity in catalyzing ddNTP incorporation. Our method demonstrates accurate sequence determination of diverse XNA strands of distinct backbone chemistries such as TNA and FANA. Lastly, we showcase proof‐of‐concept automated XNA sequencing on a genetic analyzer instrument, by leveraging Bst mutant's ability to stochastically incorporate BigDye‐labeled ddNTP substrates in a single reaction. This work establishes a direct sequencing platform for XNA employing a chain termination strategy, and lays a foundation for future de novo identification of functional XNA and development of XNA‐based data storage system.</w:t>
      </w:r>
    </w:p>
    <w:p>
      <w:pPr>
        <w:spacing w:before="120" w:after="120"/>
      </w:pPr>
      <w:r>
        <w:rPr>
          <w:sz w:val="18"/>
        </w:rPr>
        <w:t>——————————————————————————————————————————————————————————————————————</w:t>
      </w:r>
    </w:p>
    <w:p>
      <w:pPr>
        <w:spacing w:before="160" w:after="40" w:line="240" w:lineRule="auto"/>
      </w:pPr>
      <w:r>
        <w:rPr>
          <w:b/>
        </w:rPr>
        <w:t xml:space="preserve">[415] </w:t>
      </w:r>
      <w:hyperlink r:id="rId632">
        <w:r>
          <w:rPr>
            <w:color w:val="1155CC"/>
            <w:u w:val="single"/>
          </w:rPr>
          <w:t>以生态友好方式编制实现高绩效X射线探测的高质量铅无氟氢化碳电阻燃电 固态溶液</w:t>
        </w:r>
      </w:hyperlink>
    </w:p>
    <w:p>
      <w:pPr>
        <w:spacing w:before="0" w:after="80"/>
      </w:pPr>
      <w:r>
        <w:rPr>
          <w:i/>
          <w:sz w:val="20"/>
        </w:rPr>
        <w:t>EN: Eco‐Friendly Preparation of High‐Quality Lead‐Free Halide Ferroelectric Solid‐Solution Toward High‐Performance X‐ray Detection</w:t>
      </w:r>
    </w:p>
    <w:p>
      <w:pPr>
        <w:spacing w:before="0" w:after="120"/>
      </w:pPr>
      <w:r>
        <w:rPr>
          <w:b/>
        </w:rPr>
        <w:t xml:space="preserve">Source: </w:t>
      </w:r>
      <w:r>
        <w:t>Wiley: Angewandte Chemie International Edition: Table of Contents</w:t>
      </w:r>
      <w:r>
        <w:t xml:space="preserve">    </w:t>
      </w:r>
      <w:r>
        <w:rPr>
          <w:b/>
        </w:rPr>
        <w:t xml:space="preserve">Pub date: </w:t>
      </w:r>
      <w:r>
        <w:t>2026-01-21 05:54:41+00:00</w:t>
      </w:r>
      <w:r>
        <w:t xml:space="preserve">    </w:t>
      </w:r>
      <w:r>
        <w:rPr>
          <w:b/>
        </w:rPr>
        <w:t xml:space="preserve">DOI: </w:t>
      </w:r>
      <w:hyperlink r:id="rId633">
        <w:r>
          <w:rPr>
            <w:color w:val="1155CC"/>
            <w:u w:val="single"/>
          </w:rPr>
          <w:t>10.1002/anie.202525694</w:t>
        </w:r>
      </w:hyperlink>
    </w:p>
    <w:p>
      <w:pPr>
        <w:spacing w:before="0" w:after="120"/>
      </w:pPr>
      <w:r>
        <w:rPr>
          <w:b/>
        </w:rPr>
        <w:t xml:space="preserve">Notes: </w:t>
      </w:r>
      <w:r>
        <w:t>abstract_source=crossref</w:t>
      </w:r>
    </w:p>
    <w:p>
      <w:pPr>
        <w:spacing w:before="0" w:after="80" w:lineRule="auto" w:line="276"/>
      </w:pPr>
      <w:r>
        <w:rPr>
          <w:b/>
        </w:rPr>
        <w:t xml:space="preserve">摘要（ZH）: </w:t>
      </w:r>
      <w:r>
        <w:t>本摘要Bi/Sb基卤化铁电因其极佳的稳定性和环境友好性而成为很有希望的无铅替代品。然而,其宽幅和有限的载荷移动性-寿命()产品妨碍了其光电子性能。在这里,我们报告了一种新的生态友好型方法,用于种植无铅卤化铁电固化物(HDA)1xBix I 5 (x = 0-1)(HDA = exenne1,6-diamonium),由生物质衍生溶剂- γ valerolactone(GVL) 的异热蒸发。</w:t>
      </w:r>
    </w:p>
    <w:p>
      <w:pPr>
        <w:spacing w:before="0" w:after="200" w:lineRule="auto" w:line="276"/>
      </w:pPr>
      <w:r>
        <w:rPr>
          <w:b/>
        </w:rPr>
        <w:t xml:space="preserve">Abstract (EN): </w:t>
      </w:r>
      <w:r>
        <w:t>Bi/Sb‐based halide ferroelectrics have become promising lead‐free alternatives due to their excellent stability and environmental friendliness. However, their wide bandgaps and limited charge‐carrier mobility‐lifetime (</w:t>
      </w:r>
      <w:r>
        <w:t xml:space="preserve"> </w:t>
      </w:r>
      <w:r>
        <w:t>µτ</w:t>
      </w:r>
      <w:r>
        <w:t xml:space="preserve"> </w:t>
      </w:r>
      <w:r>
        <w:t>) product impede their optoelectronic performance. Here, we report a new eco‐friendly method for growing lead‐free halide ferroelectric solid‐solution (HDA)Sb</w:t>
      </w:r>
      <w:r>
        <w:t xml:space="preserve"> </w:t>
      </w:r>
      <w:r>
        <w:t>1‐x</w:t>
      </w:r>
      <w:r>
        <w:t xml:space="preserve"> </w:t>
      </w:r>
      <w:r>
        <w:t>Bi</w:t>
      </w:r>
      <w:r>
        <w:t xml:space="preserve"> </w:t>
      </w:r>
      <w:r>
        <w:t>x</w:t>
      </w:r>
      <w:r>
        <w:t xml:space="preserve"> </w:t>
      </w:r>
      <w:r>
        <w:t>I</w:t>
      </w:r>
      <w:r>
        <w:rPr>
          <w:vertAlign w:val="subscript"/>
        </w:rPr>
        <w:t>5</w:t>
      </w:r>
      <w:r>
        <w:t>(x = 0–1) (HDA = hexane‐1,6‐diammonium), by isothermal evaporation from a biomass‐derived solvent,</w:t>
      </w:r>
      <w:r>
        <w:t xml:space="preserve"> </w:t>
      </w:r>
      <w:r>
        <w:t>γ</w:t>
      </w:r>
      <w:r>
        <w:t xml:space="preserve"> </w:t>
      </w:r>
      <w:r>
        <w:t>‐valerolactone (GVL). The solid‐solution strategy, good material stability,‐ and high‐quality centimeter‐sized single‐crystals not only endow the (HDA)Sb</w:t>
      </w:r>
      <w:r>
        <w:t xml:space="preserve"> </w:t>
      </w:r>
      <w:r>
        <w:t>0.39</w:t>
      </w:r>
      <w:r>
        <w:t xml:space="preserve"> </w:t>
      </w:r>
      <w:r>
        <w:t>Bi</w:t>
      </w:r>
      <w:r>
        <w:t xml:space="preserve"> </w:t>
      </w:r>
      <w:r>
        <w:t>0.61</w:t>
      </w:r>
      <w:r>
        <w:t xml:space="preserve"> </w:t>
      </w:r>
      <w:r>
        <w:t>I</w:t>
      </w:r>
      <w:r>
        <w:rPr>
          <w:vertAlign w:val="subscript"/>
        </w:rPr>
        <w:t>5</w:t>
      </w:r>
      <w:r>
        <w:t>with the narrowest bandgap of 1.64 eV among Bi/Sb‐based halide ferroelectrics, but also enhance its</w:t>
      </w:r>
      <w:r>
        <w:t xml:space="preserve"> </w:t>
      </w:r>
      <w:r>
        <w:t>µτ</w:t>
      </w:r>
      <w:r>
        <w:t xml:space="preserve"> </w:t>
      </w:r>
      <w:r>
        <w:t>product by approximately two orders of magnitude compared with the parent (HDA)SbI</w:t>
      </w:r>
      <w:r>
        <w:rPr>
          <w:vertAlign w:val="subscript"/>
        </w:rPr>
        <w:t>5</w:t>
      </w:r>
      <w:r>
        <w:t>. Benefiting from these attributes and the intrinsic ferroelectric spontaneous polarization, the X‐ray detector based on (HDA)Sb</w:t>
      </w:r>
      <w:r>
        <w:t xml:space="preserve"> </w:t>
      </w:r>
      <w:r>
        <w:t>0.39</w:t>
      </w:r>
      <w:r>
        <w:t xml:space="preserve"> </w:t>
      </w:r>
      <w:r>
        <w:t>Bi</w:t>
      </w:r>
      <w:r>
        <w:t xml:space="preserve"> </w:t>
      </w:r>
      <w:r>
        <w:t>0.61</w:t>
      </w:r>
      <w:r>
        <w:t xml:space="preserve"> </w:t>
      </w:r>
      <w:r>
        <w:t>I</w:t>
      </w:r>
      <w:r>
        <w:rPr>
          <w:vertAlign w:val="subscript"/>
        </w:rPr>
        <w:t>5</w:t>
      </w:r>
      <w:r>
        <w:t>exhibits excellent self‐powered detection performance with a high sensitivity of 1,040 µC Gy</w:t>
      </w:r>
      <w:r>
        <w:t xml:space="preserve"> </w:t>
      </w:r>
      <w:r>
        <w:t>air</w:t>
      </w:r>
      <w:r>
        <w:t xml:space="preserve"> </w:t>
      </w:r>
      <w:r>
        <w:t>−1</w:t>
      </w:r>
      <w:r>
        <w:t xml:space="preserve"> </w:t>
      </w:r>
      <w:r>
        <w:t>cm</w:t>
      </w:r>
      <w:r>
        <w:t xml:space="preserve"> </w:t>
      </w:r>
      <w:r>
        <w:t>−2</w:t>
      </w:r>
      <w:r>
        <w:t xml:space="preserve"> </w:t>
      </w:r>
      <w:r>
        <w:t>and a low detection limit of 0.25 nGy</w:t>
      </w:r>
      <w:r>
        <w:t xml:space="preserve"> </w:t>
      </w:r>
      <w:r>
        <w:t>air</w:t>
      </w:r>
      <w:r>
        <w:t xml:space="preserve"> </w:t>
      </w:r>
      <w:r>
        <w:t>s</w:t>
      </w:r>
      <w:r>
        <w:t xml:space="preserve"> </w:t>
      </w:r>
      <w:r>
        <w:t>−1</w:t>
      </w:r>
      <w:r>
        <w:t xml:space="preserve"> </w:t>
      </w:r>
      <w:r>
        <w:t>. More excitingly, its detection sensitivity can reach 17,560 µC Gy</w:t>
      </w:r>
      <w:r>
        <w:t xml:space="preserve"> </w:t>
      </w:r>
      <w:r>
        <w:t>air</w:t>
      </w:r>
      <w:r>
        <w:t xml:space="preserve"> </w:t>
      </w:r>
      <w:r>
        <w:t>−1</w:t>
      </w:r>
      <w:r>
        <w:t xml:space="preserve"> </w:t>
      </w:r>
      <w:r>
        <w:t>cm</w:t>
      </w:r>
      <w:r>
        <w:t xml:space="preserve"> </w:t>
      </w:r>
      <w:r>
        <w:t>−2</w:t>
      </w:r>
      <w:r>
        <w:t xml:space="preserve"> </w:t>
      </w:r>
      <w:r>
        <w:t>, which is the highest among reported halide ferroelectrics, and superior to that of most halide detectors. This work opens new avenues for the rational engineering of Bi/Sb‐based halide ferroelectrics for advanced optoelectronic applications.</w:t>
      </w:r>
    </w:p>
    <w:p>
      <w:pPr>
        <w:spacing w:before="120" w:after="120"/>
      </w:pPr>
      <w:r>
        <w:rPr>
          <w:sz w:val="18"/>
        </w:rPr>
        <w:t>——————————————————————————————————————————————————————————————————————</w:t>
      </w:r>
    </w:p>
    <w:p>
      <w:pPr>
        <w:spacing w:before="160" w:after="40" w:line="240" w:lineRule="auto"/>
      </w:pPr>
      <w:r>
        <w:rPr>
          <w:b/>
        </w:rPr>
        <w:t xml:space="preserve">[416] </w:t>
      </w:r>
      <w:hyperlink r:id="rId634">
        <w:r>
          <w:rPr>
            <w:color w:val="1155CC"/>
            <w:u w:val="single"/>
          </w:rPr>
          <w:t>Perovskite 推进金属在Situ 溶解中的表面静电梯度和在固体氧化电解器中的CO2 电解</w:t>
        </w:r>
      </w:hyperlink>
    </w:p>
    <w:p>
      <w:pPr>
        <w:spacing w:before="0" w:after="80"/>
      </w:pPr>
      <w:r>
        <w:rPr>
          <w:i/>
          <w:sz w:val="20"/>
        </w:rPr>
        <w:t>EN: Surface Electrostatic Gradient of Perovskite Boosts Metal in Situ Exsolution and CO2 Electrolysis in Solid Oxide Electrolyzer</w:t>
      </w:r>
    </w:p>
    <w:p>
      <w:pPr>
        <w:spacing w:before="0" w:after="120"/>
      </w:pPr>
      <w:r>
        <w:rPr>
          <w:b/>
        </w:rPr>
        <w:t xml:space="preserve">Source: </w:t>
      </w:r>
      <w:r>
        <w:t>Wiley: Angewandte Chemie International Edition: Table of Contents</w:t>
      </w:r>
      <w:r>
        <w:t xml:space="preserve">    </w:t>
      </w:r>
      <w:r>
        <w:rPr>
          <w:b/>
        </w:rPr>
        <w:t xml:space="preserve">Pub date: </w:t>
      </w:r>
      <w:r>
        <w:t>2026-01-21 06:01:54+00:00</w:t>
      </w:r>
      <w:r>
        <w:t xml:space="preserve">    </w:t>
      </w:r>
      <w:r>
        <w:rPr>
          <w:b/>
        </w:rPr>
        <w:t xml:space="preserve">DOI: </w:t>
      </w:r>
      <w:hyperlink r:id="rId635">
        <w:r>
          <w:rPr>
            <w:color w:val="1155CC"/>
            <w:u w:val="single"/>
          </w:rPr>
          <w:t>10.1002/anie.202520056</w:t>
        </w:r>
      </w:hyperlink>
    </w:p>
    <w:p>
      <w:pPr>
        <w:spacing w:before="0" w:after="120"/>
      </w:pPr>
      <w:r>
        <w:rPr>
          <w:b/>
        </w:rPr>
        <w:t xml:space="preserve">Notes: </w:t>
      </w:r>
      <w:r>
        <w:t>abstract_source=crossref</w:t>
      </w:r>
    </w:p>
    <w:p>
      <w:pPr>
        <w:spacing w:before="0" w:after="80" w:lineRule="auto" w:line="276"/>
      </w:pPr>
      <w:r>
        <w:rPr>
          <w:b/>
        </w:rPr>
        <w:t xml:space="preserve">摘要（ZH）: </w:t>
      </w:r>
      <w:r>
        <w:t>纳米粒子(NPs)的实地解析摘要为在固体氧化物电解器中应用 perovskite 基催化剂带来了新的机会,然而,尚未充分理解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动</w:t>
      </w:r>
    </w:p>
    <w:p>
      <w:pPr>
        <w:spacing w:before="0" w:after="200" w:lineRule="auto" w:line="276"/>
      </w:pPr>
      <w:r>
        <w:rPr>
          <w:b/>
        </w:rPr>
        <w:t xml:space="preserve">Abstract (EN): </w:t>
      </w:r>
      <w:r>
        <w:t>The in situ exsolution of nanoparticles (NPs) has brought new opportunities for the application of perovskite‐based catalysts in solid oxide electrolyzers. However, the kinetic driving force controlling cation migration and subsequent metal nucleation is not yet fully understood. Here we identified surface electrostatic gradient as the decisive kinetic factor in governing metal exsolution by treating La</w:t>
      </w:r>
      <w:r>
        <w:t xml:space="preserve"> </w:t>
      </w:r>
      <w:r>
        <w:t>0.3</w:t>
      </w:r>
      <w:r>
        <w:t xml:space="preserve"> </w:t>
      </w:r>
      <w:r>
        <w:t>Ca</w:t>
      </w:r>
      <w:r>
        <w:t xml:space="preserve"> </w:t>
      </w:r>
      <w:r>
        <w:t>0.6</w:t>
      </w:r>
      <w:r>
        <w:t xml:space="preserve"> </w:t>
      </w:r>
      <w:r>
        <w:t>Ti</w:t>
      </w:r>
      <w:r>
        <w:t xml:space="preserve"> </w:t>
      </w:r>
      <w:r>
        <w:t>0.9</w:t>
      </w:r>
      <w:r>
        <w:t xml:space="preserve"> </w:t>
      </w:r>
      <w:r>
        <w:t>Mn</w:t>
      </w:r>
      <w:r>
        <w:t xml:space="preserve"> </w:t>
      </w:r>
      <w:r>
        <w:t>0.05</w:t>
      </w:r>
      <w:r>
        <w:t xml:space="preserve"> </w:t>
      </w:r>
      <w:r>
        <w:t>Ni</w:t>
      </w:r>
      <w:r>
        <w:t xml:space="preserve"> </w:t>
      </w:r>
      <w:r>
        <w:t>0.05</w:t>
      </w:r>
      <w:r>
        <w:t xml:space="preserve"> </w:t>
      </w:r>
      <w:r>
        <w:t>O</w:t>
      </w:r>
      <w:r>
        <w:t xml:space="preserve"> </w:t>
      </w:r>
      <w:r>
        <w:t>3−δ</w:t>
      </w:r>
      <w:r>
        <w:t xml:space="preserve"> </w:t>
      </w:r>
      <w:r>
        <w:t>(LCTMN) with NaBH</w:t>
      </w:r>
      <w:r>
        <w:rPr>
          <w:vertAlign w:val="subscript"/>
        </w:rPr>
        <w:t>4</w:t>
      </w:r>
      <w:r>
        <w:t>of different concentrations. Multi‐scale characterizations revealed that different spatial distribution of surface oxygen vacancy induced positive surface potential shift and established electrostatic gradients that attracted Ni</w:t>
      </w:r>
      <w:r>
        <w:t xml:space="preserve"> </w:t>
      </w:r>
      <w:r>
        <w:t>2+</w:t>
      </w:r>
      <w:r>
        <w:t xml:space="preserve"> </w:t>
      </w:r>
      <w:r>
        <w:t>cations toward LCTMN surface, thereby driving Ni</w:t>
      </w:r>
      <w:r>
        <w:t xml:space="preserve"> </w:t>
      </w:r>
      <w:r>
        <w:t>2+</w:t>
      </w:r>
      <w:r>
        <w:t xml:space="preserve"> </w:t>
      </w:r>
      <w:r>
        <w:t>migration and reduction. Moreover, theoretical calculations demonstrated that surface oxygen vacancies reduced Ni segregation energy and work function of LCTMN, elucidating the critical role of electronic redistribution in accelerating in situ exsolution. Consequently, treatment of LCTMN with 3.0 M NaBH</w:t>
      </w:r>
      <w:r>
        <w:rPr>
          <w:vertAlign w:val="subscript"/>
        </w:rPr>
        <w:t>4</w:t>
      </w:r>
      <w:r>
        <w:t>yielded a high‐density dispersion of uniform Ni NPs with abundant strongly anchored interfacial sites for CO</w:t>
      </w:r>
      <w:r>
        <w:rPr>
          <w:vertAlign w:val="subscript"/>
        </w:rPr>
        <w:t>2</w:t>
      </w:r>
      <w:r>
        <w:t>adsorption and activation. Notably, it delivered maximal current density of 1.25 A cm</w:t>
      </w:r>
      <w:r>
        <w:t xml:space="preserve"> </w:t>
      </w:r>
      <w:r>
        <w:t>−2</w:t>
      </w:r>
      <w:r>
        <w:t xml:space="preserve"> </w:t>
      </w:r>
      <w:r>
        <w:t>and CO Faraday efficiency of 94.23%, coupled with a superior 100‐hour stability, surpassing all counterparts. This study establishes a direct link between surface potential and exsolution kinetics, providing a universal paradigm for designing high‐performance perovskites with desirable reactivity.</w:t>
      </w:r>
    </w:p>
    <w:p>
      <w:pPr>
        <w:spacing w:before="120" w:after="120"/>
      </w:pPr>
      <w:r>
        <w:rPr>
          <w:sz w:val="18"/>
        </w:rPr>
        <w:t>——————————————————————————————————————————————————————————————————————</w:t>
      </w:r>
    </w:p>
    <w:p>
      <w:pPr>
        <w:spacing w:before="160" w:after="40" w:line="240" w:lineRule="auto"/>
      </w:pPr>
      <w:r>
        <w:rPr>
          <w:b/>
        </w:rPr>
        <w:t xml:space="preserve">[417] </w:t>
      </w:r>
      <w:hyperlink r:id="rId636">
        <w:r>
          <w:rPr>
            <w:color w:val="1155CC"/>
            <w:u w:val="single"/>
          </w:rPr>
          <w:t>精密肿瘤学截肢</w:t>
        </w:r>
      </w:hyperlink>
    </w:p>
    <w:p>
      <w:pPr>
        <w:spacing w:before="0" w:after="80"/>
      </w:pPr>
      <w:r>
        <w:rPr>
          <w:i/>
          <w:sz w:val="20"/>
        </w:rPr>
        <w:t>EN: Atomic‐Precision Triple‐Enzyme Nanozyme Synchronizes Mitochondrial Dual‐Pathway Disruption for Precision Oncology</w:t>
      </w:r>
    </w:p>
    <w:p>
      <w:pPr>
        <w:spacing w:before="0" w:after="120"/>
      </w:pPr>
      <w:r>
        <w:rPr>
          <w:b/>
        </w:rPr>
        <w:t xml:space="preserve">Source: </w:t>
      </w:r>
      <w:r>
        <w:t>Wiley: Angewandte Chemie International Edition: Table of Contents</w:t>
      </w:r>
      <w:r>
        <w:t xml:space="preserve">    </w:t>
      </w:r>
      <w:r>
        <w:rPr>
          <w:b/>
        </w:rPr>
        <w:t xml:space="preserve">Pub date: </w:t>
      </w:r>
      <w:r>
        <w:t>2026-01-21 06:03:08+00:00</w:t>
      </w:r>
      <w:r>
        <w:t xml:space="preserve">    </w:t>
      </w:r>
      <w:r>
        <w:rPr>
          <w:b/>
        </w:rPr>
        <w:t xml:space="preserve">DOI: </w:t>
      </w:r>
      <w:hyperlink r:id="rId637">
        <w:r>
          <w:rPr>
            <w:color w:val="1155CC"/>
            <w:u w:val="single"/>
          </w:rPr>
          <w:t>10.1002/anie.202520859</w:t>
        </w:r>
      </w:hyperlink>
    </w:p>
    <w:p>
      <w:pPr>
        <w:spacing w:before="0" w:after="120"/>
      </w:pPr>
      <w:r>
        <w:rPr>
          <w:b/>
        </w:rPr>
        <w:t xml:space="preserve">Notes: </w:t>
      </w:r>
      <w:r>
        <w:t>abstract_source=crossref</w:t>
      </w:r>
    </w:p>
    <w:p>
      <w:pPr>
        <w:spacing w:before="0" w:after="80" w:lineRule="auto" w:line="276"/>
      </w:pPr>
      <w:r>
        <w:rPr>
          <w:b/>
        </w:rPr>
        <w:t xml:space="preserve">摘要（ZH）: </w:t>
      </w:r>
      <w:r>
        <w:t>摘要 尽管纳米zyme 中途干扰线粒体硬性硬化症具有巨大的治疗潜力,但使用单功能催化剂精确的时空调节仍然是一个重大挑战。为了克服这一限制,我们开发了一个三苯基-磷-光-功能化Pd@PtIr纳米zyme, 将一个Pt-Ir(1:1) 的合金壳以原子级精确度在Pd纳米管芯上储存下来。这个合理工程的金属中心结构产生了一个协同催化界面,它不仅能增强过氧化物类似的活动 — — 由密度功能理论(DFT)验证,而且还能将纳米zyme与自然的NADH氧化酶和谷硫酮过氧化酶相似的功能放在一个单一平台内。 808 nm 靠近红外辐射时, 南纬。</w:t>
      </w:r>
    </w:p>
    <w:p>
      <w:pPr>
        <w:spacing w:before="0" w:after="200" w:lineRule="auto" w:line="276"/>
      </w:pPr>
      <w:r>
        <w:rPr>
          <w:b/>
        </w:rPr>
        <w:t xml:space="preserve">Abstract (EN): </w:t>
      </w:r>
      <w:r>
        <w:t>Although nanozyme‐mediated disruption of mitochondrial homeostasis holds significant therapeutic potential, precise spatiotemporal regulation using single‐function catalysts remains a major challenge. To overcome this limitation, we developed a triphenylphosphine‐functionalized Pd@PtIr nanozyme by epitaxially depositing a Pt–Ir (1:1) alloy shell onto Pd nanocube cores with atomic‐level precision. This rationally engineered metal‐center architecture generates a synergistic catalytic interface that not only enhances peroxidase‐like activity—validated by density functional theory (DFT)—but also endows the nanozyme with intrinsic NADH oxidase and glutathione peroxidase‐like functionalities within a single platform. Upon 808 nm near‐infrared (NIR) irradiation, the nanozyme triggers a cascade of enzyme‐mimetic redox reactions that jointly deplete mitochondrial glutathione (GSH) and elevate reactive oxygen species (ROS) levels, while NADH oxidation concurrently disrupts ATP biosynthesis. These concerted effects synergistically impair mitochondrial redox homeostasis and energy metabolism in tumor cells. To further potentiate therapeutic efficacy, we combined the nanozyme with antisense oligonucleotide‐mediated silencing of ASncmtRNA, resulting in a pronounced 89.1% tumor regression in an orthotopic breast cancer model. This integrated approach—combining atomic‐precision catalyst design, multifunctional enzymatic activity, and gene‐silencing therapy—presents a transformative paradigm for organelle‐targeted precision nanotherapeutics in oncology.</w:t>
      </w:r>
    </w:p>
    <w:p>
      <w:pPr>
        <w:spacing w:before="120" w:after="120"/>
      </w:pPr>
      <w:r>
        <w:rPr>
          <w:sz w:val="18"/>
        </w:rPr>
        <w:t>——————————————————————————————————————————————————————————————————————</w:t>
      </w:r>
    </w:p>
    <w:p>
      <w:pPr>
        <w:spacing w:before="160" w:after="40" w:line="240" w:lineRule="auto"/>
      </w:pPr>
      <w:r>
        <w:rPr>
          <w:b/>
        </w:rPr>
        <w:t xml:space="preserve">[418] </w:t>
      </w:r>
      <w:hyperlink r:id="rId638">
        <w:r>
          <w:rPr>
            <w:color w:val="1155CC"/>
            <w:u w:val="single"/>
          </w:rPr>
          <w:t>通过连续光电递减实现序列激进阿尼尼松聚合</w:t>
        </w:r>
      </w:hyperlink>
    </w:p>
    <w:p>
      <w:pPr>
        <w:spacing w:before="0" w:after="80"/>
      </w:pPr>
      <w:r>
        <w:rPr>
          <w:i/>
          <w:sz w:val="20"/>
        </w:rPr>
        <w:t>EN: Sequential Radical‐Anionic Polymerizations via Consecutive Photo‐Reduction</w:t>
      </w:r>
    </w:p>
    <w:p>
      <w:pPr>
        <w:spacing w:before="0" w:after="120"/>
      </w:pPr>
      <w:r>
        <w:rPr>
          <w:b/>
        </w:rPr>
        <w:t xml:space="preserve">Source: </w:t>
      </w:r>
      <w:r>
        <w:t>Wiley: Angewandte Chemie International Edition: Table of Contents</w:t>
      </w:r>
      <w:r>
        <w:t xml:space="preserve">    </w:t>
      </w:r>
      <w:r>
        <w:rPr>
          <w:b/>
        </w:rPr>
        <w:t xml:space="preserve">Pub date: </w:t>
      </w:r>
      <w:r>
        <w:t>2026-01-21 06:09:42+00:00</w:t>
      </w:r>
      <w:r>
        <w:t xml:space="preserve">    </w:t>
      </w:r>
      <w:r>
        <w:rPr>
          <w:b/>
        </w:rPr>
        <w:t xml:space="preserve">DOI: </w:t>
      </w:r>
      <w:hyperlink r:id="rId639">
        <w:r>
          <w:rPr>
            <w:color w:val="1155CC"/>
            <w:u w:val="single"/>
          </w:rPr>
          <w:t>10.1002/anie.202521319</w:t>
        </w:r>
      </w:hyperlink>
    </w:p>
    <w:p>
      <w:pPr>
        <w:spacing w:before="0" w:after="120"/>
      </w:pPr>
      <w:r>
        <w:rPr>
          <w:b/>
        </w:rPr>
        <w:t xml:space="preserve">Notes: </w:t>
      </w:r>
      <w:r>
        <w:t>abstract_source=crossref</w:t>
      </w:r>
    </w:p>
    <w:p>
      <w:pPr>
        <w:spacing w:before="0" w:after="80" w:lineRule="auto" w:line="276"/>
      </w:pPr>
      <w:r>
        <w:rPr>
          <w:b/>
        </w:rPr>
        <w:t xml:space="preserve">摘要（ZH）: </w:t>
      </w:r>
      <w:r>
        <w:t>抽象聚合特性与结构的多样性密切相关,使聚合方法的开发对学术研究和工业应用都非常宝贵。虽然激进和厌离聚合技术已被广泛使用,但两者目前都有内在的局限性。例如,阴离子聚合严重依赖高度反应性的烷基金属和碱性金属(如锂),这涉及能源密集型合成和危险处理。我们在此报告一种连续的激进聚合,即通过光化就地产生碳基和碳氨,从而能够增强单体复发。这种方法消除了锂依赖性及其相关资源。</w:t>
      </w:r>
    </w:p>
    <w:p>
      <w:pPr>
        <w:spacing w:before="0" w:after="200" w:lineRule="auto" w:line="276"/>
      </w:pPr>
      <w:r>
        <w:rPr>
          <w:b/>
        </w:rPr>
        <w:t xml:space="preserve">Abstract (EN): </w:t>
      </w:r>
      <w:r>
        <w:t>Polymeric properties are intimately entwined with the diversities of structures, making the development of polymerization methods highly valuable to both academic research and industrial applications. Although radical and anionic polymerization techniques have been widely used, both currently have intrinsic limitations. For example, anionic polymerizations heavily rely on highly reactive alkyl metals and alkali metals (e.g., lithium), which involve energy‐intensive synthesis and hazardous handling. Herein, we report a sequential radical‐anionic (co‐)polymerization, where the in situ generation of carbon radicals and carbanions via photoreduction enables augmentation of the monomer repertoire. This approach eliminates lithium dependency and its associated resource, energy, and safety concerns. Mechanistic studies support the sequential radical‐anionic chain‐growing mechanism enabled by photo‐induced consecutive single‐electron transfer reduction. This strategy has the potential to overcome the intrinsic restriction in copolymerizing monomers with electronic property disparities, thereby extending the synthetic utilization of anionic polymerization in polymer science. Furthermore, the process and vulcanization of large‐scale synthesized terminal‐functionalized rubbers further prove the practical applications of this strategy.</w:t>
      </w:r>
    </w:p>
    <w:p>
      <w:pPr>
        <w:spacing w:before="120" w:after="120"/>
      </w:pPr>
      <w:r>
        <w:rPr>
          <w:sz w:val="18"/>
        </w:rPr>
        <w:t>——————————————————————————————————————————————————————————————————————</w:t>
      </w:r>
    </w:p>
    <w:p>
      <w:pPr>
        <w:spacing w:before="160" w:after="40" w:line="240" w:lineRule="auto"/>
      </w:pPr>
      <w:r>
        <w:rPr>
          <w:b/>
        </w:rPr>
        <w:t xml:space="preserve">[419] </w:t>
      </w:r>
      <w:hyperlink r:id="rId640">
        <w:r>
          <w:rPr>
            <w:color w:val="1155CC"/>
            <w:u w:val="single"/>
          </w:rPr>
          <w:t>AEM 电解器中乙基胺长期和乙基胺安培级电合成</w:t>
        </w:r>
      </w:hyperlink>
    </w:p>
    <w:p>
      <w:pPr>
        <w:spacing w:before="0" w:after="80"/>
      </w:pPr>
      <w:r>
        <w:rPr>
          <w:i/>
          <w:sz w:val="20"/>
        </w:rPr>
        <w:t>EN: Atomic Eu‐Mediated Acetonitrile Adsorption Configuration Switch Drives Long‐Term and Ampere‐Level Electrosynthesis of Ethylamine in AEM Electrolyzer</w:t>
      </w:r>
    </w:p>
    <w:p>
      <w:pPr>
        <w:spacing w:before="0" w:after="120"/>
      </w:pPr>
      <w:r>
        <w:rPr>
          <w:b/>
        </w:rPr>
        <w:t xml:space="preserve">Source: </w:t>
      </w:r>
      <w:r>
        <w:t>Wiley: Advanced Materials: Table of Contents</w:t>
      </w:r>
      <w:r>
        <w:t xml:space="preserve">    </w:t>
      </w:r>
      <w:r>
        <w:rPr>
          <w:b/>
        </w:rPr>
        <w:t xml:space="preserve">Pub date: </w:t>
      </w:r>
      <w:r>
        <w:t>2026-01-21 06:13:21+00:00</w:t>
      </w:r>
      <w:r>
        <w:t xml:space="preserve">    </w:t>
      </w:r>
      <w:r>
        <w:rPr>
          <w:b/>
        </w:rPr>
        <w:t xml:space="preserve">DOI: </w:t>
      </w:r>
      <w:hyperlink r:id="rId641">
        <w:r>
          <w:rPr>
            <w:color w:val="1155CC"/>
            <w:u w:val="single"/>
          </w:rPr>
          <w:t>10.1002/adma.202521105</w:t>
        </w:r>
      </w:hyperlink>
    </w:p>
    <w:p>
      <w:pPr>
        <w:spacing w:before="0" w:after="120"/>
      </w:pPr>
      <w:r>
        <w:rPr>
          <w:b/>
        </w:rPr>
        <w:t xml:space="preserve">Notes: </w:t>
      </w:r>
      <w:r>
        <w:t>abstract_source=crossref</w:t>
      </w:r>
    </w:p>
    <w:p>
      <w:pPr>
        <w:spacing w:before="0" w:after="80" w:lineRule="auto" w:line="276"/>
      </w:pPr>
      <w:r>
        <w:rPr>
          <w:b/>
        </w:rPr>
        <w:t xml:space="preserve">摘要（ZH）: </w:t>
      </w:r>
      <w:r>
        <w:t>ABSTACT 乙酰氮化电动催化氢化(ANECH)为乙胺合成提供了一个可持续的途径,然而,实现乙胺(EA)合成的高度选择性需要谨慎地平衡质子供应量以抑制氢进化反应(HER),而氢进化反应常常与工业级当前密度下的质子供应需求发生冲突。在此,我们设计和开发了一种新颖而有效的ANECH催化剂,其中包括在Cu 2 O纳米需要量上改装的稀土EU原子,以在氨基洋流上推动高效和耐久的AN-ECH。</w:t>
      </w:r>
    </w:p>
    <w:p>
      <w:pPr>
        <w:spacing w:before="0" w:after="200" w:lineRule="auto" w:line="276"/>
      </w:pPr>
      <w:r>
        <w:rPr>
          <w:b/>
        </w:rPr>
        <w:t xml:space="preserve">Abstract (EN): </w:t>
      </w:r>
      <w:r>
        <w:t>Electrocatalytic hydrogenation of acetonitrile (AN‐ECH) offers a sustainable pathway for ethylamine (EA) synthesis. However, achieving high selectivity in AN‐ECH necessitates carefully balancing proton availability to suppress the hydrogen evolution reaction (HER), which often conflicts with the proton supply requirements under industrial‐grade current densities. Herein, we design and develop a novel and effective AN‐ECH catalyst consisting of rare‐earth Eu atoms modified on Cu</w:t>
      </w:r>
      <w:r>
        <w:rPr>
          <w:vertAlign w:val="subscript"/>
        </w:rPr>
        <w:t>2</w:t>
      </w:r>
      <w:r>
        <w:t>O nanoneedles to drive efficient and durable AN‐ECH at ampere‐level currents. The optimized Eu‐Cu</w:t>
      </w:r>
      <w:r>
        <w:rPr>
          <w:vertAlign w:val="subscript"/>
        </w:rPr>
        <w:t>2</w:t>
      </w:r>
      <w:r>
        <w:t>O catalyst achieves a high EA Faradaic efficiency of 98.1 % and an exceptional production rate of 2253.2 µmol h</w:t>
      </w:r>
      <w:r>
        <w:t xml:space="preserve"> </w:t>
      </w:r>
      <w:r>
        <w:t>−1</w:t>
      </w:r>
      <w:r>
        <w:t xml:space="preserve"> </w:t>
      </w:r>
      <w:r>
        <w:t>cm</w:t>
      </w:r>
      <w:r>
        <w:t xml:space="preserve"> </w:t>
      </w:r>
      <w:r>
        <w:t>−2</w:t>
      </w:r>
      <w:r>
        <w:t xml:space="preserve"> </w:t>
      </w:r>
      <w:r>
        <w:t>compared with pure Cu</w:t>
      </w:r>
      <w:r>
        <w:rPr>
          <w:vertAlign w:val="subscript"/>
        </w:rPr>
        <w:t>2</w:t>
      </w:r>
      <w:r>
        <w:t>O. Notably, the Eu‐Cu</w:t>
      </w:r>
      <w:r>
        <w:rPr>
          <w:vertAlign w:val="subscript"/>
        </w:rPr>
        <w:t>2</w:t>
      </w:r>
      <w:r>
        <w:t>O can continuously operate 420 h at 2 A in an anion‐exchange membrane electrolyzer for AN‐ECH, representing the longest reported stability under the industrial‐current conditions to date. Operando characterization and theoretical calculations elucidate that the Eu incorporation tailors the electronic structure of Cu sites, thus switching the adsorption configuration of AN from the flat‐lying multi‐site π‐adsorption to vertical N‐end adsorption. This reconfiguration of the adsorption site lowers the energy barrier for the imine hydrogenation step, dictating the ideal proton addition pathway while enhancing the proton addition kinetics to suppress the HER. This work provides fundamental insights into rare‐earth tuning of AN hydrogenation mechanisms and represents a critical advancement toward ampere‐scale electrosynthesis of EA.</w:t>
      </w:r>
    </w:p>
    <w:p>
      <w:pPr>
        <w:spacing w:before="120" w:after="120"/>
      </w:pPr>
      <w:r>
        <w:rPr>
          <w:sz w:val="18"/>
        </w:rPr>
        <w:t>——————————————————————————————————————————————————————————————————————</w:t>
      </w:r>
    </w:p>
    <w:p>
      <w:pPr>
        <w:spacing w:before="160" w:after="40" w:line="240" w:lineRule="auto"/>
      </w:pPr>
      <w:r>
        <w:rPr>
          <w:b/>
        </w:rPr>
        <w:t xml:space="preserve">[420] </w:t>
      </w:r>
      <w:hyperlink r:id="rId642">
        <w:r>
          <w:rPr>
            <w:color w:val="1155CC"/>
            <w:u w:val="single"/>
          </w:rPr>
          <w:t>将电解解降解路径与石墨电极上不同的立立方电镀工艺脱钩</w:t>
        </w:r>
      </w:hyperlink>
    </w:p>
    <w:p>
      <w:pPr>
        <w:spacing w:before="0" w:after="80"/>
      </w:pPr>
      <w:r>
        <w:rPr>
          <w:i/>
          <w:sz w:val="20"/>
        </w:rPr>
        <w:t>EN: Decoupling Electrolyte Degradation Pathways With Diverse Li Plating Processes on Graphite Electrodes</w:t>
      </w:r>
    </w:p>
    <w:p>
      <w:pPr>
        <w:spacing w:before="0" w:after="120"/>
      </w:pPr>
      <w:r>
        <w:rPr>
          <w:b/>
        </w:rPr>
        <w:t xml:space="preserve">Source: </w:t>
      </w:r>
      <w:r>
        <w:t>Wiley: Advanced Energy Materials: Table of Contents</w:t>
      </w:r>
      <w:r>
        <w:t xml:space="preserve">    </w:t>
      </w:r>
      <w:r>
        <w:rPr>
          <w:b/>
        </w:rPr>
        <w:t xml:space="preserve">Pub date: </w:t>
      </w:r>
      <w:r>
        <w:t>2026-01-21 06:21:06+00:00</w:t>
      </w:r>
      <w:r>
        <w:t xml:space="preserve">    </w:t>
      </w:r>
      <w:r>
        <w:rPr>
          <w:b/>
        </w:rPr>
        <w:t xml:space="preserve">DOI: </w:t>
      </w:r>
      <w:hyperlink r:id="rId643">
        <w:r>
          <w:rPr>
            <w:color w:val="1155CC"/>
            <w:u w:val="single"/>
          </w:rPr>
          <w:t>10.1002/aenm.202505230</w:t>
        </w:r>
      </w:hyperlink>
    </w:p>
    <w:p>
      <w:pPr>
        <w:spacing w:before="0" w:after="120"/>
      </w:pPr>
      <w:r>
        <w:rPr>
          <w:b/>
        </w:rPr>
        <w:t xml:space="preserve">Notes: </w:t>
      </w:r>
      <w:r>
        <w:t>abstract_source=crossref</w:t>
      </w:r>
    </w:p>
    <w:p>
      <w:pPr>
        <w:spacing w:before="0" w:after="80" w:lineRule="auto" w:line="276"/>
      </w:pPr>
      <w:r>
        <w:rPr>
          <w:b/>
        </w:rPr>
        <w:t xml:space="preserve">摘要（ZH）: </w:t>
      </w:r>
      <w:r>
        <w:t>石墨阳极上的ABSTACT 硅电镀是锂电池(LIBs)中一个重要的降解路径,然而其贡献与正常阳极老化的定量脱钩仍然具有挑战性。在这里,我们设计了使用负对子阳性(N/P)比率和lt(1LIFePO 4/graphite细胞)进行控制的李电镀试验,然后将其与实用的快速电镀电池(N/P&amp;gt;1)进行比较,用核磁共振(NMR)、质光谱振动(MST)和气相色谱质光谱仪(GCMS)对每个电解析部件(溶液、盐、添加剂)的分解进行量化。</w:t>
      </w:r>
    </w:p>
    <w:p>
      <w:pPr>
        <w:spacing w:before="0" w:after="200" w:lineRule="auto" w:line="276"/>
      </w:pPr>
      <w:r>
        <w:rPr>
          <w:b/>
        </w:rPr>
        <w:t xml:space="preserve">Abstract (EN): </w:t>
      </w:r>
      <w:r>
        <w:t>Lithium plating on graphite anodes is a critical degradation pathway in lithium‐ion batteries (LIBs), yet quantitative decoupling of its contribution from normal anode aging remains challenging. Here, we designed controlled Li plating tests using negative‐to‐positive (</w:t>
      </w:r>
      <w:r>
        <w:t xml:space="preserve"> </w:t>
      </w:r>
      <w:r>
        <w:t>N/P</w:t>
      </w:r>
      <w:r>
        <w:t xml:space="preserve"> </w:t>
      </w:r>
      <w:r>
        <w:t>) ratio &amp;lt; 1 LiFePO</w:t>
      </w:r>
      <w:r>
        <w:rPr>
          <w:vertAlign w:val="subscript"/>
        </w:rPr>
        <w:t>4</w:t>
      </w:r>
      <w:r>
        <w:t>/graphite cells and then compared them with practical fast‐charging cells (</w:t>
      </w:r>
      <w:r>
        <w:t xml:space="preserve"> </w:t>
      </w:r>
      <w:r>
        <w:t>N/P</w:t>
      </w:r>
      <w:r>
        <w:t xml:space="preserve"> </w:t>
      </w:r>
      <w:r>
        <w:t>&amp;gt; 1), quantifying the decomposition of each electrolyte component (solvent, salt, additives) using nuclear magnetic resonance (NMR), mass spectrometry titration (MST), and gas chromatography‐mass spectrometry (GC‐MS). Controlled Li plating occurs after full graphite lithiation, and it leads to rapid vinylene carbonate (VC) depletion, time‐dependent non‐Faradaic consumption of hexafluorophosphate (PF</w:t>
      </w:r>
      <w:r>
        <w:rPr>
          <w:vertAlign w:val="subscript"/>
        </w:rPr>
        <w:t>6</w:t>
      </w:r>
      <w:r>
        <w:t>−</w:t>
      </w:r>
      <w:r>
        <w:t>)/ethyl methyl carbonate (EMC)/ethylene carbonate (EC), and more organic solid‐electrolyte interphase (SEI) formation at higher rates. In routine fast‐charging aging, Li plating occurs before graphite saturation, and we find pronounced EMC consumption under high‐rate conditions compared with low ‐ rate. Our comparative analysis indicates that VC consumption during fast charging originates not only from plating but also significantly from baseline graphite aging. Li plating likely induces SEI rupture, leading to direct contact with electrolyte, thus more organic SEI formation. This quantitative study enables decoupling of Li plating‐induced side reactions from general aging without plating, informing battery design and predictive aging models.</w:t>
      </w:r>
    </w:p>
    <w:p>
      <w:pPr>
        <w:spacing w:before="120" w:after="120"/>
      </w:pPr>
      <w:r>
        <w:rPr>
          <w:sz w:val="18"/>
        </w:rPr>
        <w:t>——————————————————————————————————————————————————————————————————————</w:t>
      </w:r>
    </w:p>
    <w:p>
      <w:pPr>
        <w:spacing w:before="160" w:after="40" w:line="240" w:lineRule="auto"/>
      </w:pPr>
      <w:r>
        <w:rPr>
          <w:b/>
        </w:rPr>
        <w:t xml:space="preserve">[421] </w:t>
      </w:r>
      <w:hyperlink r:id="rId644">
        <w:r>
          <w:rPr>
            <w:color w:val="1155CC"/>
            <w:u w:val="single"/>
          </w:rPr>
          <w:t>分离方法对回收锂电池过程中电解完整性的影响</w:t>
        </w:r>
      </w:hyperlink>
    </w:p>
    <w:p>
      <w:pPr>
        <w:spacing w:before="0" w:after="80"/>
      </w:pPr>
      <w:r>
        <w:rPr>
          <w:i/>
          <w:sz w:val="20"/>
        </w:rPr>
        <w:t>EN: Impact of Discharging Methods on Electrode Integrity in Recycling of Lithium‐Ion Batteries</w:t>
      </w:r>
    </w:p>
    <w:p>
      <w:pPr>
        <w:spacing w:before="0" w:after="120"/>
      </w:pPr>
      <w:r>
        <w:rPr>
          <w:b/>
        </w:rPr>
        <w:t xml:space="preserve">Source: </w:t>
      </w:r>
      <w:r>
        <w:t>Wiley: Advanced Energy Materials: Table of Contents</w:t>
      </w:r>
      <w:r>
        <w:t xml:space="preserve">    </w:t>
      </w:r>
      <w:r>
        <w:rPr>
          <w:b/>
        </w:rPr>
        <w:t xml:space="preserve">Pub date: </w:t>
      </w:r>
      <w:r>
        <w:t>2026-01-21 06:22:39+00:00</w:t>
      </w:r>
      <w:r>
        <w:t xml:space="preserve">    </w:t>
      </w:r>
      <w:r>
        <w:rPr>
          <w:b/>
        </w:rPr>
        <w:t xml:space="preserve">DOI: </w:t>
      </w:r>
      <w:hyperlink r:id="rId645">
        <w:r>
          <w:rPr>
            <w:color w:val="1155CC"/>
            <w:u w:val="single"/>
          </w:rPr>
          <w:t>10.1002/aenm.202505938</w:t>
        </w:r>
      </w:hyperlink>
    </w:p>
    <w:p>
      <w:pPr>
        <w:spacing w:before="0" w:after="120"/>
      </w:pPr>
      <w:r>
        <w:rPr>
          <w:b/>
        </w:rPr>
        <w:t xml:space="preserve">Notes: </w:t>
      </w:r>
      <w:r>
        <w:t>abstract_source=crossref</w:t>
      </w:r>
    </w:p>
    <w:p>
      <w:pPr>
        <w:spacing w:before="0" w:after="80" w:lineRule="auto" w:line="276"/>
      </w:pPr>
      <w:r>
        <w:rPr>
          <w:b/>
        </w:rPr>
        <w:t xml:space="preserve">摘要（ZH）: </w:t>
      </w:r>
      <w:r>
        <w:t>电动车辆(EV)的采用迅速增加,极大地提高了对锂电池(LIBs)的需求,从而产生了对可持续回收战略的迫切需要;废弃报废的LIBs是再循环前的一个关键的预处理步骤;通过电缆排放电器是目前大型电池包的工业状态,而电化学排放(溶液中分离电池)为小型和混合废物流提供了可靠的替代方法;这项研究比较了电气和电化学排放方法,并审查了其对废的LIBs电化材料的形态和构成的影响;此外,还评估了向废液中排放电化学材料的可能性。</w:t>
      </w:r>
    </w:p>
    <w:p>
      <w:pPr>
        <w:spacing w:before="0" w:after="200" w:lineRule="auto" w:line="276"/>
      </w:pPr>
      <w:r>
        <w:rPr>
          <w:b/>
        </w:rPr>
        <w:t xml:space="preserve">Abstract (EN): </w:t>
      </w:r>
      <w:r>
        <w:t>The rapid increase in electric vehicle (EV) adoption has significantly boosted the demand for lithium‐ion batteries (LIBs), creating an urgent need for sustainable recycling strategies. Discharging end‐of‐life LIBs is a critical preprocessing step before recycling. Electrical discharge via cables is the current industrial state of the art for large battery packs, whereas electrochemical discharge (discharging batteries in solutions) offers a reliable alternative for smaller and mixed waste streams. This study compares electrical and electrochemical discharge methods and examines their effects on the morphology and composition of electrode materials from spent LIBs. Additionally, it evaluates the potential of electrochemical discharge to enable a closed‐loop direct recycling process by recovering high‐quality active materials from spent LIBs. Characterization results reveal that the lithium content is higher on negative electrode sheets after electrical discharge than after electrochemical discharge. Unreacted lithium on Ni‐rich layered oxides can form residual lithium compounds, such as lithium carbonate (Li</w:t>
      </w:r>
      <w:r>
        <w:rPr>
          <w:vertAlign w:val="subscript"/>
        </w:rPr>
        <w:t>2</w:t>
      </w:r>
      <w:r>
        <w:t>CO</w:t>
      </w:r>
      <w:r>
        <w:rPr>
          <w:vertAlign w:val="subscript"/>
        </w:rPr>
        <w:t>3</w:t>
      </w:r>
      <w:r>
        <w:t>) and lithium hydroxide (LiOH), which can trigger undesirable side reactions. PXRD analysis indicates that positive electrode materials subjected to electrochemical discharge retain their layered structure with minimal cation mixing, unlike those subjected to electrical discharge. Overall, the findings demonstrate that electrochemical discharge is more effective in preserving the chemical composition and structural integrity of active materials than conventional electrical discharge methods.</w:t>
      </w:r>
    </w:p>
    <w:p>
      <w:pPr>
        <w:spacing w:before="120" w:after="120"/>
      </w:pPr>
      <w:r>
        <w:rPr>
          <w:sz w:val="18"/>
        </w:rPr>
        <w:t>——————————————————————————————————————————————————————————————————————</w:t>
      </w:r>
    </w:p>
    <w:p>
      <w:pPr>
        <w:spacing w:before="160" w:after="40" w:line="240" w:lineRule="auto"/>
      </w:pPr>
      <w:r>
        <w:rPr>
          <w:b/>
        </w:rPr>
        <w:t xml:space="preserve">[422] </w:t>
      </w:r>
      <w:hyperlink r:id="rId646">
        <w:r>
          <w:rPr>
            <w:color w:val="1155CC"/>
            <w:u w:val="single"/>
          </w:rPr>
          <w:t>促进持久水电解析的薄凝固硫化聚苯乙烯(苯丙胺)膜:2000年全小时的窒息性居住和增强稳定</w:t>
        </w:r>
      </w:hyperlink>
    </w:p>
    <w:p>
      <w:pPr>
        <w:spacing w:before="0" w:after="80"/>
      </w:pPr>
      <w:r>
        <w:rPr>
          <w:i/>
          <w:sz w:val="20"/>
        </w:rPr>
        <w:t>EN: Thin Reinforced Sulfonated Poly(phenylene sulfone) Membranes for Durable Water Electrolysis: Suppressed Swelling and Enhanced Stability Over 2000 Hours</w:t>
      </w:r>
    </w:p>
    <w:p>
      <w:pPr>
        <w:spacing w:before="0" w:after="120"/>
      </w:pPr>
      <w:r>
        <w:rPr>
          <w:b/>
        </w:rPr>
        <w:t xml:space="preserve">Source: </w:t>
      </w:r>
      <w:r>
        <w:t>Wiley: Advanced Energy Materials: Table of Contents</w:t>
      </w:r>
      <w:r>
        <w:t xml:space="preserve">    </w:t>
      </w:r>
      <w:r>
        <w:rPr>
          <w:b/>
        </w:rPr>
        <w:t xml:space="preserve">Pub date: </w:t>
      </w:r>
      <w:r>
        <w:t>2026-01-21 06:27:00+00:00</w:t>
      </w:r>
      <w:r>
        <w:t xml:space="preserve">    </w:t>
      </w:r>
      <w:r>
        <w:rPr>
          <w:b/>
        </w:rPr>
        <w:t xml:space="preserve">DOI: </w:t>
      </w:r>
      <w:hyperlink r:id="rId647">
        <w:r>
          <w:rPr>
            <w:color w:val="1155CC"/>
            <w:u w:val="single"/>
          </w:rPr>
          <w:t>10.1002/aenm.202505888</w:t>
        </w:r>
      </w:hyperlink>
    </w:p>
    <w:p>
      <w:pPr>
        <w:spacing w:before="0" w:after="120"/>
      </w:pPr>
      <w:r>
        <w:rPr>
          <w:b/>
        </w:rPr>
        <w:t xml:space="preserve">Notes: </w:t>
      </w:r>
      <w:r>
        <w:t>abstract_source=crossref</w:t>
      </w:r>
    </w:p>
    <w:p>
      <w:pPr>
        <w:spacing w:before="0" w:after="80" w:lineRule="auto" w:line="276"/>
      </w:pPr>
      <w:r>
        <w:rPr>
          <w:b/>
        </w:rPr>
        <w:t xml:space="preserve">摘要（ZH）: </w:t>
      </w:r>
      <w:r>
        <w:t>ABSTACT 碳氢化合物(HC)膜具有显著提高水电解器效率的潜力,然而,在电解条件下,由于严重膨胀,在电解条件下的机械性完整性较低,对工业应用构成挑战。这里,我们展示了12微克/西克磺化聚(苯丙胺)(SPPS)膜,加固了多孔聚乙烯(PE)基质强化。PE基温将平流机内膨胀减少7倍(10%比69%),并在60°C的水中提高机械稳定性(440兆帕比50兆帕)。 在电解条件下,两块强化膜的24微米厚三明治显示在2000年以上稳定运行,目前固定在1厘米-2摄氏度。</w:t>
      </w:r>
    </w:p>
    <w:p>
      <w:pPr>
        <w:spacing w:before="0" w:after="200" w:lineRule="auto" w:line="276"/>
      </w:pPr>
      <w:r>
        <w:rPr>
          <w:b/>
        </w:rPr>
        <w:t xml:space="preserve">Abstract (EN): </w:t>
      </w:r>
      <w:r>
        <w:t>Hydrocarbon (HC) membranes have the potential to significantly enhance the efficiency of water electrolyzers. However, their low mechanical integrity under electrolysis conditions, due to severe swelling, poses a challenge for industrial‐scale applications. Here, we present a 12 µm‐thick sulfonated poly(phenylene sulfone) (sPPS) membrane reinforced with a porous polyethylene (PE) substrate. The PE substrate reduces in‐plane swelling by a factor of 7 (10% vs 69%) and improves mechanical stability (440 MPa vs 50 MPa) in water at 60°C. Under electrolysis conditions, a 24 µm thick sandwich of two reinforced membranes shows stable operation over more than 2000 h in a constant current hold at 1 A cm</w:t>
      </w:r>
      <w:r>
        <w:t xml:space="preserve"> </w:t>
      </w:r>
      <w:r>
        <w:t>−2</w:t>
      </w:r>
      <w:r>
        <w:t xml:space="preserve"> </w:t>
      </w:r>
      <w:r>
        <w:t>conducted at 60°C (first 1000 h) and 80°C (remaining 1000 h) with only 6 µV h</w:t>
      </w:r>
      <w:r>
        <w:t xml:space="preserve"> </w:t>
      </w:r>
      <w:r>
        <w:t>−1</w:t>
      </w:r>
      <w:r>
        <w:t xml:space="preserve"> </w:t>
      </w:r>
      <w:r>
        <w:t>of voltage deviation within the last 500 h. With a potential of 1.67 V and a hydrogen in oxygen content of 1 vol% at 3 A cm</w:t>
      </w:r>
      <w:r>
        <w:t xml:space="preserve"> </w:t>
      </w:r>
      <w:r>
        <w:t>−2</w:t>
      </w:r>
      <w:r>
        <w:t xml:space="preserve"> </w:t>
      </w:r>
      <w:r>
        <w:t>, the PFAS‐free membrane clearly outperforms a state‐of‐the‐art reference (Nafion‐N211: 1.73 V and 1.5 vol% at 3 A cm</w:t>
      </w:r>
      <w:r>
        <w:t xml:space="preserve"> </w:t>
      </w:r>
      <w:r>
        <w:t>−2</w:t>
      </w:r>
      <w:r>
        <w:t xml:space="preserve"> </w:t>
      </w:r>
      <w:r>
        <w:t>).</w:t>
      </w:r>
    </w:p>
    <w:p>
      <w:pPr>
        <w:spacing w:before="120" w:after="120"/>
      </w:pPr>
      <w:r>
        <w:rPr>
          <w:sz w:val="18"/>
        </w:rPr>
        <w:t>——————————————————————————————————————————————————————————————————————</w:t>
      </w:r>
    </w:p>
    <w:p>
      <w:pPr>
        <w:spacing w:before="160" w:after="40" w:line="240" w:lineRule="auto"/>
      </w:pPr>
      <w:r>
        <w:rPr>
          <w:b/>
        </w:rPr>
        <w:t xml:space="preserve">[423] </w:t>
      </w:r>
      <w:hyperlink r:id="rId648">
        <w:r>
          <w:rPr>
            <w:color w:val="1155CC"/>
            <w:u w:val="single"/>
          </w:rPr>
          <w:t>扩大DNA字母表的扩展给纳米结构增加了一个先前未知的维度</w:t>
        </w:r>
      </w:hyperlink>
    </w:p>
    <w:p>
      <w:pPr>
        <w:spacing w:before="0" w:after="80"/>
      </w:pPr>
      <w:r>
        <w:rPr>
          <w:i/>
          <w:sz w:val="20"/>
        </w:rPr>
        <w:t>EN: Expanding DNA alphabet adds a previously unknown dimension to nanostructures</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49">
        <w:r>
          <w:rPr>
            <w:color w:val="1155CC"/>
            <w:u w:val="single"/>
          </w:rPr>
          <w:t>10.1126/sciadv.aeb6713</w:t>
        </w:r>
      </w:hyperlink>
    </w:p>
    <w:p>
      <w:pPr>
        <w:spacing w:before="0" w:after="120"/>
      </w:pPr>
      <w:r>
        <w:rPr>
          <w:b/>
        </w:rPr>
        <w:t xml:space="preserve">Notes: </w:t>
      </w:r>
      <w:r>
        <w:t>abstract_source=pubmed</w:t>
      </w:r>
    </w:p>
    <w:p>
      <w:pPr>
        <w:spacing w:before="0" w:after="80" w:lineRule="auto" w:line="276"/>
      </w:pPr>
      <w:r>
        <w:rPr>
          <w:b/>
        </w:rPr>
        <w:t xml:space="preserve">摘要（ZH）: </w:t>
      </w:r>
      <w:r>
        <w:t>DNA纳米技术创造了非常复杂的纳米结构。然而,随着纳米结构的日益扩大和日益复杂,它们的产量和质量都越来越难以获得。因此,将字母表扩展到甘金基对子之外可能是将技术推向下一个层次的关键。在这里,我们描述了从“人为传动基因信息系统(AEGIS)”建立起来的DNA纳米结构的例子。由于AEGIS使用与DNA相同的脊椎,设计DNA纳米结构的现有规则可以很容易地适用于AEGIS纳米结构,这些结构也显示出更大的稳定性,包括热和酶,对自主组装的更大控制,以及良好的阶段分离。AEGIS可以拥有多达12个不同的单元和6个单元。</w:t>
      </w:r>
    </w:p>
    <w:p>
      <w:pPr>
        <w:spacing w:before="0" w:after="200" w:lineRule="auto" w:line="276"/>
      </w:pPr>
      <w:r>
        <w:rPr>
          <w:b/>
        </w:rPr>
        <w:t xml:space="preserve">Abstract (EN): </w:t>
      </w:r>
      <w:r>
        <w:t>DNA nanotechnology has created nanostructures with astonishing complexity. However, with nanostructures becoming increasingly larger and more intricate, they have become more difficult to obtain in high yields and quality. Expanding the alphabet beyond the canonical base pairs can therefore be the key to push the technology to the next level. Here, we describe examples of DNA nanostructures built from an "anthropogenic evolvable genetic information system (AEGIS)." Because AEGIS uses the same backbone as DNA, the existing rules for designing DNA nanostructures can be readily applied to AEGIS nanostructures, which also show greater stability, both thermal and enzymatic, greater control over autonomous assembly, and good phase separation. AEGIS can have as many as 12 different units and six different pairs with Watson-Crick-Franklin geometry. Thus, if further developed, then these nanostructures may represent a previously unexplored frontier in DNA nanoscience and nanotechnology, expanding the space of "soft" biomaterial design.</w:t>
      </w:r>
    </w:p>
    <w:p>
      <w:pPr>
        <w:spacing w:before="120" w:after="120"/>
      </w:pPr>
      <w:r>
        <w:rPr>
          <w:sz w:val="18"/>
        </w:rPr>
        <w:t>——————————————————————————————————————————————————————————————————————</w:t>
      </w:r>
    </w:p>
    <w:p>
      <w:pPr>
        <w:spacing w:before="160" w:after="40" w:line="240" w:lineRule="auto"/>
      </w:pPr>
      <w:r>
        <w:rPr>
          <w:b/>
        </w:rPr>
        <w:t xml:space="preserve">[424] </w:t>
      </w:r>
      <w:hyperlink r:id="rId650">
        <w:r>
          <w:rPr>
            <w:color w:val="1155CC"/>
            <w:u w:val="single"/>
          </w:rPr>
          <w:t>量化人类大脑的压缩</w:t>
        </w:r>
      </w:hyperlink>
    </w:p>
    <w:p>
      <w:pPr>
        <w:spacing w:before="0" w:after="80"/>
      </w:pPr>
      <w:r>
        <w:rPr>
          <w:i/>
          <w:sz w:val="20"/>
        </w:rPr>
        <w:t>EN: Quantifying the compressibility of the human brain</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51">
        <w:r>
          <w:rPr>
            <w:color w:val="1155CC"/>
            <w:u w:val="single"/>
          </w:rPr>
          <w:t>10.1073/pnas.2531115123</w:t>
        </w:r>
      </w:hyperlink>
    </w:p>
    <w:p>
      <w:pPr>
        <w:spacing w:before="0" w:after="120"/>
      </w:pPr>
      <w:r>
        <w:rPr>
          <w:b/>
        </w:rPr>
        <w:t xml:space="preserve">Notes: </w:t>
      </w:r>
      <w:r>
        <w:t>abstract_source=pubmed</w:t>
      </w:r>
    </w:p>
    <w:p>
      <w:pPr>
        <w:spacing w:before="0" w:after="80" w:lineRule="auto" w:line="276"/>
      </w:pPr>
      <w:r>
        <w:rPr>
          <w:b/>
        </w:rPr>
        <w:t xml:space="preserve">摘要（ZH）: </w:t>
      </w:r>
      <w:r>
        <w:t>在人类大脑中,允许的活动模式受到大脑区域之间相互关系的限制。然而,仍然不清楚预测大规模神经活动需要哪些相关关系和需要多少相关关系来预测大规模神经活动。在这里,我们提出了一个信息理论框架,以确定最重要的相关关系,以提供最准确的神经状态预测。我们运用我们框架来预测人类的皮质活动,我们发现活动差异的绝大多数是由少数相关关系来解释的。这意味着大脑高度压缩:预测大规模活动只需要一个稀少的关联网络。我们发现,这种压缩在不同的个人和认知任务之间是十分一致的,而且,反直觉的也是十分一致的。</w:t>
      </w:r>
    </w:p>
    <w:p>
      <w:pPr>
        <w:spacing w:before="0" w:after="200" w:lineRule="auto" w:line="276"/>
      </w:pPr>
      <w:r>
        <w:rPr>
          <w:b/>
        </w:rPr>
        <w:t xml:space="preserve">Abstract (EN): </w:t>
      </w:r>
      <w:r>
        <w:t>In the human brain, the allowed patterns of activity are constrained by the correlations between brain regions. Yet it remains unclear which correlations-and how many-are needed to predict large-scale neural activity. Here, we present an information-theoretic framework to identify the most important correlations, which provide the most accurate predictions of neural states. Applying our framework to cortical activity in humans, we find that the vast majority of variance in activity is explained by a small number of correlations. This means that the brain is highly compressible: Only a sparse network of correlations is needed to predict large-scale activity. We find that this compressibility is strikingly consistent across different individuals and cognitive tasks and that, counterintuitively, the most important correlations are not necessarily the strongest. Together, these results suggest that nearly all correlations are not needed to predict neural activity, and we provide the tools to uncover the key correlations that are.</w:t>
      </w:r>
    </w:p>
    <w:p>
      <w:pPr>
        <w:spacing w:before="120" w:after="120"/>
      </w:pPr>
      <w:r>
        <w:rPr>
          <w:sz w:val="18"/>
        </w:rPr>
        <w:t>——————————————————————————————————————————————————————————————————————</w:t>
      </w:r>
    </w:p>
    <w:p>
      <w:pPr>
        <w:spacing w:before="160" w:after="40" w:line="240" w:lineRule="auto"/>
      </w:pPr>
      <w:r>
        <w:rPr>
          <w:b/>
        </w:rPr>
        <w:t xml:space="preserve">[425] </w:t>
      </w:r>
      <w:hyperlink r:id="rId652">
        <w:r>
          <w:rPr>
            <w:color w:val="1155CC"/>
            <w:u w:val="single"/>
          </w:rPr>
          <w:t>来自能够切开Xylan的Gloeophyphillum trabeum的单体外皮类蛋白蛋白蛋白质</w:t>
        </w:r>
      </w:hyperlink>
    </w:p>
    <w:p>
      <w:pPr>
        <w:spacing w:before="0" w:after="80"/>
      </w:pPr>
      <w:r>
        <w:rPr>
          <w:i/>
          <w:sz w:val="20"/>
        </w:rPr>
        <w:t>EN: A single-domain expansin-like protein from Gloeophyllum trabeum able to cleave xylan</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53">
        <w:r>
          <w:rPr>
            <w:color w:val="1155CC"/>
            <w:u w:val="single"/>
          </w:rPr>
          <w:t>10.1073/pnas.2528599123</w:t>
        </w:r>
      </w:hyperlink>
    </w:p>
    <w:p>
      <w:pPr>
        <w:spacing w:before="0" w:after="120"/>
      </w:pPr>
      <w:r>
        <w:rPr>
          <w:b/>
        </w:rPr>
        <w:t xml:space="preserve">Notes: </w:t>
      </w:r>
      <w:r>
        <w:t>abstract_source=pubmed</w:t>
      </w:r>
    </w:p>
    <w:p>
      <w:pPr>
        <w:spacing w:before="0" w:after="80" w:lineRule="auto" w:line="276"/>
      </w:pPr>
      <w:r>
        <w:rPr>
          <w:b/>
        </w:rPr>
        <w:t xml:space="preserve">摘要（ZH）: </w:t>
      </w:r>
      <w:r>
        <w:t>与Expansin有关的蛋白质(ERPs)是一大批植物细胞壁麻花蛋白,被认为是非催化性的,因为迄今为止,尽管存在类似于GH45内分泌酶催化领域的域,但催化还没有发现任何细胞壁衍生产品,尽管存在类似于GH45内分泌酶的催化领域。这里,我们报告一个单体体ERP(GtEXPN_133317)的催化活动,即来自棕色色真菌Gloeophillum trabeum的催化活动,在原始殖民化的早期阶段表现非常明显。 我们展示了以酶为依附的Xylan衍生产品的形成,例如,使用高性能的反离子交换色谱与脉冲抗光测量检测。基于结构的ERPs与G45内分泌酶的多序列对齐。</w:t>
      </w:r>
    </w:p>
    <w:p>
      <w:pPr>
        <w:spacing w:before="0" w:after="200" w:lineRule="auto" w:line="276"/>
      </w:pPr>
      <w:r>
        <w:rPr>
          <w:b/>
        </w:rPr>
        <w:t xml:space="preserve">Abstract (EN): </w:t>
      </w:r>
      <w:r>
        <w:t>Expansin-related proteins (ERPs) are a broad group of plant cell wall-loosening proteins and are considered noncatalytic, as, to date, no cell wall-derived products have been observed as a result of catalysis, despite the presence of a domain that resembles the catalytic domains of GH45 endoglucanases. Here, we report catalytic activity for a single-domain ERP, GtEXPN_133317, from the brown-rot fungus Gloeophyllum trabeum, which is highly expressed in the early phase of spruce colonization. We demonstrate enzyme-dependent formation of xylan-derived products, such as glucuronylated xylo-oligosaccharides, using high-performance anion exchange chromatography with pulsed amperometric detection. Structure-based multiple sequence alignment of ERPs with GH45 endoglucanases showed that, next to a single conserved aspartate (Asp87 in GtEXPN_133317) present in all ERPs and GH45s, fungal ERPs contain a second conserved acidic residue (Asp25 in GtEXPN_133317). Mutation of these two conserved amino acids, Asp87 and Asp25, led to a nearly complete loss of xylanolytic activity. While these findings do not exclude the possibility of a noncatalytic plant cell wall-loosening mechanism, they show that ERPs likely have other modes of action besides what the current paradigm states.</w:t>
      </w:r>
    </w:p>
    <w:p>
      <w:pPr>
        <w:spacing w:before="120" w:after="120"/>
      </w:pPr>
      <w:r>
        <w:rPr>
          <w:sz w:val="18"/>
        </w:rPr>
        <w:t>——————————————————————————————————————————————————————————————————————</w:t>
      </w:r>
    </w:p>
    <w:p>
      <w:pPr>
        <w:spacing w:before="160" w:after="40" w:line="240" w:lineRule="auto"/>
      </w:pPr>
      <w:r>
        <w:rPr>
          <w:b/>
        </w:rPr>
        <w:t xml:space="preserve">[426] </w:t>
      </w:r>
      <w:hyperlink r:id="rId654">
        <w:r>
          <w:rPr>
            <w:color w:val="1155CC"/>
            <w:u w:val="single"/>
          </w:rPr>
          <w:t>范德华反硫酸硫酸铁内部的新兴铁磁和异常的不可逆磁力</w:t>
        </w:r>
      </w:hyperlink>
    </w:p>
    <w:p>
      <w:pPr>
        <w:spacing w:before="0" w:after="80"/>
      </w:pPr>
      <w:r>
        <w:rPr>
          <w:i/>
          <w:sz w:val="20"/>
        </w:rPr>
        <w:t>EN: Emergent ferromagnetism and unusual irreversible magnetoresistance in an intercalated van der Waals antiferromagnet</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55">
        <w:r>
          <w:rPr>
            <w:color w:val="1155CC"/>
            <w:u w:val="single"/>
          </w:rPr>
          <w:t>10.1073/pnas.2527293123</w:t>
        </w:r>
      </w:hyperlink>
    </w:p>
    <w:p>
      <w:pPr>
        <w:spacing w:before="0" w:after="120"/>
      </w:pPr>
      <w:r>
        <w:rPr>
          <w:b/>
        </w:rPr>
        <w:t xml:space="preserve">Notes: </w:t>
      </w:r>
      <w:r>
        <w:t>abstract_source=pubmed</w:t>
      </w:r>
    </w:p>
    <w:p>
      <w:pPr>
        <w:spacing w:before="0" w:after="80" w:lineRule="auto" w:line="276"/>
      </w:pPr>
      <w:r>
        <w:rPr>
          <w:b/>
        </w:rPr>
        <w:t xml:space="preserve">摘要（ZH）: </w:t>
      </w:r>
      <w:r>
        <w:t>最近,由于磁性行为丰富,加上其非凡的电子、振动和极光性等特性,CRCSBR最近引起了许多研究兴趣。在这里,我们报告一种可靠的电化学间化方法,将大型四丁离子(TBA+)插入CRCSBR层。从磁学上看,这种相互放大有效抑制了机构间的AFM,并诱发一种铁磁性(FM)秩序,其过渡温度大大增强,最高可达200K,比Pristine CRCSBR中132K的AFTM起始点高出近70K。 电子学上,TBA+相互放大不仅提高了CRCSBR的电导力,而且受到磁场的进一步加强,还引入了巨大的负不可逆转的大型巨型巨型巨型巨型巨型巨型巨型巨型巨型巨型巨型巨型巨型巨型巨型巨型巨型反磁巨型巨型巨型巨型</w:t>
      </w:r>
    </w:p>
    <w:p>
      <w:pPr>
        <w:spacing w:before="0" w:after="200" w:lineRule="auto" w:line="276"/>
      </w:pPr>
      <w:r>
        <w:rPr>
          <w:b/>
        </w:rPr>
        <w:t xml:space="preserve">Abstract (EN): </w:t>
      </w:r>
      <w:r>
        <w:t>Orthorhombic air-stable two-dimensional (2D) antiferromagnet (AFM) CrSBr has attracted much research interest lately thanks to its rich magnetic behaviors together with its remarkable electronic, excitonic, and polaritonic properties. Here, we report a reliable electrochemical intercalation method by inserting large tetrabutylammonium (TBA+) ions into CrSBr layers. Magnetically, such intercalation efficiently suppresses the interlayer AFM and induces a ferromagnetic (FM) order with a much-enhanced transition temperature up to 200 K, nearly 70 K higher than the AFM onset of 132 K in pristine CrSBr. Electronically, the TBA+ intercalation not only increases the electric conductivity of CrSBr, which is further enhanced by magnetic fields, but also introduces a giant negative irreversible magnetoresistance. This work demonstrates the tunable magnetic and electronic properties of CrSBr as well as their interplay, paving the way for advanced spintronic and magnetic memory devices.</w:t>
      </w:r>
    </w:p>
    <w:p>
      <w:pPr>
        <w:spacing w:before="120" w:after="120"/>
      </w:pPr>
      <w:r>
        <w:rPr>
          <w:sz w:val="18"/>
        </w:rPr>
        <w:t>——————————————————————————————————————————————————————————————————————</w:t>
      </w:r>
    </w:p>
    <w:p>
      <w:pPr>
        <w:spacing w:before="160" w:after="40" w:line="240" w:lineRule="auto"/>
      </w:pPr>
      <w:r>
        <w:rPr>
          <w:b/>
        </w:rPr>
        <w:t xml:space="preserve">[427] </w:t>
      </w:r>
      <w:hyperlink r:id="rId656">
        <w:r>
          <w:rPr>
            <w:color w:val="1155CC"/>
            <w:u w:val="single"/>
          </w:rPr>
          <w:t>以生物合成物为基细胞虫巴卡米氏菌中一种依赖科巴拉姆的激进S-denosylmethionine酶进行迭代甲基化的结构基础</w:t>
        </w:r>
      </w:hyperlink>
    </w:p>
    <w:p>
      <w:pPr>
        <w:spacing w:before="0" w:after="80"/>
      </w:pPr>
      <w:r>
        <w:rPr>
          <w:i/>
          <w:sz w:val="20"/>
        </w:rPr>
        <w:t>EN: Structural basis for iterative methylation by a cobalamin-dependent radical S-adenosylmethionine enzyme in cystobactamids biosynthesis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57">
        <w:r>
          <w:rPr>
            <w:color w:val="1155CC"/>
            <w:u w:val="single"/>
          </w:rPr>
          <w:t>10.1073/pnas.2527019123</w:t>
        </w:r>
      </w:hyperlink>
    </w:p>
    <w:p>
      <w:pPr>
        <w:spacing w:before="0" w:after="120"/>
      </w:pPr>
      <w:r>
        <w:rPr>
          <w:b/>
        </w:rPr>
        <w:t xml:space="preserve">Notes: </w:t>
      </w:r>
      <w:r>
        <w:t>abstract_source=pubmed</w:t>
      </w:r>
    </w:p>
    <w:p>
      <w:pPr>
        <w:spacing w:before="0" w:after="80" w:lineRule="auto" w:line="276"/>
      </w:pPr>
      <w:r>
        <w:rPr>
          <w:b/>
        </w:rPr>
        <w:t xml:space="preserve">摘要（ZH）: </w:t>
      </w:r>
      <w:r>
        <w:t>Cystopactamids是非血清类天然产品,具有DNA凝糖酶抑制剂的作用,表现出重要的抗菌活性活动,它们与Cbv34菌菌菌活体ST.Cbv34分离,并含有各种亚氧基组,它们被认为在抗菌功能中起着关键作用。亚氧基组系是由科巴林(Cbl)依赖的激进S-Ademethionine(SAM)酶基S-Adynosymethionine(SAM)酶S-Ayyss-S.CysS 催化作用高达3个甲基以给乙氧基、异氧基、二丁氧基和三丁氧基组。对于每种甲基化,CysS都使用一种-海绵机制,其中消耗两个SAM分子。一种SAM用于甲基代 Cob(I)Tlamin,而另一种可产生5'dexyl 5's-radic 5's 启动苏安基。</w:t>
      </w:r>
    </w:p>
    <w:p>
      <w:pPr>
        <w:spacing w:before="0" w:after="200" w:lineRule="auto" w:line="276"/>
      </w:pPr>
      <w:r>
        <w:rPr>
          <w:b/>
        </w:rPr>
        <w:t xml:space="preserve">Abstract (EN): </w:t>
      </w:r>
      <w:r>
        <w:t>Cystobactamids are nonribosomal peptide natural products that function as DNA gyrase inhibitors, exhibiting significant antibacterial activity. They are isolated from Cystobacter sp. Cbv34 and contain various alkoxy groups on para-aminobenzoic acid moieties, which are believed to play a crucial role in antibacterial functions. The alkoxy groups are generated by iterative methylations on a methoxy group by the cobalamin (Cbl)-dependent radical S-adenosylmethionine (SAM) enzyme CysS. CysS catalyzes up to three methylations to give ethoxy, isopropoxy, sec-butoxy, and tert-butoxy groups. For each methylation, CysS uses a ping-pong mechanism in which two molecules of SAM are consumed. One SAM is used to methylate cob(I)alamin, while another generates a 5'-deoxyadenosyl 5'-radical to initiate substrate methylation. However, little is known about how the enzyme promotes both Cbl methylation and iterative substrate methylation, which occur by polar SN2 and radical processes, respectively. Here, we report three X-ray crystal structures of a homolog of CysS from Corallococcus sp. CA054B. Two were determined in the presence of methoxy- and ethoxy-containing substrates, showing how CysS accommodates substrates and products during iterative methylation. The third structure, determined in the absence of a substrate, exhibits structural changes that reorient the SAM's conformation to allow for the methylation of cob(I)alamin.</w:t>
      </w:r>
    </w:p>
    <w:p>
      <w:pPr>
        <w:spacing w:before="120" w:after="120"/>
      </w:pPr>
      <w:r>
        <w:rPr>
          <w:sz w:val="18"/>
        </w:rPr>
        <w:t>——————————————————————————————————————————————————————————————————————</w:t>
      </w:r>
    </w:p>
    <w:p>
      <w:pPr>
        <w:spacing w:before="160" w:after="40" w:line="240" w:lineRule="auto"/>
      </w:pPr>
      <w:r>
        <w:rPr>
          <w:b/>
        </w:rPr>
        <w:t xml:space="preserve">[428] </w:t>
      </w:r>
      <w:hyperlink r:id="rId658">
        <w:r>
          <w:rPr>
            <w:color w:val="1155CC"/>
            <w:u w:val="single"/>
          </w:rPr>
          <w:t>α-2-含硫酯蛋白蛋白的分子球蛋白功能,通过两种免疫诱发的铅化物从细菌蛋白中保护Drosophia</w:t>
        </w:r>
      </w:hyperlink>
    </w:p>
    <w:p>
      <w:pPr>
        <w:spacing w:before="0" w:after="80"/>
      </w:pPr>
      <w:r>
        <w:rPr>
          <w:i/>
          <w:sz w:val="20"/>
        </w:rPr>
        <w:t>EN: α2-macroglobulin function of thioester-containing proteins guards Drosophila from a bacterial protease via two immune-induced peptides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59">
        <w:r>
          <w:rPr>
            <w:color w:val="1155CC"/>
            <w:u w:val="single"/>
          </w:rPr>
          <w:t>10.1073/pnas.2525580123</w:t>
        </w:r>
      </w:hyperlink>
    </w:p>
    <w:p>
      <w:pPr>
        <w:spacing w:before="0" w:after="120"/>
      </w:pPr>
      <w:r>
        <w:rPr>
          <w:b/>
        </w:rPr>
        <w:t xml:space="preserve">Notes: </w:t>
      </w:r>
      <w:r>
        <w:t>abstract_source=pubmed</w:t>
      </w:r>
    </w:p>
    <w:p>
      <w:pPr>
        <w:spacing w:before="0" w:after="80" w:lineRule="auto" w:line="276"/>
      </w:pPr>
      <w:r>
        <w:rPr>
          <w:b/>
        </w:rPr>
        <w:t xml:space="preserve">摘要（ZH）: </w:t>
      </w:r>
      <w:r>
        <w:t>RNASeq对Droosphila基因组的分析进一步揭示了免疫诱发基因。 最初以 IncRNAs 、 CG44404(yulü) 和 CG45045(shenshu) 标记的两种基因受到强烈诱导。 我们在此报告,这两种基因实际上编码了在Drosophilla物种的Sophophora 亚基因中发现的高度相关的秘密peptides。 我们产生了这些地方的单一和双重无效变异体,并发现双变种线没有表现出对细菌和真菌病原体(Pseudomonas aeruginosa除外)的免疫挑战的任何更大易感性。 我们没有观察到在yul-shenshu变异体中P. eruguinosa 的负担有任何增加, 这表明两种peptites可能不需要来抵抗感染。 相反,我们发现这两种变异种没有提供一定程度的保护。</w:t>
      </w:r>
    </w:p>
    <w:p>
      <w:pPr>
        <w:spacing w:before="0" w:after="200" w:lineRule="auto" w:line="276"/>
      </w:pPr>
      <w:r>
        <w:rPr>
          <w:b/>
        </w:rPr>
        <w:t xml:space="preserve">Abstract (EN): </w:t>
      </w:r>
      <w:r>
        <w:t>RNAseq analysis of the Drosophila genome has revealed further immune-induced genes. Two genes initially annotated as lncRNAs, CG44404(yulü) and CG45045(shenshu), are strongly induced. We report here that these two genes actually encode highly related secreted peptides found in the Sophophora subgenus of Drosophila species. We have generated single and double null mutants of these loci and found that the double mutant line did not display any enhanced susceptibility to an immune challenge with a panel of bacterial and fungal pathogens, except for Pseudomonas aeruginosa. We did not observe any increased P. aeruginosa burden in yulü-shenshu mutants, suggesting that the two peptides may not be required for resistance to infection. Rather, we find that they provide a level of protection against Outer Membrane Vesicles (OMVs) purified from either P. aeruginosa or Serratia marcescens culture supernatants. We have recently reported that S. marcescens OMVs induce the paralysis of flies through the induction of apoptosis in at least some neurons. Much of the virulence of these OMVs is mediated by the metalloprotease PrtA. While Yulü/Shenshu do not display any protease inhibition activity, the detection of an association between Yulü and the Drosophila complement thioester-containing protein 2 (Tep2) led to the finding that both Tep2 and Tep4 mutants are sensitive to the injection of PrtA while their overexpression significantly protects wild-type flies from the effects of this protease. Both Tep2 and Tep4 are able to inhibit the activity of PrtA in a thioester- and yulü/shenshu-dependent manner. Thus, these Teps may also function as α2-macroglobulins.</w:t>
      </w:r>
    </w:p>
    <w:p>
      <w:pPr>
        <w:spacing w:before="120" w:after="120"/>
      </w:pPr>
      <w:r>
        <w:rPr>
          <w:sz w:val="18"/>
        </w:rPr>
        <w:t>——————————————————————————————————————————————————————————————————————</w:t>
      </w:r>
    </w:p>
    <w:p>
      <w:pPr>
        <w:spacing w:before="160" w:after="40" w:line="240" w:lineRule="auto"/>
      </w:pPr>
      <w:r>
        <w:rPr>
          <w:b/>
        </w:rPr>
        <w:t xml:space="preserve">[429] </w:t>
      </w:r>
      <w:hyperlink r:id="rId660">
        <w:r>
          <w:rPr>
            <w:color w:val="1155CC"/>
            <w:u w:val="single"/>
          </w:rPr>
          <w:t>细胞外细胞目标蛋白降解工具箱</w:t>
        </w:r>
      </w:hyperlink>
    </w:p>
    <w:p>
      <w:pPr>
        <w:spacing w:before="0" w:after="80"/>
      </w:pPr>
      <w:r>
        <w:rPr>
          <w:i/>
          <w:sz w:val="20"/>
        </w:rPr>
        <w:t>EN: A cytokine receptor–targeting chimera toolbox for expanding extracellular targeted protein degradation</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61">
        <w:r>
          <w:rPr>
            <w:color w:val="1155CC"/>
            <w:u w:val="single"/>
          </w:rPr>
          <w:t>10.1073/pnas.2524129123</w:t>
        </w:r>
      </w:hyperlink>
    </w:p>
    <w:p>
      <w:pPr>
        <w:spacing w:before="0" w:after="120"/>
      </w:pPr>
      <w:r>
        <w:rPr>
          <w:b/>
        </w:rPr>
        <w:t xml:space="preserve">Notes: </w:t>
      </w:r>
      <w:r>
        <w:t>abstract_source=pubmed</w:t>
      </w:r>
    </w:p>
    <w:p>
      <w:pPr>
        <w:spacing w:before="0" w:after="80" w:lineRule="auto" w:line="276"/>
      </w:pPr>
      <w:r>
        <w:rPr>
          <w:b/>
        </w:rPr>
        <w:t xml:space="preserve">摘要（ZH）: </w:t>
      </w:r>
      <w:r>
        <w:t>外细胞目标蛋白降解(eTPD)是操纵外细胞蛋白质的一个新的重要新模式,然而,大多数eTPD受体的表达面很广,或仅限于肝脏,限制其他组织的特定降解。Cytokine受体瞄准的cimeras(kineTACs)是eTPD的基因编码双项特质,它将像CXCL12这样的天然离子和CXCL12等天然离子结合到抗体,利用广泛表达的化学受体CXCR7(K.Pance等人,Nat.Biotechnol. 41,273-281(2023)),引导溶胶或膜蛋白蛋白进行淋巴降解,使用广泛表达的化学受体CXCRCR7(K.Pance等人,Nat.Biotechnol. 41,273-281(2023)) 。在这里,我们大幅扩展了运动TAC工具箱,根据不偏切的细胞、化学和生长因素清单建造81个不同的运动TACs。值得注意,其中55个在适当的分析级别上表示。</w:t>
      </w:r>
    </w:p>
    <w:p>
      <w:pPr>
        <w:spacing w:before="0" w:after="200" w:lineRule="auto" w:line="276"/>
      </w:pPr>
      <w:r>
        <w:rPr>
          <w:b/>
        </w:rPr>
        <w:t xml:space="preserve">Abstract (EN): </w:t>
      </w:r>
      <w:r>
        <w:t>Extracellular targeted protein degradation (eTPD) is an important new modality for manipulating the extracellular proteome. However, most eTPD receptors are expressed broadly or are restricted to the liver, limiting specific degradation in other tissues. Cytokine receptor-targeting chimeras (kineTACs) are genetically encoded bispecifics for eTPD that fuse a natural ligand like CXCL12 to an antibody, directing soluble or membrane proteins for lysosomal degradation using the widely expressed chemokine receptor CXCR7 (K. Pance et al., Nat. Biotechnol. 41, 273-281 (2023)]. Here, we dramatically expand the kineTAC toolbox by constructing 81 different kineTACs based on an unbiased list of cytokines, chemokines, and growth factors. Remarkably, 55 of these expressed at suitable levels for analysis without any optimization. Many of these kineTACs bind receptors that have unique cell-type expression profiles, allowing for eTPD in specific cells and tissues, and some were more potent than the original CXCL12-based kineTAC against specific targets. We further show the internalizing capability of a kineTAC can enhance the performance of antibody drug conjugates. We believe these simple, genetically encoded tools will be useful for expanding the applications for optimized or cell type-selective eTPD.</w:t>
      </w:r>
    </w:p>
    <w:p>
      <w:pPr>
        <w:spacing w:before="120" w:after="120"/>
      </w:pPr>
      <w:r>
        <w:rPr>
          <w:sz w:val="18"/>
        </w:rPr>
        <w:t>——————————————————————————————————————————————————————————————————————</w:t>
      </w:r>
    </w:p>
    <w:p>
      <w:pPr>
        <w:spacing w:before="160" w:after="40" w:line="240" w:lineRule="auto"/>
      </w:pPr>
      <w:r>
        <w:rPr>
          <w:b/>
        </w:rPr>
        <w:t xml:space="preserve">[430] </w:t>
      </w:r>
      <w:hyperlink r:id="rId662">
        <w:r>
          <w:rPr>
            <w:color w:val="1155CC"/>
            <w:u w:val="single"/>
          </w:rPr>
          <w:t>全球土壤盐度增加对无机碳变化的贡献</w:t>
        </w:r>
      </w:hyperlink>
    </w:p>
    <w:p>
      <w:pPr>
        <w:spacing w:before="0" w:after="80"/>
      </w:pPr>
      <w:r>
        <w:rPr>
          <w:i/>
          <w:sz w:val="20"/>
        </w:rPr>
        <w:t>EN: The contribution of increased global soil salinity to changes in inorganic carbon</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63">
        <w:r>
          <w:rPr>
            <w:color w:val="1155CC"/>
            <w:u w:val="single"/>
          </w:rPr>
          <w:t>10.1073/pnas.2522643123</w:t>
        </w:r>
      </w:hyperlink>
    </w:p>
    <w:p>
      <w:pPr>
        <w:spacing w:before="0" w:after="120"/>
      </w:pPr>
      <w:r>
        <w:rPr>
          <w:b/>
        </w:rPr>
        <w:t xml:space="preserve">Notes: </w:t>
      </w:r>
      <w:r>
        <w:t>abstract_source=pubmed</w:t>
      </w:r>
    </w:p>
    <w:p>
      <w:pPr>
        <w:spacing w:before="0" w:after="80" w:lineRule="auto" w:line="276"/>
      </w:pPr>
      <w:r>
        <w:rPr>
          <w:b/>
        </w:rPr>
        <w:t xml:space="preserve">摘要（ZH）: </w:t>
      </w:r>
      <w:r>
        <w:t>土壤盐碱化带来了严重的环境挑战,但全球盐碱化对SIC(土壤无机碳)的影响仍不清楚,使用0至200厘米深度的94 515个样本,加上有助于解决空间异质性的次区域分类(如土壤类型、土地利用、气候、地貌学和土壤质素),我们获得了相对准确的EC(电子传导)和SCIC的全球分布数据。 EC0至40厘米层对大多数分类次区域的SIC产生了积极影响,这可能是由于无机[形式:见文本]吸收受pH和盐度影响的结果。EC80至100厘米层有时由于土壤深度的增加而对SIC产生消极影响。当EC低于4dS/m时,EC往往会积极影响SIC。当EC增加2至4d时,EC往往会积极影响SIC。</w:t>
      </w:r>
    </w:p>
    <w:p>
      <w:pPr>
        <w:spacing w:before="0" w:after="200" w:lineRule="auto" w:line="276"/>
      </w:pPr>
      <w:r>
        <w:rPr>
          <w:b/>
        </w:rPr>
        <w:t xml:space="preserve">Abstract (EN): </w:t>
      </w:r>
      <w:r>
        <w:t>Soil salinization poses a serious environmental challenge, but the impact of global salinity on SIC (Soil Inorganic Carbon) remains unclear. Using 94,515 samples from 0 to 200 cm depth, combined with subregional classification (such as soil type, land use, climate, geomorphology, and soil texture) which helps address spatial heterogeneity, we obtain relatively accurate global distribution data for EC (Electrical Conductivity) and SIC. EC of 0 to 40 cm layer positively influences SIC in most taxonomic subregions, which may be due to the inorganic [Formula: see text] absorption influenced by pH and salinity. EC of 80 to 100 cm layer sometimes negatively influences SIC due to the increase of soil depth. When EC is below 4 dS/m, EC often positively influences SIC. When EC increases by 2 to 4 dS/m, the mean global SIC in 0 to 20, 20 to 40, and 80 to 100 cm layers increases from 66.15, 78.75, and 117.39 to 174.47 to 190.38, 132.76 to 154.98, and 149.14 to 161.37 g/kg, respectively. The increase is relatively high but similar overall, which deserves high attention. These findings elucidate the dynamics of carbon-salt coupling in the soil-atmosphere-water system, offering pivotal scientific insights for carbon-neutrality strategies.</w:t>
      </w:r>
    </w:p>
    <w:p>
      <w:pPr>
        <w:spacing w:before="120" w:after="120"/>
      </w:pPr>
      <w:r>
        <w:rPr>
          <w:sz w:val="18"/>
        </w:rPr>
        <w:t>——————————————————————————————————————————————————————————————————————</w:t>
      </w:r>
    </w:p>
    <w:p>
      <w:pPr>
        <w:spacing w:before="160" w:after="40" w:line="240" w:lineRule="auto"/>
      </w:pPr>
      <w:r>
        <w:rPr>
          <w:b/>
        </w:rPr>
        <w:t xml:space="preserve">[431] </w:t>
      </w:r>
      <w:hyperlink r:id="rId664">
        <w:r>
          <w:rPr>
            <w:color w:val="1155CC"/>
            <w:u w:val="single"/>
          </w:rPr>
          <w:t>反常粒子到波浪相似的孔洞交叉导致Tl2AgI3的超低热传导率。</w:t>
        </w:r>
      </w:hyperlink>
    </w:p>
    <w:p>
      <w:pPr>
        <w:spacing w:before="0" w:after="80"/>
      </w:pPr>
      <w:r>
        <w:rPr>
          <w:i/>
          <w:sz w:val="20"/>
        </w:rPr>
        <w:t>EN: Anharmonicity driven unusual particle-to-wave-like phonon crossover leads to ultralow thermal conductivity in Tl2AgI3</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65">
        <w:r>
          <w:rPr>
            <w:color w:val="1155CC"/>
            <w:u w:val="single"/>
          </w:rPr>
          <w:t>10.1073/pnas.2521353123</w:t>
        </w:r>
      </w:hyperlink>
    </w:p>
    <w:p>
      <w:pPr>
        <w:spacing w:before="0" w:after="120"/>
      </w:pPr>
      <w:r>
        <w:rPr>
          <w:b/>
        </w:rPr>
        <w:t xml:space="preserve">Notes: </w:t>
      </w:r>
      <w:r>
        <w:t>abstract_source=pubmed</w:t>
      </w:r>
    </w:p>
    <w:p>
      <w:pPr>
        <w:spacing w:before="0" w:after="80" w:lineRule="auto" w:line="276"/>
      </w:pPr>
      <w:r>
        <w:rPr>
          <w:b/>
        </w:rPr>
        <w:t xml:space="preserve">摘要（ZH）: </w:t>
      </w:r>
      <w:r>
        <w:t>将异乎寻常的粒子到波浪的交叉交接在磷的运输中实现,并了解其基本结构来源,可以指导具有超低热传导性的材料的设计。在这里,我们报告这种从粒子类磷传播到波状的交叉,与零维(0D)金属卤化物(Tl2AgI3)中不断升高的温度相匹配,Tl2AgI3,由离散(Tl6I)5+和(Ag3I8)5子单元组成,结构显示了由保林的第三项规则所规范的内含性不稳定性,在规则下,多冰河驱动器的面面面合式冷却反射法导致当地对Ag原子的扭曲,这得到了同步器X-PDF)双射线分布功能的分析和乙基分子动力学的模拟(AIMD)的证实。</w:t>
      </w:r>
    </w:p>
    <w:p>
      <w:pPr>
        <w:spacing w:before="0" w:after="200" w:lineRule="auto" w:line="276"/>
      </w:pPr>
      <w:r>
        <w:rPr>
          <w:b/>
        </w:rPr>
        <w:t xml:space="preserve">Abstract (EN): </w:t>
      </w:r>
      <w:r>
        <w:t>Realization of unusual particle-to-wave-like crossover in phonon transport and understanding its fundamental structural origin can guide the design of materials with ultralow thermal conductivity. Here, we report such a crossover from particle-like phonon propagation to wave-like coherence with increasing temperature in the zero-dimensional (0D) metal halide, Tl2AgI3. Composed of discrete (Tl6I)5+ and (Ag3I8)5- subunits, the structure exhibits intrinsic lattice instability governed by Pauling's third rule where face-sharing of polyhedra drives Coulombic cationic repulsion causing local distortion of Ag atoms, as confirmed by synchrotron X-ray pair distribution function (X-PDF) analysis and ab initio molecular dynamics (AIMD) simulations. Anharmonic low-energy rattling of Tl is evidenced within the (Tl6I)5+ framework. These structural disorders generate low-frequency localized and anharmonic optical phonons that hybridize with acoustic branches, strongly suppressing lattice thermal conductivity ([Formula: see text]). Consequently, [Formula: see text] drops to ~0.18 W/m.K at 125 K and remains nearly temperature independent, signaling a breakdown of the phonon-gas model, attributed to phonon localization and wave-like coherence, modeled using the linearized Wigner transport equation (LWTE). The phonon localization in the 0D crystal structure results in a crossover from populations conductivity ([Formula: see text]) associated with particle-like phonon propagation to coherence conductivity ([Formula: see text]) through wave-like tunneling, at 175 K. Our study reveals 0D structural confinement along with anharmonic local structural dynamics can enable particle-to-wave-like phonon crossover, establishing a pathway to mixed phononic regimes and suppressed thermal transport.</w:t>
      </w:r>
    </w:p>
    <w:p>
      <w:pPr>
        <w:spacing w:before="120" w:after="120"/>
      </w:pPr>
      <w:r>
        <w:rPr>
          <w:sz w:val="18"/>
        </w:rPr>
        <w:t>——————————————————————————————————————————————————————————————————————</w:t>
      </w:r>
    </w:p>
    <w:p>
      <w:pPr>
        <w:spacing w:before="160" w:after="40" w:line="240" w:lineRule="auto"/>
      </w:pPr>
      <w:r>
        <w:rPr>
          <w:b/>
        </w:rPr>
        <w:t xml:space="preserve">[432] </w:t>
      </w:r>
      <w:hyperlink r:id="rId666">
        <w:r>
          <w:rPr>
            <w:color w:val="1155CC"/>
            <w:u w:val="single"/>
          </w:rPr>
          <w:t>薄膜环桥状桥状脂肪转移蛋白的脂肪吸收分子机制</w:t>
        </w:r>
      </w:hyperlink>
    </w:p>
    <w:p>
      <w:pPr>
        <w:spacing w:before="0" w:after="80"/>
      </w:pPr>
      <w:r>
        <w:rPr>
          <w:i/>
          <w:sz w:val="20"/>
        </w:rPr>
        <w:t>EN: The molecular mechanism of lipid uptake by membrane-anchored bridge-like lipid transfer proteins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67">
        <w:r>
          <w:rPr>
            <w:color w:val="1155CC"/>
            <w:u w:val="single"/>
          </w:rPr>
          <w:t>10.1073/pnas.2520399123</w:t>
        </w:r>
      </w:hyperlink>
    </w:p>
    <w:p>
      <w:pPr>
        <w:spacing w:before="0" w:after="120"/>
      </w:pPr>
      <w:r>
        <w:rPr>
          <w:b/>
        </w:rPr>
        <w:t xml:space="preserve">Notes: </w:t>
      </w:r>
      <w:r>
        <w:t>abstract_source=pubmed</w:t>
      </w:r>
    </w:p>
    <w:p>
      <w:pPr>
        <w:spacing w:before="0" w:after="80" w:lineRule="auto" w:line="276"/>
      </w:pPr>
      <w:r>
        <w:rPr>
          <w:b/>
        </w:rPr>
        <w:t xml:space="preserve">摘要（ZH）: </w:t>
      </w:r>
      <w:r>
        <w:t>在生理和病理条件下,通过类似桥梁的脂质转移蛋白(BLTPs)进行利皮传输正在成为脂肪和细胞新陈代谢的关键过程,但在生理和病理条件下,BLTPs的脂肪传输精确机制仍然难以捉摸。在这里,我们使用广泛的全原子分子动态模拟来描述从捐赠者膜膜中将脂肪转移到BLTP的疏水性干燥性干燥性干燥性干燥性干燥性干燥性的确切机制。 对于多个BLTPs来说,我们观察到在不选择脂质的情况下提取和溶解脂性干脂的能力,并且我们确定膜的不稳定性是实现有效脂肪脱吸的关键参数。我们合理地设计了一种变异性BLTP,能够破坏脂肪两层的稳定性,我们证明这可以消除硅和蛋白质的脂肪吸附着性。</w:t>
      </w:r>
    </w:p>
    <w:p>
      <w:pPr>
        <w:spacing w:before="0" w:after="200" w:lineRule="auto" w:line="276"/>
      </w:pPr>
      <w:r>
        <w:rPr>
          <w:b/>
        </w:rPr>
        <w:t xml:space="preserve">Abstract (EN): </w:t>
      </w:r>
      <w:r>
        <w:t>Lipid transport by bridge-like lipid transfer proteins (BLTPs) is emerging as a key process in lipid and cellular metabolism in both physiological and pathological conditions. However, the precise mechanism of lipid transport by BLTPs has remained elusive. Here, we use extensive all-atom molecular dynamics simulations to characterize the precise mechanism of lipid transfer into the BLTP hydrophobic cavity from donor membranes. For multiple BLTPs, we observe the ability to extract and solubilize lipids without lipid selectivity, and we identify membrane destabilization as a critical parameter to achieve effective lipid desorption. We rationally design a mutant BLTP with altered ability to destabilize lipid bilayers, and we show that this abolishes lipid desorption in silico and protein function in vivo. Taken together, our data provide an atomic-level description of the mechanism of lipid transport by BLTPs, ultimately suggesting alternative strategies to interfere with their activity.</w:t>
      </w:r>
    </w:p>
    <w:p>
      <w:pPr>
        <w:spacing w:before="120" w:after="120"/>
      </w:pPr>
      <w:r>
        <w:rPr>
          <w:sz w:val="18"/>
        </w:rPr>
        <w:t>——————————————————————————————————————————————————————————————————————</w:t>
      </w:r>
    </w:p>
    <w:p>
      <w:pPr>
        <w:spacing w:before="160" w:after="40" w:line="240" w:lineRule="auto"/>
      </w:pPr>
      <w:r>
        <w:rPr>
          <w:b/>
        </w:rPr>
        <w:t xml:space="preserve">[433] </w:t>
      </w:r>
      <w:hyperlink r:id="rId668">
        <w:r>
          <w:rPr>
            <w:color w:val="1155CC"/>
            <w:u w:val="single"/>
          </w:rPr>
          <w:t>HDV病毒及其肋膜核克隆蛋白的结构性定性</w:t>
        </w:r>
      </w:hyperlink>
    </w:p>
    <w:p>
      <w:pPr>
        <w:spacing w:before="0" w:after="80"/>
      </w:pPr>
      <w:r>
        <w:rPr>
          <w:i/>
          <w:sz w:val="20"/>
        </w:rPr>
        <w:t>EN: Structural characterization of the HDV virion and its ribonucleoprotein</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69">
        <w:r>
          <w:rPr>
            <w:color w:val="1155CC"/>
            <w:u w:val="single"/>
          </w:rPr>
          <w:t>10.1073/pnas.2519809123</w:t>
        </w:r>
      </w:hyperlink>
    </w:p>
    <w:p>
      <w:pPr>
        <w:spacing w:before="0" w:after="120"/>
      </w:pPr>
      <w:r>
        <w:rPr>
          <w:b/>
        </w:rPr>
        <w:t xml:space="preserve">Notes: </w:t>
      </w:r>
      <w:r>
        <w:t>abstract_source=pubmed</w:t>
      </w:r>
    </w:p>
    <w:p>
      <w:pPr>
        <w:spacing w:before="0" w:after="80" w:lineRule="auto" w:line="276"/>
      </w:pPr>
      <w:r>
        <w:rPr>
          <w:b/>
        </w:rPr>
        <w:t xml:space="preserve">摘要（ZH）: </w:t>
      </w:r>
      <w:r>
        <w:t>乙型肝炎病毒(HDV)是一种小RNA卫星病毒,是乙型肝炎病毒(HBV)的小型RNA卫星病毒,为复制所需的单一蛋白、HDV 德尔塔抗原(HDAg)编码,病毒性复制独立于HBV,主要依赖主机RNA聚合酶。Bulevirtid(病毒进入抑制剂)是唯一经批准的慢性HDV治疗,但作为单一疗法的治愈率较低,大多数病人在停止治疗后反弹。为了实现HDV治疗,可能需要一种抑制剂,针对HDV复制的抑制剂,但HDV源元素的缺乏和对HDV复制的有限了解带来了严重的治疗挑战。了解HDAg和病毒RNA之间的精确互动机制,以及如何在病毒中包装。</w:t>
      </w:r>
    </w:p>
    <w:p>
      <w:pPr>
        <w:spacing w:before="0" w:after="200" w:lineRule="auto" w:line="276"/>
      </w:pPr>
      <w:r>
        <w:rPr>
          <w:b/>
        </w:rPr>
        <w:t xml:space="preserve">Abstract (EN): </w:t>
      </w:r>
      <w:r>
        <w:t>Hepatitis D virus (HDV) is a small RNA satellite virus of hepatitis B virus (HBV) which encodes a single protein, HDV delta antigen (HDAg), that is required for replication. Viral replication occurs independently from HBV and relies primarily on host RNA polymerase(s). Bulevirtide, a viral entry inhibitor, is the only approved treatment for chronic HDV but has a low cure rate as a monotherapy, and most patients rebound following cessation of therapy. It is likely that an inhibitor targeting HDV replication is necessary to achieve HDV cure, but the paucity of HDV-derived elements and limited understanding of HDV replication presents a significant therapeutic challenge. Understanding the precise mechanism of interactions between HDAg and viral RNA, and how it is packaged within the virion can inspire structure-guided drug design targeting replication. Using cryoelectron tomography and single particle cryoelectron microscopy, we present reconstructions of the virion and viral RNPs. We observed multiple binding configurations in vitro that suggest a propensity to arrange four RNA segments around repeating units of HDAg in a ladder-like formation. The oligomerization domains of a homo-octameric HDAg complex are directly involved in RNA binding by utilizing the vertices and sides of its square-shaped architecture to bind RNA in a sequence-promiscuous fashion. Structure-function analysis reveals that these RNA contact sites are important for viral replication and their disruption may be a potential avenue for next-generation antivirals to treat HDV.</w:t>
      </w:r>
    </w:p>
    <w:p>
      <w:pPr>
        <w:spacing w:before="120" w:after="120"/>
      </w:pPr>
      <w:r>
        <w:rPr>
          <w:sz w:val="18"/>
        </w:rPr>
        <w:t>——————————————————————————————————————————————————————————————————————</w:t>
      </w:r>
    </w:p>
    <w:p>
      <w:pPr>
        <w:spacing w:before="160" w:after="40" w:line="240" w:lineRule="auto"/>
      </w:pPr>
      <w:r>
        <w:rPr>
          <w:b/>
        </w:rPr>
        <w:t xml:space="preserve">[434] </w:t>
      </w:r>
      <w:hyperlink r:id="rId670">
        <w:r>
          <w:rPr>
            <w:color w:val="1155CC"/>
            <w:u w:val="single"/>
          </w:rPr>
          <w:t>空间调节的 mRNA 翻译使功能性膜蛋白融入合成细胞</w:t>
        </w:r>
      </w:hyperlink>
    </w:p>
    <w:p>
      <w:pPr>
        <w:spacing w:before="0" w:after="80"/>
      </w:pPr>
      <w:r>
        <w:rPr>
          <w:i/>
          <w:sz w:val="20"/>
        </w:rPr>
        <w:t>EN: Spatially regulated mRNA translation enables functional membrane protein integration in synthetic cells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71">
        <w:r>
          <w:rPr>
            <w:color w:val="1155CC"/>
            <w:u w:val="single"/>
          </w:rPr>
          <w:t>10.1073/pnas.2517323123</w:t>
        </w:r>
      </w:hyperlink>
    </w:p>
    <w:p>
      <w:pPr>
        <w:spacing w:before="0" w:after="120"/>
      </w:pPr>
      <w:r>
        <w:rPr>
          <w:b/>
        </w:rPr>
        <w:t xml:space="preserve">Notes: </w:t>
      </w:r>
      <w:r>
        <w:t>abstract_source=pubmed</w:t>
      </w:r>
    </w:p>
    <w:p>
      <w:pPr>
        <w:spacing w:before="0" w:after="80" w:lineRule="auto" w:line="276"/>
      </w:pPr>
      <w:r>
        <w:rPr>
          <w:b/>
        </w:rPr>
        <w:t xml:space="preserve">摘要（ZH）: </w:t>
      </w:r>
      <w:r>
        <w:t>合成细胞的目的是通过在脂质结构中重组基本细胞过程来模仿生命系统,但是其功能复杂性仍然受到一个关键挑战的制约:通过无细胞方法合成和正确整合疏水膜蛋白,通过无细胞方法实现疏水膜蛋白的合成和正确整合。在这里,在自然细胞的启发下,我们开发了一种空间调节翻译战略,在这种战略中,薄膜-以ancroced mRNAs招募了核素,以驱动将薄膜蛋白质同感地插入脂质双层。这一设计使得多种转基因蛋白能够有效地在大型的单纤维微粒卵蛋白中进行现场合成和整合,支持在膜之间选择性的小型分子迁移。 重要的是,该方法允许对薄膜进行精确的对质控制。</w:t>
      </w:r>
    </w:p>
    <w:p>
      <w:pPr>
        <w:spacing w:before="0" w:after="200" w:lineRule="auto" w:line="276"/>
      </w:pPr>
      <w:r>
        <w:rPr>
          <w:b/>
        </w:rPr>
        <w:t xml:space="preserve">Abstract (EN): </w:t>
      </w:r>
      <w:r>
        <w:t>Synthetic cells aim to emulate living systems by reconstituting essential cellular processes within lipid-bound architectures. However, their functional complexity remains constrained by a key challenge: the synthesis and correct integration of hydrophobic membrane proteins via cell-free approaches. Here, inspired by natural cells, we developed a spatially regulated translation strategy in which membrane-anchored mRNAs recruit ribosomes to drive the cotranslational insertion of membrane proteins into lipid bilayers. This design enables efficient in situ synthesis and integration of multiple transmembrane proteins within giant unilamellar vesicles, supporting selective small-molecule transport across membranes. Importantly, the method allows for precise stoichiometric control of membrane protein composition. Together, this work establishes a minimal yet versatile framework for the direct synthesis and integration of membrane proteins, advancing the construction of functional synthetic cells.</w:t>
      </w:r>
    </w:p>
    <w:p>
      <w:pPr>
        <w:spacing w:before="120" w:after="120"/>
      </w:pPr>
      <w:r>
        <w:rPr>
          <w:sz w:val="18"/>
        </w:rPr>
        <w:t>——————————————————————————————————————————————————————————————————————</w:t>
      </w:r>
    </w:p>
    <w:p>
      <w:pPr>
        <w:spacing w:before="160" w:after="40" w:line="240" w:lineRule="auto"/>
      </w:pPr>
      <w:r>
        <w:rPr>
          <w:b/>
        </w:rPr>
        <w:t xml:space="preserve">[435] </w:t>
      </w:r>
      <w:hyperlink r:id="rId672">
        <w:r>
          <w:rPr>
            <w:color w:val="1155CC"/>
            <w:u w:val="single"/>
          </w:rPr>
          <w:t>1946-1970年出生的3项研究的证据表明:</w:t>
        </w:r>
      </w:hyperlink>
    </w:p>
    <w:p>
      <w:pPr>
        <w:spacing w:before="0" w:after="80"/>
      </w:pPr>
      <w:r>
        <w:rPr>
          <w:i/>
          <w:sz w:val="20"/>
        </w:rPr>
        <w:t>EN: Genetic associations with education have increased and are patterned by socioeconomic context: Evidence from 3 studies born 1946–1970</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73">
        <w:r>
          <w:rPr>
            <w:color w:val="1155CC"/>
            <w:u w:val="single"/>
          </w:rPr>
          <w:t>10.1073/pnas.2516460123</w:t>
        </w:r>
      </w:hyperlink>
    </w:p>
    <w:p>
      <w:pPr>
        <w:spacing w:before="0" w:after="120"/>
      </w:pPr>
      <w:r>
        <w:rPr>
          <w:b/>
        </w:rPr>
        <w:t xml:space="preserve">Notes: </w:t>
      </w:r>
      <w:r>
        <w:t>abstract_source=pubmed</w:t>
      </w:r>
    </w:p>
    <w:p>
      <w:pPr>
        <w:spacing w:before="0" w:after="80" w:lineRule="auto" w:line="276"/>
      </w:pPr>
      <w:r>
        <w:rPr>
          <w:b/>
        </w:rPr>
        <w:t xml:space="preserve">摘要（ZH）: </w:t>
      </w:r>
      <w:r>
        <w:t>社会科学家长期以来一直试图调查教育程度预测因素是否随时间而变化。在这里,我们通过将教育的遗传预测指标纳入1946年、1958年和1970年出生的三个具有全国代表性的英国出生组群中来提供真知灼见。我们调查了作为东亚和认知的多源指数(PGI)的替代物的个人特征是否与长期教育成功更加相关,以及基因偏移的回报是否受早期生活社会经济背景的影响。我们提出了三项结论。首先,EA PGI与成就之间的联系随着时间的推移而增加,而EA PGI解释的差别越来越大。第二,认知PGI与成就之间的联系是广义的。</w:t>
      </w:r>
    </w:p>
    <w:p>
      <w:pPr>
        <w:spacing w:before="0" w:after="200" w:lineRule="auto" w:line="276"/>
      </w:pPr>
      <w:r>
        <w:rPr>
          <w:b/>
        </w:rPr>
        <w:t xml:space="preserve">Abstract (EN): </w:t>
      </w:r>
      <w:r>
        <w:t>Social scientists have long sought to investigate whether the predictors of educational attainment (EA) have changed across time. Here, we provide insights by incorporating genetic predictors of education in three nationally representative British birth cohorts born in 1946, 1958, and 1970. We investigated whether individual characteristics as proxied by polygenic indexes (PGIs) for EA and cognition have become more relevant to educational success over time and whether returns to genetic predisposition were moderated by early life socioeconomic background. We present three findings. First, associations between the EA PGI and attainment increased over time, with increasing incremental variance explained by the EA PGI. Second, associations between the cognition PGI and attainment were broadly consistent across cohorts, and there was no clear change in explained variance. Since the EA PGI captures multiple traits related to educational success, factors other than those related to cognition may have become more relevant over time. Third, we observed strong evidence of interaction: Associations between the EA PGI and EA were disproportionately larger among those from more advantaged socioeconomic backgrounds. The strength and pattern of associations varied when using EA PGIs that were less conservatively filtered for SNPs. Our findings suggest EA is influenced by social and genetic factors both independently and jointly. Genetic liability and social background could be considered as two forms of inherited advantage which synergistically influence education attainment.</w:t>
      </w:r>
    </w:p>
    <w:p>
      <w:pPr>
        <w:spacing w:before="120" w:after="120"/>
      </w:pPr>
      <w:r>
        <w:rPr>
          <w:sz w:val="18"/>
        </w:rPr>
        <w:t>——————————————————————————————————————————————————————————————————————</w:t>
      </w:r>
    </w:p>
    <w:p>
      <w:pPr>
        <w:spacing w:before="160" w:after="40" w:line="240" w:lineRule="auto"/>
      </w:pPr>
      <w:r>
        <w:rPr>
          <w:b/>
        </w:rPr>
        <w:t xml:space="preserve">[436] </w:t>
      </w:r>
      <w:hyperlink r:id="rId674">
        <w:r>
          <w:rPr>
            <w:color w:val="1155CC"/>
            <w:u w:val="single"/>
          </w:rPr>
          <w:t>对液体流中细菌表面粘附作用的剪切诱导限制</w:t>
        </w:r>
      </w:hyperlink>
    </w:p>
    <w:p>
      <w:pPr>
        <w:spacing w:before="0" w:after="80"/>
      </w:pPr>
      <w:r>
        <w:rPr>
          <w:i/>
          <w:sz w:val="20"/>
        </w:rPr>
        <w:t>EN: A shear-induced limit on bacterial surface adhesion in fluid flow</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75">
        <w:r>
          <w:rPr>
            <w:color w:val="1155CC"/>
            <w:u w:val="single"/>
          </w:rPr>
          <w:t>10.1073/pnas.2516069123</w:t>
        </w:r>
      </w:hyperlink>
    </w:p>
    <w:p>
      <w:pPr>
        <w:spacing w:before="0" w:after="120"/>
      </w:pPr>
      <w:r>
        <w:rPr>
          <w:b/>
        </w:rPr>
        <w:t xml:space="preserve">Notes: </w:t>
      </w:r>
      <w:r>
        <w:t>abstract_source=pubmed</w:t>
      </w:r>
    </w:p>
    <w:p>
      <w:pPr>
        <w:spacing w:before="0" w:after="80" w:lineRule="auto" w:line="276"/>
      </w:pPr>
      <w:r>
        <w:rPr>
          <w:b/>
        </w:rPr>
        <w:t xml:space="preserve">摘要（ZH）: </w:t>
      </w:r>
      <w:r>
        <w:t>控制细菌表面粘合和随后在流体系统中形成生物膜对于医疗和工业过程的安全和效率至关重要。在这里,我们从理论上研究接近表面的细菌的迁移,分离细菌运动和流体流动的关键过程是如何相互作用和改变表面粘合的。我们利用普通微粒细菌流体速度和游泳速度之间的差异,并使用混合的无药-截肢方法,有系统地从靠近表面的粗粒细菌显微软性中提取出一个游泳速度、旋转式显微性和形状的函数。我们通过考虑细菌不可逆转地存活到TH的情景,计算出细菌沉积率的分析上限。</w:t>
      </w:r>
    </w:p>
    <w:p>
      <w:pPr>
        <w:spacing w:before="0" w:after="200" w:lineRule="auto" w:line="276"/>
      </w:pPr>
      <w:r>
        <w:rPr>
          <w:b/>
        </w:rPr>
        <w:t xml:space="preserve">Abstract (EN): </w:t>
      </w:r>
      <w:r>
        <w:t>Controlling bacterial surface adhesion and subsequent biofilm formation in fluid systems is crucial for the safety and efficacy of medical and industrial processes. Here, we theoretically examine the transport of bacteria close to surfaces, isolating how the key processes of bacterial motility and fluid flow interact and alter surface adhesion. We exploit the disparity between the fluid velocity and the swimming velocity of common motile bacteria and, using a hybrid asymptotic-computational approach, we systematically derive the coarse-grained bacterial diffusivity close to surfaces as a function of swimming speed, rotational diffusivity, and shape. We calculate an analytical upper bound for the bacterial adhesion rate by considering the scenario in which bacteria adhere irreversibly to the surface on first contact. Our theory predicts that maximal adhesion occurs at intermediate flow rates: At lower flow rates, increasing flow increases surface adhesion, while at higher flow rates, adhesion is decreased by shear-induced cell reorientation.</w:t>
      </w:r>
    </w:p>
    <w:p>
      <w:pPr>
        <w:spacing w:before="120" w:after="120"/>
      </w:pPr>
      <w:r>
        <w:rPr>
          <w:sz w:val="18"/>
        </w:rPr>
        <w:t>——————————————————————————————————————————————————————————————————————</w:t>
      </w:r>
    </w:p>
    <w:p>
      <w:pPr>
        <w:spacing w:before="160" w:after="40" w:line="240" w:lineRule="auto"/>
      </w:pPr>
      <w:r>
        <w:rPr>
          <w:b/>
        </w:rPr>
        <w:t xml:space="preserve">[437] </w:t>
      </w:r>
      <w:hyperlink r:id="rId676">
        <w:r>
          <w:rPr>
            <w:color w:val="1155CC"/>
            <w:u w:val="single"/>
          </w:rPr>
          <w:t>通过ERK-CREB轴对胎儿睾丸进行区别</w:t>
        </w:r>
      </w:hyperlink>
    </w:p>
    <w:p>
      <w:pPr>
        <w:spacing w:before="0" w:after="80"/>
      </w:pPr>
      <w:r>
        <w:rPr>
          <w:i/>
          <w:sz w:val="20"/>
        </w:rPr>
        <w:t>EN: Platelet-derived growth factor receptor alpha regulates fetal testis differentiation via an ERK–CREB axis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77">
        <w:r>
          <w:rPr>
            <w:color w:val="1155CC"/>
            <w:u w:val="single"/>
          </w:rPr>
          <w:t>10.1073/pnas.2515138123</w:t>
        </w:r>
      </w:hyperlink>
    </w:p>
    <w:p>
      <w:pPr>
        <w:spacing w:before="0" w:after="120"/>
      </w:pPr>
      <w:r>
        <w:rPr>
          <w:b/>
        </w:rPr>
        <w:t xml:space="preserve">Notes: </w:t>
      </w:r>
      <w:r>
        <w:t>abstract_source=pubmed</w:t>
      </w:r>
    </w:p>
    <w:p>
      <w:pPr>
        <w:spacing w:before="0" w:after="80" w:lineRule="auto" w:line="276"/>
      </w:pPr>
      <w:r>
        <w:rPr>
          <w:b/>
        </w:rPr>
        <w:t xml:space="preserve">摘要（ZH）: </w:t>
      </w:r>
      <w:r>
        <w:t>Pdgfra(Pdgfra)在中心细胞分化中发挥着关键作用,但这一过程所涉及的分子信号仍然不清楚,特别是在胎儿睾丸内。在这里,我们使用 XY Pdgfra-null 螺旋藻来调查作为睾丸有机产生基础的分子机制,重点是形成睾丸结构,区分胎儿乳性细胞(FLCs)、在睾丸间隔板内由中心基因先质产生的血清诱导线。在XY Pdgfra-nell gonad中,一种众所周知的细胞外信号调节的心血管(ERK)路径,一种已知的细胞活性信号路径,在XY Pdgfra-nall gonad中受到极大限制,这表明ERK信号在PDGFRA下游启动。</w:t>
      </w:r>
    </w:p>
    <w:p>
      <w:pPr>
        <w:spacing w:before="0" w:after="200" w:lineRule="auto" w:line="276"/>
      </w:pPr>
      <w:r>
        <w:rPr>
          <w:b/>
        </w:rPr>
        <w:t xml:space="preserve">Abstract (EN): </w:t>
      </w:r>
      <w:r>
        <w:t>Platelet-derived growth factor receptor alpha (Pdgfra) plays a crucial role in mesenchymal cell differentiation, but the molecular signaling involved in this process remains unclear, particularly within the fetal testis. Here, we use XY Pdgfra-null gonads to investigate the molecular mechanisms underlying testicular organogenesis, focusing on the formation of testicular architecture and the differentiation of fetal Leydig cells (FLCs), the steroidogenic lineage arising from mesenchymal precursors within the testicular interstitial compartment. The extracellular signal-regulated kinase (ERK) pathway, a well-known mitogen-activated signaling pathway, was significantly inhibited in XY Pdgfra-null gonads, suggesting that ERK signaling is activated downstream of PDGFRA. Using ex vivo whole-organ culture, small interfering RNA cell culture methods, transwell assays, and a genetic mouse model to disrupt ERK signaling in gonadal cells, we found that the ERK pathway promotes testis cord formation via early growth response 1-mediated cell migration and regulates the expression of steroidogenic enzymes in FLCs via activating the transcription factor cAMP responsive element binding protein 1. These findings highlight the significance of the PDGFRA signaling network in fetal testis organogenesis, thus providing insights into mesenchymal cell differentiation and the etiology of congenital disorders related to gonadal development.</w:t>
      </w:r>
    </w:p>
    <w:p>
      <w:pPr>
        <w:spacing w:before="120" w:after="120"/>
      </w:pPr>
      <w:r>
        <w:rPr>
          <w:sz w:val="18"/>
        </w:rPr>
        <w:t>——————————————————————————————————————————————————————————————————————</w:t>
      </w:r>
    </w:p>
    <w:p>
      <w:pPr>
        <w:spacing w:before="160" w:after="40" w:line="240" w:lineRule="auto"/>
      </w:pPr>
      <w:r>
        <w:rPr>
          <w:b/>
        </w:rPr>
        <w:t xml:space="preserve">[438] </w:t>
      </w:r>
      <w:hyperlink r:id="rId678">
        <w:r>
          <w:rPr>
            <w:color w:val="1155CC"/>
            <w:u w:val="single"/>
          </w:rPr>
          <w:t>选择性地针对NRF2-高脊髓胰腺肾上腺癌和NQO1活性促进药物</w:t>
        </w:r>
      </w:hyperlink>
    </w:p>
    <w:p>
      <w:pPr>
        <w:spacing w:before="0" w:after="80"/>
      </w:pPr>
      <w:r>
        <w:rPr>
          <w:i/>
          <w:sz w:val="20"/>
        </w:rPr>
        <w:t>EN: Selective targeting of NRF2-high pancreatic ductal adenocarcinoma with an NQO1-activatable prodrug</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79">
        <w:r>
          <w:rPr>
            <w:color w:val="1155CC"/>
            <w:u w:val="single"/>
          </w:rPr>
          <w:t>10.1073/pnas.2511733123</w:t>
        </w:r>
      </w:hyperlink>
    </w:p>
    <w:p>
      <w:pPr>
        <w:spacing w:before="0" w:after="120"/>
      </w:pPr>
      <w:r>
        <w:rPr>
          <w:b/>
        </w:rPr>
        <w:t xml:space="preserve">Notes: </w:t>
      </w:r>
      <w:r>
        <w:t>abstract_source=pubmed</w:t>
      </w:r>
    </w:p>
    <w:p>
      <w:pPr>
        <w:spacing w:before="0" w:after="80" w:lineRule="auto" w:line="276"/>
      </w:pPr>
      <w:r>
        <w:rPr>
          <w:b/>
        </w:rPr>
        <w:t xml:space="preserve">摘要（ZH）: </w:t>
      </w:r>
      <w:r>
        <w:t>NRF2在胰腺肾上腺瘤(PDA)中,NRF2活化系数NRF2在胰腺肾上腺瘤(PDA)中促进强性肿瘤细胞型,防止治疗引起的氧化压力。我们假设,C29h可以有选择地将NRF2highPDAC作为C29h(C29H)(NRF2-NAD(P)H:Quinone 氧化性激素1(NQO1)诱发酶1(NQO1))的刺激药物。C29h单独或与护理标准的乳胶药物精化剂宝石一道,在NQO1hihigh人类和鼠鼠PDAC细胞线和病人衍生的有机物上进行初步评估。由于PDAC在含有凝聚物的外细胞矩阵中丰富了NRF2,并诱导出NQO1的表达方式。我们审查了ECM对C29h的反应以及IKKAT-defici的活性肿瘤控制的影响。</w:t>
      </w:r>
    </w:p>
    <w:p>
      <w:pPr>
        <w:spacing w:before="0" w:after="200" w:lineRule="auto" w:line="276"/>
      </w:pPr>
      <w:r>
        <w:rPr>
          <w:b/>
        </w:rPr>
        <w:t xml:space="preserve">Abstract (EN): </w:t>
      </w:r>
      <w:r>
        <w:t>Activation of transcription factor NRF2 in pancreatic ductal adenocarcinoma (PDAC) promotes aggressive tumor phenotype and protection from therapy-induced oxidative stress. We postulated that NRF2high PDAC can be selectively targeted by C29h, a prodrug that is activated by the NRF2-induced enzyme NAD(P)H:quinone oxidoreductase-1 (NQO1), which is elevated in human pancreatic tumors. Initial evaluations of C29h alone or together with the standard-of-care chemotherapeutic drug gemcitabine were conducted on NQO1high human and mouse PDAC cell lines and patient-derived organoids. As PDAC is enriched in collagen-containing extracellular matrix (ECM) that activates NRF2 and induces NQO1 expression, we examined the ECM effect on the response to C29h, as well as in vivo tumor control in IKKα-deficient KrasG12D/IkkαΔPEC mice in which NRF2 is strongly activated, immunocompromised Nu/Nu mice orthotopically transplanted with human PDAC cells and C57BL/6n and NOD/SCID mice transplanted with mouse PDAC. C29h led to NQO1-dependent killing of human and mouse PDAC cell lines and organoids and acted additively with gemcitabine. Furthermore, ECM-plated PDAC cells were more susceptible to C29h cytotoxicity than cells grown on plastic. Importantly, C29h treatment induced tumor regression and increased the survival of PDAC-bearing mice and optimal C29h-induced tumor regression was dependent on CD8+ T lymphocytes whose tumoral recruitment was enhanced by drug treatment. This study supports the use of C29h alone or as part of a drug combination as an effective and promising strategy for selective eradication of NRF2high PDAC.</w:t>
      </w:r>
    </w:p>
    <w:p>
      <w:pPr>
        <w:spacing w:before="120" w:after="120"/>
      </w:pPr>
      <w:r>
        <w:rPr>
          <w:sz w:val="18"/>
        </w:rPr>
        <w:t>——————————————————————————————————————————————————————————————————————</w:t>
      </w:r>
    </w:p>
    <w:p>
      <w:pPr>
        <w:spacing w:before="160" w:after="40" w:line="240" w:lineRule="auto"/>
      </w:pPr>
      <w:r>
        <w:rPr>
          <w:b/>
        </w:rPr>
        <w:t xml:space="preserve">[439] </w:t>
      </w:r>
      <w:hyperlink r:id="rId680">
        <w:r>
          <w:rPr>
            <w:color w:val="1155CC"/>
            <w:u w:val="single"/>
          </w:rPr>
          <w:t>无GFP无GFP的活性神经神经神经元定量成像显示聚Q总量的条块化和增长动态</w:t>
        </w:r>
      </w:hyperlink>
    </w:p>
    <w:p>
      <w:pPr>
        <w:spacing w:before="0" w:after="80"/>
      </w:pPr>
      <w:r>
        <w:rPr>
          <w:i/>
          <w:sz w:val="20"/>
        </w:rPr>
        <w:t>EN: GFP-free live neuron quantitative imaging reveals compartmentalization and growth dynamics of polyQ aggregates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81">
        <w:r>
          <w:rPr>
            <w:color w:val="1155CC"/>
            <w:u w:val="single"/>
          </w:rPr>
          <w:t>10.1073/pnas.2505321123</w:t>
        </w:r>
      </w:hyperlink>
    </w:p>
    <w:p>
      <w:pPr>
        <w:spacing w:before="0" w:after="120"/>
      </w:pPr>
      <w:r>
        <w:rPr>
          <w:b/>
        </w:rPr>
        <w:t xml:space="preserve">Notes: </w:t>
      </w:r>
      <w:r>
        <w:t>abstract_source=pubmed</w:t>
      </w:r>
    </w:p>
    <w:p>
      <w:pPr>
        <w:spacing w:before="0" w:after="80" w:lineRule="auto" w:line="276"/>
      </w:pPr>
      <w:r>
        <w:rPr>
          <w:b/>
        </w:rPr>
        <w:t xml:space="preserve">摘要（ZH）: </w:t>
      </w:r>
      <w:r>
        <w:t>Huntington's Huntington's病(HD)是最常见的多氯胺酮(PollyQ)神经降解性紊乱症(HD)最流行的多氯胺酮(PollyQ)神经降解性紊乱症,其特征是由变异狩猎锡(mHtt)蛋白质引起的大脑群集,这些蛋白中藏有扩大的聚Q(mQQ)粒粒子。尽管作出了大量的努力,但聚QQQQ(HD)综合体的分子机制仍然难以捉摸。我们建立了定量刺激的聚Q(q-aggSRS)聚(Raman)散射成成成像,用于对使用脱酸性内聚氨酸盐标记的活神经共产物进行非侵入性研究。Q-aggSRS(Q-aggSRS)允许具体可视化,针对不同的Raman峰和碳-结,从而不再需要散散发型荧蛋白质标记(例如EGFP)。</w:t>
      </w:r>
    </w:p>
    <w:p>
      <w:pPr>
        <w:spacing w:before="0" w:after="200" w:lineRule="auto" w:line="276"/>
      </w:pPr>
      <w:r>
        <w:rPr>
          <w:b/>
        </w:rPr>
        <w:t xml:space="preserve">Abstract (EN): </w:t>
      </w:r>
      <w:r>
        <w:t>Huntington's Disease (HD), the most prevalent polyglutamine (polyQ) neurodegenerative disorder, features brain aggregates induced by mutant huntingtin (mHtt) proteins harboring expanded polyQ tracts. Despite extensive efforts, molecular mechanisms of polyQ aggregates remain elusive. Here, we establish quantitative stimulated Raman scattering imaging of polyQ aggregates (q-aggSRS) for noninvasive investigations in live neuronal cocultures using deuterated glutamine labeling. Q-aggSRS allows for specific visualization by targeting the distinct Raman peak from carbon-deuterium bonds, eliminating the need for bulky fluorescent protein tagging (e.g., EGFP). Coupled with analysis from aggregate-tailored expansion microscopy, newly designed two-color imaging, and pulse-chase visualization, we comprehensively quantified the mHtt and non-mHtt proteins within the same aggregates across varying sizes, cell types, mHtt constructs, and subcellular locations. Our findings demonstrate a two-phase aggregate model with a distinct core-shell spatial organization, reveal significant heterogeneity in nucleus/cytoplasm compartmentalization specific to neurons, and identify previously unrecognized loosely packed aggregates specifically in neuronal nuclei. These insights should advance our understanding of native polyQ aggregates, and our proposed interaction coefficients may offer quantitative parameters for developing effective HD therapies.</w:t>
      </w:r>
    </w:p>
    <w:p>
      <w:pPr>
        <w:spacing w:before="120" w:after="120"/>
      </w:pPr>
      <w:r>
        <w:rPr>
          <w:sz w:val="18"/>
        </w:rPr>
        <w:t>——————————————————————————————————————————————————————————————————————</w:t>
      </w:r>
    </w:p>
    <w:p>
      <w:pPr>
        <w:spacing w:before="160" w:after="40" w:line="240" w:lineRule="auto"/>
      </w:pPr>
      <w:r>
        <w:rPr>
          <w:b/>
        </w:rPr>
        <w:t xml:space="preserve">[440] </w:t>
      </w:r>
      <w:hyperlink r:id="rId682">
        <w:r>
          <w:rPr>
            <w:color w:val="1155CC"/>
            <w:u w:val="single"/>
          </w:rPr>
          <w:t>在几何深深程学习中 纤维化对称作用</w:t>
        </w:r>
      </w:hyperlink>
    </w:p>
    <w:p>
      <w:pPr>
        <w:spacing w:before="0" w:after="80"/>
      </w:pPr>
      <w:r>
        <w:rPr>
          <w:i/>
          <w:sz w:val="20"/>
        </w:rPr>
        <w:t>EN: The role of fibration symmetries in geometric deep learning</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83">
        <w:r>
          <w:rPr>
            <w:color w:val="1155CC"/>
            <w:u w:val="single"/>
          </w:rPr>
          <w:t>10.1073/pnas.2416552123</w:t>
        </w:r>
      </w:hyperlink>
    </w:p>
    <w:p>
      <w:pPr>
        <w:spacing w:before="0" w:after="120"/>
      </w:pPr>
      <w:r>
        <w:rPr>
          <w:b/>
        </w:rPr>
        <w:t xml:space="preserve">Notes: </w:t>
      </w:r>
      <w:r>
        <w:t>abstract_source=pubmed</w:t>
      </w:r>
    </w:p>
    <w:p>
      <w:pPr>
        <w:spacing w:before="0" w:after="80" w:lineRule="auto" w:line="276"/>
      </w:pPr>
      <w:r>
        <w:rPr>
          <w:b/>
        </w:rPr>
        <w:t xml:space="preserve">摘要（ZH）: </w:t>
      </w:r>
      <w:r>
        <w:t>从对称的角度出发,深深深学习(GDL)将一系列广泛的机器学习技术从对称的角度统一起来,为引入像图形神经网络(GNNs)这样的针对特定问题的感性偏向提供了一个框架。然而,GDL目前的配方仅限于全球对称。我们建议放松GDL,以便允许局部对称,具体地说,对称性对称性对称性,它只要求异形输入树的属性,在真实世界的图表中,这种属性更为常见。我们表明,GNNS采用了对称性对称性偏向的诱导偏向,并且为它们的表达力得出了较紧的上限。 此外,我们通过确定网络中的对称性,我们压缩网络节点,从而在推断和深神经网训练期间提高它们的计算效率。</w:t>
      </w:r>
    </w:p>
    <w:p>
      <w:pPr>
        <w:spacing w:before="0" w:after="200" w:lineRule="auto" w:line="276"/>
      </w:pPr>
      <w:r>
        <w:rPr>
          <w:b/>
        </w:rPr>
        <w:t xml:space="preserve">Abstract (EN): </w:t>
      </w:r>
      <w:r>
        <w:t>Geometric Deep Learning (GDL) unifies a broad class of machine learning techniques from the perspectives of symmetries, offering a framework for introducing problem-specific inductive biases like Graph Neural Networks (GNNs). However, the current formulation of GDL is limited to global symmetries. We propose to relax GDL to allow for local symmetries, specifically fibration symmetries, which only require isomorphic input trees-a property that is much more common in real-world graphs. We show that GNNs apply the inductive bias of fibration symmetries and derive a tighter upper bound for their expressive power. Additionally, by identifying symmetries in networks, we compress network nodes, thereby increasing their computational efficiency during both inference and training of deep neural networks. The mathematical extension introduced here applies beyond graphs to manifolds, bundles, and grids for the development of models with inductive biases induced by local symmetries that can lead to better generalization.</w:t>
      </w:r>
    </w:p>
    <w:p>
      <w:pPr>
        <w:spacing w:before="120" w:after="120"/>
      </w:pPr>
      <w:r>
        <w:rPr>
          <w:sz w:val="18"/>
        </w:rPr>
        <w:t>——————————————————————————————————————————————————————————————————————</w:t>
      </w:r>
    </w:p>
    <w:p>
      <w:pPr>
        <w:spacing w:before="160" w:after="40" w:line="240" w:lineRule="auto"/>
      </w:pPr>
      <w:r>
        <w:rPr>
          <w:b/>
        </w:rPr>
        <w:t xml:space="preserve">[441] </w:t>
      </w:r>
      <w:hyperlink r:id="rId684">
        <w:r>
          <w:rPr>
            <w:color w:val="1155CC"/>
            <w:u w:val="single"/>
          </w:rPr>
          <w:t>蛋白质化石化石在结构上和化学上不同于已灭绝和已灭绝的真菌。</w:t>
        </w:r>
      </w:hyperlink>
    </w:p>
    <w:p>
      <w:pPr>
        <w:spacing w:before="0" w:after="80"/>
      </w:pPr>
      <w:r>
        <w:rPr>
          <w:i/>
          <w:sz w:val="20"/>
        </w:rPr>
        <w:t>EN: Prototaxites fossils are structurally and chemically distinct from extinct and extant Fungi</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85">
        <w:r>
          <w:rPr>
            <w:color w:val="1155CC"/>
            <w:u w:val="single"/>
          </w:rPr>
          <w:t>10.1126/sciadv.aec6277</w:t>
        </w:r>
      </w:hyperlink>
    </w:p>
    <w:p>
      <w:pPr>
        <w:spacing w:before="0" w:after="120"/>
      </w:pPr>
      <w:r>
        <w:rPr>
          <w:b/>
        </w:rPr>
        <w:t xml:space="preserve">Notes: </w:t>
      </w:r>
      <w:r>
        <w:t>abstract_source=pubmed</w:t>
      </w:r>
    </w:p>
    <w:p>
      <w:pPr>
        <w:spacing w:before="0" w:after="80" w:lineRule="auto" w:line="276"/>
      </w:pPr>
      <w:r>
        <w:rPr>
          <w:b/>
        </w:rPr>
        <w:t xml:space="preserve">摘要（ZH）: </w:t>
      </w:r>
      <w:r>
        <w:t>蛋白质是第一个生活在陆地表面的巨型生物体,其表现形式是远比早期德文的8米长的柱状化石。然而,其系统性的亲近性已经辩论了165年多。现在还存在两个可行的假设:蛋白质是真菌,或者是完全灭绝的系系成员。在这里,我们通过将蛋白质的组织和分子组成与真菌的组织和分子组成作对比来调查它的亲近性。我们报告说,来自407亿年前的Rhynie chert的蛋白质酸盐在化学上与当时的Fungi截然不同,在结构上也不同于所有已知的Fungi。这一发现使人对真菌的亲近性产生怀疑,相反地表明,这种昆虫生物最好被分配。</w:t>
      </w:r>
    </w:p>
    <w:p>
      <w:pPr>
        <w:spacing w:before="0" w:after="200" w:lineRule="auto" w:line="276"/>
      </w:pPr>
      <w:r>
        <w:rPr>
          <w:b/>
        </w:rPr>
        <w:t xml:space="preserve">Abstract (EN): </w:t>
      </w:r>
      <w:r>
        <w:t>Prototaxites was the first giant organism to live on the terrestrial surface, represented by columnar fossils of up to eight meters from the Early Devonian. However, its systematic affinity has been debated for over 165 years. There are now two remaining viable hypotheses: Prototaxites was either a fungus, or a member of an entirely extinct lineage. Here, we investigate the affinity of Prototaxites by contrasting its organization and molecular composition with that of Fungi. We report that fossils of Prototaxites taiti from the 407-million-year-old Rhynie chert were chemically distinct from contemporaneous Fungi and structurally distinct from all known Fungi. This finding casts doubt upon the fungal affinity of Prototaxites, instead suggesting that this enigmatic organism is best assigned to an entirely extinct eukaryotic lineage.</w:t>
      </w:r>
    </w:p>
    <w:p>
      <w:pPr>
        <w:spacing w:before="120" w:after="120"/>
      </w:pPr>
      <w:r>
        <w:rPr>
          <w:sz w:val="18"/>
        </w:rPr>
        <w:t>——————————————————————————————————————————————————————————————————————</w:t>
      </w:r>
    </w:p>
    <w:p>
      <w:pPr>
        <w:spacing w:before="160" w:after="40" w:line="240" w:lineRule="auto"/>
      </w:pPr>
      <w:r>
        <w:rPr>
          <w:b/>
        </w:rPr>
        <w:t xml:space="preserve">[442] </w:t>
      </w:r>
      <w:hyperlink r:id="rId686">
        <w:r>
          <w:rPr>
            <w:color w:val="1155CC"/>
            <w:u w:val="single"/>
          </w:rPr>
          <w:t>Abels等人的校正,为更深组织渗透和对甘油组织的影响而操纵炭疽杆菌</w:t>
        </w:r>
      </w:hyperlink>
    </w:p>
    <w:p>
      <w:pPr>
        <w:spacing w:before="0" w:after="80"/>
      </w:pPr>
      <w:r>
        <w:rPr>
          <w:i/>
          <w:sz w:val="20"/>
        </w:rPr>
        <w:t>EN: Correction for Abels et al., Manipulating anthracyclines for deeper tissue penetration and implications for glycolytic tissues</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87">
        <w:r>
          <w:rPr>
            <w:color w:val="1155CC"/>
            <w:u w:val="single"/>
          </w:rPr>
          <w:t>10.1073/pnas.2537044123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688">
        <w:r>
          <w:rPr>
            <w:color w:val="1155CC"/>
            <w:u w:val="single"/>
          </w:rPr>
          <w:t>Keogh和Bilal的校正,配有实时可编程性的综合非对称声音元材料</w:t>
        </w:r>
      </w:hyperlink>
    </w:p>
    <w:p>
      <w:pPr>
        <w:spacing w:before="0" w:after="80"/>
      </w:pPr>
      <w:r>
        <w:rPr>
          <w:i/>
          <w:sz w:val="20"/>
        </w:rPr>
        <w:t>EN: Correction for Keogh and Bilal, Combinatorial asymmetric acoustic metamaterials with real-time programmability</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689">
        <w:r>
          <w:rPr>
            <w:color w:val="1155CC"/>
            <w:u w:val="single"/>
          </w:rPr>
          <w:t>10.1073/pnas.2536289123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[444] </w:t>
      </w:r>
      <w:hyperlink r:id="rId690">
        <w:r>
          <w:rPr>
            <w:color w:val="1155CC"/>
            <w:u w:val="single"/>
          </w:rPr>
          <w:t>整个基因组的遗传屏幕显示P2Y2-integrin轴心是非小细胞肺癌中EGFR变异体的稳定器。</w:t>
        </w:r>
      </w:hyperlink>
    </w:p>
    <w:p>
      <w:pPr>
        <w:spacing w:before="0" w:after="80"/>
      </w:pPr>
      <w:r>
        <w:rPr>
          <w:i/>
          <w:sz w:val="20"/>
        </w:rPr>
        <w:t>EN: A genome-wide genetic screen reveals the P2Y2-integrin axis as a stabilizer of EGFR mutants in non–small cell lung cancer (NSCLC)</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91">
        <w:r>
          <w:rPr>
            <w:color w:val="1155CC"/>
            <w:u w:val="single"/>
          </w:rPr>
          <w:t>10.1126/sciadv.adv3980</w:t>
        </w:r>
      </w:hyperlink>
    </w:p>
    <w:p>
      <w:pPr>
        <w:spacing w:before="0" w:after="120"/>
      </w:pPr>
      <w:r>
        <w:rPr>
          <w:b/>
        </w:rPr>
        <w:t xml:space="preserve">Notes: </w:t>
      </w:r>
      <w:r>
        <w:t>abstract_source=pubmed</w:t>
      </w:r>
    </w:p>
    <w:p>
      <w:pPr>
        <w:spacing w:before="0" w:after="80" w:lineRule="auto" w:line="276"/>
      </w:pPr>
      <w:r>
        <w:rPr>
          <w:b/>
        </w:rPr>
        <w:t xml:space="preserve">摘要（ZH）: </w:t>
      </w:r>
      <w:r>
        <w:t>在上皮生长因子受体(EGFR)基因驱动非小型细胞肺癌(NSCLC)的诱发突变体中,诱发突变变体是松散和较稳定的,但基本机制仍不清楚。我们假设EGFR变异体有选择地利用细胞稳定器来避免退化。整个RNA基因组的干扰屏确定了对变异EGFR稳定性负有责任的基因(稳定剂编码),P2Y2受体(P2Y2)成为善意稳定器。通过P2Y2激活,机械、高细胞外肾脏三磷酸酯(ATP)水平的转活性变异体(ATP)水平(A2Y2)通过P2-Intigr信号,先前显示通过弧动性体依赖EGFR2磷酸。我们的研究显示,由ATP驱动的P2Y2驱动活变体通过形成P2Y2-Intigrom,稳定了变体的稳定。</w:t>
      </w:r>
    </w:p>
    <w:p>
      <w:pPr>
        <w:spacing w:before="0" w:after="200" w:lineRule="auto" w:line="276"/>
      </w:pPr>
      <w:r>
        <w:rPr>
          <w:b/>
        </w:rPr>
        <w:t xml:space="preserve">Abstract (EN): </w:t>
      </w:r>
      <w:r>
        <w:t>Activating mutations in the epidermal growth factor receptor (EGFR) gene drive non-small cell lung cancer (NSCLC). Oncogenic EGFR mutants are ligand-independent and more stable, but the underlying mechanism remains unclear. We hypothesized that EGFR mutants selectively leverage cellular stabilizers to evade degradation. Genome-wide RNA interference screens identified genes (encoding for stabilizers) responsible for mutant EGFR stability, with P2Y2 receptor (P2Y2) emerging as a bona fide stabilizer. Mechanistically, high extracellular adenosine triphosphate (ATP) levels transactivate EGFR mutants via P2Y2 activation, previously shown to signal through Src kinase-dependent EGFR phosphorylation. Our study reveals that ATP-driven P2Y2 activation stabilizes EGFR mutants by forming a P2Y2-integrin β1-EGFR complex enriched in endosomes. Targeting this axis destabilizes EGFR mutants and offers a strategy against drug resistance. Elevated P2Y2 and integrin β1 expression in patients with NSCLC implies clinical relevance. Our results provide previously unidentified insight that EGFR mutants enhance extracellular ATP levels to activate P2Y2-integrin for enhanced stability of EGFR mutants to drive the oncogenic program.</w:t>
      </w:r>
    </w:p>
    <w:p>
      <w:pPr>
        <w:spacing w:before="120" w:after="120"/>
      </w:pPr>
      <w:r>
        <w:rPr>
          <w:sz w:val="18"/>
        </w:rPr>
        <w:t>——————————————————————————————————————————————————————————————————————</w:t>
      </w:r>
    </w:p>
    <w:p>
      <w:pPr>
        <w:spacing w:before="160" w:after="40" w:line="240" w:lineRule="auto"/>
      </w:pPr>
      <w:r>
        <w:rPr>
          <w:b/>
        </w:rPr>
        <w:t xml:space="preserve">[445] </w:t>
      </w:r>
      <w:hyperlink r:id="rId692">
        <w:r>
          <w:rPr>
            <w:color w:val="1155CC"/>
            <w:u w:val="single"/>
          </w:rPr>
          <w:t>超强力助听器塑造了癌症转录相关脱氧核糖核酸断裂的景观和修复动态</w:t>
        </w:r>
      </w:hyperlink>
    </w:p>
    <w:p>
      <w:pPr>
        <w:spacing w:before="0" w:after="80"/>
      </w:pPr>
      <w:r>
        <w:rPr>
          <w:i/>
          <w:sz w:val="20"/>
        </w:rPr>
        <w:t>EN: Superenhancers shape the landscape and repair dynamics of transcription-associated DNA breaks in cancer</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93">
        <w:r>
          <w:rPr>
            <w:color w:val="1155CC"/>
            <w:u w:val="single"/>
          </w:rPr>
          <w:t>10.1126/sciadv.aeb6379</w:t>
        </w:r>
      </w:hyperlink>
    </w:p>
    <w:p>
      <w:pPr>
        <w:spacing w:before="0" w:after="120"/>
      </w:pPr>
      <w:r>
        <w:rPr>
          <w:b/>
        </w:rPr>
        <w:t xml:space="preserve">Notes: </w:t>
      </w:r>
      <w:r>
        <w:t>abstract_source=pubmed</w:t>
      </w:r>
    </w:p>
    <w:p>
      <w:pPr>
        <w:spacing w:before="0" w:after="80" w:lineRule="auto" w:line="276"/>
      </w:pPr>
      <w:r>
        <w:rPr>
          <w:b/>
        </w:rPr>
        <w:t xml:space="preserve">摘要（ZH）: </w:t>
      </w:r>
      <w:r>
        <w:t>癌症的特点是无控制地扩散,伴有肿瘤高发,导致转录压力,这是DNA双层断裂(DSB)的关键来源,危及基因组稳定,尽管其重要性,转录压力的景观和后果仍未得到充分探讨,但通过SBLISS(悬浮断断裂标签现场和顺序)确定的DSB地图与转录压力标记一起绘制癌症的转录压力景观。我们发现转录压力地点是由超强监管环境形成的。值得注意的是,在转录压力地点,γH2AX得到丰富;然而,并非所有DSB丰富的基因都显示相似的QH2AX标记。相反,与转录压力挂钩的DSB的基因与转录压力挂钩的基因是截然不同的。</w:t>
      </w:r>
    </w:p>
    <w:p>
      <w:pPr>
        <w:spacing w:before="0" w:after="200" w:lineRule="auto" w:line="276"/>
      </w:pPr>
      <w:r>
        <w:rPr>
          <w:b/>
        </w:rPr>
        <w:t xml:space="preserve">Abstract (EN): </w:t>
      </w:r>
      <w:r>
        <w:t>Cancer is characterized by uncontrolled proliferation accompanied by oncogene hypertranscription, leading to transcription stress, a key source of DNA double-strand breaks (DSBs) that jeopardize genomic stability. Despite its importance, the landscape and consequences of transcription stress remain underexplored. Here, we used maps of DSBs identified through sBLISS (in-suspension break labeling in situ and sequencing) with transcription stress markers to delineate the transcription stress landscape in cancer. We found that transcription stress sites are shaped by the superenhancer regulatory landscape. Notably, γH2AX is enriched at transcription stress sites; however, not all DSB-enriched genes show similar γH2AX marking. Instead, genes with DSBs tied to transcription stress are distinctly marked. Genes with high DSBs marked by γH2AX exhibited substantially higher DSB turnover and repair than those with low γH2AX, and are associated with vulnerability to mutagenesis. These findings underscore superenhancer activity as a determinant of the transcription stress landscape in cancer, posing a threat to the genomic stability of oncogenes.</w:t>
      </w:r>
    </w:p>
    <w:p>
      <w:pPr>
        <w:spacing w:before="120" w:after="120"/>
      </w:pPr>
      <w:r>
        <w:rPr>
          <w:sz w:val="18"/>
        </w:rPr>
        <w:t>——————————————————————————————————————————————————————————————————————</w:t>
      </w:r>
    </w:p>
    <w:p>
      <w:pPr>
        <w:spacing w:before="160" w:after="40" w:line="240" w:lineRule="auto"/>
      </w:pPr>
      <w:r>
        <w:rPr>
          <w:b/>
        </w:rPr>
        <w:t xml:space="preserve">[446] </w:t>
      </w:r>
      <w:hyperlink r:id="rId694">
        <w:r>
          <w:rPr>
            <w:color w:val="1155CC"/>
            <w:u w:val="single"/>
          </w:rPr>
          <w:t>COBRA-k:一个强有力的框架连接架桥式架桥式架桥式架桥式架桥式架桥,以制约为基础,并进行动动能代谢建模</w:t>
        </w:r>
      </w:hyperlink>
    </w:p>
    <w:p>
      <w:pPr>
        <w:spacing w:before="0" w:after="80"/>
      </w:pPr>
      <w:r>
        <w:rPr>
          <w:i/>
          <w:sz w:val="20"/>
        </w:rPr>
        <w:t>EN: COBRA-k: A powerful framework bridging constraint-based and kinetic metabolic modeling</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95">
        <w:r>
          <w:rPr>
            <w:color w:val="1155CC"/>
            <w:u w:val="single"/>
          </w:rPr>
          <w:t>10.1126/sciadv.aeb3022</w:t>
        </w:r>
      </w:hyperlink>
    </w:p>
    <w:p>
      <w:pPr>
        <w:spacing w:before="0" w:after="120"/>
      </w:pPr>
      <w:r>
        <w:rPr>
          <w:b/>
        </w:rPr>
        <w:t xml:space="preserve">Notes: </w:t>
      </w:r>
      <w:r>
        <w:t>abstract_source=pubmed</w:t>
      </w:r>
    </w:p>
    <w:p>
      <w:pPr>
        <w:spacing w:before="0" w:after="80" w:lineRule="auto" w:line="276"/>
      </w:pPr>
      <w:r>
        <w:rPr>
          <w:b/>
        </w:rPr>
        <w:t xml:space="preserve">摘要（ZH）: </w:t>
      </w:r>
      <w:r>
        <w:t>数学模型是理解细胞新陈代谢的关键。两种共同的方法是动能模型和约束性重建与分析(COBRA)。COBRA模型利用线性限制分析稳定状态通量,但缺乏动能细节。动能模型通过不同的方程提供机械化描述,但需要(通常未知的)动能参数和酶浓度。为了缩小这一差距,我们引入了COBRA-k,这是一个将非线性动能率法纳入COBRA模型的框架,以持续限制代谢性通量、酶丰度和代谢物浓度。 COBRA-K能够以优化技术灵活地探索代谢稳定状态,即使优化技术不完整。 COBRA-k模型也需要用计算解决计算要求。</w:t>
      </w:r>
    </w:p>
    <w:p>
      <w:pPr>
        <w:spacing w:before="0" w:after="200" w:lineRule="auto" w:line="276"/>
      </w:pPr>
      <w:r>
        <w:rPr>
          <w:b/>
        </w:rPr>
        <w:t xml:space="preserve">Abstract (EN): </w:t>
      </w:r>
      <w:r>
        <w:t>Mathematical modeling is key to understanding cellular metabolism. Two common approaches are kinetic modeling and constraint-based reconstruction and analysis (COBRA). COBRA models analyze steady-state fluxes using linear constraints but lack kinetic detail. Kinetic models offer mechanistic descriptions via differential equations but require (often unknown) kinetic parameters and enzyme concentrations. To bridge this gap, we introduce COBRA-k, a framework integrating nonlinear kinetic rate laws into COBRA models to consistently constrain metabolic fluxes, enzyme abundances, and metabolite concentrations. COBRA-k enables flexible exploration of metabolic steady states with optimization techniques, even with incomplete parametrization. COBRA-k models require solving computationally demanding mixed-integer nonlinear programs. We therefore developed a dedicated iterative algorithm, implemented in an open-source Python package. We applied COBRA-k to a large-scale Escherichia coli model, demonstrating its effectiveness and revealing holistic metabolic insights. For example, it accurately predicts and explains the phenomenon of high intracellular glutamate concentration. COBRA-k combines the flexibility of COBRA with kinetic precision, offering a powerful tool for predictive metabolic modeling and engineering.</w:t>
      </w:r>
    </w:p>
    <w:p>
      <w:pPr>
        <w:spacing w:before="120" w:after="120"/>
      </w:pPr>
      <w:r>
        <w:rPr>
          <w:sz w:val="18"/>
        </w:rPr>
        <w:t>——————————————————————————————————————————————————————————————————————</w:t>
      </w:r>
    </w:p>
    <w:p>
      <w:pPr>
        <w:spacing w:before="160" w:after="40" w:line="240" w:lineRule="auto"/>
      </w:pPr>
      <w:r>
        <w:rPr>
          <w:b/>
        </w:rPr>
        <w:t xml:space="preserve">[447] </w:t>
      </w:r>
      <w:hyperlink r:id="rId696">
        <w:r>
          <w:rPr>
            <w:color w:val="1155CC"/>
            <w:u w:val="single"/>
          </w:rPr>
          <w:t>纳米电线阵列与近红外内红性视网膜光刺激近红外线纳米晶晶晶体有敏感认识的光电纳米集成纳米电线阵列</w:t>
        </w:r>
      </w:hyperlink>
    </w:p>
    <w:p>
      <w:pPr>
        <w:spacing w:before="0" w:after="80"/>
      </w:pPr>
      <w:r>
        <w:rPr>
          <w:i/>
          <w:sz w:val="20"/>
        </w:rPr>
        <w:t>EN: Photovoltaic nanoassembly of nanowire arrays sensitized with colloidal nanocrystals for near-infrared retina photostimulation</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97">
        <w:r>
          <w:rPr>
            <w:color w:val="1155CC"/>
            <w:u w:val="single"/>
          </w:rPr>
          <w:t>10.1126/sciadv.aea7001</w:t>
        </w:r>
      </w:hyperlink>
    </w:p>
    <w:p>
      <w:pPr>
        <w:spacing w:before="0" w:after="120"/>
      </w:pPr>
      <w:r>
        <w:rPr>
          <w:b/>
        </w:rPr>
        <w:t xml:space="preserve">Notes: </w:t>
      </w:r>
      <w:r>
        <w:t>abstract_source=pubmed</w:t>
      </w:r>
    </w:p>
    <w:p>
      <w:pPr>
        <w:spacing w:before="0" w:after="80" w:lineRule="auto" w:line="276"/>
      </w:pPr>
      <w:r>
        <w:rPr>
          <w:b/>
        </w:rPr>
        <w:t xml:space="preserve">摘要（ZH）: </w:t>
      </w:r>
      <w:r>
        <w:t>纳诺维耳是先进的神经和组织界面的变革平台。 虽然光电效应对于神经调节来说具有非凡的希望, 但现有的光电模拟方法主要依赖可见的光电光活光化光电化学机制。 在这里,我们展示了一种溶式处理的光电光光电纳米组件,由ZnO纳米电线阵列组成,该阵列与AgBIS2纳米晶体素有敏感认识,通过电能光流,使近红外神经刺激有效。通过优化纳米电线形态学和纳米晶体间数化,该平台在低NIR强度(每平方厘米 &lt; 1毫瓦特)下实现了高电荷注射密度(每平方厘米10微库姆)。 纳米网被分置在外。</w:t>
      </w:r>
    </w:p>
    <w:p>
      <w:pPr>
        <w:spacing w:before="0" w:after="200" w:lineRule="auto" w:line="276"/>
      </w:pPr>
      <w:r>
        <w:rPr>
          <w:b/>
        </w:rPr>
        <w:t xml:space="preserve">Abstract (EN): </w:t>
      </w:r>
      <w:r>
        <w:t>Nanowires have served as a transformative platform for advanced neural and tissue interfaces. While their photovoltaic properties hold exceptional promise for neural modulation, existing photostimulation approaches predominantly rely on visible light-activated photoelectrochemical mechanisms. Here, we present a solution-processed photovoltaic nanoassembly comprising a ZnO nanowire array sensitized with AgBiS2 nanocrystals that enables efficient near-infrared (NIR) neural stimulation through capacitive photocurrents. By optimizing nanowire morphology and nanocrystal interdigitation, the platform achieves high charge injection densities (tens of microcoulombs per square centimeter) at low NIR intensities (&lt;1 milliwatt per square millimeter). The nanoassembly was subretinally placed in an ex vivo blind rat retina, where it elicited repeatable and robust responses in retinal ganglion cells under NIR pulses. Notably, these responses were achieved at light intensities substantially below established ocular safety limits. The nexus of neuronal systems and nanoassemblies offers potential for enabling unconventional visual prosthetics and advanced neuromodulation therapies.</w:t>
      </w:r>
    </w:p>
    <w:p>
      <w:pPr>
        <w:spacing w:before="120" w:after="120"/>
      </w:pPr>
      <w:r>
        <w:rPr>
          <w:sz w:val="18"/>
        </w:rPr>
        <w:t>——————————————————————————————————————————————————————————————————————</w:t>
      </w:r>
    </w:p>
    <w:p>
      <w:pPr>
        <w:spacing w:before="160" w:after="40" w:line="240" w:lineRule="auto"/>
      </w:pPr>
      <w:r>
        <w:rPr>
          <w:b/>
        </w:rPr>
        <w:t xml:space="preserve">[448] </w:t>
      </w:r>
      <w:hyperlink r:id="rId698">
        <w:r>
          <w:rPr>
            <w:color w:val="1155CC"/>
            <w:u w:val="single"/>
          </w:rPr>
          <w:t>动态红氧化物 — — 在奥多维基-西卢尔群岛过渡期间,铁和养分循环循环驱动甘油石的演变</w:t>
        </w:r>
      </w:hyperlink>
    </w:p>
    <w:p>
      <w:pPr>
        <w:spacing w:before="0" w:after="80"/>
      </w:pPr>
      <w:r>
        <w:rPr>
          <w:i/>
          <w:sz w:val="20"/>
        </w:rPr>
        <w:t>EN: Dynamic redox–promoted iron and nutrient cycling drove graptolite evolution across the Ordovician-Silurian transition</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699">
        <w:r>
          <w:rPr>
            <w:color w:val="1155CC"/>
            <w:u w:val="single"/>
          </w:rPr>
          <w:t>10.1126/sciadv.aea1423</w:t>
        </w:r>
      </w:hyperlink>
    </w:p>
    <w:p>
      <w:pPr>
        <w:spacing w:before="0" w:after="120"/>
      </w:pPr>
      <w:r>
        <w:rPr>
          <w:b/>
        </w:rPr>
        <w:t xml:space="preserve">Notes: </w:t>
      </w:r>
      <w:r>
        <w:t>abstract_source=pubmed</w:t>
      </w:r>
    </w:p>
    <w:p>
      <w:pPr>
        <w:spacing w:before="0" w:after="80" w:lineRule="auto" w:line="276"/>
      </w:pPr>
      <w:r>
        <w:rPr>
          <w:b/>
        </w:rPr>
        <w:t xml:space="preserve">摘要（ZH）: </w:t>
      </w:r>
      <w:r>
        <w:t>在早期帕利奥佐科海洋中,格拉托尔山脉是丰富和世界性的浮游动物,但是在已故的奥多维奇大规模灭绝期间,物种发生了显著变化,我们利用海洋红氧化物、铁同位素(56Fe)和磷的分解记录从大陆架和深海环境评估这一重大重塑海洋中层生态系统背后的驱动因素,中层浮游生物明显减少,与此同时,由于部分海水在深海中层强化,导致部分海水Fe的递减,使大陆架出现了逐步的负转移。 随后,深海和大陆架沉积物中的“56Fe”的正值转移反映了在开发更为广泛的euxinia期间海水Fe的大规模清除。这导致加强了沉积磷的再循环。</w:t>
      </w:r>
    </w:p>
    <w:p>
      <w:pPr>
        <w:spacing w:before="0" w:after="200" w:lineRule="auto" w:line="276"/>
      </w:pPr>
      <w:r>
        <w:rPr>
          <w:b/>
        </w:rPr>
        <w:t xml:space="preserve">Abstract (EN): </w:t>
      </w:r>
      <w:r>
        <w:t>Graptolites were abundant and cosmopolitan zooplankton in Early Paleozoic oceans, but a prominent change in species occurred across the Late Ordovician mass extinction. We use ocean redox, iron isotope (δ56Fe), and phosphorus phase partitioning records from shelf and deep-ocean settings to evaluate the drivers behind this major reshaping of the pelagic marine ecosystem. A marked decrease in mesopelagic graptolites coincided with a stepwise negative δ56Fe shift on the shelf, driven by partial seawater Fe drawdown resulting from episodic intensification of mid-depth euxinia. Subsequently, a positive δ56Fe shift in both deep-ocean and shelf sediments reflects extensive seawater Fe removal during the development of more widespread euxinia. This led to enhanced sedimentary phosphorus recycling from sediments, which ultimately fueled the radiation of epipelagic graptolites. Thus, wide-scale changes in Fe cycling, linking the global oceanic redox state to phosphorus cycling, were ultimately responsible for the initial demise and subsequent radiation of select graptolite species.</w:t>
      </w:r>
    </w:p>
    <w:p>
      <w:pPr>
        <w:spacing w:before="120" w:after="120"/>
      </w:pPr>
      <w:r>
        <w:rPr>
          <w:sz w:val="18"/>
        </w:rPr>
        <w:t>——————————————————————————————————————————————————————————————————————</w:t>
      </w:r>
    </w:p>
    <w:p>
      <w:pPr>
        <w:spacing w:before="160" w:after="40" w:line="240" w:lineRule="auto"/>
      </w:pPr>
      <w:r>
        <w:rPr>
          <w:b/>
        </w:rPr>
        <w:t xml:space="preserve">[449] </w:t>
      </w:r>
      <w:hyperlink r:id="rId700">
        <w:r>
          <w:rPr>
            <w:color w:val="1155CC"/>
            <w:u w:val="single"/>
          </w:rPr>
          <w:t>异常甲基化限制了RIPK3表达式,从而限制了肺肾上腺癌的抗脑炎</w:t>
        </w:r>
      </w:hyperlink>
    </w:p>
    <w:p>
      <w:pPr>
        <w:spacing w:before="0" w:after="80"/>
      </w:pPr>
      <w:r>
        <w:rPr>
          <w:i/>
          <w:sz w:val="20"/>
        </w:rPr>
        <w:t>EN: Aberrant methylation limits antitumoral inflammation in lung adenocarcinoma by restricting RIPK3 expression</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01">
        <w:r>
          <w:rPr>
            <w:color w:val="1155CC"/>
            <w:u w:val="single"/>
          </w:rPr>
          <w:t>10.1126/sciadv.adz9227</w:t>
        </w:r>
      </w:hyperlink>
    </w:p>
    <w:p>
      <w:pPr>
        <w:spacing w:before="0" w:after="120"/>
      </w:pPr>
      <w:r>
        <w:rPr>
          <w:b/>
        </w:rPr>
        <w:t xml:space="preserve">Notes: </w:t>
      </w:r>
      <w:r>
        <w:t>abstract_source=pubmed</w:t>
      </w:r>
    </w:p>
    <w:p>
      <w:pPr>
        <w:spacing w:before="0" w:after="80" w:lineRule="auto" w:line="276"/>
      </w:pPr>
      <w:r>
        <w:rPr>
          <w:b/>
        </w:rPr>
        <w:t xml:space="preserve">摘要（ZH）: </w:t>
      </w:r>
      <w:r>
        <w:t>计划细胞死亡的消失是癌症的一个关键特征,然而,细胞死亡的发炎形式在肺癌中的致炎性形式及其对肿瘤免疫性微环境构成的影响仍然不清楚。我们对肺部肾上腺瘤初级患者样本的多组分析显示,由于受体间蛋白体3(RIPK3)的表达方式减少,坏疽性信号受到抑制。 RIPK3促销区和非促销区都有不同的甲基特征,与RIPK3的转录水平较低有关。 这导致炎症基因的表达有限,具有先进的历史特征,免疫细胞入侵减少,病人存活率下降。 机械上,我们确认了RIPK3促销区和非促销区不同的甲基特征,与RIPK3的转录率较低有关。</w:t>
      </w:r>
    </w:p>
    <w:p>
      <w:pPr>
        <w:spacing w:before="0" w:after="200" w:lineRule="auto" w:line="276"/>
      </w:pPr>
      <w:r>
        <w:rPr>
          <w:b/>
        </w:rPr>
        <w:t xml:space="preserve">Abstract (EN): </w:t>
      </w:r>
      <w:r>
        <w:t>Evasion of programmed cell death is a critical hallmark of cancer. However, the contribution of inflammatory forms of cell death in lung carcinogenesis and their effects on the composition of the tumor-immune microenvironment remain unclear. Our multi-omics analyses of samples from patients with primary lung adenocarcinoma revealed that necrosome signaling is repressed because of reduced expression of receptor-interacting protein kinase 3 (RIPK3). Distinct methylation signatures, both in the RIPK3 promoter and nonpromoter regions, correlated with lower transcription levels of RIPK3. This resulted in limited expression of inflammatory genes, advanced histologic features, reduced immune cell invasion, and decreased patient survival. Mechanistically, we confirmed the tumor-suppressive role of necrosome signaling through the genetic deletion of Ripk3 in two independent, clinically relevant mouse models of lung adenocarcinoma. Functionally, RIPK3 shaped a diverse immune environment by promoting the invasion of innate and adaptive immune cells in patient samples and experimental mice. Thus, RIPK3-mediated inflammatory signaling enhances a diverse immune microenvironment and hinders progression in lung adenocarcinoma.</w:t>
      </w:r>
    </w:p>
    <w:p>
      <w:pPr>
        <w:spacing w:before="120" w:after="120"/>
      </w:pPr>
      <w:r>
        <w:rPr>
          <w:sz w:val="18"/>
        </w:rPr>
        <w:t>——————————————————————————————————————————————————————————————————————</w:t>
      </w:r>
    </w:p>
    <w:p>
      <w:pPr>
        <w:spacing w:before="160" w:after="40" w:line="240" w:lineRule="auto"/>
      </w:pPr>
      <w:r>
        <w:rPr>
          <w:b/>
        </w:rPr>
        <w:t xml:space="preserve">[450] </w:t>
      </w:r>
      <w:hyperlink r:id="rId702">
        <w:r>
          <w:rPr>
            <w:color w:val="1155CC"/>
            <w:u w:val="single"/>
          </w:rPr>
          <w:t>西欧最后冰川极限期间影响深远的猎人-采集者网络</w:t>
        </w:r>
      </w:hyperlink>
    </w:p>
    <w:p>
      <w:pPr>
        <w:spacing w:before="0" w:after="80"/>
      </w:pPr>
      <w:r>
        <w:rPr>
          <w:i/>
          <w:sz w:val="20"/>
        </w:rPr>
        <w:t>EN: Far-reaching hunter-gatherer networks during the Last Glacial Maximum in Western Europe</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03">
        <w:r>
          <w:rPr>
            <w:color w:val="1155CC"/>
            <w:u w:val="single"/>
          </w:rPr>
          <w:t>10.1126/sciadv.adz7697</w:t>
        </w:r>
      </w:hyperlink>
    </w:p>
    <w:p>
      <w:pPr>
        <w:spacing w:before="0" w:after="120"/>
      </w:pPr>
      <w:r>
        <w:rPr>
          <w:b/>
        </w:rPr>
        <w:t xml:space="preserve">Notes: </w:t>
      </w:r>
      <w:r>
        <w:t>abstract_source=pubmed</w:t>
      </w:r>
    </w:p>
    <w:p>
      <w:pPr>
        <w:spacing w:before="0" w:after="80" w:lineRule="auto" w:line="276"/>
      </w:pPr>
      <w:r>
        <w:rPr>
          <w:b/>
        </w:rPr>
        <w:t xml:space="preserve">摘要（ZH）: </w:t>
      </w:r>
      <w:r>
        <w:t>社会网络是狩猎-采集者社会的一个基本特征,它促进货物和信息的流通,使包括长距离接触在内的各种规模的亲属关系得以实现。至少自上帕拉奥利蒂时代以来,这种行为已经为人所知,但从地理上广泛的社会网络证据仍然很少。这一证据仅限于基于共同文化特征、“艺术”风格和象征性物品的间接推论,而利氏原材料的流动大多是局部和地区性的,只有300公里以上。我们为在巴拉奥利蒂时代欧洲一个被确认为破碎的尖尖锐物体的来源和丢弃地点之间的最大距离提供了地球化学证据。在中央伊伯利亚省Pena Capón丢弃的索卢特兰工艺品是酸酸的。</w:t>
      </w:r>
    </w:p>
    <w:p>
      <w:pPr>
        <w:spacing w:before="0" w:after="200" w:lineRule="auto" w:line="276"/>
      </w:pPr>
      <w:r>
        <w:rPr>
          <w:b/>
        </w:rPr>
        <w:t xml:space="preserve">Abstract (EN): </w:t>
      </w:r>
      <w:r>
        <w:t>Social networking is an essential feature of hunter-gatherer societies. It fosters the circulation of goods and information and enables kinship ties across different scales, including long-distance contacts. While such behaviors are known since at least the Upper Palaeolithic, evidence for geographically extensive social networks remains scarce. This evidence is limited to indirect inferences based on shared cultural traits, "art" styles, and symbolic items, while lithic raw material movements are mostly local and regional, with few cases exceeding 300 kilometers. We provide geochemical evidence for the largest confirmed distance between the source and discard location of a knapped lithic object in Palaeolithic Europe. Solutrean artifacts discarded at Peña Capón, Central Iberia, were sourced in Southwest France, 600 to 700 kilometers away. This demonstrates social networks of unprecedented geographic scale maintained during ∼1400 years during the Last Glacial Maximum. It also suggests that stone tools were exchanged as symbolic items to solidify social contacts and sustain far-reaching networks as risk-buffering mechanisms among widely dispersed hunter-gatherers.</w:t>
      </w:r>
    </w:p>
    <w:p>
      <w:pPr>
        <w:spacing w:before="120" w:after="120"/>
      </w:pPr>
      <w:r>
        <w:rPr>
          <w:sz w:val="18"/>
        </w:rPr>
        <w:t>——————————————————————————————————————————————————————————————————————</w:t>
      </w:r>
    </w:p>
    <w:p>
      <w:pPr>
        <w:spacing w:before="160" w:after="40" w:line="240" w:lineRule="auto"/>
      </w:pPr>
      <w:r>
        <w:rPr>
          <w:b/>
        </w:rPr>
        <w:t xml:space="preserve">[451] </w:t>
      </w:r>
      <w:hyperlink r:id="rId704">
        <w:r>
          <w:rPr>
            <w:color w:val="1155CC"/>
            <w:u w:val="single"/>
          </w:rPr>
          <w:t>带有内含大小估量的超快氢分离纳米粒子的二维低脚鼠纳米纳米薄膜</w:t>
        </w:r>
      </w:hyperlink>
    </w:p>
    <w:p>
      <w:pPr>
        <w:spacing w:before="0" w:after="80"/>
      </w:pPr>
      <w:r>
        <w:rPr>
          <w:i/>
          <w:sz w:val="20"/>
        </w:rPr>
        <w:t>EN: Two-dimensional lamellar nanosheet membranes with intrinsic size-sieving nanopores for ultrafast hydrogen separation</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05">
        <w:r>
          <w:rPr>
            <w:color w:val="1155CC"/>
            <w:u w:val="single"/>
          </w:rPr>
          <w:t>10.1126/sciadv.adz5523</w:t>
        </w:r>
      </w:hyperlink>
    </w:p>
    <w:p>
      <w:pPr>
        <w:spacing w:before="0" w:after="120"/>
      </w:pPr>
      <w:r>
        <w:rPr>
          <w:b/>
        </w:rPr>
        <w:t xml:space="preserve">Notes: </w:t>
      </w:r>
      <w:r>
        <w:t>abstract_source=pubmed</w:t>
      </w:r>
    </w:p>
    <w:p>
      <w:pPr>
        <w:spacing w:before="0" w:after="80" w:lineRule="auto" w:line="276"/>
      </w:pPr>
      <w:r>
        <w:rPr>
          <w:b/>
        </w:rPr>
        <w:t xml:space="preserve">摘要（ZH）: </w:t>
      </w:r>
      <w:r>
        <w:t>氢氢的分离和净化是大规模应用绿色氢能的关键。二维(2D)基于材料的膜技术提供了一种节能方法;然而,现有的2D低渗透性低和复杂的制备程序为2D 瘸子环斑膜和纳米多膜抗争提供了节能方法。在这里,我们通过将纳米聚聚聚聚合碳硝酸酯(PCN)纳米薄膜(PCN)组装成一个瘸子耳膜,建造了2D 低渗透性和复杂制备程序,内含内积缩缩缩缩缩缩微薄膜,将纳米聚聚聚合碳硝酸酯(PCN)纳米薄膜(PCN)纳米薄膜(MXene)组装成高 H2 渗透度870至 8046 GPU,考虑a</w:t>
      </w:r>
    </w:p>
    <w:p>
      <w:pPr>
        <w:spacing w:before="0" w:after="200" w:lineRule="auto" w:line="276"/>
      </w:pPr>
      <w:r>
        <w:rPr>
          <w:b/>
        </w:rPr>
        <w:t xml:space="preserve">Abstract (EN): </w:t>
      </w:r>
      <w:r>
        <w:t>Hydrogen separation and purification are essential for the large-scale application of green hydrogen energy. Two-dimensional (2D) material-based membrane technology provides an energy-efficient approach; however, the existing 2D lamellar membranes and nanoporous membranes struggle with low permeability and complex preparation procedures. Here, we constructed 2D lamellar nanosheet membranes with intrinsic size-sieving nanopores by assembling nanoporous polymeric carbon nitride (PCN) nanosheets into a lamellar membrane. These membranes exhibit high selectivity and permeance and ease of preparation. By applying MXene as the strong interaction patch for covering and repairing defects on PCN nanosheets, the resultant membranes demonstrated an ultrahigh H2 permeance of 870 to 8046 GPU, considerable selectivity, and superior long-term stability, outperforming most current state-of-the-art membranes. Economic analysis revealed that MXene/PCN membranes achieved ultralow energy consumption and minimal membrane area demands for practical applications. This study inspires the construction of 2D lamellar membranes with intrinsic nanopores and provides a simple and scalable approach to preparing high-performance 2D nanosheet membranes for hydrogen separation.</w:t>
      </w:r>
    </w:p>
    <w:p>
      <w:pPr>
        <w:spacing w:before="120" w:after="120"/>
      </w:pPr>
      <w:r>
        <w:rPr>
          <w:sz w:val="18"/>
        </w:rPr>
        <w:t>——————————————————————————————————————————————————————————————————————</w:t>
      </w:r>
    </w:p>
    <w:p>
      <w:pPr>
        <w:spacing w:before="160" w:after="40" w:line="240" w:lineRule="auto"/>
      </w:pPr>
      <w:r>
        <w:rPr>
          <w:b/>
        </w:rPr>
        <w:t xml:space="preserve">[452] </w:t>
      </w:r>
      <w:hyperlink r:id="rId706">
        <w:r>
          <w:rPr>
            <w:color w:val="1155CC"/>
            <w:u w:val="single"/>
          </w:rPr>
          <w:t>黄黄等人的减肥,南层的阿拉比诺白藻蛋白蛋白是英国常春藤所隐匿的高强度粘合剂的关键成分。</w:t>
        </w:r>
      </w:hyperlink>
    </w:p>
    <w:p>
      <w:pPr>
        <w:spacing w:before="0" w:after="80"/>
      </w:pPr>
      <w:r>
        <w:rPr>
          <w:i/>
          <w:sz w:val="20"/>
        </w:rPr>
        <w:t>EN: Retraction for Huang et al., Nanospherical arabinogalactan proteins are a key component of the high-strength adhesive secreted by English ivy</w:t>
      </w:r>
    </w:p>
    <w:p>
      <w:pPr>
        <w:spacing w:before="0" w:after="120"/>
      </w:pPr>
      <w:r>
        <w:rPr>
          <w:b/>
        </w:rPr>
        <w:t xml:space="preserve">Source: </w:t>
      </w:r>
      <w:r>
        <w:t>Proceedings of the National Academy of Sciences: Keyword search for query</w:t>
      </w:r>
      <w:r>
        <w:t xml:space="preserve">    </w:t>
      </w:r>
      <w:r>
        <w:rPr>
          <w:b/>
        </w:rPr>
        <w:t xml:space="preserve">Pub date: </w:t>
      </w:r>
      <w:r>
        <w:t>2026-01-21 08:00:00+00:00</w:t>
      </w:r>
      <w:r>
        <w:t xml:space="preserve">    </w:t>
      </w:r>
      <w:r>
        <w:rPr>
          <w:b/>
        </w:rPr>
        <w:t xml:space="preserve">DOI: </w:t>
      </w:r>
      <w:hyperlink r:id="rId707">
        <w:r>
          <w:rPr>
            <w:color w:val="1155CC"/>
            <w:u w:val="single"/>
          </w:rPr>
          <w:t>10.1073/pnas.2537150123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708">
        <w:r>
          <w:rPr>
            <w:color w:val="1155CC"/>
            <w:u w:val="single"/>
          </w:rPr>
          <w:t>可调适的热反应聚合物,用于植物电生理监测中的长期电路结合</w:t>
        </w:r>
      </w:hyperlink>
    </w:p>
    <w:p>
      <w:pPr>
        <w:spacing w:before="0" w:after="80"/>
      </w:pPr>
      <w:r>
        <w:rPr>
          <w:i/>
          <w:sz w:val="20"/>
        </w:rPr>
        <w:t>EN: Adaptable thermoresponsive polymer for long-term electrical coupling in plant electrophysiology monitoring</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09">
        <w:r>
          <w:rPr>
            <w:color w:val="1155CC"/>
            <w:u w:val="single"/>
          </w:rPr>
          <w:t>10.1126/sciadv.ady1400</w:t>
        </w:r>
      </w:hyperlink>
    </w:p>
    <w:p>
      <w:pPr>
        <w:spacing w:before="0" w:after="120"/>
      </w:pPr>
      <w:r>
        <w:rPr>
          <w:b/>
        </w:rPr>
        <w:t xml:space="preserve">Notes: </w:t>
      </w:r>
      <w:r>
        <w:t>abstract_source=pubmed</w:t>
      </w:r>
    </w:p>
    <w:p>
      <w:pPr>
        <w:spacing w:before="0" w:after="80" w:lineRule="auto" w:line="276"/>
      </w:pPr>
      <w:r>
        <w:rPr>
          <w:b/>
        </w:rPr>
        <w:t xml:space="preserve">摘要（ZH）: </w:t>
      </w:r>
      <w:r>
        <w:t>尽管在测量方法方面取得了进展,但长期( &gt; 1天)获取技术仍然有限,妨碍了持续监测。目前的长期技术依赖于入侵电极,因为非侵入性电极在运行期间和可兼容性方面都落后于非侵入性电极。在这里,为不同植物的非侵入性、月度电理学监测开发了电极和可调整的组合层。适应性搭配层由原位软凝胶过渡形成,随后对植物进行温度反应性水凝体脱水,实现对复杂表面的高度兼容性和稳定的电联结。在离岸时,一个月的时间为1个月。</w:t>
      </w:r>
    </w:p>
    <w:p>
      <w:pPr>
        <w:spacing w:before="0" w:after="200" w:lineRule="auto" w:line="276"/>
      </w:pPr>
      <w:r>
        <w:rPr>
          <w:b/>
        </w:rPr>
        <w:t xml:space="preserve">Abstract (EN): </w:t>
      </w:r>
      <w:r>
        <w:t>Electrophysiological signals provide valuable insights into plant health, facilitating measures to enhance crop productivity. Despite advances in measurement methods, long-term (&gt;1 day) acquisition techniques remain limited, hindering continuous monitoring. Current long-term techniques rely on invasive electrodes, as noninvasive electrodes fall short in operational duration and conformability. Here, a capacitively coupled electrode with an adaptable coupling layer is developed for noninvasive, month-long electrophysiological monitoring on diverse plants. The adaptable coupling layer is formed by in situ sol-gel transition, followed by dehydration of thermoresponsive hydrogel on plants, achieving high conformability to complex surfaces and stable electrical coupling. For 1 month on trichome-covered plant surfaces, the electrode maintains a high signal-to-noise ratio comparable to a gold-standard noninvasive electrode, which typically lasts a few hours. Long-term monitoring reveals drought-specific signal features that correlate with plant water status. Physiological investigations indicate an essential role of calcium and reactive oxygen species, highlighting the potential of our electrode in generating biological insights and inspiring plant sensing innovations.</w:t>
      </w:r>
    </w:p>
    <w:p>
      <w:pPr>
        <w:spacing w:before="120" w:after="120"/>
      </w:pPr>
      <w:r>
        <w:rPr>
          <w:sz w:val="18"/>
        </w:rPr>
        <w:t>——————————————————————————————————————————————————————————————————————</w:t>
      </w:r>
    </w:p>
    <w:p>
      <w:pPr>
        <w:spacing w:before="160" w:after="40" w:line="240" w:lineRule="auto"/>
      </w:pPr>
      <w:r>
        <w:rPr>
          <w:b/>
        </w:rPr>
        <w:t xml:space="preserve">[454] </w:t>
      </w:r>
      <w:hyperlink r:id="rId710">
        <w:r>
          <w:rPr>
            <w:color w:val="1155CC"/>
            <w:u w:val="single"/>
          </w:rPr>
          <w:t>将颗粒相配成holoomies</w:t>
        </w:r>
      </w:hyperlink>
    </w:p>
    <w:p>
      <w:pPr>
        <w:spacing w:before="0" w:after="80"/>
      </w:pPr>
      <w:r>
        <w:rPr>
          <w:i/>
          <w:sz w:val="20"/>
        </w:rPr>
        <w:t>EN: Pairing particles into holonomies</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11">
        <w:r>
          <w:rPr>
            <w:color w:val="1155CC"/>
            <w:u w:val="single"/>
          </w:rPr>
          <w:t>10.1126/sciadv.ady3856</w:t>
        </w:r>
      </w:hyperlink>
    </w:p>
    <w:p>
      <w:pPr>
        <w:spacing w:before="0" w:after="120"/>
      </w:pPr>
      <w:r>
        <w:rPr>
          <w:b/>
        </w:rPr>
        <w:t xml:space="preserve">Notes: </w:t>
      </w:r>
      <w:r>
        <w:t>abstract_source=pubmed</w:t>
      </w:r>
    </w:p>
    <w:p>
      <w:pPr>
        <w:spacing w:before="0" w:after="80" w:lineRule="auto" w:line="276"/>
      </w:pPr>
      <w:r>
        <w:rPr>
          <w:b/>
        </w:rPr>
        <w:t xml:space="preserve">摘要（ZH）: </w:t>
      </w:r>
      <w:r>
        <w:t>量子计算和模拟对全息体非常感兴趣。 荷洛诺米斯的几何性质为量子门提供了更大的稳定性。 此外, 粒子物理的对称性自然地反映在荷洛米斯中, 使得粒子物理的对称性自然地体现在其适合量子铬动力学和大统一理论的量子模拟中。 然而, 实际设计具有所需属性和规模的量子全息体是具有挑战性的。 在这里, 我们通过增加粒子数来构建一个新的类荷罗米斯。 我们显示, 多粒子全息体甚至可以在没有单粒子全息体的系统中存在。 我们提出了一个多粒子量体和实验性地在综合光子体中实现各种两粒子的荷洛诺米斯。 我们的结果在综合光学中 。</w:t>
      </w:r>
    </w:p>
    <w:p>
      <w:pPr>
        <w:spacing w:before="0" w:after="200" w:lineRule="auto" w:line="276"/>
      </w:pPr>
      <w:r>
        <w:rPr>
          <w:b/>
        </w:rPr>
        <w:t xml:space="preserve">Abstract (EN): </w:t>
      </w:r>
      <w:r>
        <w:t>Holonomies are of great interest to quantum computation and simulation. The geometrical nature of holonomies offers increased stability to quantum gates. Furthermore, symmetries of particle physics are naturally reflected in holonomies, making them ideally suited for quantum simulation of quantum chromodynamics and grand unified theories. Yet, practically designing quantum holonomies with the required properties and scale is challenging. Here, we construct a new class of holonomies by increasing the particle number. We show that multiparticle holonomies can even exist in systems devoid of any single-particle holonomies. We present a comprehensive framework for multiparticle quantum holonomies and experimentally realize various two-particle holonomies in integrated photonics. Our results enable the number of particles to be harnessed as a design parameter, offering increased freedom in constructing holonomic systems.</w:t>
      </w:r>
    </w:p>
    <w:p>
      <w:pPr>
        <w:spacing w:before="120" w:after="120"/>
      </w:pPr>
      <w:r>
        <w:rPr>
          <w:sz w:val="18"/>
        </w:rPr>
        <w:t>——————————————————————————————————————————————————————————————————————</w:t>
      </w:r>
    </w:p>
    <w:p>
      <w:pPr>
        <w:spacing w:before="160" w:after="40" w:line="240" w:lineRule="auto"/>
      </w:pPr>
      <w:r>
        <w:rPr>
          <w:b/>
        </w:rPr>
        <w:t xml:space="preserve">[455] </w:t>
      </w:r>
      <w:hyperlink r:id="rId712">
        <w:r>
          <w:rPr>
            <w:color w:val="1155CC"/>
            <w:u w:val="single"/>
          </w:rPr>
          <w:t>整个生命周期基因组协会研究的全生命周期基因组全协会研究的元分析改进了对乳癌风险的消亡影响的关键生命阶段。</w:t>
        </w:r>
      </w:hyperlink>
    </w:p>
    <w:p>
      <w:pPr>
        <w:spacing w:before="0" w:after="80"/>
      </w:pPr>
      <w:r>
        <w:rPr>
          <w:i/>
          <w:sz w:val="20"/>
        </w:rPr>
        <w:t>EN: Lifecourse genome-wide association study meta-analysis refines the critical life stages for adiposity’s influence on breast cancer risk</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13">
        <w:r>
          <w:rPr>
            <w:color w:val="1155CC"/>
            <w:u w:val="single"/>
          </w:rPr>
          <w:t>10.1126/sciadv.ady0374</w:t>
        </w:r>
      </w:hyperlink>
    </w:p>
    <w:p>
      <w:pPr>
        <w:spacing w:before="0" w:after="120"/>
      </w:pPr>
      <w:r>
        <w:rPr>
          <w:b/>
        </w:rPr>
        <w:t xml:space="preserve">Notes: </w:t>
      </w:r>
      <w:r>
        <w:t>abstract_source=pubmed</w:t>
      </w:r>
    </w:p>
    <w:p>
      <w:pPr>
        <w:spacing w:before="0" w:after="80" w:lineRule="auto" w:line="276"/>
      </w:pPr>
      <w:r>
        <w:rPr>
          <w:b/>
        </w:rPr>
        <w:t xml:space="preserve">摘要（ZH）: </w:t>
      </w:r>
      <w:r>
        <w:t>先前的证据表明,较高的出生前消亡率可以防止乳腺癌风险。这种保护是否延伸到早期成年尚不确定。我们进行了五组人中从月经到小40年无脊椎妇女的身体质量指数(BMI)的全基因组协会研究,对生命阶段的三个次相隔期进行了进一步分析。结果进行了元分析,在生命周期框架内应用了两类混合的、可辨别和多变的男性随机化,以评估BMI对乳腺癌风险的影响。在月经和小于40年之间,我们观察到遗传效应方面的异质性。整个基因组的关联进一步表明,在这一早期的成人阶段,BMI可能部分受到与甲状腺相比的不同遗传因素的影响。</w:t>
      </w:r>
    </w:p>
    <w:p>
      <w:pPr>
        <w:spacing w:before="0" w:after="200" w:lineRule="auto" w:line="276"/>
      </w:pPr>
      <w:r>
        <w:rPr>
          <w:b/>
        </w:rPr>
        <w:t xml:space="preserve">Abstract (EN): </w:t>
      </w:r>
      <w:r>
        <w:t>Previous evidence suggests that higher prepubertal adiposity protects against breast cancer risk. Whether this protection extends into early adulthood remains uncertain. We conducted genome-wide association studies on body mass index (BMI) in nulliparous women from menarche to &lt;40 years across five cohorts, with additional analyses in three subintervals of this life stage. Results were meta-analyzed, and two-sample univariable and multivariable Mendelian randomization was applied within a lifecourse framework to assess the effect of BMI on breast cancer risk. Between menarche and &lt;40 years, we observed heterogeneity in genetic effects. Genome-wide correlations further suggest that BMI during this early adult period may be partly influenced by distinct genetic factors compared with adiposity at other life stages. Higher genetically proxied BMI between menarche and 40 years reduced breast cancer risk. This protective effect attenuated after adjusting for prepubertal adiposity. These findings refine our understanding of adiposity's role in breast cancer and highlight earlier life stages as critical windows for risk modulation.</w:t>
      </w:r>
    </w:p>
    <w:p>
      <w:pPr>
        <w:spacing w:before="120" w:after="120"/>
      </w:pPr>
      <w:r>
        <w:rPr>
          <w:sz w:val="18"/>
        </w:rPr>
        <w:t>——————————————————————————————————————————————————————————————————————</w:t>
      </w:r>
    </w:p>
    <w:p>
      <w:pPr>
        <w:spacing w:before="160" w:after="40" w:line="240" w:lineRule="auto"/>
      </w:pPr>
      <w:r>
        <w:rPr>
          <w:b/>
        </w:rPr>
        <w:t xml:space="preserve">[456] </w:t>
      </w:r>
      <w:hyperlink r:id="rId714">
        <w:r>
          <w:rPr>
            <w:color w:val="1155CC"/>
            <w:u w:val="single"/>
          </w:rPr>
          <w:t>最佳设计HLA/专用CAR-T细胞优于TCR-T细胞,以根除固态肿瘤</w:t>
        </w:r>
      </w:hyperlink>
    </w:p>
    <w:p>
      <w:pPr>
        <w:spacing w:before="0" w:after="80"/>
      </w:pPr>
      <w:r>
        <w:rPr>
          <w:i/>
          <w:sz w:val="20"/>
        </w:rPr>
        <w:t>EN: Optimally engineered HLA/peptide-specific CAR-T cells outperform TCR-T cells to eradicate solid tumors</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15">
        <w:r>
          <w:rPr>
            <w:color w:val="1155CC"/>
            <w:u w:val="single"/>
          </w:rPr>
          <w:t>10.1126/sciadv.adx9371</w:t>
        </w:r>
      </w:hyperlink>
    </w:p>
    <w:p>
      <w:pPr>
        <w:spacing w:before="0" w:after="120"/>
      </w:pPr>
      <w:r>
        <w:rPr>
          <w:b/>
        </w:rPr>
        <w:t xml:space="preserve">Notes: </w:t>
      </w:r>
      <w:r>
        <w:t>abstract_source=pubmed</w:t>
      </w:r>
    </w:p>
    <w:p>
      <w:pPr>
        <w:spacing w:before="0" w:after="80" w:lineRule="auto" w:line="276"/>
      </w:pPr>
      <w:r>
        <w:rPr>
          <w:b/>
        </w:rPr>
        <w:t xml:space="preserve">摘要（ZH）: </w:t>
      </w:r>
      <w:r>
        <w:t>两种基于细胞的模式可以针对pHLA表示的肿瘤:T细胞受体(TCRs)或TCR-imati(TCRm)抗体(TCRm),它们被改制成乳腺抗原受体(CARs)。我们用HLA-A2/MAGEA42A4230-239作为pHLA的模型,发现了TCR-T和CAR-T细胞的相对能力,告知如何最佳地将这些细胞用于临床利益。虽然TCR-T细胞在检测低密度pHLA时比较敏感,但TRR-T细胞只在活性抗图象效果方面施加了中转作用,随后又由于TCR-T细胞扩散不足和持久性与一种更加有差别和功能失调的阴性型有关而导致的肿瘤复发。相比之下,CAR-T细胞的编码成本模拟信号是完全倒退的肿瘤。</w:t>
      </w:r>
    </w:p>
    <w:p>
      <w:pPr>
        <w:spacing w:before="0" w:after="200" w:lineRule="auto" w:line="276"/>
      </w:pPr>
      <w:r>
        <w:rPr>
          <w:b/>
        </w:rPr>
        <w:t xml:space="preserve">Abstract (EN): </w:t>
      </w:r>
      <w:r>
        <w:t>Tumor-specific HLA/peptides (pHLA) represent attractive therapeutic targets for cancer. Two cell-based modalities can target pHLA-expressing tumors: T cell receptors (TCRs) or TCR-mimetic (TCRm) antibodies reformatted as chimeric antigen receptors (CARs). Using HLA-A2/MAGEA4230-239 as a model pHLA, we discerned the relative potency of TCR-T and CAR-T cells, informing how to best deploy these for clinical benefit. Although TCR-T cells were more sensitive at detecting low-density pHLA, TCR-T cells exerted only transient in vivo antitumor efficacy followed by tumor relapse due to deficient TCR-T cell proliferation and persistence that was associated with a more differentiated and dysfunctional phenotype. By contrast, CAR-T cells with encoded costimulatory signaling fully regressed tumors. Insufficient TCR-T cell durability was overcome by coengaging 41BB or IL-2 signaling pathways, thereby enhancing tumor control in vivo. These data establish differential activities of human TCR-T and CAR-T cells targeting the same pHLA and inform the development of optimal targeting strategies to induce durable clinical responses.</w:t>
      </w:r>
    </w:p>
    <w:p>
      <w:pPr>
        <w:spacing w:before="120" w:after="120"/>
      </w:pPr>
      <w:r>
        <w:rPr>
          <w:sz w:val="18"/>
        </w:rPr>
        <w:t>——————————————————————————————————————————————————————————————————————</w:t>
      </w:r>
    </w:p>
    <w:p>
      <w:pPr>
        <w:spacing w:before="160" w:after="40" w:line="240" w:lineRule="auto"/>
      </w:pPr>
      <w:r>
        <w:rPr>
          <w:b/>
        </w:rPr>
        <w:t xml:space="preserve">[457] </w:t>
      </w:r>
      <w:hyperlink r:id="rId716">
        <w:r>
          <w:rPr>
            <w:color w:val="1155CC"/>
            <w:u w:val="single"/>
          </w:rPr>
          <w:t>治疗视网膜缺血性伤害</w:t>
        </w:r>
      </w:hyperlink>
    </w:p>
    <w:p>
      <w:pPr>
        <w:spacing w:before="0" w:after="80"/>
      </w:pPr>
      <w:r>
        <w:rPr>
          <w:i/>
          <w:sz w:val="20"/>
        </w:rPr>
        <w:t>EN: Healing of ischemic injury in the retina</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17">
        <w:r>
          <w:rPr>
            <w:color w:val="1155CC"/>
            <w:u w:val="single"/>
          </w:rPr>
          <w:t>10.1126/sciadv.adx7204</w:t>
        </w:r>
      </w:hyperlink>
    </w:p>
    <w:p>
      <w:pPr>
        <w:spacing w:before="0" w:after="120"/>
      </w:pPr>
      <w:r>
        <w:rPr>
          <w:b/>
        </w:rPr>
        <w:t xml:space="preserve">Notes: </w:t>
      </w:r>
      <w:r>
        <w:t>abstract_source=pubmed</w:t>
      </w:r>
    </w:p>
    <w:p>
      <w:pPr>
        <w:spacing w:before="0" w:after="80" w:lineRule="auto" w:line="276"/>
      </w:pPr>
      <w:r>
        <w:rPr>
          <w:b/>
        </w:rPr>
        <w:t xml:space="preserve">摘要（ZH）: </w:t>
      </w:r>
      <w:r>
        <w:t>神经和视网膜退化疾病,包括阿尔茨海默氏、中风、与年龄有关的肌肉畸形和中视网膜动脉隔绝,使数百万人失去独立能力。在人类视网膜中研究这些疾病受到死后神经活动迅速丧失的阻碍。虽然一些CNS活动在死后恢复了,但30分钟以上的同步神经传播仍然难以实现。我们通过恢复和维持死后4小时恢复并储存48小时的人类视网膜的光信号传输克服了这一障碍。我们还采用了红外线异活性成像进行精确取样,一种封闭的药物测试聚变系统,以及老鼠和人类视网膜的异血凝化模型。这个平台可以测试神经素。这个平台可以测试神经素。</w:t>
      </w:r>
    </w:p>
    <w:p>
      <w:pPr>
        <w:spacing w:before="0" w:after="200" w:lineRule="auto" w:line="276"/>
      </w:pPr>
      <w:r>
        <w:rPr>
          <w:b/>
        </w:rPr>
        <w:t xml:space="preserve">Abstract (EN): </w:t>
      </w:r>
      <w:r>
        <w:t>Neuro- and retinal degenerative diseases, including Alzheimer's, stroke, age-related macular degeneration, and central retinal artery occlusion, rob millions of their independence. Studying these diseases in human retinas has been hindered by the rapid loss of neuronal activity after death. While some CNS activity has been restored postmortem, synchronized neuronal transmission beyond 30 min has remained elusive. We overcome this barrier by reviving and sustaining light signal transmission in human retinas recovered up to 4 hours after death and stored for up to 48 hours. We also introduce infrared-based ex vivo imaging for precise sampling, a closed perfusion system for drug testing, and an ex vivo ischemia-reperfusion model in mouse and human retina. This platform enables testing of neuroprotective and neurotoxic effects of drugs targeting oxidative stress and glutamate excitotoxicity. Our advances question the irreversibility of ischemic injury, support preclinical studies in vision restoration, offer insights into treating CNS ischemia, and pave the way for human donor eye transplantation.</w:t>
      </w:r>
    </w:p>
    <w:p>
      <w:pPr>
        <w:spacing w:before="120" w:after="120"/>
      </w:pPr>
      <w:r>
        <w:rPr>
          <w:sz w:val="18"/>
        </w:rPr>
        <w:t>——————————————————————————————————————————————————————————————————————</w:t>
      </w:r>
    </w:p>
    <w:p>
      <w:pPr>
        <w:spacing w:before="160" w:after="40" w:line="240" w:lineRule="auto"/>
      </w:pPr>
      <w:r>
        <w:rPr>
          <w:b/>
        </w:rPr>
        <w:t xml:space="preserve">[458] </w:t>
      </w:r>
      <w:hyperlink r:id="rId718">
        <w:r>
          <w:rPr>
            <w:color w:val="1155CC"/>
            <w:u w:val="single"/>
          </w:rPr>
          <w:t>Piezozower 地表电平电平电平表面音响波光波神经网络</w:t>
        </w:r>
      </w:hyperlink>
    </w:p>
    <w:p>
      <w:pPr>
        <w:spacing w:before="0" w:after="80"/>
      </w:pPr>
      <w:r>
        <w:rPr>
          <w:i/>
          <w:sz w:val="20"/>
        </w:rPr>
        <w:t>EN: Piezoelectric surface acoustic wave memristor neural network</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19">
        <w:r>
          <w:rPr>
            <w:color w:val="1155CC"/>
            <w:u w:val="single"/>
          </w:rPr>
          <w:t>10.1126/sciadv.adx6227</w:t>
        </w:r>
      </w:hyperlink>
    </w:p>
    <w:p>
      <w:pPr>
        <w:spacing w:before="0" w:after="120"/>
      </w:pPr>
      <w:r>
        <w:rPr>
          <w:b/>
        </w:rPr>
        <w:t xml:space="preserve">Notes: </w:t>
      </w:r>
      <w:r>
        <w:t>abstract_source=pubmed</w:t>
      </w:r>
    </w:p>
    <w:p>
      <w:pPr>
        <w:spacing w:before="0" w:after="80" w:lineRule="auto" w:line="276"/>
      </w:pPr>
      <w:r>
        <w:rPr>
          <w:b/>
        </w:rPr>
        <w:t xml:space="preserve">摘要（ZH）: </w:t>
      </w:r>
      <w:r>
        <w:t>利用模拟电磁(EM)波基神经网络处理无线RF信号,通过综合遥感、记忆和计算,避免模拟到数字转换(ADCs)和von-Neumann瓶颈,使能源效率和平行化。然而,一个值得注意的挑战仍然是:缺乏用于EM波基神经网络的紧凑和可编程的构件块。为了克服这一限制,我们提议了一台将AG/SiO2/Au 模模模光机与电相相电转换器相结合的压电电电表表面声波(SAWW)模仪,它以比EM波更短的波长的速度运行,它提供了一个紧凑的足迹,并编码了通过非挥发性程序可编程和电波效应的金枪鱼状神经网络参数。</w:t>
      </w:r>
    </w:p>
    <w:p>
      <w:pPr>
        <w:spacing w:before="0" w:after="200" w:lineRule="auto" w:line="276"/>
      </w:pPr>
      <w:r>
        <w:rPr>
          <w:b/>
        </w:rPr>
        <w:t xml:space="preserve">Abstract (EN): </w:t>
      </w:r>
      <w:r>
        <w:t>Processing wireless RF signals using analog electromagnetic (EM) wave-based neural networks enables energy efficiency and parallelism by integrating sensing, memory, and computation, avoiding analog-to-digital conversions (ADCs) and the von-Neumann bottleneck. Yet, a notable challenge remains: the absence of compact and programmable building blocks for EM wave-based neural networks. To overcome this limitation, we propose a piezoelectric surface acoustic wave (SAW) memristor that integrates an Ag/SiO2/Au memristor with an acoustoelectric phase shifter. Operating at shorter wavelengths than EM waves, it offers a compact footprint and encodes tunable neural network parameters via nonvolatile programmability and the acoustoelectric effect. A proof-of-concept SAW memristor neural network was experimentally demonstrated on a vector classification task, achieving 91.7% accuracy on par with software while reducing footprint by 105 times versus EM systems and energy consumption by 37 times versus digital systems. This work paves the way for compact, energy-efficient RF signal processing at the edge.</w:t>
      </w:r>
    </w:p>
    <w:p>
      <w:pPr>
        <w:spacing w:before="120" w:after="120"/>
      </w:pPr>
      <w:r>
        <w:rPr>
          <w:sz w:val="18"/>
        </w:rPr>
        <w:t>——————————————————————————————————————————————————————————————————————</w:t>
      </w:r>
    </w:p>
    <w:p>
      <w:pPr>
        <w:spacing w:before="160" w:after="40" w:line="240" w:lineRule="auto"/>
      </w:pPr>
      <w:r>
        <w:rPr>
          <w:b/>
        </w:rPr>
        <w:t xml:space="preserve">[459] </w:t>
      </w:r>
      <w:hyperlink r:id="rId720">
        <w:r>
          <w:rPr>
            <w:color w:val="1155CC"/>
            <w:u w:val="single"/>
          </w:rPr>
          <w:t>以动态环境为基础更新视觉皮层中物体表示方式的动态更新</w:t>
        </w:r>
      </w:hyperlink>
    </w:p>
    <w:p>
      <w:pPr>
        <w:spacing w:before="0" w:after="80"/>
      </w:pPr>
      <w:r>
        <w:rPr>
          <w:i/>
          <w:sz w:val="20"/>
        </w:rPr>
        <w:t>EN: Dynamic context–based updating of object representations in the visual cortex</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21">
        <w:r>
          <w:rPr>
            <w:color w:val="1155CC"/>
            <w:u w:val="single"/>
          </w:rPr>
          <w:t>10.1126/sciadv.adw6726</w:t>
        </w:r>
      </w:hyperlink>
    </w:p>
    <w:p>
      <w:pPr>
        <w:spacing w:before="0" w:after="120"/>
      </w:pPr>
      <w:r>
        <w:rPr>
          <w:b/>
        </w:rPr>
        <w:t xml:space="preserve">Notes: </w:t>
      </w:r>
      <w:r>
        <w:t>abstract_source=pubmed</w:t>
      </w:r>
    </w:p>
    <w:p>
      <w:pPr>
        <w:spacing w:before="0" w:after="80" w:lineRule="auto" w:line="276"/>
      </w:pPr>
      <w:r>
        <w:rPr>
          <w:b/>
        </w:rPr>
        <w:t xml:space="preserve">摘要（ZH）: </w:t>
      </w:r>
      <w:r>
        <w:t>现实世界场景中的物体往往不易或部分可见,例如因为它们被隐蔽或出现在外围。现实世界视觉的另一个挑战是它具有动态性,导致物体的外观(例如其大小和方向)随着我们移动而变化。然而,值得注意的是,这些变化从周围场景的三维结构中是可以预测的。在两个功能性磁共振成像研究中,我们发现视觉皮层动态更新了使用这种预测性背景信息的物体显示。首先,当物体与周围场景同步旋转时,其视觉皮层的表示方式得到加强。第二,该物体的推断方向可以从视觉c中解码。</w:t>
      </w:r>
    </w:p>
    <w:p>
      <w:pPr>
        <w:spacing w:before="0" w:after="200" w:lineRule="auto" w:line="276"/>
      </w:pPr>
      <w:r>
        <w:rPr>
          <w:b/>
        </w:rPr>
        <w:t xml:space="preserve">Abstract (EN): </w:t>
      </w:r>
      <w:r>
        <w:t>Objects in real-world scenes are often poorly or partially visible, for example because they are occluded or appear in the periphery. An additional challenge of real-world vision is that it is dynamic, causing the appearance of objects (e.g., their size and orientation) to change as we move. Notably, however, these changes are predictable from the three-dimensional structure of the surrounding scene. In two functional magnetic resonance imaging studies, we find that the visual cortex dynamically updates object representations using this predictive contextual information. First, visual cortical representations of objects were enhanced when they rotated congruently (versus incongruently) with the surrounding scene. Second, the inferred orientation of the object could be decoded from visual cortex activity even when the object was fully occluded. These findings indicate that predictive processes in the visual cortex follow the geometric structure of the environment, providing a mechanism to support object perception in dynamic natural vision.</w:t>
      </w:r>
    </w:p>
    <w:p>
      <w:pPr>
        <w:spacing w:before="120" w:after="120"/>
      </w:pPr>
      <w:r>
        <w:rPr>
          <w:sz w:val="18"/>
        </w:rPr>
        <w:t>——————————————————————————————————————————————————————————————————————</w:t>
      </w:r>
    </w:p>
    <w:p>
      <w:pPr>
        <w:spacing w:before="160" w:after="40" w:line="240" w:lineRule="auto"/>
      </w:pPr>
      <w:r>
        <w:rPr>
          <w:b/>
        </w:rPr>
        <w:t xml:space="preserve">[460] </w:t>
      </w:r>
      <w:hyperlink r:id="rId722">
        <w:r>
          <w:rPr>
            <w:color w:val="1155CC"/>
            <w:u w:val="single"/>
          </w:rPr>
          <w:t>RNA-seq 揭示出由中微子驱动的复合转录程序,以及管状颗粒内的坏死。</w:t>
        </w:r>
      </w:hyperlink>
    </w:p>
    <w:p>
      <w:pPr>
        <w:spacing w:before="0" w:after="80"/>
      </w:pPr>
      <w:r>
        <w:rPr>
          <w:i/>
          <w:sz w:val="20"/>
        </w:rPr>
        <w:t>EN: Granuloma dual RNA-seq reveals composite transcriptional programs driven by neutrophils and necrosis within tuberculous granulomas</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23">
        <w:r>
          <w:rPr>
            <w:color w:val="1155CC"/>
            <w:u w:val="single"/>
          </w:rPr>
          <w:t>10.1126/sciadv.adw4619</w:t>
        </w:r>
      </w:hyperlink>
    </w:p>
    <w:p>
      <w:pPr>
        <w:spacing w:before="0" w:after="120"/>
      </w:pPr>
      <w:r>
        <w:rPr>
          <w:b/>
        </w:rPr>
        <w:t xml:space="preserve">Notes: </w:t>
      </w:r>
      <w:r>
        <w:t>abstract_source=pubmed</w:t>
      </w:r>
    </w:p>
    <w:p>
      <w:pPr>
        <w:spacing w:before="0" w:after="80" w:lineRule="auto" w:line="276"/>
      </w:pPr>
      <w:r>
        <w:rPr>
          <w:b/>
        </w:rPr>
        <w:t xml:space="preserve">摘要（ZH）: </w:t>
      </w:r>
      <w:r>
        <w:t>肿瘤颗粒颗粒颗粒是肺结核(TB)发源地的中心,它代表着一个独特的位置,在受营养限制的条件下和面对宿主免疫反应的情况下,细菌感染细菌生存在一种受体免疫反应条件下。颗粒体的细胞细胞核心是人类体内的细胞外,在许多实验性可移植模型中难以评估。在这里,在成人斑马鱼中,我们用腐蚀性细胞球粒子颗粒来开发不同宿主基因型的双重RNA测序(RNA-seq),以确定使细菌能够在这种关键微环境内生存的转录变。我们利用药理学和遗传干预,发现在成熟的、耐腐性颗粒体内,肺部能促进细菌生长,部分通过细菌变异管的上调。</w:t>
      </w:r>
    </w:p>
    <w:p>
      <w:pPr>
        <w:spacing w:before="0" w:after="200" w:lineRule="auto" w:line="276"/>
      </w:pPr>
      <w:r>
        <w:rPr>
          <w:b/>
        </w:rPr>
        <w:t xml:space="preserve">Abstract (EN): </w:t>
      </w:r>
      <w:r>
        <w:t>Mycobacterial granulomas lie at the center of tuberculosis (TB) pathogenesis and represent a unique niche where infecting bacteria survive under nutrient-restricted conditions and in the face of a host immune response. The granuloma's necrotic core, where bacteria reside extracellularly in humans, is difficult to assess in many experimentally tractable models. Here, using necrotic mycobacterial granulomas in adult zebrafish, we develop dual RNA sequencing (RNA-seq) across different host genotypes to identify the transcriptional alterations that enable bacteria to survive within this key microenvironment. Using pharmacological and genetic interventions, we find that neutrophils within mature, necrotic granulomas promote bacterial growth, in part through up-regulation of the bacterial devR regulon. We identify conserved suites of bacterial transcriptional programs induced only in the context of this unique necrotic extracellular niche, including bacterial modules related to K+ transport and rpf genes. Analysis of Mycobacterium tuberculosis strains across diverse lineages and human populations suggests that granuloma-specific transcriptional modules are targets for bacterial genetic adaptation in the context of human infection.</w:t>
      </w:r>
    </w:p>
    <w:p>
      <w:pPr>
        <w:spacing w:before="120" w:after="120"/>
      </w:pPr>
      <w:r>
        <w:rPr>
          <w:sz w:val="18"/>
        </w:rPr>
        <w:t>——————————————————————————————————————————————————————————————————————</w:t>
      </w:r>
    </w:p>
    <w:p>
      <w:pPr>
        <w:spacing w:before="160" w:after="40" w:line="240" w:lineRule="auto"/>
      </w:pPr>
      <w:r>
        <w:rPr>
          <w:b/>
        </w:rPr>
        <w:t xml:space="preserve">[461] </w:t>
      </w:r>
      <w:hyperlink r:id="rId724">
        <w:r>
          <w:rPr>
            <w:color w:val="1155CC"/>
            <w:u w:val="single"/>
          </w:rPr>
          <w:t>缓慢的行星旋转会影响海洋养分循环和氧化</w:t>
        </w:r>
      </w:hyperlink>
    </w:p>
    <w:p>
      <w:pPr>
        <w:spacing w:before="0" w:after="80"/>
      </w:pPr>
      <w:r>
        <w:rPr>
          <w:i/>
          <w:sz w:val="20"/>
        </w:rPr>
        <w:t>EN: Slowing planetary rotation influences ocean nutrient cycling and oxygenation</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25">
        <w:r>
          <w:rPr>
            <w:color w:val="1155CC"/>
            <w:u w:val="single"/>
          </w:rPr>
          <w:t>10.1126/sciadv.adw3368</w:t>
        </w:r>
      </w:hyperlink>
    </w:p>
    <w:p>
      <w:pPr>
        <w:spacing w:before="0" w:after="120"/>
      </w:pPr>
      <w:r>
        <w:rPr>
          <w:b/>
        </w:rPr>
        <w:t xml:space="preserve">Notes: </w:t>
      </w:r>
      <w:r>
        <w:t>abstract_source=pubmed</w:t>
      </w:r>
    </w:p>
    <w:p>
      <w:pPr>
        <w:spacing w:before="0" w:after="80" w:lineRule="auto" w:line="276"/>
      </w:pPr>
      <w:r>
        <w:rPr>
          <w:b/>
        </w:rPr>
        <w:t xml:space="preserve">摘要（ZH）: </w:t>
      </w:r>
      <w:r>
        <w:t>养分和氧循环由海洋物理环流控制。然而,我们对地球在时间和空间上如何环流并不受地球外行星的限制,我们对于时间和空间之间如何不同的认识尚不完整。地球的旋转随着时间的推移减缓,通过改变科里奥利斯效应影响海洋环流。我们使用一个三维地球系统模型来探索行星旋转减缓如何影响海洋循环和生物地球学。我们表明,加速旋转会增加风力驱动的上升和全球循环。因此,养分回收效率更高,增加光合生产力。此外,还提高了海洋氧气。</w:t>
      </w:r>
    </w:p>
    <w:p>
      <w:pPr>
        <w:spacing w:before="0" w:after="200" w:lineRule="auto" w:line="276"/>
      </w:pPr>
      <w:r>
        <w:rPr>
          <w:b/>
        </w:rPr>
        <w:t xml:space="preserve">Abstract (EN): </w:t>
      </w:r>
      <w:r>
        <w:t>Marine habitability for complex life on Earth and Earth-like planets requires bioavailable nutrients and dissolved oxygen. The cycling of nutrients and oxygen is controlled by physical ocean circulation. However, our understanding of how circulation has varied through time and space is incomplete for Earth and unconstrained for Earth-like exoplanets. Earth's rotation has slowed over time, affecting ocean circulation by modifying the Coriolis effect. We use a three-dimensional Earth system model to explore how slowing planetary rotation influences ocean circulation and biogeochemistry. We show that slower rotation enhances wind-driven upwelling and global circulation. Nutrient recycling is consequently more efficient, increasing photosynthetic productivity. Additionally, enhanced ocean oxygenation improves habitability for aerobic life under a well-oxygenated atmosphere. However, under a poorly oxygenated atmosphere, slowing rotation increases oxygen fluxes from the ocean to the atmosphere. Therefore, Earth's rotational history may have been a long-term background control on surface oxygenation and the evolution of animals.</w:t>
      </w:r>
    </w:p>
    <w:p>
      <w:pPr>
        <w:spacing w:before="120" w:after="120"/>
      </w:pPr>
      <w:r>
        <w:rPr>
          <w:sz w:val="18"/>
        </w:rPr>
        <w:t>——————————————————————————————————————————————————————————————————————</w:t>
      </w:r>
    </w:p>
    <w:p>
      <w:pPr>
        <w:spacing w:before="160" w:after="40" w:line="240" w:lineRule="auto"/>
      </w:pPr>
      <w:r>
        <w:rPr>
          <w:b/>
        </w:rPr>
        <w:t xml:space="preserve">[462] </w:t>
      </w:r>
      <w:hyperlink r:id="rId726">
        <w:r>
          <w:rPr>
            <w:color w:val="1155CC"/>
            <w:u w:val="single"/>
          </w:rPr>
          <w:t>欧洲最早的大象骨工具:用于精密截取Acheulean手轴的意外原材料</w:t>
        </w:r>
      </w:hyperlink>
    </w:p>
    <w:p>
      <w:pPr>
        <w:spacing w:before="0" w:after="80"/>
      </w:pPr>
      <w:r>
        <w:rPr>
          <w:i/>
          <w:sz w:val="20"/>
        </w:rPr>
        <w:t>EN: The earliest elephant-bone tool from Europe: An unexpected raw material for precision knapping of Acheulean handaxes</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27">
        <w:r>
          <w:rPr>
            <w:color w:val="1155CC"/>
            <w:u w:val="single"/>
          </w:rPr>
          <w:t>10.1126/sciadv.ady1390</w:t>
        </w:r>
      </w:hyperlink>
    </w:p>
    <w:p>
      <w:pPr>
        <w:spacing w:before="0" w:after="120"/>
      </w:pPr>
      <w:r>
        <w:rPr>
          <w:b/>
        </w:rPr>
        <w:t xml:space="preserve">Notes: </w:t>
      </w:r>
      <w:r>
        <w:t>abstract_source=pubmed</w:t>
      </w:r>
    </w:p>
    <w:p>
      <w:pPr>
        <w:spacing w:before="0" w:after="80" w:lineRule="auto" w:line="276"/>
      </w:pPr>
      <w:r>
        <w:rPr>
          <w:b/>
        </w:rPr>
        <w:t xml:space="preserve">摘要（ZH）: </w:t>
      </w:r>
      <w:r>
        <w:t>用骨头、鹿角和木头制成的有机雕刻工具对早期人类工具包至关重要,但很少保存在考古记录中。最早已知的软锤在480,000年前就已存在,最早的软锤来自Boxgrove(英国),在Boxgrove(英国),在用火石硬锤的同时,还使用了修改过的鹿角和大型哺乳动物骨。这些工具促进了复杂的雕刻技术,如平台准备和尖片刮片清除,有助于生产典型的Boxgrove Acheulean工业的精细手法。本研究展示了大象的骨骨碎片,刻意形成为再生火力工具的振荡器。它代表了欧洲最早已知的大象骨的使用,以及第一个记录过的将大象骨用作敲锤的例子。</w:t>
      </w:r>
    </w:p>
    <w:p>
      <w:pPr>
        <w:spacing w:before="0" w:after="200" w:lineRule="auto" w:line="276"/>
      </w:pPr>
      <w:r>
        <w:rPr>
          <w:b/>
        </w:rPr>
        <w:t xml:space="preserve">Abstract (EN): </w:t>
      </w:r>
      <w:r>
        <w:t>Organic knapping tools made from bone, antler, and wood were essential to early human toolkits but are rarely preserved in the archeological record. The earliest known soft hammers, dating to ~480,000 years ago, come from Boxgrove (UK), where modified antlers and large mammal bones were used alongside flint hard hammers. These tools facilitated complex knapping techniques, such as platform preparation and tranchet flake removal, contributing to the production of finely worked ovate handaxes typical of the Boxgrove Acheulean industry. This study presents a cortical bone fragment from an elephant, deliberately shaped into a percussor for resharpening flint tools. It represents the earliest known use of elephant bone in Europe and the first documented case of its use as a knapping hammer. Reconstructing its life history offers further insights into Middle Pleistocene hominin technological adaptations, resourcefulness, and survival strategies that enabled humans to endure harsh northern environments.</w:t>
      </w:r>
    </w:p>
    <w:p>
      <w:pPr>
        <w:spacing w:before="120" w:after="120"/>
      </w:pPr>
      <w:r>
        <w:rPr>
          <w:sz w:val="18"/>
        </w:rPr>
        <w:t>——————————————————————————————————————————————————————————————————————</w:t>
      </w:r>
    </w:p>
    <w:p>
      <w:pPr>
        <w:spacing w:before="160" w:after="40" w:line="240" w:lineRule="auto"/>
      </w:pPr>
      <w:r>
        <w:rPr>
          <w:b/>
        </w:rPr>
        <w:t xml:space="preserve">[463] </w:t>
      </w:r>
      <w:hyperlink r:id="rId728">
        <w:r>
          <w:rPr>
            <w:color w:val="1155CC"/>
            <w:u w:val="single"/>
          </w:rPr>
          <w:t>TGFDB2在Ewing sarrcoma强制实行转录混合细胞状态。</w:t>
        </w:r>
      </w:hyperlink>
    </w:p>
    <w:p>
      <w:pPr>
        <w:spacing w:before="0" w:after="80"/>
      </w:pPr>
      <w:r>
        <w:rPr>
          <w:i/>
          <w:sz w:val="20"/>
        </w:rPr>
        <w:t>EN: Autocrine TGFβ2 enforces a transcriptionally hybrid cell state in Ewing sarcoma</w:t>
      </w:r>
    </w:p>
    <w:p>
      <w:pPr>
        <w:spacing w:before="0" w:after="120"/>
      </w:pPr>
      <w:r>
        <w:rPr>
          <w:b/>
        </w:rPr>
        <w:t xml:space="preserve">Source: </w:t>
      </w:r>
      <w:r>
        <w:t>AAAS: Science Advances: Table of Contents</w:t>
      </w:r>
      <w:r>
        <w:t xml:space="preserve">    </w:t>
      </w:r>
      <w:r>
        <w:rPr>
          <w:b/>
        </w:rPr>
        <w:t xml:space="preserve">Pub date: </w:t>
      </w:r>
      <w:r>
        <w:t>2026-01-21 08:00:00+00:00</w:t>
      </w:r>
      <w:r>
        <w:t xml:space="preserve">    </w:t>
      </w:r>
      <w:r>
        <w:rPr>
          <w:b/>
        </w:rPr>
        <w:t xml:space="preserve">DOI: </w:t>
      </w:r>
      <w:hyperlink r:id="rId729">
        <w:r>
          <w:rPr>
            <w:color w:val="1155CC"/>
            <w:u w:val="single"/>
          </w:rPr>
          <w:t>10.1126/sciadv.ady0550</w:t>
        </w:r>
      </w:hyperlink>
    </w:p>
    <w:p>
      <w:pPr>
        <w:spacing w:before="0" w:after="120"/>
      </w:pPr>
      <w:r>
        <w:rPr>
          <w:b/>
        </w:rPr>
        <w:t xml:space="preserve">Notes: </w:t>
      </w:r>
      <w:r>
        <w:t>abstract_source=pubmed</w:t>
      </w:r>
    </w:p>
    <w:p>
      <w:pPr>
        <w:spacing w:before="0" w:after="80" w:lineRule="auto" w:line="276"/>
      </w:pPr>
      <w:r>
        <w:rPr>
          <w:b/>
        </w:rPr>
        <w:t xml:space="preserve">摘要（ZH）: </w:t>
      </w:r>
      <w:r>
        <w:t>类似癌症相关纤维化的肿瘤细胞(CAF)的亚组群中,类似于癌症相关纤维化的肿瘤细胞(CAF),储存了支持Ewing sarcoma(EwS)进化和转移的外细胞基质蛋白质。我们以前曾展示过类似CAF(EWS)的细胞的标志,是其混合转录状态,驱动分子聚变的锥体,EWS:FLI1保持了增生方案的激活,但丧失了抑制中枢基因的能力。在这里,我们研究了初级病人肿瘤和细胞线型模型,以确定这种混合状态的分子驱动因素。我们的数据显示,混合的EwS细胞是由一种变化的生长因子-β(TGFBET)诱发并保持积极的回回循环。混合细胞抑制TGFBR2,以及TGFD2的升级调节表达和分解以维持电路动和ECM沉积。 Althoug。</w:t>
      </w:r>
    </w:p>
    <w:p>
      <w:pPr>
        <w:spacing w:before="0" w:after="200" w:lineRule="auto" w:line="276"/>
      </w:pPr>
      <w:r>
        <w:rPr>
          <w:b/>
        </w:rPr>
        <w:t xml:space="preserve">Abstract (EN): </w:t>
      </w:r>
      <w:r>
        <w:t>Subpopulations of cancer-associated fibroblast (CAF)-like tumor cells deposit extracellular matrix (ECM) proteins that support Ewing sarcoma (EwS) progression and metastasis. We previously showed a hallmark of CAF-like EwS cells is their hybrid transcriptional state wherein the driver fusion oncogene, EWS::FLI1, maintains activation of proliferative programs but loses capacity to repress mesenchymal genes. Here, we studied primary patient tumors and cell line models to identify molecular drivers of this hybrid state. Our data reveal that hybrid EwS cells are induced and maintained by a transforming growth factor-β (TGFβ) signaling positive feedback loop. Hybrid cells derepress TGFBR2 and up-regulate expression and secretion of TGFβ2 to sustain pathway activation and ECM deposition. Although TGFβ ligands can potently induce growth arrest in cells of epithelial origin, we show that TGFβ1 and TGFβ2 promote cell invasion of EwS cells without affecting proliferation. Thus, stroma-derived and tumor-derived TGFβ ligands induce and maintain hybrid EwS cells to promote pro-metastatic cell phenotypes.</w:t>
      </w:r>
    </w:p>
    <w:p>
      <w:pPr>
        <w:spacing w:before="120" w:after="120"/>
      </w:pPr>
      <w:r>
        <w:rPr>
          <w:sz w:val="18"/>
        </w:rPr>
        <w:t>——————————————————————————————————————————————————————————————————————</w:t>
      </w:r>
    </w:p>
    <w:p>
      <w:pPr>
        <w:spacing w:before="160" w:after="40" w:line="240" w:lineRule="auto"/>
      </w:pPr>
      <w:r>
        <w:rPr>
          <w:b/>
        </w:rPr>
        <w:t xml:space="preserve">[464] </w:t>
      </w:r>
      <w:hyperlink r:id="rId730">
        <w:r>
          <w:rPr>
            <w:color w:val="1155CC"/>
            <w:u w:val="single"/>
          </w:rPr>
          <w:t>[ASAP] " 量点:机制、材料和装置应用 " 光量点:</w:t>
        </w:r>
      </w:hyperlink>
    </w:p>
    <w:p>
      <w:pPr>
        <w:spacing w:before="0" w:after="80"/>
      </w:pPr>
      <w:r>
        <w:rPr>
          <w:i/>
          <w:sz w:val="20"/>
        </w:rPr>
        <w:t>EN: [ASAP] Advances in Photopatterning of Quantum Dots: Mechanisms, Materials, and Device Applications</w:t>
      </w:r>
    </w:p>
    <w:p>
      <w:pPr>
        <w:spacing w:before="0" w:after="120"/>
      </w:pPr>
      <w:r>
        <w:rPr>
          <w:b/>
        </w:rPr>
        <w:t xml:space="preserve">Source: </w:t>
      </w:r>
      <w:r>
        <w:t>ACS Energy Letters: Latest Articles (ACS Publications)</w:t>
      </w:r>
      <w:r>
        <w:t xml:space="preserve">    </w:t>
      </w:r>
      <w:r>
        <w:rPr>
          <w:b/>
        </w:rPr>
        <w:t xml:space="preserve">Pub date: </w:t>
      </w:r>
      <w:r>
        <w:t>2026-01-21 11:58:19+00:00</w:t>
      </w:r>
      <w:r>
        <w:t xml:space="preserve">    </w:t>
      </w:r>
      <w:r>
        <w:rPr>
          <w:b/>
        </w:rPr>
        <w:t xml:space="preserve">DOI: </w:t>
      </w:r>
      <w:hyperlink r:id="rId731">
        <w:r>
          <w:rPr>
            <w:color w:val="1155CC"/>
            <w:u w:val="single"/>
          </w:rPr>
          <w:t>10.1021/acsenergylett.5c03933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[465] </w:t>
      </w:r>
      <w:hyperlink r:id="rId732">
        <w:r>
          <w:rPr>
            <w:color w:val="1155CC"/>
            <w:u w:val="single"/>
          </w:rPr>
          <w:t>[ASAP] 向可视化的旋态平衡方向旋转交叉分子中的亮度光度荧光温度计</w:t>
        </w:r>
      </w:hyperlink>
    </w:p>
    <w:p>
      <w:pPr>
        <w:spacing w:before="0" w:after="80"/>
      </w:pPr>
      <w:r>
        <w:rPr>
          <w:i/>
          <w:sz w:val="20"/>
        </w:rPr>
        <w:t>EN: [ASAP] Bright Ratiometric Fluorescent Thermometer in a Spin Crossover Molecule toward Visualization of Spin-State Equilibria</w:t>
      </w:r>
    </w:p>
    <w:p>
      <w:pPr>
        <w:spacing w:before="0" w:after="120"/>
      </w:pPr>
      <w:r>
        <w:rPr>
          <w:b/>
        </w:rPr>
        <w:t xml:space="preserve">Source: </w:t>
      </w:r>
      <w:r>
        <w:t>Journal of the American Chemical Society: Latest Articles (ACS Publications)</w:t>
      </w:r>
      <w:r>
        <w:t xml:space="preserve">    </w:t>
      </w:r>
      <w:r>
        <w:rPr>
          <w:b/>
        </w:rPr>
        <w:t xml:space="preserve">Pub date: </w:t>
      </w:r>
      <w:r>
        <w:t>2026-01-21 12:32:48+00:00</w:t>
      </w:r>
      <w:r>
        <w:t xml:space="preserve">    </w:t>
      </w:r>
      <w:r>
        <w:rPr>
          <w:b/>
        </w:rPr>
        <w:t xml:space="preserve">DOI: </w:t>
      </w:r>
      <w:hyperlink r:id="rId733">
        <w:r>
          <w:rPr>
            <w:color w:val="1155CC"/>
            <w:u w:val="single"/>
          </w:rPr>
          <w:t>10.1021/jacs.5c18528</w:t>
        </w:r>
      </w:hyperlink>
    </w:p>
    <w:p>
      <w:pPr>
        <w:spacing w:before="0" w:after="120"/>
      </w:pPr>
      <w:r>
        <w:rPr>
          <w:b/>
        </w:rPr>
        <w:t xml:space="preserve">Notes: </w:t>
      </w:r>
      <w:r>
        <w:t>abstract_source=pubmed</w:t>
      </w:r>
    </w:p>
    <w:p>
      <w:pPr>
        <w:spacing w:before="0" w:after="80" w:lineRule="auto" w:line="276"/>
      </w:pPr>
      <w:r>
        <w:rPr>
          <w:b/>
        </w:rPr>
        <w:t xml:space="preserve">摘要（ZH）: </w:t>
      </w:r>
      <w:r>
        <w:t>光学可感应分子旋转,目的是在磁装置缩小到单分子级时,控制并探测微弱磁性瞬时,通过相邻的荧光探针准确读出分子旋转状态,分子设计必须符合信号对噪音比率高和敏感度高的严格要求。在这里,我们用一个捐赠者-接受者(D-A)结构对一个旋转交叉分子(SCO)进行了以氯化萘为基础的对准率荧光(RF)探测。该探测显示来自当地兴奋(LE)状态和内分子充电(ICT)状态的双重排放渠道。与SOC光谱与探测器的RF波段重叠有关的热色体,产生反向的协同效应,实现反向增效效应。</w:t>
      </w:r>
    </w:p>
    <w:p>
      <w:pPr>
        <w:spacing w:before="0" w:after="200" w:lineRule="auto" w:line="276"/>
      </w:pPr>
      <w:r>
        <w:rPr>
          <w:b/>
        </w:rPr>
        <w:t xml:space="preserve">Abstract (EN): </w:t>
      </w:r>
      <w:r>
        <w:t>Optically addressable molecular spins aim to tackle control and detection of weak magnetic moment when magnetic devices are scaled down to the single-molecule level. To achieve accurate readout of molecular spin states by adjacent luminescent probes, the molecular design must meet the stringent requirements of both high signal-to-noise ratio (SNR) and high sensitivity. Here, we incorporated a naphthalimide-based ratiometric fluorescent (RF) probe with a donor-acceptor (D-A) structure into a spin crossover (SCO) molecule. The probe features dual emission channels arising from a locally excited (LE) state and an intramolecular charge-transfer (ICT) state. The thermochromism associated with SCO spectrally overlaps with the probe's RF bands, producing a reverse synergistic effect, achieving ratiometric fluorescent thermometers (RFTs) with 1.35% K-1 sensitivity and 66% fluorescence contrast. More importantly, the bright fluorescence thermochromism (∼50% quantum yield) is maintained throughout the entire SCO process, enabling direct visualization of spin-state equilibria with high SNR (&gt;400) and detection resolution (0.0017) even at low concentrations of 10-4 M. This tuning of the single-fluorophore RF against SCO thermochromism provides a new design platform for the accurate readout of spin states of molecules.</w:t>
      </w:r>
    </w:p>
    <w:p>
      <w:pPr>
        <w:spacing w:before="120" w:after="120"/>
      </w:pPr>
      <w:r>
        <w:rPr>
          <w:sz w:val="18"/>
        </w:rPr>
        <w:t>——————————————————————————————————————————————————————————————————————</w:t>
      </w:r>
    </w:p>
    <w:p>
      <w:pPr>
        <w:spacing w:before="160" w:after="40" w:line="240" w:lineRule="auto"/>
      </w:pPr>
      <w:r>
        <w:rPr>
          <w:b/>
        </w:rPr>
        <w:t xml:space="preserve">[466] </w:t>
      </w:r>
      <w:hyperlink r:id="rId734">
        <w:r>
          <w:rPr>
            <w:color w:val="1155CC"/>
            <w:u w:val="single"/>
          </w:rPr>
          <w:t>[ASAP] 连接阴极和阴极界面:水金属 -- -- 空气电池综合相互战略</w:t>
        </w:r>
      </w:hyperlink>
    </w:p>
    <w:p>
      <w:pPr>
        <w:spacing w:before="0" w:after="80"/>
      </w:pPr>
      <w:r>
        <w:rPr>
          <w:i/>
          <w:sz w:val="20"/>
        </w:rPr>
        <w:t>EN: [ASAP] Bridging Anode and Cathode Interfaces: Integrated Interfacial Strategies for Aqueous Metal–Air Batteries</w:t>
      </w:r>
    </w:p>
    <w:p>
      <w:pPr>
        <w:spacing w:before="0" w:after="120"/>
      </w:pPr>
      <w:r>
        <w:rPr>
          <w:b/>
        </w:rPr>
        <w:t xml:space="preserve">Source: </w:t>
      </w:r>
      <w:r>
        <w:t>ACS Energy Letters: Latest Articles (ACS Publications)</w:t>
      </w:r>
      <w:r>
        <w:t xml:space="preserve">    </w:t>
      </w:r>
      <w:r>
        <w:rPr>
          <w:b/>
        </w:rPr>
        <w:t xml:space="preserve">Pub date: </w:t>
      </w:r>
      <w:r>
        <w:t>2026-01-21 12:40:34+00:00</w:t>
      </w:r>
      <w:r>
        <w:t xml:space="preserve">    </w:t>
      </w:r>
      <w:r>
        <w:rPr>
          <w:b/>
        </w:rPr>
        <w:t xml:space="preserve">DOI: </w:t>
      </w:r>
      <w:hyperlink r:id="rId735">
        <w:r>
          <w:rPr>
            <w:color w:val="1155CC"/>
            <w:u w:val="single"/>
          </w:rPr>
          <w:t>10.1021/acsenergylett.5c04296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[467] </w:t>
      </w:r>
      <w:hyperlink r:id="rId736">
        <w:r>
          <w:rPr>
            <w:color w:val="1155CC"/>
            <w:u w:val="single"/>
          </w:rPr>
          <w:t>[ASAP] 使用氧耐用聚碳调制气体扩散电极综合捕获和转换稀释二氧化碳2</w:t>
        </w:r>
      </w:hyperlink>
    </w:p>
    <w:p>
      <w:pPr>
        <w:spacing w:before="0" w:after="80"/>
      </w:pPr>
      <w:r>
        <w:rPr>
          <w:i/>
          <w:sz w:val="20"/>
        </w:rPr>
        <w:t>EN: [ASAP] Integrated Capture and Conversion of Dilute CO2 Using an Oxygen Tolerant Porous Carbon Modified Gas Diffusion Electrode</w:t>
      </w:r>
    </w:p>
    <w:p>
      <w:pPr>
        <w:spacing w:before="0" w:after="120"/>
      </w:pPr>
      <w:r>
        <w:rPr>
          <w:b/>
        </w:rPr>
        <w:t xml:space="preserve">Source: </w:t>
      </w:r>
      <w:r>
        <w:t>ACS Energy Letters: Latest Articles (ACS Publications)</w:t>
      </w:r>
      <w:r>
        <w:t xml:space="preserve">    </w:t>
      </w:r>
      <w:r>
        <w:rPr>
          <w:b/>
        </w:rPr>
        <w:t xml:space="preserve">Pub date: </w:t>
      </w:r>
      <w:r>
        <w:t>2026-01-21 13:00:02+00:00</w:t>
      </w:r>
      <w:r>
        <w:t xml:space="preserve">    </w:t>
      </w:r>
      <w:r>
        <w:rPr>
          <w:b/>
        </w:rPr>
        <w:t xml:space="preserve">DOI: </w:t>
      </w:r>
      <w:hyperlink r:id="rId737">
        <w:r>
          <w:rPr>
            <w:color w:val="1155CC"/>
            <w:u w:val="single"/>
          </w:rPr>
          <w:t>10.1021/acsenergylett.5c03504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[468] </w:t>
      </w:r>
      <w:hyperlink r:id="rId738">
        <w:r>
          <w:rPr>
            <w:color w:val="1155CC"/>
            <w:u w:val="single"/>
          </w:rPr>
          <w:t>[ASAP]在湿条件下加强碳捕获的金属多金属共效有机框架封存水</w:t>
        </w:r>
      </w:hyperlink>
    </w:p>
    <w:p>
      <w:pPr>
        <w:spacing w:before="0" w:after="80"/>
      </w:pPr>
      <w:r>
        <w:rPr>
          <w:i/>
          <w:sz w:val="20"/>
        </w:rPr>
        <w:t>EN: [ASAP] Confined Water in Metal-Doped Covalent Organic Frameworks for Enhanced Physisorptive Carbon Capture under Wet Conditions</w:t>
      </w:r>
    </w:p>
    <w:p>
      <w:pPr>
        <w:spacing w:before="0" w:after="120"/>
      </w:pPr>
      <w:r>
        <w:rPr>
          <w:b/>
        </w:rPr>
        <w:t xml:space="preserve">Source: </w:t>
      </w:r>
      <w:r>
        <w:t>Journal of the American Chemical Society: Latest Articles (ACS Publications)</w:t>
      </w:r>
      <w:r>
        <w:t xml:space="preserve">    </w:t>
      </w:r>
      <w:r>
        <w:rPr>
          <w:b/>
        </w:rPr>
        <w:t xml:space="preserve">Pub date: </w:t>
      </w:r>
      <w:r>
        <w:t>2026-01-21 20:14:22+00:00</w:t>
      </w:r>
      <w:r>
        <w:t xml:space="preserve">    </w:t>
      </w:r>
      <w:r>
        <w:rPr>
          <w:b/>
        </w:rPr>
        <w:t xml:space="preserve">DOI: </w:t>
      </w:r>
      <w:hyperlink r:id="rId739">
        <w:r>
          <w:rPr>
            <w:color w:val="1155CC"/>
            <w:u w:val="single"/>
          </w:rPr>
          <w:t>10.1021/jacs.5c19317</w:t>
        </w:r>
      </w:hyperlink>
    </w:p>
    <w:p>
      <w:pPr>
        <w:spacing w:before="0" w:after="120"/>
      </w:pPr>
      <w:r>
        <w:rPr>
          <w:b/>
        </w:rPr>
        <w:t xml:space="preserve">Notes: </w:t>
      </w:r>
      <w:r>
        <w:t>abstract_source=pubmed</w:t>
      </w:r>
    </w:p>
    <w:p>
      <w:pPr>
        <w:spacing w:before="0" w:after="80" w:lineRule="auto" w:line="276"/>
      </w:pPr>
      <w:r>
        <w:rPr>
          <w:b/>
        </w:rPr>
        <w:t xml:space="preserve">摘要（ZH）: </w:t>
      </w:r>
      <w:r>
        <w:t>与以地雷为基础的CO2 吸附系统不同,水可以提高矿利用效率,但物理吸附的CO2捕获通常受到水的阻碍,因为水具有巨大的低极时间和竞争性的吸附行为。将水转化为其他吸附点以吸收物理吸附的CO2吸附点是很有希望的,但还是新生的和难以找到的。我们在此报告一项战略,利用封闭的水,即使在高相对湿度条件下,在金属离子共价有机框架(COFs)中实现高效的CO2捕获。通过不同温度的激活,在金属离子混合的COFs中可以形成显露出刘易的酸性,从而进一步加强CO2吸附。干CO2吸收NUS-42-NiCl2,在800毫米汞和298公斤之间几乎翻了一番。</w:t>
      </w:r>
    </w:p>
    <w:p>
      <w:pPr>
        <w:spacing w:before="0" w:after="200" w:lineRule="auto" w:line="276"/>
      </w:pPr>
      <w:r>
        <w:rPr>
          <w:b/>
        </w:rPr>
        <w:t xml:space="preserve">Abstract (EN): </w:t>
      </w:r>
      <w:r>
        <w:t>Unlike amine-based CO2 chemisorption, where water can enhance amine utilization efficiency, physisorptive CO2 capture is typically impeded by water owing to its large dipole moment and competitive adsorption behavior. Converting water into additional adsorptive sites for CO2 adsorption in physisorption is promising, yet still nascent and elusive. Herein, we report a strategy that exploits confined water to achieve efficient CO2 capture, even under high relative humidity (RH) conditions, in metal-ion-doped covalent organic frameworks (COFs). By activation at different temperatures, water exhibiting Lewis acidic properties can be formed within metal-ion-doped COFs, thereby further enhancing CO2 adsorption. The dry CO2 uptake of NUS-42-NiCl2 nearly doubles at 800 mmHg and 298 K compared to pristine NUS-42 after activation at 323 K. In situ X-ray diffraction (XRD), solid-state 1H magic angle spinning nuclear magnetic resonance spectroscopy (ss 1H MAS NMR), and in situ diffuse reflectance infrared Fourier transform spectroscopy (DRIFTS) confirm the formation of Lewis-acid-water. Furthermore, control over pore size and metal-ion loading is shown to be critical for generating the Lewis-acid-water. Combined in situ DRIFTS, electron spin resonance (ESR), X-ray absorption spectroscopy (XAS), and density functional theory (DFT) calculations elucidate the role of Lewis-acid-water in producing moisture-enhanced and inflectional CO2 adsorption isotherms. Multicomponent dynamic column breakthrough experiments further demonstrate significantly improved CO2 uptake after moisture presaturation up to 75% RH. These findings offer a systematic and innovative approach for converting water into CO2 adsorption sites, thereby addressing the challenge of competitive water adsorption during physisorptive carbon capture.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1369702126000088?dgcid=rss_sd_all" TargetMode="External"/><Relationship Id="rId10" Type="http://schemas.openxmlformats.org/officeDocument/2006/relationships/hyperlink" Target="https://www.nature.com/articles/s41467-026-68469-2" TargetMode="External"/><Relationship Id="rId11" Type="http://schemas.openxmlformats.org/officeDocument/2006/relationships/hyperlink" Target="https://www.sciencedirect.com/science/article/pii/S0306261926000292?dgcid=rss_sd_all" TargetMode="External"/><Relationship Id="rId12" Type="http://schemas.openxmlformats.org/officeDocument/2006/relationships/hyperlink" Target="https://www.sciencedirect.com/science/article/pii/S0306261926000279?dgcid=rss_sd_all" TargetMode="External"/><Relationship Id="rId13" Type="http://schemas.openxmlformats.org/officeDocument/2006/relationships/hyperlink" Target="https://www.sciencedirect.com/science/article/pii/S0306261926000267?dgcid=rss_sd_all" TargetMode="External"/><Relationship Id="rId14" Type="http://schemas.openxmlformats.org/officeDocument/2006/relationships/hyperlink" Target="https://www.nature.com/articles/s41467-026-68480-7" TargetMode="External"/><Relationship Id="rId15" Type="http://schemas.openxmlformats.org/officeDocument/2006/relationships/hyperlink" Target="https://www.nature.com/articles/s41467-026-68519-9" TargetMode="External"/><Relationship Id="rId16" Type="http://schemas.openxmlformats.org/officeDocument/2006/relationships/hyperlink" Target="https://www.sciencedirect.com/science/article/pii/S0306261926000255?dgcid=rss_sd_all" TargetMode="External"/><Relationship Id="rId17" Type="http://schemas.openxmlformats.org/officeDocument/2006/relationships/hyperlink" Target="https://www.sciencedirect.com/science/article/pii/S0301421526000042?dgcid=rss_sd_all" TargetMode="External"/><Relationship Id="rId18" Type="http://schemas.openxmlformats.org/officeDocument/2006/relationships/hyperlink" Target="https://www.sciencedirect.com/science/article/pii/S0306261926000243?dgcid=rss_sd_all" TargetMode="External"/><Relationship Id="rId19" Type="http://schemas.openxmlformats.org/officeDocument/2006/relationships/hyperlink" Target="https://www.sciencedirect.com/science/article/pii/S0306261926000164?dgcid=rss_sd_all" TargetMode="External"/><Relationship Id="rId20" Type="http://schemas.openxmlformats.org/officeDocument/2006/relationships/hyperlink" Target="https://www.sciencedirect.com/science/article/pii/S0306261926000152?dgcid=rss_sd_all" TargetMode="External"/><Relationship Id="rId21" Type="http://schemas.openxmlformats.org/officeDocument/2006/relationships/hyperlink" Target="https://www.nature.com/articles/s41467-026-68600-3" TargetMode="External"/><Relationship Id="rId22" Type="http://schemas.openxmlformats.org/officeDocument/2006/relationships/hyperlink" Target="https://www.sciencedirect.com/science/article/pii/S0306261926000073?dgcid=rss_sd_all" TargetMode="External"/><Relationship Id="rId23" Type="http://schemas.openxmlformats.org/officeDocument/2006/relationships/hyperlink" Target="https://www.sciencedirect.com/science/article/pii/S030626192600005X?dgcid=rss_sd_all" TargetMode="External"/><Relationship Id="rId24" Type="http://schemas.openxmlformats.org/officeDocument/2006/relationships/hyperlink" Target="https://www.sciencedirect.com/science/article/pii/S0306261926000048?dgcid=rss_sd_all" TargetMode="External"/><Relationship Id="rId25" Type="http://schemas.openxmlformats.org/officeDocument/2006/relationships/hyperlink" Target="https://www.sciencedirect.com/science/article/pii/S0301421525005166?dgcid=rss_sd_all" TargetMode="External"/><Relationship Id="rId26" Type="http://schemas.openxmlformats.org/officeDocument/2006/relationships/hyperlink" Target="https://www.nature.com/articles/s41467-026-68521-1" TargetMode="External"/><Relationship Id="rId27" Type="http://schemas.openxmlformats.org/officeDocument/2006/relationships/hyperlink" Target="https://www.sciencedirect.com/science/article/pii/S0306261926000425?dgcid=rss_sd_all" TargetMode="External"/><Relationship Id="rId28" Type="http://schemas.openxmlformats.org/officeDocument/2006/relationships/hyperlink" Target="https://www.sciencedirect.com/science/article/pii/S0306261926000413?dgcid=rss_sd_all" TargetMode="External"/><Relationship Id="rId29" Type="http://schemas.openxmlformats.org/officeDocument/2006/relationships/hyperlink" Target="https://www.nature.com/articles/s41467-026-68454-9" TargetMode="External"/><Relationship Id="rId30" Type="http://schemas.openxmlformats.org/officeDocument/2006/relationships/hyperlink" Target="https://www.sciencedirect.com/science/article/pii/S0306261926000668?dgcid=rss_sd_all" TargetMode="External"/><Relationship Id="rId31" Type="http://schemas.openxmlformats.org/officeDocument/2006/relationships/hyperlink" Target="https://www.sciencedirect.com/science/article/pii/S0306261926000449?dgcid=rss_sd_all" TargetMode="External"/><Relationship Id="rId32" Type="http://schemas.openxmlformats.org/officeDocument/2006/relationships/hyperlink" Target="https://www.sciencedirect.com/science/article/pii/S0306261926000541?dgcid=rss_sd_all" TargetMode="External"/><Relationship Id="rId33" Type="http://schemas.openxmlformats.org/officeDocument/2006/relationships/hyperlink" Target="https://www.nature.com/articles/s41467-025-67999-5" TargetMode="External"/><Relationship Id="rId34" Type="http://schemas.openxmlformats.org/officeDocument/2006/relationships/hyperlink" Target="https://www.sciencedirect.com/science/article/pii/S0306261926000516?dgcid=rss_sd_all" TargetMode="External"/><Relationship Id="rId35" Type="http://schemas.openxmlformats.org/officeDocument/2006/relationships/hyperlink" Target="https://www.sciencedirect.com/science/article/pii/S0306261926000589?dgcid=rss_sd_all" TargetMode="External"/><Relationship Id="rId36" Type="http://schemas.openxmlformats.org/officeDocument/2006/relationships/hyperlink" Target="https://www.sciencedirect.com/science/article/pii/S0306261926000498?dgcid=rss_sd_all" TargetMode="External"/><Relationship Id="rId37" Type="http://schemas.openxmlformats.org/officeDocument/2006/relationships/hyperlink" Target="https://www.sciencedirect.com/science/article/pii/S0306261926000462?dgcid=rss_sd_all" TargetMode="External"/><Relationship Id="rId38" Type="http://schemas.openxmlformats.org/officeDocument/2006/relationships/hyperlink" Target="https://www.sciencedirect.com/science/article/pii/S0306261926000450?dgcid=rss_sd_all" TargetMode="External"/><Relationship Id="rId39" Type="http://schemas.openxmlformats.org/officeDocument/2006/relationships/hyperlink" Target="https://www.nature.com/articles/s41467-026-68353-z" TargetMode="External"/><Relationship Id="rId40" Type="http://schemas.openxmlformats.org/officeDocument/2006/relationships/hyperlink" Target="https://www.sciencedirect.com/science/article/pii/S0301421526000108?dgcid=rss_sd_all" TargetMode="External"/><Relationship Id="rId41" Type="http://schemas.openxmlformats.org/officeDocument/2006/relationships/hyperlink" Target="https://advanced.onlinelibrary.wiley.com/doi/10.1002/adma.72165?af=R" TargetMode="External"/><Relationship Id="rId42" Type="http://schemas.openxmlformats.org/officeDocument/2006/relationships/hyperlink" Target="https://doi.org/10.1002/adma.72165" TargetMode="External"/><Relationship Id="rId43" Type="http://schemas.openxmlformats.org/officeDocument/2006/relationships/hyperlink" Target="https://advanced.onlinelibrary.wiley.com/doi/10.1002/adma.202521878?af=R" TargetMode="External"/><Relationship Id="rId44" Type="http://schemas.openxmlformats.org/officeDocument/2006/relationships/hyperlink" Target="https://doi.org/10.1002/adma.202521878" TargetMode="External"/><Relationship Id="rId45" Type="http://schemas.openxmlformats.org/officeDocument/2006/relationships/hyperlink" Target="https://advanced.onlinelibrary.wiley.com/doi/10.1002/adma.202517774?af=R" TargetMode="External"/><Relationship Id="rId46" Type="http://schemas.openxmlformats.org/officeDocument/2006/relationships/hyperlink" Target="https://doi.org/10.1002/adma.202517774" TargetMode="External"/><Relationship Id="rId47" Type="http://schemas.openxmlformats.org/officeDocument/2006/relationships/hyperlink" Target="https://advanced.onlinelibrary.wiley.com/doi/10.1002/adma.202520657?af=R" TargetMode="External"/><Relationship Id="rId48" Type="http://schemas.openxmlformats.org/officeDocument/2006/relationships/hyperlink" Target="https://doi.org/10.1002/adma.202520657" TargetMode="External"/><Relationship Id="rId49" Type="http://schemas.openxmlformats.org/officeDocument/2006/relationships/hyperlink" Target="https://onlinelibrary.wiley.com/doi/10.1002/anie.202523921?af=R" TargetMode="External"/><Relationship Id="rId50" Type="http://schemas.openxmlformats.org/officeDocument/2006/relationships/hyperlink" Target="https://doi.org/10.1002/anie.202523921" TargetMode="External"/><Relationship Id="rId51" Type="http://schemas.openxmlformats.org/officeDocument/2006/relationships/hyperlink" Target="https://advanced.onlinelibrary.wiley.com/doi/10.1002/adma.202519694?af=R" TargetMode="External"/><Relationship Id="rId52" Type="http://schemas.openxmlformats.org/officeDocument/2006/relationships/hyperlink" Target="https://doi.org/10.1002/adma.202519694" TargetMode="External"/><Relationship Id="rId53" Type="http://schemas.openxmlformats.org/officeDocument/2006/relationships/hyperlink" Target="https://advanced.onlinelibrary.wiley.com/doi/10.1002/adma.202518352?af=R" TargetMode="External"/><Relationship Id="rId54" Type="http://schemas.openxmlformats.org/officeDocument/2006/relationships/hyperlink" Target="https://doi.org/10.1002/adma.202518352" TargetMode="External"/><Relationship Id="rId55" Type="http://schemas.openxmlformats.org/officeDocument/2006/relationships/hyperlink" Target="https://advanced.onlinelibrary.wiley.com/doi/10.1002/aenm.202505773?af=R" TargetMode="External"/><Relationship Id="rId56" Type="http://schemas.openxmlformats.org/officeDocument/2006/relationships/hyperlink" Target="https://doi.org/10.1002/aenm.202505773" TargetMode="External"/><Relationship Id="rId57" Type="http://schemas.openxmlformats.org/officeDocument/2006/relationships/hyperlink" Target="https://advanced.onlinelibrary.wiley.com/doi/10.1002/aenm.202506443?af=R" TargetMode="External"/><Relationship Id="rId58" Type="http://schemas.openxmlformats.org/officeDocument/2006/relationships/hyperlink" Target="https://doi.org/10.1002/aenm.202506443" TargetMode="External"/><Relationship Id="rId59" Type="http://schemas.openxmlformats.org/officeDocument/2006/relationships/hyperlink" Target="https://advanced.onlinelibrary.wiley.com/doi/10.1002/aenm.202505972?af=R" TargetMode="External"/><Relationship Id="rId60" Type="http://schemas.openxmlformats.org/officeDocument/2006/relationships/hyperlink" Target="https://doi.org/10.1002/aenm.202505972" TargetMode="External"/><Relationship Id="rId61" Type="http://schemas.openxmlformats.org/officeDocument/2006/relationships/hyperlink" Target="https://advanced.onlinelibrary.wiley.com/doi/10.1002/adma.202516297?af=R" TargetMode="External"/><Relationship Id="rId62" Type="http://schemas.openxmlformats.org/officeDocument/2006/relationships/hyperlink" Target="https://doi.org/10.1002/adma.202516297" TargetMode="External"/><Relationship Id="rId63" Type="http://schemas.openxmlformats.org/officeDocument/2006/relationships/hyperlink" Target="https://advanced.onlinelibrary.wiley.com/doi/10.1002/adma.202518208?af=R" TargetMode="External"/><Relationship Id="rId64" Type="http://schemas.openxmlformats.org/officeDocument/2006/relationships/hyperlink" Target="https://doi.org/10.1002/adma.202518208" TargetMode="External"/><Relationship Id="rId65" Type="http://schemas.openxmlformats.org/officeDocument/2006/relationships/hyperlink" Target="https://advanced.onlinelibrary.wiley.com/doi/10.1002/adma.202519367?af=R" TargetMode="External"/><Relationship Id="rId66" Type="http://schemas.openxmlformats.org/officeDocument/2006/relationships/hyperlink" Target="https://doi.org/10.1002/adma.202519367" TargetMode="External"/><Relationship Id="rId67" Type="http://schemas.openxmlformats.org/officeDocument/2006/relationships/hyperlink" Target="https://advanced.onlinelibrary.wiley.com/doi/10.1002/adma.202517123?af=R" TargetMode="External"/><Relationship Id="rId68" Type="http://schemas.openxmlformats.org/officeDocument/2006/relationships/hyperlink" Target="https://doi.org/10.1002/adma.202517123" TargetMode="External"/><Relationship Id="rId69" Type="http://schemas.openxmlformats.org/officeDocument/2006/relationships/hyperlink" Target="https://advanced.onlinelibrary.wiley.com/doi/10.1002/adma.202518003?af=R" TargetMode="External"/><Relationship Id="rId70" Type="http://schemas.openxmlformats.org/officeDocument/2006/relationships/hyperlink" Target="https://doi.org/10.1002/adma.202518003" TargetMode="External"/><Relationship Id="rId71" Type="http://schemas.openxmlformats.org/officeDocument/2006/relationships/hyperlink" Target="https://advanced.onlinelibrary.wiley.com/doi/10.1002/adma.202520650?af=R" TargetMode="External"/><Relationship Id="rId72" Type="http://schemas.openxmlformats.org/officeDocument/2006/relationships/hyperlink" Target="https://doi.org/10.1002/adma.202520650" TargetMode="External"/><Relationship Id="rId73" Type="http://schemas.openxmlformats.org/officeDocument/2006/relationships/hyperlink" Target="https://advanced.onlinelibrary.wiley.com/doi/10.1002/adma.202516675?af=R" TargetMode="External"/><Relationship Id="rId74" Type="http://schemas.openxmlformats.org/officeDocument/2006/relationships/hyperlink" Target="https://doi.org/10.1002/adma.202516675" TargetMode="External"/><Relationship Id="rId75" Type="http://schemas.openxmlformats.org/officeDocument/2006/relationships/hyperlink" Target="https://onlinelibrary.wiley.com/doi/10.1002/anie.202519866?af=R" TargetMode="External"/><Relationship Id="rId76" Type="http://schemas.openxmlformats.org/officeDocument/2006/relationships/hyperlink" Target="https://doi.org/10.1002/anie.202519866" TargetMode="External"/><Relationship Id="rId77" Type="http://schemas.openxmlformats.org/officeDocument/2006/relationships/hyperlink" Target="https://advanced.onlinelibrary.wiley.com/doi/10.1002/adma.202519007?af=R" TargetMode="External"/><Relationship Id="rId78" Type="http://schemas.openxmlformats.org/officeDocument/2006/relationships/hyperlink" Target="https://doi.org/10.1002/adma.202519007" TargetMode="External"/><Relationship Id="rId79" Type="http://schemas.openxmlformats.org/officeDocument/2006/relationships/hyperlink" Target="https://onlinelibrary.wiley.com/doi/10.1002/anie.202522216?af=R" TargetMode="External"/><Relationship Id="rId80" Type="http://schemas.openxmlformats.org/officeDocument/2006/relationships/hyperlink" Target="https://doi.org/10.1002/anie.202522216" TargetMode="External"/><Relationship Id="rId81" Type="http://schemas.openxmlformats.org/officeDocument/2006/relationships/hyperlink" Target="https://onlinelibrary.wiley.com/doi/10.1002/anie.202519830?af=R" TargetMode="External"/><Relationship Id="rId82" Type="http://schemas.openxmlformats.org/officeDocument/2006/relationships/hyperlink" Target="https://doi.org/10.1002/anie.202519830" TargetMode="External"/><Relationship Id="rId83" Type="http://schemas.openxmlformats.org/officeDocument/2006/relationships/hyperlink" Target="https://onlinelibrary.wiley.com/doi/10.1002/anie.202525577?af=R" TargetMode="External"/><Relationship Id="rId84" Type="http://schemas.openxmlformats.org/officeDocument/2006/relationships/hyperlink" Target="https://doi.org/10.1002/anie.202525577" TargetMode="External"/><Relationship Id="rId85" Type="http://schemas.openxmlformats.org/officeDocument/2006/relationships/hyperlink" Target="https://onlinelibrary.wiley.com/doi/10.1002/anie.202519216?af=R" TargetMode="External"/><Relationship Id="rId86" Type="http://schemas.openxmlformats.org/officeDocument/2006/relationships/hyperlink" Target="https://doi.org/10.1002/anie.202519216" TargetMode="External"/><Relationship Id="rId87" Type="http://schemas.openxmlformats.org/officeDocument/2006/relationships/hyperlink" Target="https://onlinelibrary.wiley.com/doi/10.1002/anie.202523201?af=R" TargetMode="External"/><Relationship Id="rId88" Type="http://schemas.openxmlformats.org/officeDocument/2006/relationships/hyperlink" Target="https://doi.org/10.1002/anie.202523201" TargetMode="External"/><Relationship Id="rId89" Type="http://schemas.openxmlformats.org/officeDocument/2006/relationships/hyperlink" Target="https://onlinelibrary.wiley.com/doi/10.1002/anie.202525581?af=R" TargetMode="External"/><Relationship Id="rId90" Type="http://schemas.openxmlformats.org/officeDocument/2006/relationships/hyperlink" Target="https://doi.org/10.1002/anie.202525581" TargetMode="External"/><Relationship Id="rId91" Type="http://schemas.openxmlformats.org/officeDocument/2006/relationships/hyperlink" Target="https://onlinelibrary.wiley.com/doi/10.1002/anie.202518421?af=R" TargetMode="External"/><Relationship Id="rId92" Type="http://schemas.openxmlformats.org/officeDocument/2006/relationships/hyperlink" Target="https://doi.org/10.1002/anie.202518421" TargetMode="External"/><Relationship Id="rId93" Type="http://schemas.openxmlformats.org/officeDocument/2006/relationships/hyperlink" Target="https://onlinelibrary.wiley.com/doi/10.1002/anie.202525086?af=R" TargetMode="External"/><Relationship Id="rId94" Type="http://schemas.openxmlformats.org/officeDocument/2006/relationships/hyperlink" Target="https://doi.org/10.1002/anie.202525086" TargetMode="External"/><Relationship Id="rId95" Type="http://schemas.openxmlformats.org/officeDocument/2006/relationships/hyperlink" Target="https://onlinelibrary.wiley.com/doi/10.1002/anie.202523079?af=R" TargetMode="External"/><Relationship Id="rId96" Type="http://schemas.openxmlformats.org/officeDocument/2006/relationships/hyperlink" Target="https://doi.org/10.1002/anie.202523079" TargetMode="External"/><Relationship Id="rId97" Type="http://schemas.openxmlformats.org/officeDocument/2006/relationships/hyperlink" Target="https://onlinelibrary.wiley.com/doi/10.1002/anie.202525489?af=R" TargetMode="External"/><Relationship Id="rId98" Type="http://schemas.openxmlformats.org/officeDocument/2006/relationships/hyperlink" Target="https://doi.org/10.1002/anie.202525489" TargetMode="External"/><Relationship Id="rId99" Type="http://schemas.openxmlformats.org/officeDocument/2006/relationships/hyperlink" Target="https://onlinelibrary.wiley.com/doi/10.1002/anie.202521345?af=R" TargetMode="External"/><Relationship Id="rId100" Type="http://schemas.openxmlformats.org/officeDocument/2006/relationships/hyperlink" Target="https://doi.org/10.1002/anie.202521345" TargetMode="External"/><Relationship Id="rId101" Type="http://schemas.openxmlformats.org/officeDocument/2006/relationships/hyperlink" Target="https://onlinelibrary.wiley.com/doi/10.1002/anie.202519740?af=R" TargetMode="External"/><Relationship Id="rId102" Type="http://schemas.openxmlformats.org/officeDocument/2006/relationships/hyperlink" Target="https://doi.org/10.1002/anie.202519740" TargetMode="External"/><Relationship Id="rId103" Type="http://schemas.openxmlformats.org/officeDocument/2006/relationships/hyperlink" Target="https://onlinelibrary.wiley.com/doi/10.1002/anie.202523411?af=R" TargetMode="External"/><Relationship Id="rId104" Type="http://schemas.openxmlformats.org/officeDocument/2006/relationships/hyperlink" Target="https://doi.org/10.1002/anie.202523411" TargetMode="External"/><Relationship Id="rId105" Type="http://schemas.openxmlformats.org/officeDocument/2006/relationships/hyperlink" Target="https://onlinelibrary.wiley.com/doi/10.1002/anie.202513795?af=R" TargetMode="External"/><Relationship Id="rId106" Type="http://schemas.openxmlformats.org/officeDocument/2006/relationships/hyperlink" Target="https://doi.org/10.1002/anie.202513795" TargetMode="External"/><Relationship Id="rId107" Type="http://schemas.openxmlformats.org/officeDocument/2006/relationships/hyperlink" Target="https://onlinelibrary.wiley.com/doi/10.1002/anie.202524808?af=R" TargetMode="External"/><Relationship Id="rId108" Type="http://schemas.openxmlformats.org/officeDocument/2006/relationships/hyperlink" Target="https://doi.org/10.1002/anie.202524808" TargetMode="External"/><Relationship Id="rId109" Type="http://schemas.openxmlformats.org/officeDocument/2006/relationships/hyperlink" Target="http://dx.doi.org/10.1021/jacs.5c18786" TargetMode="External"/><Relationship Id="rId110" Type="http://schemas.openxmlformats.org/officeDocument/2006/relationships/hyperlink" Target="https://doi.org/10.1021/jacs.5c18786" TargetMode="External"/><Relationship Id="rId111" Type="http://schemas.openxmlformats.org/officeDocument/2006/relationships/hyperlink" Target="https://www.sciencedirect.com/science/article/pii/S0306261926000644?dgcid=rss_sd_all" TargetMode="External"/><Relationship Id="rId112" Type="http://schemas.openxmlformats.org/officeDocument/2006/relationships/hyperlink" Target="https://www.sciencedirect.com/science/article/pii/S0306261926000504?dgcid=rss_sd_all" TargetMode="External"/><Relationship Id="rId113" Type="http://schemas.openxmlformats.org/officeDocument/2006/relationships/hyperlink" Target="https://www.sciencedirect.com/science/article/pii/S030626192600053X?dgcid=rss_sd_all" TargetMode="External"/><Relationship Id="rId114" Type="http://schemas.openxmlformats.org/officeDocument/2006/relationships/hyperlink" Target="https://www.sciencedirect.com/science/article/pii/S1369702126000076?dgcid=rss_sd_all" TargetMode="External"/><Relationship Id="rId115" Type="http://schemas.openxmlformats.org/officeDocument/2006/relationships/hyperlink" Target="https://www.sciencedirect.com/science/article/pii/S0306261926000632?dgcid=rss_sd_all" TargetMode="External"/><Relationship Id="rId116" Type="http://schemas.openxmlformats.org/officeDocument/2006/relationships/hyperlink" Target="https://www.sciencedirect.com/science/article/pii/S0306261925020732?dgcid=rss_sd_all" TargetMode="External"/><Relationship Id="rId117" Type="http://schemas.openxmlformats.org/officeDocument/2006/relationships/hyperlink" Target="https://www.sciencedirect.com/science/article/pii/S0306261926000474?dgcid=rss_sd_all" TargetMode="External"/><Relationship Id="rId118" Type="http://schemas.openxmlformats.org/officeDocument/2006/relationships/hyperlink" Target="https://www.sciencedirect.com/science/article/pii/S0306261926000218?dgcid=rss_sd_all" TargetMode="External"/><Relationship Id="rId119" Type="http://schemas.openxmlformats.org/officeDocument/2006/relationships/hyperlink" Target="https://www.sciencedirect.com/science/article/pii/S0301421525005440?dgcid=rss_sd_all" TargetMode="External"/><Relationship Id="rId120" Type="http://schemas.openxmlformats.org/officeDocument/2006/relationships/hyperlink" Target="https://www.sciencedirect.com/science/article/pii/S0306261925020331?dgcid=rss_sd_all" TargetMode="External"/><Relationship Id="rId121" Type="http://schemas.openxmlformats.org/officeDocument/2006/relationships/hyperlink" Target="https://www.sciencedirect.com/science/article/pii/S0306261926000139?dgcid=rss_sd_all" TargetMode="External"/><Relationship Id="rId122" Type="http://schemas.openxmlformats.org/officeDocument/2006/relationships/hyperlink" Target="https://www.sciencedirect.com/science/article/pii/S030142152600011X?dgcid=rss_sd_all" TargetMode="External"/><Relationship Id="rId123" Type="http://schemas.openxmlformats.org/officeDocument/2006/relationships/hyperlink" Target="https://www.sciencedirect.com/science/article/pii/S0306261926000061?dgcid=rss_sd_all" TargetMode="External"/><Relationship Id="rId124" Type="http://schemas.openxmlformats.org/officeDocument/2006/relationships/hyperlink" Target="https://www.sciencedirect.com/science/article/pii/S0306261926000012?dgcid=rss_sd_all" TargetMode="External"/><Relationship Id="rId125" Type="http://schemas.openxmlformats.org/officeDocument/2006/relationships/hyperlink" Target="https://www.sciencedirect.com/science/article/pii/S0306261926000024?dgcid=rss_sd_all" TargetMode="External"/><Relationship Id="rId126" Type="http://schemas.openxmlformats.org/officeDocument/2006/relationships/hyperlink" Target="https://www.sciencedirect.com/science/article/pii/S0301421525005178?dgcid=rss_sd_all" TargetMode="External"/><Relationship Id="rId127" Type="http://schemas.openxmlformats.org/officeDocument/2006/relationships/hyperlink" Target="https://www.sciencedirect.com/science/article/pii/S0301421525005555?dgcid=rss_sd_all" TargetMode="External"/><Relationship Id="rId128" Type="http://schemas.openxmlformats.org/officeDocument/2006/relationships/hyperlink" Target="http://dx.doi.org/10.1021/jacs.5c16692" TargetMode="External"/><Relationship Id="rId129" Type="http://schemas.openxmlformats.org/officeDocument/2006/relationships/hyperlink" Target="https://doi.org/10.1021/jacs.5c16692" TargetMode="External"/><Relationship Id="rId130" Type="http://schemas.openxmlformats.org/officeDocument/2006/relationships/hyperlink" Target="http://dx.doi.org/10.1021/jacs.5c19246" TargetMode="External"/><Relationship Id="rId131" Type="http://schemas.openxmlformats.org/officeDocument/2006/relationships/hyperlink" Target="https://doi.org/10.1021/jacs.5c19246" TargetMode="External"/><Relationship Id="rId132" Type="http://schemas.openxmlformats.org/officeDocument/2006/relationships/hyperlink" Target="http://dx.doi.org/10.1021/jacs.5c19165" TargetMode="External"/><Relationship Id="rId133" Type="http://schemas.openxmlformats.org/officeDocument/2006/relationships/hyperlink" Target="https://doi.org/10.1021/jacs.5c19165" TargetMode="External"/><Relationship Id="rId134" Type="http://schemas.openxmlformats.org/officeDocument/2006/relationships/hyperlink" Target="http://dx.doi.org/10.1021/acsenergylett.5c04138" TargetMode="External"/><Relationship Id="rId135" Type="http://schemas.openxmlformats.org/officeDocument/2006/relationships/hyperlink" Target="https://doi.org/10.1021/acsenergylett.5c04138" TargetMode="External"/><Relationship Id="rId136" Type="http://schemas.openxmlformats.org/officeDocument/2006/relationships/hyperlink" Target="http://dx.doi.org/10.1021/acsenergylett.5c04334" TargetMode="External"/><Relationship Id="rId137" Type="http://schemas.openxmlformats.org/officeDocument/2006/relationships/hyperlink" Target="https://doi.org/10.1021/acsenergylett.5c04334" TargetMode="External"/><Relationship Id="rId138" Type="http://schemas.openxmlformats.org/officeDocument/2006/relationships/hyperlink" Target="http://dx.doi.org/10.1021/jacs.5c22357" TargetMode="External"/><Relationship Id="rId139" Type="http://schemas.openxmlformats.org/officeDocument/2006/relationships/hyperlink" Target="https://doi.org/10.1021/jacs.5c22357" TargetMode="External"/><Relationship Id="rId140" Type="http://schemas.openxmlformats.org/officeDocument/2006/relationships/hyperlink" Target="https://www.sciencedirect.com/science/article/pii/S030626192600070X?dgcid=rss_sd_all" TargetMode="External"/><Relationship Id="rId141" Type="http://schemas.openxmlformats.org/officeDocument/2006/relationships/hyperlink" Target="https://www.sciencedirect.com/science/article/pii/S0306261926000681?dgcid=rss_sd_all" TargetMode="External"/><Relationship Id="rId142" Type="http://schemas.openxmlformats.org/officeDocument/2006/relationships/hyperlink" Target="https://www.sciencedirect.com/science/article/pii/S0306261925020550?dgcid=rss_sd_all" TargetMode="External"/><Relationship Id="rId143" Type="http://schemas.openxmlformats.org/officeDocument/2006/relationships/hyperlink" Target="https://www.nature.com/articles/d41586-026-00144-4" TargetMode="External"/><Relationship Id="rId144" Type="http://schemas.openxmlformats.org/officeDocument/2006/relationships/hyperlink" Target="https://www.nature.com/articles/s41928-025-01555-3" TargetMode="External"/><Relationship Id="rId145" Type="http://schemas.openxmlformats.org/officeDocument/2006/relationships/hyperlink" Target="https://www.nature.com/articles/s41586-026-10131-4" TargetMode="External"/><Relationship Id="rId146" Type="http://schemas.openxmlformats.org/officeDocument/2006/relationships/hyperlink" Target="https://www.nature.com/articles/s41586-026-10108-3" TargetMode="External"/><Relationship Id="rId147" Type="http://schemas.openxmlformats.org/officeDocument/2006/relationships/hyperlink" Target="https://www.nature.com/articles/s41586-025-09992-y" TargetMode="External"/><Relationship Id="rId148" Type="http://schemas.openxmlformats.org/officeDocument/2006/relationships/hyperlink" Target="https://www.nature.com/articles/s41578-025-00879-y" TargetMode="External"/><Relationship Id="rId149" Type="http://schemas.openxmlformats.org/officeDocument/2006/relationships/hyperlink" Target="https://www.nature.com/articles/s41565-025-02108-7" TargetMode="External"/><Relationship Id="rId150" Type="http://schemas.openxmlformats.org/officeDocument/2006/relationships/hyperlink" Target="https://www.nature.com/articles/s41563-025-02462-w" TargetMode="External"/><Relationship Id="rId151" Type="http://schemas.openxmlformats.org/officeDocument/2006/relationships/hyperlink" Target="https://www.nature.com/articles/s41560-025-01957-9" TargetMode="External"/><Relationship Id="rId152" Type="http://schemas.openxmlformats.org/officeDocument/2006/relationships/hyperlink" Target="https://www.nature.com/articles/s41560-025-01938-y" TargetMode="External"/><Relationship Id="rId153" Type="http://schemas.openxmlformats.org/officeDocument/2006/relationships/hyperlink" Target="https://www.nature.com/articles/d41586-025-04061-w" TargetMode="External"/><Relationship Id="rId154" Type="http://schemas.openxmlformats.org/officeDocument/2006/relationships/hyperlink" Target="https://www.nature.com/articles/s41557-025-02059-5" TargetMode="External"/><Relationship Id="rId155" Type="http://schemas.openxmlformats.org/officeDocument/2006/relationships/hyperlink" Target="https://www.nature.com/articles/s41467-026-68615-w" TargetMode="External"/><Relationship Id="rId156" Type="http://schemas.openxmlformats.org/officeDocument/2006/relationships/hyperlink" Target="https://www.nature.com/articles/s41467-026-68525-x" TargetMode="External"/><Relationship Id="rId157" Type="http://schemas.openxmlformats.org/officeDocument/2006/relationships/hyperlink" Target="https://www.nature.com/articles/s41467-026-68518-w" TargetMode="External"/><Relationship Id="rId158" Type="http://schemas.openxmlformats.org/officeDocument/2006/relationships/hyperlink" Target="https://www.nature.com/articles/s41467-026-68473-6" TargetMode="External"/><Relationship Id="rId159" Type="http://schemas.openxmlformats.org/officeDocument/2006/relationships/hyperlink" Target="https://www.sciencedirect.com/science/article/pii/S0306261926000395?dgcid=rss_sd_all" TargetMode="External"/><Relationship Id="rId160" Type="http://schemas.openxmlformats.org/officeDocument/2006/relationships/hyperlink" Target="https://www.nature.com/articles/s41467-026-68421-4" TargetMode="External"/><Relationship Id="rId161" Type="http://schemas.openxmlformats.org/officeDocument/2006/relationships/hyperlink" Target="https://www.nature.com/articles/d41586-026-00213-8" TargetMode="External"/><Relationship Id="rId162" Type="http://schemas.openxmlformats.org/officeDocument/2006/relationships/hyperlink" Target="https://www.nature.com/articles/d41586-026-00189-5" TargetMode="External"/><Relationship Id="rId163" Type="http://schemas.openxmlformats.org/officeDocument/2006/relationships/hyperlink" Target="https://www.nature.com/articles/d41586-026-00186-8" TargetMode="External"/><Relationship Id="rId164" Type="http://schemas.openxmlformats.org/officeDocument/2006/relationships/hyperlink" Target="https://www.nature.com/articles/s41467-026-68624-9" TargetMode="External"/><Relationship Id="rId165" Type="http://schemas.openxmlformats.org/officeDocument/2006/relationships/hyperlink" Target="https://www.nature.com/articles/s41563-025-02463-9" TargetMode="External"/><Relationship Id="rId166" Type="http://schemas.openxmlformats.org/officeDocument/2006/relationships/hyperlink" Target="https://www.nature.com/articles/d41586-026-00187-7" TargetMode="External"/><Relationship Id="rId167" Type="http://schemas.openxmlformats.org/officeDocument/2006/relationships/hyperlink" Target="https://academic.oup.com/nsr/advance-article/doi/10.1093/nsr/nwag028/8429801?rss=1" TargetMode="External"/><Relationship Id="rId168" Type="http://schemas.openxmlformats.org/officeDocument/2006/relationships/hyperlink" Target="https://doi.org/10.1093/nsr/nwag028/8429801" TargetMode="External"/><Relationship Id="rId169" Type="http://schemas.openxmlformats.org/officeDocument/2006/relationships/hyperlink" Target="https://academic.oup.com/nsr/advance-article/doi/10.1093/nsr/nwag039/8429815?rss=1" TargetMode="External"/><Relationship Id="rId170" Type="http://schemas.openxmlformats.org/officeDocument/2006/relationships/hyperlink" Target="https://doi.org/10.1093/nsr/nwag039/8429815" TargetMode="External"/><Relationship Id="rId171" Type="http://schemas.openxmlformats.org/officeDocument/2006/relationships/hyperlink" Target="http://pubs.rsc.org/en/Content/ArticleLanding/2026/EE/D5EE07050C" TargetMode="External"/><Relationship Id="rId172" Type="http://schemas.openxmlformats.org/officeDocument/2006/relationships/hyperlink" Target="https://academic.oup.com/nsr/advance-article/doi/10.1093/nsr/nwag036/8429804?rss=1" TargetMode="External"/><Relationship Id="rId173" Type="http://schemas.openxmlformats.org/officeDocument/2006/relationships/hyperlink" Target="https://doi.org/10.1093/nsr/nwag036/8429804" TargetMode="External"/><Relationship Id="rId174" Type="http://schemas.openxmlformats.org/officeDocument/2006/relationships/hyperlink" Target="https://academic.oup.com/nsr/advance-article/doi/10.1093/nsr/nwag035/8429811?rss=1" TargetMode="External"/><Relationship Id="rId175" Type="http://schemas.openxmlformats.org/officeDocument/2006/relationships/hyperlink" Target="https://doi.org/10.1093/nsr/nwag035/8429811" TargetMode="External"/><Relationship Id="rId176" Type="http://schemas.openxmlformats.org/officeDocument/2006/relationships/hyperlink" Target="https://academic.oup.com/nsr/advance-article/doi/10.1093/nsr/nwag034/8429788?rss=1" TargetMode="External"/><Relationship Id="rId177" Type="http://schemas.openxmlformats.org/officeDocument/2006/relationships/hyperlink" Target="https://doi.org/10.1093/nsr/nwag034/8429788" TargetMode="External"/><Relationship Id="rId178" Type="http://schemas.openxmlformats.org/officeDocument/2006/relationships/hyperlink" Target="https://academic.oup.com/nsr/advance-article/doi/10.1093/nsr/nwag029/8429779?rss=1" TargetMode="External"/><Relationship Id="rId179" Type="http://schemas.openxmlformats.org/officeDocument/2006/relationships/hyperlink" Target="https://doi.org/10.1093/nsr/nwag029/8429779" TargetMode="External"/><Relationship Id="rId180" Type="http://schemas.openxmlformats.org/officeDocument/2006/relationships/hyperlink" Target="https://academic.oup.com/nsr/advance-article/doi/10.1093/nsr/nwag025/8429798?rss=1" TargetMode="External"/><Relationship Id="rId181" Type="http://schemas.openxmlformats.org/officeDocument/2006/relationships/hyperlink" Target="https://doi.org/10.1093/nsr/nwag025/8429798" TargetMode="External"/><Relationship Id="rId182" Type="http://schemas.openxmlformats.org/officeDocument/2006/relationships/hyperlink" Target="https://academic.oup.com/nsr/advance-article/doi/10.1093/nsr/nwag020/8429807?rss=1" TargetMode="External"/><Relationship Id="rId183" Type="http://schemas.openxmlformats.org/officeDocument/2006/relationships/hyperlink" Target="https://doi.org/10.1093/nsr/nwag020/8429807" TargetMode="External"/><Relationship Id="rId184" Type="http://schemas.openxmlformats.org/officeDocument/2006/relationships/hyperlink" Target="http://pubs.rsc.org/en/Content/ArticleLanding/2026/CS/D5CS00496A" TargetMode="External"/><Relationship Id="rId185" Type="http://schemas.openxmlformats.org/officeDocument/2006/relationships/hyperlink" Target="https://academic.oup.com/nsr/advance-article/doi/10.1093/nsr/nwag038/8429790?rss=1" TargetMode="External"/><Relationship Id="rId186" Type="http://schemas.openxmlformats.org/officeDocument/2006/relationships/hyperlink" Target="https://doi.org/10.1093/nsr/nwag038/8429790" TargetMode="External"/><Relationship Id="rId187" Type="http://schemas.openxmlformats.org/officeDocument/2006/relationships/hyperlink" Target="https://advanced.onlinelibrary.wiley.com/doi/10.1002/adma.202520552?af=R" TargetMode="External"/><Relationship Id="rId188" Type="http://schemas.openxmlformats.org/officeDocument/2006/relationships/hyperlink" Target="https://doi.org/10.1002/adma.202520552" TargetMode="External"/><Relationship Id="rId189" Type="http://schemas.openxmlformats.org/officeDocument/2006/relationships/hyperlink" Target="https://advanced.onlinelibrary.wiley.com/doi/10.1002/aenm.202506085?af=R" TargetMode="External"/><Relationship Id="rId190" Type="http://schemas.openxmlformats.org/officeDocument/2006/relationships/hyperlink" Target="https://doi.org/10.1002/aenm.202506085" TargetMode="External"/><Relationship Id="rId191" Type="http://schemas.openxmlformats.org/officeDocument/2006/relationships/hyperlink" Target="https://advanced.onlinelibrary.wiley.com/doi/10.1002/aenm.202506411?af=R" TargetMode="External"/><Relationship Id="rId192" Type="http://schemas.openxmlformats.org/officeDocument/2006/relationships/hyperlink" Target="https://doi.org/10.1002/aenm.202506411" TargetMode="External"/><Relationship Id="rId193" Type="http://schemas.openxmlformats.org/officeDocument/2006/relationships/hyperlink" Target="https://onlinelibrary.wiley.com/doi/10.1002/anie.202525591?af=R" TargetMode="External"/><Relationship Id="rId194" Type="http://schemas.openxmlformats.org/officeDocument/2006/relationships/hyperlink" Target="https://doi.org/10.1002/anie.202525591" TargetMode="External"/><Relationship Id="rId195" Type="http://schemas.openxmlformats.org/officeDocument/2006/relationships/hyperlink" Target="https://onlinelibrary.wiley.com/doi/10.1002/anie.202525903?af=R" TargetMode="External"/><Relationship Id="rId196" Type="http://schemas.openxmlformats.org/officeDocument/2006/relationships/hyperlink" Target="https://doi.org/10.1002/anie.202525903" TargetMode="External"/><Relationship Id="rId197" Type="http://schemas.openxmlformats.org/officeDocument/2006/relationships/hyperlink" Target="https://advanced.onlinelibrary.wiley.com/doi/10.1002/adma.202517708?af=R" TargetMode="External"/><Relationship Id="rId198" Type="http://schemas.openxmlformats.org/officeDocument/2006/relationships/hyperlink" Target="https://doi.org/10.1002/adma.202517708" TargetMode="External"/><Relationship Id="rId199" Type="http://schemas.openxmlformats.org/officeDocument/2006/relationships/hyperlink" Target="https://onlinelibrary.wiley.com/doi/10.1002/anie.202521262?af=R" TargetMode="External"/><Relationship Id="rId200" Type="http://schemas.openxmlformats.org/officeDocument/2006/relationships/hyperlink" Target="https://doi.org/10.1002/anie.202521262" TargetMode="External"/><Relationship Id="rId201" Type="http://schemas.openxmlformats.org/officeDocument/2006/relationships/hyperlink" Target="https://advanced.onlinelibrary.wiley.com/doi/10.1002/aenm.202504961?af=R" TargetMode="External"/><Relationship Id="rId202" Type="http://schemas.openxmlformats.org/officeDocument/2006/relationships/hyperlink" Target="https://doi.org/10.1002/aenm.202504961" TargetMode="External"/><Relationship Id="rId203" Type="http://schemas.openxmlformats.org/officeDocument/2006/relationships/hyperlink" Target="https://onlinelibrary.wiley.com/doi/10.1002/anie.202515840?af=R" TargetMode="External"/><Relationship Id="rId204" Type="http://schemas.openxmlformats.org/officeDocument/2006/relationships/hyperlink" Target="https://doi.org/10.1002/anie.202515840" TargetMode="External"/><Relationship Id="rId205" Type="http://schemas.openxmlformats.org/officeDocument/2006/relationships/hyperlink" Target="https://onlinelibrary.wiley.com/doi/10.1002/anie.202523233?af=R" TargetMode="External"/><Relationship Id="rId206" Type="http://schemas.openxmlformats.org/officeDocument/2006/relationships/hyperlink" Target="https://doi.org/10.1002/anie.202523233" TargetMode="External"/><Relationship Id="rId207" Type="http://schemas.openxmlformats.org/officeDocument/2006/relationships/hyperlink" Target="https://onlinelibrary.wiley.com/doi/10.1002/anie.202524216?af=R" TargetMode="External"/><Relationship Id="rId208" Type="http://schemas.openxmlformats.org/officeDocument/2006/relationships/hyperlink" Target="https://doi.org/10.1002/anie.202524216" TargetMode="External"/><Relationship Id="rId209" Type="http://schemas.openxmlformats.org/officeDocument/2006/relationships/hyperlink" Target="https://onlinelibrary.wiley.com/doi/10.1002/anie.202521993?af=R" TargetMode="External"/><Relationship Id="rId210" Type="http://schemas.openxmlformats.org/officeDocument/2006/relationships/hyperlink" Target="https://doi.org/10.1002/anie.202521993" TargetMode="External"/><Relationship Id="rId211" Type="http://schemas.openxmlformats.org/officeDocument/2006/relationships/hyperlink" Target="https://onlinelibrary.wiley.com/doi/10.1002/anie.202515992?af=R" TargetMode="External"/><Relationship Id="rId212" Type="http://schemas.openxmlformats.org/officeDocument/2006/relationships/hyperlink" Target="https://doi.org/10.1002/anie.202515992" TargetMode="External"/><Relationship Id="rId213" Type="http://schemas.openxmlformats.org/officeDocument/2006/relationships/hyperlink" Target="https://onlinelibrary.wiley.com/doi/10.1002/anie.202523144?af=R" TargetMode="External"/><Relationship Id="rId214" Type="http://schemas.openxmlformats.org/officeDocument/2006/relationships/hyperlink" Target="https://doi.org/10.1002/anie.202523144" TargetMode="External"/><Relationship Id="rId215" Type="http://schemas.openxmlformats.org/officeDocument/2006/relationships/hyperlink" Target="https://onlinelibrary.wiley.com/doi/10.1002/anie.202515594?af=R" TargetMode="External"/><Relationship Id="rId216" Type="http://schemas.openxmlformats.org/officeDocument/2006/relationships/hyperlink" Target="https://doi.org/10.1002/anie.202515594" TargetMode="External"/><Relationship Id="rId217" Type="http://schemas.openxmlformats.org/officeDocument/2006/relationships/hyperlink" Target="https://onlinelibrary.wiley.com/doi/10.1002/anie.202524578?af=R" TargetMode="External"/><Relationship Id="rId218" Type="http://schemas.openxmlformats.org/officeDocument/2006/relationships/hyperlink" Target="https://doi.org/10.1002/anie.202524578" TargetMode="External"/><Relationship Id="rId219" Type="http://schemas.openxmlformats.org/officeDocument/2006/relationships/hyperlink" Target="https://onlinelibrary.wiley.com/doi/10.1002/anie.202522296?af=R" TargetMode="External"/><Relationship Id="rId220" Type="http://schemas.openxmlformats.org/officeDocument/2006/relationships/hyperlink" Target="https://doi.org/10.1002/anie.202522296" TargetMode="External"/><Relationship Id="rId221" Type="http://schemas.openxmlformats.org/officeDocument/2006/relationships/hyperlink" Target="https://onlinelibrary.wiley.com/doi/10.1002/anie.202525531?af=R" TargetMode="External"/><Relationship Id="rId222" Type="http://schemas.openxmlformats.org/officeDocument/2006/relationships/hyperlink" Target="https://doi.org/10.1002/anie.202525531" TargetMode="External"/><Relationship Id="rId223" Type="http://schemas.openxmlformats.org/officeDocument/2006/relationships/hyperlink" Target="https://onlinelibrary.wiley.com/doi/10.1002/anie.202514462?af=R" TargetMode="External"/><Relationship Id="rId224" Type="http://schemas.openxmlformats.org/officeDocument/2006/relationships/hyperlink" Target="https://doi.org/10.1002/anie.202514462" TargetMode="External"/><Relationship Id="rId225" Type="http://schemas.openxmlformats.org/officeDocument/2006/relationships/hyperlink" Target="https://onlinelibrary.wiley.com/doi/10.1002/anie.202522849?af=R" TargetMode="External"/><Relationship Id="rId226" Type="http://schemas.openxmlformats.org/officeDocument/2006/relationships/hyperlink" Target="https://doi.org/10.1002/anie.202522849" TargetMode="External"/><Relationship Id="rId227" Type="http://schemas.openxmlformats.org/officeDocument/2006/relationships/hyperlink" Target="https://onlinelibrary.wiley.com/doi/10.1002/anie.202525491?af=R" TargetMode="External"/><Relationship Id="rId228" Type="http://schemas.openxmlformats.org/officeDocument/2006/relationships/hyperlink" Target="https://doi.org/10.1002/anie.202525491" TargetMode="External"/><Relationship Id="rId229" Type="http://schemas.openxmlformats.org/officeDocument/2006/relationships/hyperlink" Target="https://advanced.onlinelibrary.wiley.com/doi/10.1002/aenm.202505706?af=R" TargetMode="External"/><Relationship Id="rId230" Type="http://schemas.openxmlformats.org/officeDocument/2006/relationships/hyperlink" Target="https://doi.org/10.1002/aenm.202505706" TargetMode="External"/><Relationship Id="rId231" Type="http://schemas.openxmlformats.org/officeDocument/2006/relationships/hyperlink" Target="https://onlinelibrary.wiley.com/doi/10.1002/anie.202523648?af=R" TargetMode="External"/><Relationship Id="rId232" Type="http://schemas.openxmlformats.org/officeDocument/2006/relationships/hyperlink" Target="https://doi.org/10.1002/anie.202523648" TargetMode="External"/><Relationship Id="rId233" Type="http://schemas.openxmlformats.org/officeDocument/2006/relationships/hyperlink" Target="https://advanced.onlinelibrary.wiley.com/doi/10.1002/aenm.202504436?af=R" TargetMode="External"/><Relationship Id="rId234" Type="http://schemas.openxmlformats.org/officeDocument/2006/relationships/hyperlink" Target="https://doi.org/10.1002/aenm.202504436" TargetMode="External"/><Relationship Id="rId235" Type="http://schemas.openxmlformats.org/officeDocument/2006/relationships/hyperlink" Target="https://advanced.onlinelibrary.wiley.com/doi/10.1002/aenm.202506239?af=R" TargetMode="External"/><Relationship Id="rId236" Type="http://schemas.openxmlformats.org/officeDocument/2006/relationships/hyperlink" Target="https://doi.org/10.1002/aenm.202506239" TargetMode="External"/><Relationship Id="rId237" Type="http://schemas.openxmlformats.org/officeDocument/2006/relationships/hyperlink" Target="https://advanced.onlinelibrary.wiley.com/doi/10.1002/aenm.202505587?af=R" TargetMode="External"/><Relationship Id="rId238" Type="http://schemas.openxmlformats.org/officeDocument/2006/relationships/hyperlink" Target="https://doi.org/10.1002/aenm.202505587" TargetMode="External"/><Relationship Id="rId239" Type="http://schemas.openxmlformats.org/officeDocument/2006/relationships/hyperlink" Target="https://advanced.onlinelibrary.wiley.com/doi/10.1002/adma.202518190?af=R" TargetMode="External"/><Relationship Id="rId240" Type="http://schemas.openxmlformats.org/officeDocument/2006/relationships/hyperlink" Target="https://doi.org/10.1002/adma.202518190" TargetMode="External"/><Relationship Id="rId241" Type="http://schemas.openxmlformats.org/officeDocument/2006/relationships/hyperlink" Target="https://advanced.onlinelibrary.wiley.com/doi/10.1002/adma.202513655?af=R" TargetMode="External"/><Relationship Id="rId242" Type="http://schemas.openxmlformats.org/officeDocument/2006/relationships/hyperlink" Target="https://doi.org/10.1002/adma.202513655" TargetMode="External"/><Relationship Id="rId243" Type="http://schemas.openxmlformats.org/officeDocument/2006/relationships/hyperlink" Target="https://advanced.onlinelibrary.wiley.com/doi/10.1002/aenm.202505082?af=R" TargetMode="External"/><Relationship Id="rId244" Type="http://schemas.openxmlformats.org/officeDocument/2006/relationships/hyperlink" Target="https://doi.org/10.1002/aenm.202505082" TargetMode="External"/><Relationship Id="rId245" Type="http://schemas.openxmlformats.org/officeDocument/2006/relationships/hyperlink" Target="https://advanced.onlinelibrary.wiley.com/doi/10.1002/adma.202512404?af=R" TargetMode="External"/><Relationship Id="rId246" Type="http://schemas.openxmlformats.org/officeDocument/2006/relationships/hyperlink" Target="https://doi.org/10.1002/adma.202512404" TargetMode="External"/><Relationship Id="rId247" Type="http://schemas.openxmlformats.org/officeDocument/2006/relationships/hyperlink" Target="https://advanced.onlinelibrary.wiley.com/doi/10.1002/adma.202520790?af=R" TargetMode="External"/><Relationship Id="rId248" Type="http://schemas.openxmlformats.org/officeDocument/2006/relationships/hyperlink" Target="https://doi.org/10.1002/adma.202520790" TargetMode="External"/><Relationship Id="rId249" Type="http://schemas.openxmlformats.org/officeDocument/2006/relationships/hyperlink" Target="https://advanced.onlinelibrary.wiley.com/doi/10.1002/adma.202513346?af=R" TargetMode="External"/><Relationship Id="rId250" Type="http://schemas.openxmlformats.org/officeDocument/2006/relationships/hyperlink" Target="https://doi.org/10.1002/adma.202513346" TargetMode="External"/><Relationship Id="rId251" Type="http://schemas.openxmlformats.org/officeDocument/2006/relationships/hyperlink" Target="https://onlinelibrary.wiley.com/doi/10.1002/anie.202524898?af=R" TargetMode="External"/><Relationship Id="rId252" Type="http://schemas.openxmlformats.org/officeDocument/2006/relationships/hyperlink" Target="https://doi.org/10.1002/anie.202524898" TargetMode="External"/><Relationship Id="rId253" Type="http://schemas.openxmlformats.org/officeDocument/2006/relationships/hyperlink" Target="https://advanced.onlinelibrary.wiley.com/doi/10.1002/adma.202521547?af=R" TargetMode="External"/><Relationship Id="rId254" Type="http://schemas.openxmlformats.org/officeDocument/2006/relationships/hyperlink" Target="https://doi.org/10.1002/adma.202521547" TargetMode="External"/><Relationship Id="rId255" Type="http://schemas.openxmlformats.org/officeDocument/2006/relationships/hyperlink" Target="https://onlinelibrary.wiley.com/doi/10.1002/anie.202522184?af=R" TargetMode="External"/><Relationship Id="rId256" Type="http://schemas.openxmlformats.org/officeDocument/2006/relationships/hyperlink" Target="https://doi.org/10.1002/anie.202522184" TargetMode="External"/><Relationship Id="rId257" Type="http://schemas.openxmlformats.org/officeDocument/2006/relationships/hyperlink" Target="https://advanced.onlinelibrary.wiley.com/doi/10.1002/adma.202519757?af=R" TargetMode="External"/><Relationship Id="rId258" Type="http://schemas.openxmlformats.org/officeDocument/2006/relationships/hyperlink" Target="https://doi.org/10.1002/adma.202519757" TargetMode="External"/><Relationship Id="rId259" Type="http://schemas.openxmlformats.org/officeDocument/2006/relationships/hyperlink" Target="https://onlinelibrary.wiley.com/doi/10.1002/anie.202519688?af=R" TargetMode="External"/><Relationship Id="rId260" Type="http://schemas.openxmlformats.org/officeDocument/2006/relationships/hyperlink" Target="https://doi.org/10.1002/anie.202519688" TargetMode="External"/><Relationship Id="rId261" Type="http://schemas.openxmlformats.org/officeDocument/2006/relationships/hyperlink" Target="https://onlinelibrary.wiley.com/doi/10.1002/anie.202523513?af=R" TargetMode="External"/><Relationship Id="rId262" Type="http://schemas.openxmlformats.org/officeDocument/2006/relationships/hyperlink" Target="https://doi.org/10.1002/anie.202523513" TargetMode="External"/><Relationship Id="rId263" Type="http://schemas.openxmlformats.org/officeDocument/2006/relationships/hyperlink" Target="https://onlinelibrary.wiley.com/doi/10.1002/anie.202523272?af=R" TargetMode="External"/><Relationship Id="rId264" Type="http://schemas.openxmlformats.org/officeDocument/2006/relationships/hyperlink" Target="https://doi.org/10.1002/anie.202523272" TargetMode="External"/><Relationship Id="rId265" Type="http://schemas.openxmlformats.org/officeDocument/2006/relationships/hyperlink" Target="http://dx.doi.org/10.1021/jacs.5c19450" TargetMode="External"/><Relationship Id="rId266" Type="http://schemas.openxmlformats.org/officeDocument/2006/relationships/hyperlink" Target="https://doi.org/10.1021/jacs.5c19450" TargetMode="External"/><Relationship Id="rId267" Type="http://schemas.openxmlformats.org/officeDocument/2006/relationships/hyperlink" Target="https://onlinelibrary.wiley.com/doi/10.1002/anie.202525026?af=R" TargetMode="External"/><Relationship Id="rId268" Type="http://schemas.openxmlformats.org/officeDocument/2006/relationships/hyperlink" Target="https://doi.org/10.1002/anie.202525026" TargetMode="External"/><Relationship Id="rId269" Type="http://schemas.openxmlformats.org/officeDocument/2006/relationships/hyperlink" Target="https://advanced.onlinelibrary.wiley.com/doi/10.1002/adma.202521375?af=R" TargetMode="External"/><Relationship Id="rId270" Type="http://schemas.openxmlformats.org/officeDocument/2006/relationships/hyperlink" Target="https://doi.org/10.1002/adma.202521375" TargetMode="External"/><Relationship Id="rId271" Type="http://schemas.openxmlformats.org/officeDocument/2006/relationships/hyperlink" Target="https://advanced.onlinelibrary.wiley.com/doi/10.1002/adma.202518981?af=R" TargetMode="External"/><Relationship Id="rId272" Type="http://schemas.openxmlformats.org/officeDocument/2006/relationships/hyperlink" Target="https://doi.org/10.1002/adma.202518981" TargetMode="External"/><Relationship Id="rId273" Type="http://schemas.openxmlformats.org/officeDocument/2006/relationships/hyperlink" Target="https://advanced.onlinelibrary.wiley.com/doi/10.1002/adma.202518330?af=R" TargetMode="External"/><Relationship Id="rId274" Type="http://schemas.openxmlformats.org/officeDocument/2006/relationships/hyperlink" Target="https://doi.org/10.1002/adma.202518330" TargetMode="External"/><Relationship Id="rId275" Type="http://schemas.openxmlformats.org/officeDocument/2006/relationships/hyperlink" Target="https://onlinelibrary.wiley.com/doi/10.1002/anie.202515019?af=R" TargetMode="External"/><Relationship Id="rId276" Type="http://schemas.openxmlformats.org/officeDocument/2006/relationships/hyperlink" Target="https://doi.org/10.1002/anie.202515019" TargetMode="External"/><Relationship Id="rId277" Type="http://schemas.openxmlformats.org/officeDocument/2006/relationships/hyperlink" Target="https://onlinelibrary.wiley.com/doi/10.1002/anie.202518906?af=R" TargetMode="External"/><Relationship Id="rId278" Type="http://schemas.openxmlformats.org/officeDocument/2006/relationships/hyperlink" Target="https://doi.org/10.1002/anie.202518906" TargetMode="External"/><Relationship Id="rId279" Type="http://schemas.openxmlformats.org/officeDocument/2006/relationships/hyperlink" Target="https://advanced.onlinelibrary.wiley.com/doi/10.1002/adma.202511903?af=R" TargetMode="External"/><Relationship Id="rId280" Type="http://schemas.openxmlformats.org/officeDocument/2006/relationships/hyperlink" Target="https://doi.org/10.1002/adma.202511903" TargetMode="External"/><Relationship Id="rId281" Type="http://schemas.openxmlformats.org/officeDocument/2006/relationships/hyperlink" Target="https://onlinelibrary.wiley.com/doi/10.1002/anie.202522417?af=R" TargetMode="External"/><Relationship Id="rId282" Type="http://schemas.openxmlformats.org/officeDocument/2006/relationships/hyperlink" Target="https://doi.org/10.1002/anie.202522417" TargetMode="External"/><Relationship Id="rId283" Type="http://schemas.openxmlformats.org/officeDocument/2006/relationships/hyperlink" Target="http://dx.doi.org/10.1021/jacs.5c12858" TargetMode="External"/><Relationship Id="rId284" Type="http://schemas.openxmlformats.org/officeDocument/2006/relationships/hyperlink" Target="https://doi.org/10.1021/jacs.5c12858" TargetMode="External"/><Relationship Id="rId285" Type="http://schemas.openxmlformats.org/officeDocument/2006/relationships/hyperlink" Target="http://dx.doi.org/10.1021/acsenergylett.5c04153" TargetMode="External"/><Relationship Id="rId286" Type="http://schemas.openxmlformats.org/officeDocument/2006/relationships/hyperlink" Target="https://doi.org/10.1021/acsenergylett.5c04153" TargetMode="External"/><Relationship Id="rId287" Type="http://schemas.openxmlformats.org/officeDocument/2006/relationships/hyperlink" Target="http://dx.doi.org/10.1021/jacs.5c21901" TargetMode="External"/><Relationship Id="rId288" Type="http://schemas.openxmlformats.org/officeDocument/2006/relationships/hyperlink" Target="https://doi.org/10.1021/jacs.5c21901" TargetMode="External"/><Relationship Id="rId289" Type="http://schemas.openxmlformats.org/officeDocument/2006/relationships/hyperlink" Target="http://dx.doi.org/10.1021/jacs.5c16512" TargetMode="External"/><Relationship Id="rId290" Type="http://schemas.openxmlformats.org/officeDocument/2006/relationships/hyperlink" Target="https://doi.org/10.1021/jacs.5c16512" TargetMode="External"/><Relationship Id="rId291" Type="http://schemas.openxmlformats.org/officeDocument/2006/relationships/hyperlink" Target="http://dx.doi.org/10.1021/jacs.5c20341" TargetMode="External"/><Relationship Id="rId292" Type="http://schemas.openxmlformats.org/officeDocument/2006/relationships/hyperlink" Target="https://doi.org/10.1021/jacs.5c20341" TargetMode="External"/><Relationship Id="rId293" Type="http://schemas.openxmlformats.org/officeDocument/2006/relationships/hyperlink" Target="http://dx.doi.org/10.1021/jacs.5c12256" TargetMode="External"/><Relationship Id="rId294" Type="http://schemas.openxmlformats.org/officeDocument/2006/relationships/hyperlink" Target="https://doi.org/10.1021/jacs.5c12256" TargetMode="External"/><Relationship Id="rId295" Type="http://schemas.openxmlformats.org/officeDocument/2006/relationships/hyperlink" Target="http://dx.doi.org/10.1021/jacs.5c22156" TargetMode="External"/><Relationship Id="rId296" Type="http://schemas.openxmlformats.org/officeDocument/2006/relationships/hyperlink" Target="https://doi.org/10.1021/jacs.5c22156" TargetMode="External"/><Relationship Id="rId297" Type="http://schemas.openxmlformats.org/officeDocument/2006/relationships/hyperlink" Target="http://dx.doi.org/10.1021/jacs.5c17001" TargetMode="External"/><Relationship Id="rId298" Type="http://schemas.openxmlformats.org/officeDocument/2006/relationships/hyperlink" Target="https://doi.org/10.1021/jacs.5c17001" TargetMode="External"/><Relationship Id="rId299" Type="http://schemas.openxmlformats.org/officeDocument/2006/relationships/hyperlink" Target="http://dx.doi.org/10.1021/jacs.5c18919" TargetMode="External"/><Relationship Id="rId300" Type="http://schemas.openxmlformats.org/officeDocument/2006/relationships/hyperlink" Target="https://doi.org/10.1021/jacs.5c18919" TargetMode="External"/><Relationship Id="rId301" Type="http://schemas.openxmlformats.org/officeDocument/2006/relationships/hyperlink" Target="https://www.nature.com/articles/s41467-026-68584-0" TargetMode="External"/><Relationship Id="rId302" Type="http://schemas.openxmlformats.org/officeDocument/2006/relationships/hyperlink" Target="https://www.nature.com/articles/d41586-026-00182-y" TargetMode="External"/><Relationship Id="rId303" Type="http://schemas.openxmlformats.org/officeDocument/2006/relationships/hyperlink" Target="http://pubs.rsc.org/en/Content/ArticleLanding/2026/EE/D5EE03302K" TargetMode="External"/><Relationship Id="rId304" Type="http://schemas.openxmlformats.org/officeDocument/2006/relationships/hyperlink" Target="https://www.nature.com/articles/s41467-025-68121-5" TargetMode="External"/><Relationship Id="rId305" Type="http://schemas.openxmlformats.org/officeDocument/2006/relationships/hyperlink" Target="https://www.nature.com/articles/d41586-026-00211-w" TargetMode="External"/><Relationship Id="rId306" Type="http://schemas.openxmlformats.org/officeDocument/2006/relationships/hyperlink" Target="https://www.nature.com/articles/d41586-026-00210-x" TargetMode="External"/><Relationship Id="rId307" Type="http://schemas.openxmlformats.org/officeDocument/2006/relationships/hyperlink" Target="https://www.nature.com/articles/d41586-026-00163-1" TargetMode="External"/><Relationship Id="rId308" Type="http://schemas.openxmlformats.org/officeDocument/2006/relationships/hyperlink" Target="https://www.nature.com/articles/d41586-026-00209-4" TargetMode="External"/><Relationship Id="rId309" Type="http://schemas.openxmlformats.org/officeDocument/2006/relationships/hyperlink" Target="https://www.nature.com/articles/d41586-026-00190-y" TargetMode="External"/><Relationship Id="rId310" Type="http://schemas.openxmlformats.org/officeDocument/2006/relationships/hyperlink" Target="https://www.nature.com/articles/d41586-026-00217-4" TargetMode="External"/><Relationship Id="rId311" Type="http://schemas.openxmlformats.org/officeDocument/2006/relationships/hyperlink" Target="https://www.nature.com/articles/d41586-026-00102-0" TargetMode="External"/><Relationship Id="rId312" Type="http://schemas.openxmlformats.org/officeDocument/2006/relationships/hyperlink" Target="https://www.nature.com/articles/s41467-026-68664-1" TargetMode="External"/><Relationship Id="rId313" Type="http://schemas.openxmlformats.org/officeDocument/2006/relationships/hyperlink" Target="https://www.nature.com/articles/s44359-025-00128-z" TargetMode="External"/><Relationship Id="rId314" Type="http://schemas.openxmlformats.org/officeDocument/2006/relationships/hyperlink" Target="https://www.nature.com/articles/s44359-025-00126-1" TargetMode="External"/><Relationship Id="rId315" Type="http://schemas.openxmlformats.org/officeDocument/2006/relationships/hyperlink" Target="https://www.nature.com/articles/s44359-025-00137-y" TargetMode="External"/><Relationship Id="rId316" Type="http://schemas.openxmlformats.org/officeDocument/2006/relationships/hyperlink" Target="https://www.nature.com/articles/s44359-025-00139-w" TargetMode="External"/><Relationship Id="rId317" Type="http://schemas.openxmlformats.org/officeDocument/2006/relationships/hyperlink" Target="https://www.nature.com/articles/s41928-025-01553-5" TargetMode="External"/><Relationship Id="rId318" Type="http://schemas.openxmlformats.org/officeDocument/2006/relationships/hyperlink" Target="https://www.nature.com/articles/s41928-025-01546-4" TargetMode="External"/><Relationship Id="rId319" Type="http://schemas.openxmlformats.org/officeDocument/2006/relationships/hyperlink" Target="https://www.nature.com/articles/s44359-025-00140-3" TargetMode="External"/><Relationship Id="rId320" Type="http://schemas.openxmlformats.org/officeDocument/2006/relationships/hyperlink" Target="https://www.nature.com/articles/s44359-025-00143-0" TargetMode="External"/><Relationship Id="rId321" Type="http://schemas.openxmlformats.org/officeDocument/2006/relationships/hyperlink" Target="https://academic.oup.com/nsr/advance-article/doi/10.1093/nsr/nwag012/8431396?rss=1" TargetMode="External"/><Relationship Id="rId322" Type="http://schemas.openxmlformats.org/officeDocument/2006/relationships/hyperlink" Target="https://doi.org/10.1093/nsr/nwag012/8431396" TargetMode="External"/><Relationship Id="rId323" Type="http://schemas.openxmlformats.org/officeDocument/2006/relationships/hyperlink" Target="https://www.nature.com/articles/s41586-026-10109-2" TargetMode="External"/><Relationship Id="rId324" Type="http://schemas.openxmlformats.org/officeDocument/2006/relationships/hyperlink" Target="https://academic.oup.com/nsr/advance-article/doi/10.1093/nsr/nwag014/8431414?rss=1" TargetMode="External"/><Relationship Id="rId325" Type="http://schemas.openxmlformats.org/officeDocument/2006/relationships/hyperlink" Target="https://doi.org/10.1093/nsr/nwag014/8431414" TargetMode="External"/><Relationship Id="rId326" Type="http://schemas.openxmlformats.org/officeDocument/2006/relationships/hyperlink" Target="https://www.nature.com/articles/s41578-026-00890-x" TargetMode="External"/><Relationship Id="rId327" Type="http://schemas.openxmlformats.org/officeDocument/2006/relationships/hyperlink" Target="https://www.nature.com/articles/s41565-026-02124-1" TargetMode="External"/><Relationship Id="rId328" Type="http://schemas.openxmlformats.org/officeDocument/2006/relationships/hyperlink" Target="https://academic.oup.com/nsr/advance-article/doi/10.1093/nsr/nwag026/8431501?rss=1" TargetMode="External"/><Relationship Id="rId329" Type="http://schemas.openxmlformats.org/officeDocument/2006/relationships/hyperlink" Target="https://doi.org/10.1093/nsr/nwag026/8431501" TargetMode="External"/><Relationship Id="rId330" Type="http://schemas.openxmlformats.org/officeDocument/2006/relationships/hyperlink" Target="https://www.nature.com/articles/s41565-025-02099-5" TargetMode="External"/><Relationship Id="rId331" Type="http://schemas.openxmlformats.org/officeDocument/2006/relationships/hyperlink" Target="https://www.nature.com/articles/s41565-025-02081-1" TargetMode="External"/><Relationship Id="rId332" Type="http://schemas.openxmlformats.org/officeDocument/2006/relationships/hyperlink" Target="http://pubs.rsc.org/en/Content/ArticleLanding/2026/EE/D5EE07175E" TargetMode="External"/><Relationship Id="rId333" Type="http://schemas.openxmlformats.org/officeDocument/2006/relationships/hyperlink" Target="https://www.nature.com/articles/s41563-025-02472-8" TargetMode="External"/><Relationship Id="rId334" Type="http://schemas.openxmlformats.org/officeDocument/2006/relationships/hyperlink" Target="https://www.nature.com/articles/s41557-025-02058-6" TargetMode="External"/><Relationship Id="rId335" Type="http://schemas.openxmlformats.org/officeDocument/2006/relationships/hyperlink" Target="https://www.nature.com/articles/d41586-026-00151-5" TargetMode="External"/><Relationship Id="rId336" Type="http://schemas.openxmlformats.org/officeDocument/2006/relationships/hyperlink" Target="http://pubs.rsc.org/en/Content/ArticleLanding/2026/EE/D5EE07159C" TargetMode="External"/><Relationship Id="rId337" Type="http://schemas.openxmlformats.org/officeDocument/2006/relationships/hyperlink" Target="https://www.nature.com/articles/s41557-025-02048-8" TargetMode="External"/><Relationship Id="rId338" Type="http://schemas.openxmlformats.org/officeDocument/2006/relationships/hyperlink" Target="https://www.nature.com/articles/s41557-025-02035-z" TargetMode="External"/><Relationship Id="rId339" Type="http://schemas.openxmlformats.org/officeDocument/2006/relationships/hyperlink" Target="https://www.nature.com/articles/s41467-026-68722-8" TargetMode="External"/><Relationship Id="rId340" Type="http://schemas.openxmlformats.org/officeDocument/2006/relationships/hyperlink" Target="http://pubs.rsc.org/en/Content/ArticleLanding/2026/EE/D5EE06908D" TargetMode="External"/><Relationship Id="rId341" Type="http://schemas.openxmlformats.org/officeDocument/2006/relationships/hyperlink" Target="https://academic.oup.com/nsr/advance-article/doi/10.1093/nsr/nwag037/8431493?rss=1" TargetMode="External"/><Relationship Id="rId342" Type="http://schemas.openxmlformats.org/officeDocument/2006/relationships/hyperlink" Target="https://doi.org/10.1093/nsr/nwag037/8431493" TargetMode="External"/><Relationship Id="rId343" Type="http://schemas.openxmlformats.org/officeDocument/2006/relationships/hyperlink" Target="https://www.nature.com/articles/s41557-025-02057-7" TargetMode="External"/><Relationship Id="rId344" Type="http://schemas.openxmlformats.org/officeDocument/2006/relationships/hyperlink" Target="https://www.nature.com/articles/s44359-025-00134-1" TargetMode="External"/><Relationship Id="rId345" Type="http://schemas.openxmlformats.org/officeDocument/2006/relationships/hyperlink" Target="https://www.nature.com/articles/d41586-026-00088-9" TargetMode="External"/><Relationship Id="rId346" Type="http://schemas.openxmlformats.org/officeDocument/2006/relationships/hyperlink" Target="https://www.cell.com/chem/fulltext/S2451-9294(25)00471-1?rss=yes" TargetMode="External"/><Relationship Id="rId347" Type="http://schemas.openxmlformats.org/officeDocument/2006/relationships/hyperlink" Target="https://www.cell.com/one-earth/fulltext/S2590-3322(25)00396-3?rss=yes" TargetMode="External"/><Relationship Id="rId348" Type="http://schemas.openxmlformats.org/officeDocument/2006/relationships/hyperlink" Target="https://www.cell.com/chem/fulltext/S2451-9294(25)00422-X?rss=yes" TargetMode="External"/><Relationship Id="rId349" Type="http://schemas.openxmlformats.org/officeDocument/2006/relationships/hyperlink" Target="https://www.sciencedirect.com/science/article/pii/S0306261926000280?dgcid=rss_sd_all" TargetMode="External"/><Relationship Id="rId350" Type="http://schemas.openxmlformats.org/officeDocument/2006/relationships/hyperlink" Target="https://www.sciencedirect.com/science/article/pii/S0306261926000401?dgcid=rss_sd_all" TargetMode="External"/><Relationship Id="rId351" Type="http://schemas.openxmlformats.org/officeDocument/2006/relationships/hyperlink" Target="https://www.nature.com/articles/d41586-026-00090-1" TargetMode="External"/><Relationship Id="rId352" Type="http://schemas.openxmlformats.org/officeDocument/2006/relationships/hyperlink" Target="https://www.nature.com/articles/d41586-026-00091-0" TargetMode="External"/><Relationship Id="rId353" Type="http://schemas.openxmlformats.org/officeDocument/2006/relationships/hyperlink" Target="https://www.sciencedirect.com/science/article/pii/S1369702126000064?dgcid=rss_sd_all" TargetMode="External"/><Relationship Id="rId354" Type="http://schemas.openxmlformats.org/officeDocument/2006/relationships/hyperlink" Target="https://www.cell.com/joule/fulltext/S2542-4351(25)00418-0?rss=yes" TargetMode="External"/><Relationship Id="rId355" Type="http://schemas.openxmlformats.org/officeDocument/2006/relationships/hyperlink" Target="https://www.sciencedirect.com/science/article/pii/S0306261926000577?dgcid=rss_sd_all" TargetMode="External"/><Relationship Id="rId356" Type="http://schemas.openxmlformats.org/officeDocument/2006/relationships/hyperlink" Target="https://www.nature.com/articles/s44359-025-00132-3" TargetMode="External"/><Relationship Id="rId357" Type="http://schemas.openxmlformats.org/officeDocument/2006/relationships/hyperlink" Target="https://www.sciencedirect.com/science/article/pii/S0306261926000127?dgcid=rss_sd_all" TargetMode="External"/><Relationship Id="rId358" Type="http://schemas.openxmlformats.org/officeDocument/2006/relationships/hyperlink" Target="https://onlinelibrary.wiley.com/doi/10.1002/anie.202521378?af=R" TargetMode="External"/><Relationship Id="rId359" Type="http://schemas.openxmlformats.org/officeDocument/2006/relationships/hyperlink" Target="https://doi.org/10.1002/anie.202521378" TargetMode="External"/><Relationship Id="rId360" Type="http://schemas.openxmlformats.org/officeDocument/2006/relationships/hyperlink" Target="https://onlinelibrary.wiley.com/doi/10.1002/anie.4017792?af=R" TargetMode="External"/><Relationship Id="rId361" Type="http://schemas.openxmlformats.org/officeDocument/2006/relationships/hyperlink" Target="https://doi.org/10.1002/anie.4017792" TargetMode="External"/><Relationship Id="rId362" Type="http://schemas.openxmlformats.org/officeDocument/2006/relationships/hyperlink" Target="https://advanced.onlinelibrary.wiley.com/doi/10.1002/adma.72140?af=R" TargetMode="External"/><Relationship Id="rId363" Type="http://schemas.openxmlformats.org/officeDocument/2006/relationships/hyperlink" Target="https://doi.org/10.1002/adma.72140" TargetMode="External"/><Relationship Id="rId364" Type="http://schemas.openxmlformats.org/officeDocument/2006/relationships/hyperlink" Target="https://onlinelibrary.wiley.com/doi/10.1002/anie.202526086?af=R" TargetMode="External"/><Relationship Id="rId365" Type="http://schemas.openxmlformats.org/officeDocument/2006/relationships/hyperlink" Target="https://doi.org/10.1002/anie.202526086" TargetMode="External"/><Relationship Id="rId366" Type="http://schemas.openxmlformats.org/officeDocument/2006/relationships/hyperlink" Target="https://advanced.onlinelibrary.wiley.com/doi/10.1002/adma.202518377?af=R" TargetMode="External"/><Relationship Id="rId367" Type="http://schemas.openxmlformats.org/officeDocument/2006/relationships/hyperlink" Target="https://doi.org/10.1002/adma.202518377" TargetMode="External"/><Relationship Id="rId368" Type="http://schemas.openxmlformats.org/officeDocument/2006/relationships/hyperlink" Target="https://onlinelibrary.wiley.com/doi/10.1002/anie.202519541?af=R" TargetMode="External"/><Relationship Id="rId369" Type="http://schemas.openxmlformats.org/officeDocument/2006/relationships/hyperlink" Target="https://doi.org/10.1002/anie.202519541" TargetMode="External"/><Relationship Id="rId370" Type="http://schemas.openxmlformats.org/officeDocument/2006/relationships/hyperlink" Target="https://onlinelibrary.wiley.com/doi/10.1002/anie.202521334?af=R" TargetMode="External"/><Relationship Id="rId371" Type="http://schemas.openxmlformats.org/officeDocument/2006/relationships/hyperlink" Target="https://doi.org/10.1002/anie.202521334" TargetMode="External"/><Relationship Id="rId372" Type="http://schemas.openxmlformats.org/officeDocument/2006/relationships/hyperlink" Target="https://onlinelibrary.wiley.com/doi/10.1002/anie.202521773?af=R" TargetMode="External"/><Relationship Id="rId373" Type="http://schemas.openxmlformats.org/officeDocument/2006/relationships/hyperlink" Target="https://doi.org/10.1002/anie.202521773" TargetMode="External"/><Relationship Id="rId374" Type="http://schemas.openxmlformats.org/officeDocument/2006/relationships/hyperlink" Target="https://onlinelibrary.wiley.com/doi/10.1002/anie.202523681?af=R" TargetMode="External"/><Relationship Id="rId375" Type="http://schemas.openxmlformats.org/officeDocument/2006/relationships/hyperlink" Target="https://doi.org/10.1002/anie.202523681" TargetMode="External"/><Relationship Id="rId376" Type="http://schemas.openxmlformats.org/officeDocument/2006/relationships/hyperlink" Target="https://onlinelibrary.wiley.com/doi/10.1002/anie.202523259?af=R" TargetMode="External"/><Relationship Id="rId377" Type="http://schemas.openxmlformats.org/officeDocument/2006/relationships/hyperlink" Target="https://doi.org/10.1002/anie.202523259" TargetMode="External"/><Relationship Id="rId378" Type="http://schemas.openxmlformats.org/officeDocument/2006/relationships/hyperlink" Target="https://onlinelibrary.wiley.com/doi/10.1002/anie.202520987?af=R" TargetMode="External"/><Relationship Id="rId379" Type="http://schemas.openxmlformats.org/officeDocument/2006/relationships/hyperlink" Target="https://doi.org/10.1002/anie.202520987" TargetMode="External"/><Relationship Id="rId380" Type="http://schemas.openxmlformats.org/officeDocument/2006/relationships/hyperlink" Target="https://onlinelibrary.wiley.com/doi/10.1002/anie.202518909?af=R" TargetMode="External"/><Relationship Id="rId381" Type="http://schemas.openxmlformats.org/officeDocument/2006/relationships/hyperlink" Target="https://doi.org/10.1002/anie.202518909" TargetMode="External"/><Relationship Id="rId382" Type="http://schemas.openxmlformats.org/officeDocument/2006/relationships/hyperlink" Target="https://onlinelibrary.wiley.com/doi/10.1002/anie.202521126?af=R" TargetMode="External"/><Relationship Id="rId383" Type="http://schemas.openxmlformats.org/officeDocument/2006/relationships/hyperlink" Target="https://doi.org/10.1002/anie.202521126" TargetMode="External"/><Relationship Id="rId384" Type="http://schemas.openxmlformats.org/officeDocument/2006/relationships/hyperlink" Target="https://onlinelibrary.wiley.com/doi/10.1002/anie.202524650?af=R" TargetMode="External"/><Relationship Id="rId385" Type="http://schemas.openxmlformats.org/officeDocument/2006/relationships/hyperlink" Target="https://doi.org/10.1002/anie.202524650" TargetMode="External"/><Relationship Id="rId386" Type="http://schemas.openxmlformats.org/officeDocument/2006/relationships/hyperlink" Target="https://onlinelibrary.wiley.com/doi/10.1002/anie.202523063?af=R" TargetMode="External"/><Relationship Id="rId387" Type="http://schemas.openxmlformats.org/officeDocument/2006/relationships/hyperlink" Target="https://doi.org/10.1002/anie.202523063" TargetMode="External"/><Relationship Id="rId388" Type="http://schemas.openxmlformats.org/officeDocument/2006/relationships/hyperlink" Target="https://onlinelibrary.wiley.com/doi/10.1002/anie.202525724?af=R" TargetMode="External"/><Relationship Id="rId389" Type="http://schemas.openxmlformats.org/officeDocument/2006/relationships/hyperlink" Target="https://doi.org/10.1002/anie.202525724" TargetMode="External"/><Relationship Id="rId390" Type="http://schemas.openxmlformats.org/officeDocument/2006/relationships/hyperlink" Target="https://advanced.onlinelibrary.wiley.com/doi/10.1002/aenm.202505186?af=R" TargetMode="External"/><Relationship Id="rId391" Type="http://schemas.openxmlformats.org/officeDocument/2006/relationships/hyperlink" Target="https://doi.org/10.1002/aenm.202505186" TargetMode="External"/><Relationship Id="rId392" Type="http://schemas.openxmlformats.org/officeDocument/2006/relationships/hyperlink" Target="https://advanced.onlinelibrary.wiley.com/doi/10.1002/aenm.202506692?af=R" TargetMode="External"/><Relationship Id="rId393" Type="http://schemas.openxmlformats.org/officeDocument/2006/relationships/hyperlink" Target="https://doi.org/10.1002/aenm.202506692" TargetMode="External"/><Relationship Id="rId394" Type="http://schemas.openxmlformats.org/officeDocument/2006/relationships/hyperlink" Target="https://advanced.onlinelibrary.wiley.com/doi/10.1002/aenm.202506570?af=R" TargetMode="External"/><Relationship Id="rId395" Type="http://schemas.openxmlformats.org/officeDocument/2006/relationships/hyperlink" Target="https://doi.org/10.1002/aenm.202506570" TargetMode="External"/><Relationship Id="rId396" Type="http://schemas.openxmlformats.org/officeDocument/2006/relationships/hyperlink" Target="https://advanced.onlinelibrary.wiley.com/doi/10.1002/aenm.202506280?af=R" TargetMode="External"/><Relationship Id="rId397" Type="http://schemas.openxmlformats.org/officeDocument/2006/relationships/hyperlink" Target="https://doi.org/10.1002/aenm.202506280" TargetMode="External"/><Relationship Id="rId398" Type="http://schemas.openxmlformats.org/officeDocument/2006/relationships/hyperlink" Target="https://www.pnas.org/doi/abs/10.1073/pnas.2506168123?mi=eymic2&amp;af=R&amp;access=on&amp;content=articlesChapters&amp;publication=pnas&amp;sortBy=Earliest&amp;target=default" TargetMode="External"/><Relationship Id="rId399" Type="http://schemas.openxmlformats.org/officeDocument/2006/relationships/hyperlink" Target="https://doi.org/10.1073/pnas.2506168123" TargetMode="External"/><Relationship Id="rId400" Type="http://schemas.openxmlformats.org/officeDocument/2006/relationships/hyperlink" Target="https://www.pnas.org/doi/abs/10.1073/pnas.2515709123?mi=eymic2&amp;af=R&amp;access=on&amp;content=articlesChapters&amp;publication=pnas&amp;sortBy=Earliest&amp;target=default" TargetMode="External"/><Relationship Id="rId401" Type="http://schemas.openxmlformats.org/officeDocument/2006/relationships/hyperlink" Target="https://doi.org/10.1073/pnas.2515709123" TargetMode="External"/><Relationship Id="rId402" Type="http://schemas.openxmlformats.org/officeDocument/2006/relationships/hyperlink" Target="https://www.pnas.org/doi/abs/10.1073/pnas.2535458123?mi=eymic2&amp;af=R&amp;access=on&amp;content=articlesChapters&amp;publication=pnas&amp;sortBy=Earliest&amp;target=default" TargetMode="External"/><Relationship Id="rId403" Type="http://schemas.openxmlformats.org/officeDocument/2006/relationships/hyperlink" Target="https://doi.org/10.1073/pnas.2535458123" TargetMode="External"/><Relationship Id="rId404" Type="http://schemas.openxmlformats.org/officeDocument/2006/relationships/hyperlink" Target="https://www.pnas.org/doi/abs/10.1073/pnas.2533685123?mi=eymic2&amp;af=R&amp;access=on&amp;content=articlesChapters&amp;publication=pnas&amp;sortBy=Earliest&amp;target=default" TargetMode="External"/><Relationship Id="rId405" Type="http://schemas.openxmlformats.org/officeDocument/2006/relationships/hyperlink" Target="https://doi.org/10.1073/pnas.2533685123" TargetMode="External"/><Relationship Id="rId406" Type="http://schemas.openxmlformats.org/officeDocument/2006/relationships/hyperlink" Target="https://www.pnas.org/doi/abs/10.1073/pnas.2531796123?mi=eymic2&amp;af=R&amp;access=on&amp;content=articlesChapters&amp;publication=pnas&amp;sortBy=Earliest&amp;target=default" TargetMode="External"/><Relationship Id="rId407" Type="http://schemas.openxmlformats.org/officeDocument/2006/relationships/hyperlink" Target="https://doi.org/10.1073/pnas.2531796123" TargetMode="External"/><Relationship Id="rId408" Type="http://schemas.openxmlformats.org/officeDocument/2006/relationships/hyperlink" Target="https://www.pnas.org/doi/abs/10.1073/pnas.2531790123?mi=eymic2&amp;af=R&amp;access=on&amp;content=articlesChapters&amp;publication=pnas&amp;sortBy=Earliest&amp;target=default" TargetMode="External"/><Relationship Id="rId409" Type="http://schemas.openxmlformats.org/officeDocument/2006/relationships/hyperlink" Target="https://doi.org/10.1073/pnas.2531790123" TargetMode="External"/><Relationship Id="rId410" Type="http://schemas.openxmlformats.org/officeDocument/2006/relationships/hyperlink" Target="https://www.pnas.org/doi/abs/10.1073/pnas.2531380123?mi=eymic2&amp;af=R&amp;access=on&amp;content=articlesChapters&amp;publication=pnas&amp;sortBy=Earliest&amp;target=default" TargetMode="External"/><Relationship Id="rId411" Type="http://schemas.openxmlformats.org/officeDocument/2006/relationships/hyperlink" Target="https://doi.org/10.1073/pnas.2531380123" TargetMode="External"/><Relationship Id="rId412" Type="http://schemas.openxmlformats.org/officeDocument/2006/relationships/hyperlink" Target="https://www.pnas.org/doi/abs/10.1073/pnas.2531099123?mi=eymic2&amp;af=R&amp;access=on&amp;content=articlesChapters&amp;publication=pnas&amp;sortBy=Earliest&amp;target=default" TargetMode="External"/><Relationship Id="rId413" Type="http://schemas.openxmlformats.org/officeDocument/2006/relationships/hyperlink" Target="https://doi.org/10.1073/pnas.2531099123" TargetMode="External"/><Relationship Id="rId414" Type="http://schemas.openxmlformats.org/officeDocument/2006/relationships/hyperlink" Target="https://www.pnas.org/doi/abs/10.1073/pnas.2535459123?mi=eymic2&amp;af=R&amp;access=on&amp;content=articlesChapters&amp;publication=pnas&amp;sortBy=Earliest&amp;target=default" TargetMode="External"/><Relationship Id="rId415" Type="http://schemas.openxmlformats.org/officeDocument/2006/relationships/hyperlink" Target="https://doi.org/10.1073/pnas.2535459123" TargetMode="External"/><Relationship Id="rId416" Type="http://schemas.openxmlformats.org/officeDocument/2006/relationships/hyperlink" Target="https://www.pnas.org/doi/abs/10.1073/pnas.2530116123?mi=eymic2&amp;af=R&amp;access=on&amp;content=articlesChapters&amp;publication=pnas&amp;sortBy=Earliest&amp;target=default" TargetMode="External"/><Relationship Id="rId417" Type="http://schemas.openxmlformats.org/officeDocument/2006/relationships/hyperlink" Target="https://doi.org/10.1073/pnas.2530116123" TargetMode="External"/><Relationship Id="rId418" Type="http://schemas.openxmlformats.org/officeDocument/2006/relationships/hyperlink" Target="https://www.pnas.org/doi/abs/10.1073/pnas.2528373123?mi=eymic2&amp;af=R&amp;access=on&amp;content=articlesChapters&amp;publication=pnas&amp;sortBy=Earliest&amp;target=default" TargetMode="External"/><Relationship Id="rId419" Type="http://schemas.openxmlformats.org/officeDocument/2006/relationships/hyperlink" Target="https://doi.org/10.1073/pnas.2528373123" TargetMode="External"/><Relationship Id="rId420" Type="http://schemas.openxmlformats.org/officeDocument/2006/relationships/hyperlink" Target="https://www.pnas.org/doi/abs/10.1073/pnas.2526097123?mi=eymic2&amp;af=R&amp;access=on&amp;content=articlesChapters&amp;publication=pnas&amp;sortBy=Earliest&amp;target=default" TargetMode="External"/><Relationship Id="rId421" Type="http://schemas.openxmlformats.org/officeDocument/2006/relationships/hyperlink" Target="https://doi.org/10.1073/pnas.2526097123" TargetMode="External"/><Relationship Id="rId422" Type="http://schemas.openxmlformats.org/officeDocument/2006/relationships/hyperlink" Target="https://www.pnas.org/doi/abs/10.1073/pnas.2523465123?mi=eymic2&amp;af=R&amp;access=on&amp;content=articlesChapters&amp;publication=pnas&amp;sortBy=Earliest&amp;target=default" TargetMode="External"/><Relationship Id="rId423" Type="http://schemas.openxmlformats.org/officeDocument/2006/relationships/hyperlink" Target="https://doi.org/10.1073/pnas.2523465123" TargetMode="External"/><Relationship Id="rId424" Type="http://schemas.openxmlformats.org/officeDocument/2006/relationships/hyperlink" Target="https://www.pnas.org/doi/abs/10.1073/pnas.2523438123?mi=eymic2&amp;af=R&amp;access=on&amp;content=articlesChapters&amp;publication=pnas&amp;sortBy=Earliest&amp;target=default" TargetMode="External"/><Relationship Id="rId425" Type="http://schemas.openxmlformats.org/officeDocument/2006/relationships/hyperlink" Target="https://doi.org/10.1073/pnas.2523438123" TargetMode="External"/><Relationship Id="rId426" Type="http://schemas.openxmlformats.org/officeDocument/2006/relationships/hyperlink" Target="https://www.pnas.org/doi/abs/10.1073/pnas.2523388123?mi=eymic2&amp;af=R&amp;access=on&amp;content=articlesChapters&amp;publication=pnas&amp;sortBy=Earliest&amp;target=default" TargetMode="External"/><Relationship Id="rId427" Type="http://schemas.openxmlformats.org/officeDocument/2006/relationships/hyperlink" Target="https://doi.org/10.1073/pnas.2523388123" TargetMode="External"/><Relationship Id="rId428" Type="http://schemas.openxmlformats.org/officeDocument/2006/relationships/hyperlink" Target="https://www.pnas.org/doi/abs/10.1073/pnas.2522768123?mi=eymic2&amp;af=R&amp;access=on&amp;content=articlesChapters&amp;publication=pnas&amp;sortBy=Earliest&amp;target=default" TargetMode="External"/><Relationship Id="rId429" Type="http://schemas.openxmlformats.org/officeDocument/2006/relationships/hyperlink" Target="https://doi.org/10.1073/pnas.2522768123" TargetMode="External"/><Relationship Id="rId430" Type="http://schemas.openxmlformats.org/officeDocument/2006/relationships/hyperlink" Target="https://www.pnas.org/doi/abs/10.1073/pnas.2522502123?mi=eymic2&amp;af=R&amp;access=on&amp;content=articlesChapters&amp;publication=pnas&amp;sortBy=Earliest&amp;target=default" TargetMode="External"/><Relationship Id="rId431" Type="http://schemas.openxmlformats.org/officeDocument/2006/relationships/hyperlink" Target="https://doi.org/10.1073/pnas.2522502123" TargetMode="External"/><Relationship Id="rId432" Type="http://schemas.openxmlformats.org/officeDocument/2006/relationships/hyperlink" Target="https://www.pnas.org/doi/abs/10.1073/pnas.2522274123?mi=eymic2&amp;af=R&amp;access=on&amp;content=articlesChapters&amp;publication=pnas&amp;sortBy=Earliest&amp;target=default" TargetMode="External"/><Relationship Id="rId433" Type="http://schemas.openxmlformats.org/officeDocument/2006/relationships/hyperlink" Target="https://doi.org/10.1073/pnas.2522274123" TargetMode="External"/><Relationship Id="rId434" Type="http://schemas.openxmlformats.org/officeDocument/2006/relationships/hyperlink" Target="https://www.pnas.org/doi/abs/10.1073/pnas.2520579123?mi=eymic2&amp;af=R&amp;access=on&amp;content=articlesChapters&amp;publication=pnas&amp;sortBy=Earliest&amp;target=default" TargetMode="External"/><Relationship Id="rId435" Type="http://schemas.openxmlformats.org/officeDocument/2006/relationships/hyperlink" Target="https://doi.org/10.1073/pnas.2520579123" TargetMode="External"/><Relationship Id="rId436" Type="http://schemas.openxmlformats.org/officeDocument/2006/relationships/hyperlink" Target="https://www.pnas.org/doi/abs/10.1073/pnas.2519625123?mi=eymic2&amp;af=R&amp;access=on&amp;content=articlesChapters&amp;publication=pnas&amp;sortBy=Earliest&amp;target=default" TargetMode="External"/><Relationship Id="rId437" Type="http://schemas.openxmlformats.org/officeDocument/2006/relationships/hyperlink" Target="https://doi.org/10.1073/pnas.2519625123" TargetMode="External"/><Relationship Id="rId438" Type="http://schemas.openxmlformats.org/officeDocument/2006/relationships/hyperlink" Target="https://www.pnas.org/doi/abs/10.1073/pnas.2529865123?mi=eymic2&amp;af=R&amp;access=on&amp;content=articlesChapters&amp;publication=pnas&amp;sortBy=Earliest&amp;target=default" TargetMode="External"/><Relationship Id="rId439" Type="http://schemas.openxmlformats.org/officeDocument/2006/relationships/hyperlink" Target="https://doi.org/10.1073/pnas.2529865123" TargetMode="External"/><Relationship Id="rId440" Type="http://schemas.openxmlformats.org/officeDocument/2006/relationships/hyperlink" Target="https://www.pnas.org/doi/abs/10.1073/pnas.2536153123?mi=eymic2&amp;af=R&amp;access=on&amp;content=articlesChapters&amp;publication=pnas&amp;sortBy=Earliest&amp;target=default" TargetMode="External"/><Relationship Id="rId441" Type="http://schemas.openxmlformats.org/officeDocument/2006/relationships/hyperlink" Target="https://doi.org/10.1073/pnas.2536153123" TargetMode="External"/><Relationship Id="rId442" Type="http://schemas.openxmlformats.org/officeDocument/2006/relationships/hyperlink" Target="https://www.pnas.org/doi/abs/10.1073/pnas.2537869123?mi=eymic2&amp;af=R&amp;access=on&amp;content=articlesChapters&amp;publication=pnas&amp;sortBy=Earliest&amp;target=default" TargetMode="External"/><Relationship Id="rId443" Type="http://schemas.openxmlformats.org/officeDocument/2006/relationships/hyperlink" Target="https://doi.org/10.1073/pnas.2537869123" TargetMode="External"/><Relationship Id="rId444" Type="http://schemas.openxmlformats.org/officeDocument/2006/relationships/hyperlink" Target="https://www.pnas.org/doi/abs/10.1073/pnas.2422574123?mi=eymic2&amp;af=R&amp;access=on&amp;content=articlesChapters&amp;publication=pnas&amp;sortBy=Earliest&amp;target=default" TargetMode="External"/><Relationship Id="rId445" Type="http://schemas.openxmlformats.org/officeDocument/2006/relationships/hyperlink" Target="https://doi.org/10.1073/pnas.2422574123" TargetMode="External"/><Relationship Id="rId446" Type="http://schemas.openxmlformats.org/officeDocument/2006/relationships/hyperlink" Target="https://www.pnas.org/doi/abs/10.1073/pnas.2516624123?mi=eymic2&amp;af=R&amp;access=on&amp;content=articlesChapters&amp;publication=pnas&amp;sortBy=Earliest&amp;target=default" TargetMode="External"/><Relationship Id="rId447" Type="http://schemas.openxmlformats.org/officeDocument/2006/relationships/hyperlink" Target="https://doi.org/10.1073/pnas.2516624123" TargetMode="External"/><Relationship Id="rId448" Type="http://schemas.openxmlformats.org/officeDocument/2006/relationships/hyperlink" Target="https://www.pnas.org/doi/abs/10.1073/pnas.2509231122?mi=eymic2&amp;af=R&amp;access=on&amp;content=articlesChapters&amp;publication=pnas&amp;sortBy=Earliest&amp;target=default" TargetMode="External"/><Relationship Id="rId449" Type="http://schemas.openxmlformats.org/officeDocument/2006/relationships/hyperlink" Target="https://doi.org/10.1073/pnas.2509231122" TargetMode="External"/><Relationship Id="rId450" Type="http://schemas.openxmlformats.org/officeDocument/2006/relationships/hyperlink" Target="https://www.pnas.org/doi/abs/10.1073/pnas.2415291123?mi=eymic2&amp;af=R&amp;access=on&amp;content=articlesChapters&amp;publication=pnas&amp;sortBy=Earliest&amp;target=default" TargetMode="External"/><Relationship Id="rId451" Type="http://schemas.openxmlformats.org/officeDocument/2006/relationships/hyperlink" Target="https://doi.org/10.1073/pnas.2415291123" TargetMode="External"/><Relationship Id="rId452" Type="http://schemas.openxmlformats.org/officeDocument/2006/relationships/hyperlink" Target="https://www.pnas.org/doi/abs/10.1073/pnas.2511800123?mi=eymic2&amp;af=R&amp;access=on&amp;content=articlesChapters&amp;publication=pnas&amp;sortBy=Earliest&amp;target=default" TargetMode="External"/><Relationship Id="rId453" Type="http://schemas.openxmlformats.org/officeDocument/2006/relationships/hyperlink" Target="https://doi.org/10.1073/pnas.2511800123" TargetMode="External"/><Relationship Id="rId454" Type="http://schemas.openxmlformats.org/officeDocument/2006/relationships/hyperlink" Target="https://www.pnas.org/doi/abs/10.1073/iti0326123?mi=eymic2&amp;af=R&amp;access=on&amp;content=articlesChapters&amp;publication=pnas&amp;sortBy=Earliest&amp;target=default" TargetMode="External"/><Relationship Id="rId455" Type="http://schemas.openxmlformats.org/officeDocument/2006/relationships/hyperlink" Target="https://doi.org/10.1073/iti0326123" TargetMode="External"/><Relationship Id="rId456" Type="http://schemas.openxmlformats.org/officeDocument/2006/relationships/hyperlink" Target="https://www.pnas.org/doi/abs/10.1073/pnas.2513588123?mi=eymic2&amp;af=R&amp;access=on&amp;content=articlesChapters&amp;publication=pnas&amp;sortBy=Earliest&amp;target=default" TargetMode="External"/><Relationship Id="rId457" Type="http://schemas.openxmlformats.org/officeDocument/2006/relationships/hyperlink" Target="https://doi.org/10.1073/pnas.2513588123" TargetMode="External"/><Relationship Id="rId458" Type="http://schemas.openxmlformats.org/officeDocument/2006/relationships/hyperlink" Target="https://www.pnas.org/doi/abs/10.1073/pnas.2510980123?mi=eymic2&amp;af=R&amp;access=on&amp;content=articlesChapters&amp;publication=pnas&amp;sortBy=Earliest&amp;target=default" TargetMode="External"/><Relationship Id="rId459" Type="http://schemas.openxmlformats.org/officeDocument/2006/relationships/hyperlink" Target="https://doi.org/10.1073/pnas.2510980123" TargetMode="External"/><Relationship Id="rId460" Type="http://schemas.openxmlformats.org/officeDocument/2006/relationships/hyperlink" Target="https://www.pnas.org/doi/abs/10.1073/pnas.2426723123?mi=eymic2&amp;af=R&amp;access=on&amp;content=articlesChapters&amp;publication=pnas&amp;sortBy=Earliest&amp;target=default" TargetMode="External"/><Relationship Id="rId461" Type="http://schemas.openxmlformats.org/officeDocument/2006/relationships/hyperlink" Target="https://doi.org/10.1073/pnas.2426723123" TargetMode="External"/><Relationship Id="rId462" Type="http://schemas.openxmlformats.org/officeDocument/2006/relationships/hyperlink" Target="https://www.pnas.org/doi/abs/10.1073/pnas.2500791123?mi=eymic2&amp;af=R&amp;access=on&amp;content=articlesChapters&amp;publication=pnas&amp;sortBy=Earliest&amp;target=default" TargetMode="External"/><Relationship Id="rId463" Type="http://schemas.openxmlformats.org/officeDocument/2006/relationships/hyperlink" Target="https://doi.org/10.1073/pnas.2500791123" TargetMode="External"/><Relationship Id="rId464" Type="http://schemas.openxmlformats.org/officeDocument/2006/relationships/hyperlink" Target="https://www.pnas.org/doi/abs/10.1073/pnas.2515691123?mi=eymic2&amp;af=R&amp;access=on&amp;content=articlesChapters&amp;publication=pnas&amp;sortBy=Earliest&amp;target=default" TargetMode="External"/><Relationship Id="rId465" Type="http://schemas.openxmlformats.org/officeDocument/2006/relationships/hyperlink" Target="https://doi.org/10.1073/pnas.2515691123" TargetMode="External"/><Relationship Id="rId466" Type="http://schemas.openxmlformats.org/officeDocument/2006/relationships/hyperlink" Target="http://dx.doi.org/10.1021/jacs.5c14645" TargetMode="External"/><Relationship Id="rId467" Type="http://schemas.openxmlformats.org/officeDocument/2006/relationships/hyperlink" Target="https://doi.org/10.1021/jacs.5c14645" TargetMode="External"/><Relationship Id="rId468" Type="http://schemas.openxmlformats.org/officeDocument/2006/relationships/hyperlink" Target="https://advanced.onlinelibrary.wiley.com/doi/10.1002/adma.202520176?af=R" TargetMode="External"/><Relationship Id="rId469" Type="http://schemas.openxmlformats.org/officeDocument/2006/relationships/hyperlink" Target="https://doi.org/10.1002/adma.202520176" TargetMode="External"/><Relationship Id="rId470" Type="http://schemas.openxmlformats.org/officeDocument/2006/relationships/hyperlink" Target="https://advanced.onlinelibrary.wiley.com/doi/10.1002/adma.202517913?af=R" TargetMode="External"/><Relationship Id="rId471" Type="http://schemas.openxmlformats.org/officeDocument/2006/relationships/hyperlink" Target="https://doi.org/10.1002/adma.202517913" TargetMode="External"/><Relationship Id="rId472" Type="http://schemas.openxmlformats.org/officeDocument/2006/relationships/hyperlink" Target="https://advanced.onlinelibrary.wiley.com/doi/10.1002/adma.202522135?af=R" TargetMode="External"/><Relationship Id="rId473" Type="http://schemas.openxmlformats.org/officeDocument/2006/relationships/hyperlink" Target="https://doi.org/10.1002/adma.202522135" TargetMode="External"/><Relationship Id="rId474" Type="http://schemas.openxmlformats.org/officeDocument/2006/relationships/hyperlink" Target="https://advanced.onlinelibrary.wiley.com/doi/10.1002/adma.202519569?af=R" TargetMode="External"/><Relationship Id="rId475" Type="http://schemas.openxmlformats.org/officeDocument/2006/relationships/hyperlink" Target="https://doi.org/10.1002/adma.202519569" TargetMode="External"/><Relationship Id="rId476" Type="http://schemas.openxmlformats.org/officeDocument/2006/relationships/hyperlink" Target="https://advanced.onlinelibrary.wiley.com/doi/10.1002/adma.202519401?af=R" TargetMode="External"/><Relationship Id="rId477" Type="http://schemas.openxmlformats.org/officeDocument/2006/relationships/hyperlink" Target="https://doi.org/10.1002/adma.202519401" TargetMode="External"/><Relationship Id="rId478" Type="http://schemas.openxmlformats.org/officeDocument/2006/relationships/hyperlink" Target="https://advanced.onlinelibrary.wiley.com/doi/10.1002/aenm.202505756?af=R" TargetMode="External"/><Relationship Id="rId479" Type="http://schemas.openxmlformats.org/officeDocument/2006/relationships/hyperlink" Target="https://doi.org/10.1002/aenm.202505756" TargetMode="External"/><Relationship Id="rId480" Type="http://schemas.openxmlformats.org/officeDocument/2006/relationships/hyperlink" Target="http://dx.doi.org/10.1021/jacs.5c18359" TargetMode="External"/><Relationship Id="rId481" Type="http://schemas.openxmlformats.org/officeDocument/2006/relationships/hyperlink" Target="https://doi.org/10.1021/jacs.5c18359" TargetMode="External"/><Relationship Id="rId482" Type="http://schemas.openxmlformats.org/officeDocument/2006/relationships/hyperlink" Target="http://dx.doi.org/10.1021/jacs.5c19724" TargetMode="External"/><Relationship Id="rId483" Type="http://schemas.openxmlformats.org/officeDocument/2006/relationships/hyperlink" Target="https://doi.org/10.1021/jacs.5c19724" TargetMode="External"/><Relationship Id="rId484" Type="http://schemas.openxmlformats.org/officeDocument/2006/relationships/hyperlink" Target="https://advanced.onlinelibrary.wiley.com/doi/10.1002/aenm.202506462?af=R" TargetMode="External"/><Relationship Id="rId485" Type="http://schemas.openxmlformats.org/officeDocument/2006/relationships/hyperlink" Target="https://doi.org/10.1002/aenm.202506462" TargetMode="External"/><Relationship Id="rId486" Type="http://schemas.openxmlformats.org/officeDocument/2006/relationships/hyperlink" Target="https://onlinelibrary.wiley.com/doi/10.1002/anie.202523460?af=R" TargetMode="External"/><Relationship Id="rId487" Type="http://schemas.openxmlformats.org/officeDocument/2006/relationships/hyperlink" Target="https://doi.org/10.1002/anie.202523460" TargetMode="External"/><Relationship Id="rId488" Type="http://schemas.openxmlformats.org/officeDocument/2006/relationships/hyperlink" Target="https://onlinelibrary.wiley.com/doi/10.1002/anie.202525098?af=R" TargetMode="External"/><Relationship Id="rId489" Type="http://schemas.openxmlformats.org/officeDocument/2006/relationships/hyperlink" Target="https://doi.org/10.1002/anie.202525098" TargetMode="External"/><Relationship Id="rId490" Type="http://schemas.openxmlformats.org/officeDocument/2006/relationships/hyperlink" Target="https://onlinelibrary.wiley.com/doi/10.1002/anie.202520124?af=R" TargetMode="External"/><Relationship Id="rId491" Type="http://schemas.openxmlformats.org/officeDocument/2006/relationships/hyperlink" Target="https://doi.org/10.1002/anie.202520124" TargetMode="External"/><Relationship Id="rId492" Type="http://schemas.openxmlformats.org/officeDocument/2006/relationships/hyperlink" Target="https://onlinelibrary.wiley.com/doi/10.1002/anie.202517348?af=R" TargetMode="External"/><Relationship Id="rId493" Type="http://schemas.openxmlformats.org/officeDocument/2006/relationships/hyperlink" Target="https://doi.org/10.1002/anie.202517348" TargetMode="External"/><Relationship Id="rId494" Type="http://schemas.openxmlformats.org/officeDocument/2006/relationships/hyperlink" Target="https://onlinelibrary.wiley.com/doi/10.1002/anie.202520039?af=R" TargetMode="External"/><Relationship Id="rId495" Type="http://schemas.openxmlformats.org/officeDocument/2006/relationships/hyperlink" Target="https://doi.org/10.1002/anie.202520039" TargetMode="External"/><Relationship Id="rId496" Type="http://schemas.openxmlformats.org/officeDocument/2006/relationships/hyperlink" Target="http://dx.doi.org/10.1021/jacs.5c20524" TargetMode="External"/><Relationship Id="rId497" Type="http://schemas.openxmlformats.org/officeDocument/2006/relationships/hyperlink" Target="https://doi.org/10.1021/jacs.5c20524" TargetMode="External"/><Relationship Id="rId498" Type="http://schemas.openxmlformats.org/officeDocument/2006/relationships/hyperlink" Target="http://dx.doi.org/10.1021/jacs.5c19507" TargetMode="External"/><Relationship Id="rId499" Type="http://schemas.openxmlformats.org/officeDocument/2006/relationships/hyperlink" Target="https://doi.org/10.1021/jacs.5c19507" TargetMode="External"/><Relationship Id="rId500" Type="http://schemas.openxmlformats.org/officeDocument/2006/relationships/hyperlink" Target="http://dx.doi.org/10.1021/jacs.5c18687" TargetMode="External"/><Relationship Id="rId501" Type="http://schemas.openxmlformats.org/officeDocument/2006/relationships/hyperlink" Target="https://doi.org/10.1021/jacs.5c18687" TargetMode="External"/><Relationship Id="rId502" Type="http://schemas.openxmlformats.org/officeDocument/2006/relationships/hyperlink" Target="http://dx.doi.org/10.1021/jacs.5c18643" TargetMode="External"/><Relationship Id="rId503" Type="http://schemas.openxmlformats.org/officeDocument/2006/relationships/hyperlink" Target="https://doi.org/10.1021/jacs.5c18643" TargetMode="External"/><Relationship Id="rId504" Type="http://schemas.openxmlformats.org/officeDocument/2006/relationships/hyperlink" Target="http://dx.doi.org/10.1021/acsenergylett.5c03891" TargetMode="External"/><Relationship Id="rId505" Type="http://schemas.openxmlformats.org/officeDocument/2006/relationships/hyperlink" Target="https://doi.org/10.1021/acsenergylett.5c03891" TargetMode="External"/><Relationship Id="rId506" Type="http://schemas.openxmlformats.org/officeDocument/2006/relationships/hyperlink" Target="http://dx.doi.org/10.1021/jacs.5c14655" TargetMode="External"/><Relationship Id="rId507" Type="http://schemas.openxmlformats.org/officeDocument/2006/relationships/hyperlink" Target="https://doi.org/10.1021/jacs.5c14655" TargetMode="External"/><Relationship Id="rId508" Type="http://schemas.openxmlformats.org/officeDocument/2006/relationships/hyperlink" Target="http://dx.doi.org/10.1021/jacs.5c12205" TargetMode="External"/><Relationship Id="rId509" Type="http://schemas.openxmlformats.org/officeDocument/2006/relationships/hyperlink" Target="https://doi.org/10.1021/jacs.5c12205" TargetMode="External"/><Relationship Id="rId510" Type="http://schemas.openxmlformats.org/officeDocument/2006/relationships/hyperlink" Target="http://dx.doi.org/10.1021/jacs.5c22321" TargetMode="External"/><Relationship Id="rId511" Type="http://schemas.openxmlformats.org/officeDocument/2006/relationships/hyperlink" Target="https://doi.org/10.1021/jacs.5c22321" TargetMode="External"/><Relationship Id="rId512" Type="http://schemas.openxmlformats.org/officeDocument/2006/relationships/hyperlink" Target="http://dx.doi.org/10.1021/jacs.5c20510" TargetMode="External"/><Relationship Id="rId513" Type="http://schemas.openxmlformats.org/officeDocument/2006/relationships/hyperlink" Target="https://doi.org/10.1021/jacs.5c20510" TargetMode="External"/><Relationship Id="rId514" Type="http://schemas.openxmlformats.org/officeDocument/2006/relationships/hyperlink" Target="http://dx.doi.org/10.1021/jacs.5c15443" TargetMode="External"/><Relationship Id="rId515" Type="http://schemas.openxmlformats.org/officeDocument/2006/relationships/hyperlink" Target="https://doi.org/10.1021/jacs.5c15443" TargetMode="External"/><Relationship Id="rId516" Type="http://schemas.openxmlformats.org/officeDocument/2006/relationships/hyperlink" Target="http://dx.doi.org/10.1021/jacs.5c19901" TargetMode="External"/><Relationship Id="rId517" Type="http://schemas.openxmlformats.org/officeDocument/2006/relationships/hyperlink" Target="https://doi.org/10.1021/jacs.5c19901" TargetMode="External"/><Relationship Id="rId518" Type="http://schemas.openxmlformats.org/officeDocument/2006/relationships/hyperlink" Target="http://dx.doi.org/10.1021/jacs.5c18963" TargetMode="External"/><Relationship Id="rId519" Type="http://schemas.openxmlformats.org/officeDocument/2006/relationships/hyperlink" Target="https://doi.org/10.1021/jacs.5c18963" TargetMode="External"/><Relationship Id="rId520" Type="http://schemas.openxmlformats.org/officeDocument/2006/relationships/hyperlink" Target="http://dx.doi.org/10.1021/jacs.5c22219" TargetMode="External"/><Relationship Id="rId521" Type="http://schemas.openxmlformats.org/officeDocument/2006/relationships/hyperlink" Target="https://doi.org/10.1021/jacs.5c22219" TargetMode="External"/><Relationship Id="rId522" Type="http://schemas.openxmlformats.org/officeDocument/2006/relationships/hyperlink" Target="http://dx.doi.org/10.1021/acsenergylett.5c02838" TargetMode="External"/><Relationship Id="rId523" Type="http://schemas.openxmlformats.org/officeDocument/2006/relationships/hyperlink" Target="https://doi.org/10.1021/acsenergylett.5c02838" TargetMode="External"/><Relationship Id="rId524" Type="http://schemas.openxmlformats.org/officeDocument/2006/relationships/hyperlink" Target="http://dx.doi.org/10.1021/jacs.5c12757" TargetMode="External"/><Relationship Id="rId525" Type="http://schemas.openxmlformats.org/officeDocument/2006/relationships/hyperlink" Target="https://doi.org/10.1021/jacs.5c12757" TargetMode="External"/><Relationship Id="rId526" Type="http://schemas.openxmlformats.org/officeDocument/2006/relationships/hyperlink" Target="http://dx.doi.org/10.1021/jacs.5c16397" TargetMode="External"/><Relationship Id="rId527" Type="http://schemas.openxmlformats.org/officeDocument/2006/relationships/hyperlink" Target="https://doi.org/10.1021/jacs.5c16397" TargetMode="External"/><Relationship Id="rId528" Type="http://schemas.openxmlformats.org/officeDocument/2006/relationships/hyperlink" Target="http://dx.doi.org/10.1021/jacs.5c22622" TargetMode="External"/><Relationship Id="rId529" Type="http://schemas.openxmlformats.org/officeDocument/2006/relationships/hyperlink" Target="https://doi.org/10.1021/jacs.5c22622" TargetMode="External"/><Relationship Id="rId530" Type="http://schemas.openxmlformats.org/officeDocument/2006/relationships/hyperlink" Target="https://www.sciencedirect.com/science/article/pii/S0306261926000140?dgcid=rss_sd_all" TargetMode="External"/><Relationship Id="rId531" Type="http://schemas.openxmlformats.org/officeDocument/2006/relationships/hyperlink" Target="https://www.sciencedirect.com/science/article/pii/S0306261926000553?dgcid=rss_sd_all" TargetMode="External"/><Relationship Id="rId532" Type="http://schemas.openxmlformats.org/officeDocument/2006/relationships/hyperlink" Target="https://www.nature.com/articles/s44359-026-00144-7" TargetMode="External"/><Relationship Id="rId533" Type="http://schemas.openxmlformats.org/officeDocument/2006/relationships/hyperlink" Target="https://www.sciencedirect.com/science/article/pii/S030142152600025X?dgcid=rss_sd_all" TargetMode="External"/><Relationship Id="rId534" Type="http://schemas.openxmlformats.org/officeDocument/2006/relationships/hyperlink" Target="http://pubs.rsc.org/en/Content/ArticleLanding/2026/EE/D5EE05739F" TargetMode="External"/><Relationship Id="rId535" Type="http://schemas.openxmlformats.org/officeDocument/2006/relationships/hyperlink" Target="https://www.sciencedirect.com/science/article/pii/S0306261926000383?dgcid=rss_sd_all" TargetMode="External"/><Relationship Id="rId536" Type="http://schemas.openxmlformats.org/officeDocument/2006/relationships/hyperlink" Target="http://pubs.rsc.org/en/Content/ArticleLanding/2026/EE/D5EE06360D" TargetMode="External"/><Relationship Id="rId537" Type="http://schemas.openxmlformats.org/officeDocument/2006/relationships/hyperlink" Target="https://www.sciencedirect.com/science/article/pii/S0306261926000796?dgcid=rss_sd_all" TargetMode="External"/><Relationship Id="rId538" Type="http://schemas.openxmlformats.org/officeDocument/2006/relationships/hyperlink" Target="http://pubs.rsc.org/en/Content/ArticleLanding/2026/CS/D5CS01304F" TargetMode="External"/><Relationship Id="rId539" Type="http://schemas.openxmlformats.org/officeDocument/2006/relationships/hyperlink" Target="https://www.nature.com/articles/s41586-025-09939-3" TargetMode="External"/><Relationship Id="rId540" Type="http://schemas.openxmlformats.org/officeDocument/2006/relationships/hyperlink" Target="http://pubs.rsc.org/en/Content/ArticleLanding/2026/EE/D5EE07209C" TargetMode="External"/><Relationship Id="rId541" Type="http://schemas.openxmlformats.org/officeDocument/2006/relationships/hyperlink" Target="https://www.nature.com/articles/d41586-026-00018-9" TargetMode="External"/><Relationship Id="rId542" Type="http://schemas.openxmlformats.org/officeDocument/2006/relationships/hyperlink" Target="https://www.nature.com/articles/d41586-025-04097-y" TargetMode="External"/><Relationship Id="rId543" Type="http://schemas.openxmlformats.org/officeDocument/2006/relationships/hyperlink" Target="https://www.nature.com/articles/d41586-025-04095-0" TargetMode="External"/><Relationship Id="rId544" Type="http://schemas.openxmlformats.org/officeDocument/2006/relationships/hyperlink" Target="https://www.nature.com/articles/d41586-025-03727-9" TargetMode="External"/><Relationship Id="rId545" Type="http://schemas.openxmlformats.org/officeDocument/2006/relationships/hyperlink" Target="https://www.nature.com/articles/s41565-025-02073-1" TargetMode="External"/><Relationship Id="rId546" Type="http://schemas.openxmlformats.org/officeDocument/2006/relationships/hyperlink" Target="https://www.nature.com/articles/d41586-025-03605-4" TargetMode="External"/><Relationship Id="rId547" Type="http://schemas.openxmlformats.org/officeDocument/2006/relationships/hyperlink" Target="https://www.cell.com/one-earth/fulltext/S2590-3322(25)00425-7?rss=yes" TargetMode="External"/><Relationship Id="rId548" Type="http://schemas.openxmlformats.org/officeDocument/2006/relationships/hyperlink" Target="https://www.cell.com/matter/fulltext/S2590-2385(25)00620-4?rss=yes" TargetMode="External"/><Relationship Id="rId549" Type="http://schemas.openxmlformats.org/officeDocument/2006/relationships/hyperlink" Target="https://www.nature.com/articles/s41565-025-02104-x" TargetMode="External"/><Relationship Id="rId550" Type="http://schemas.openxmlformats.org/officeDocument/2006/relationships/hyperlink" Target="https://www.nature.com/articles/s41565-025-02107-8" TargetMode="External"/><Relationship Id="rId551" Type="http://schemas.openxmlformats.org/officeDocument/2006/relationships/hyperlink" Target="https://www.nature.com/articles/s41586-025-09826-x" TargetMode="External"/><Relationship Id="rId552" Type="http://schemas.openxmlformats.org/officeDocument/2006/relationships/hyperlink" Target="https://www.nature.com/articles/s41586-025-09876-1" TargetMode="External"/><Relationship Id="rId553" Type="http://schemas.openxmlformats.org/officeDocument/2006/relationships/hyperlink" Target="https://www.nature.com/articles/s41586-025-09883-2" TargetMode="External"/><Relationship Id="rId554" Type="http://schemas.openxmlformats.org/officeDocument/2006/relationships/hyperlink" Target="https://www.nature.com/articles/s41586-025-09912-0" TargetMode="External"/><Relationship Id="rId555" Type="http://schemas.openxmlformats.org/officeDocument/2006/relationships/hyperlink" Target="https://www.nature.com/articles/s41586-025-09917-9" TargetMode="External"/><Relationship Id="rId556" Type="http://schemas.openxmlformats.org/officeDocument/2006/relationships/hyperlink" Target="https://www.cell.com/joule/fulltext/S2542-4351(25)00446-5?rss=yes" TargetMode="External"/><Relationship Id="rId557" Type="http://schemas.openxmlformats.org/officeDocument/2006/relationships/hyperlink" Target="https://www.nature.com/articles/s41586-025-09964-2" TargetMode="External"/><Relationship Id="rId558" Type="http://schemas.openxmlformats.org/officeDocument/2006/relationships/hyperlink" Target="https://www.nature.com/articles/d41586-026-00054-5" TargetMode="External"/><Relationship Id="rId559" Type="http://schemas.openxmlformats.org/officeDocument/2006/relationships/hyperlink" Target="https://www.cell.com/joule/fulltext/S2542-4351(25)00419-2?rss=yes" TargetMode="External"/><Relationship Id="rId560" Type="http://schemas.openxmlformats.org/officeDocument/2006/relationships/hyperlink" Target="https://www.nature.com/articles/d41586-026-00089-8" TargetMode="External"/><Relationship Id="rId561" Type="http://schemas.openxmlformats.org/officeDocument/2006/relationships/hyperlink" Target="https://www.nature.com/articles/d41586-026-00094-x" TargetMode="External"/><Relationship Id="rId562" Type="http://schemas.openxmlformats.org/officeDocument/2006/relationships/hyperlink" Target="https://www.nature.com/articles/s41467-025-68233-y" TargetMode="External"/><Relationship Id="rId563" Type="http://schemas.openxmlformats.org/officeDocument/2006/relationships/hyperlink" Target="https://www.nature.com/articles/s41467-026-68501-5" TargetMode="External"/><Relationship Id="rId564" Type="http://schemas.openxmlformats.org/officeDocument/2006/relationships/hyperlink" Target="https://www.nature.com/articles/s41467-026-68678-9" TargetMode="External"/><Relationship Id="rId565" Type="http://schemas.openxmlformats.org/officeDocument/2006/relationships/hyperlink" Target="https://www.nature.com/articles/s41467-026-68713-9" TargetMode="External"/><Relationship Id="rId566" Type="http://schemas.openxmlformats.org/officeDocument/2006/relationships/hyperlink" Target="https://www.nature.com/articles/s41557-025-02055-9" TargetMode="External"/><Relationship Id="rId567" Type="http://schemas.openxmlformats.org/officeDocument/2006/relationships/hyperlink" Target="https://www.nature.com/articles/s41565-025-02054-4" TargetMode="External"/><Relationship Id="rId568" Type="http://schemas.openxmlformats.org/officeDocument/2006/relationships/hyperlink" Target="https://www.nature.com/articles/d41586-026-00204-9" TargetMode="External"/><Relationship Id="rId569" Type="http://schemas.openxmlformats.org/officeDocument/2006/relationships/hyperlink" Target="https://www.nature.com/articles/d41586-026-00188-6" TargetMode="External"/><Relationship Id="rId570" Type="http://schemas.openxmlformats.org/officeDocument/2006/relationships/hyperlink" Target="https://www.nature.com/articles/d41586-026-00185-9" TargetMode="External"/><Relationship Id="rId571" Type="http://schemas.openxmlformats.org/officeDocument/2006/relationships/hyperlink" Target="https://www.nature.com/articles/d41586-026-00178-8" TargetMode="External"/><Relationship Id="rId572" Type="http://schemas.openxmlformats.org/officeDocument/2006/relationships/hyperlink" Target="https://www.nature.com/articles/d41586-026-00177-9" TargetMode="External"/><Relationship Id="rId573" Type="http://schemas.openxmlformats.org/officeDocument/2006/relationships/hyperlink" Target="https://www.nature.com/articles/d41586-026-00099-6" TargetMode="External"/><Relationship Id="rId574" Type="http://schemas.openxmlformats.org/officeDocument/2006/relationships/hyperlink" Target="https://www.nature.com/articles/d41586-026-00098-7" TargetMode="External"/><Relationship Id="rId575" Type="http://schemas.openxmlformats.org/officeDocument/2006/relationships/hyperlink" Target="https://www.nature.com/articles/d41586-026-00097-8" TargetMode="External"/><Relationship Id="rId576" Type="http://schemas.openxmlformats.org/officeDocument/2006/relationships/hyperlink" Target="https://www.nature.com/articles/d41586-026-00096-9" TargetMode="External"/><Relationship Id="rId577" Type="http://schemas.openxmlformats.org/officeDocument/2006/relationships/hyperlink" Target="https://www.nature.com/articles/d41586-026-00095-w" TargetMode="External"/><Relationship Id="rId578" Type="http://schemas.openxmlformats.org/officeDocument/2006/relationships/hyperlink" Target="https://www.nature.com/articles/s41928-025-01559-z" TargetMode="External"/><Relationship Id="rId579" Type="http://schemas.openxmlformats.org/officeDocument/2006/relationships/hyperlink" Target="https://www.nature.com/articles/d41586-026-00093-y" TargetMode="External"/><Relationship Id="rId580" Type="http://schemas.openxmlformats.org/officeDocument/2006/relationships/hyperlink" Target="https://www.nature.com/articles/s41586-025-09968-y" TargetMode="External"/><Relationship Id="rId581" Type="http://schemas.openxmlformats.org/officeDocument/2006/relationships/hyperlink" Target="https://www.nature.com/articles/s41586-025-09966-0" TargetMode="External"/><Relationship Id="rId582" Type="http://schemas.openxmlformats.org/officeDocument/2006/relationships/hyperlink" Target="https://www.nature.com/articles/s41586-025-09994-w" TargetMode="External"/><Relationship Id="rId583" Type="http://schemas.openxmlformats.org/officeDocument/2006/relationships/hyperlink" Target="https://www.nature.com/articles/s41586-025-09996-8" TargetMode="External"/><Relationship Id="rId584" Type="http://schemas.openxmlformats.org/officeDocument/2006/relationships/hyperlink" Target="https://www.nature.com/articles/s41586-025-09997-7" TargetMode="External"/><Relationship Id="rId585" Type="http://schemas.openxmlformats.org/officeDocument/2006/relationships/hyperlink" Target="https://www.nature.com/articles/s41586-025-09998-6" TargetMode="External"/><Relationship Id="rId586" Type="http://schemas.openxmlformats.org/officeDocument/2006/relationships/hyperlink" Target="https://www.nature.com/articles/s41586-025-10000-6" TargetMode="External"/><Relationship Id="rId587" Type="http://schemas.openxmlformats.org/officeDocument/2006/relationships/hyperlink" Target="https://www.nature.com/articles/s41586-025-10003-3" TargetMode="External"/><Relationship Id="rId588" Type="http://schemas.openxmlformats.org/officeDocument/2006/relationships/hyperlink" Target="https://www.nature.com/articles/s41586-025-10006-0" TargetMode="External"/><Relationship Id="rId589" Type="http://schemas.openxmlformats.org/officeDocument/2006/relationships/hyperlink" Target="https://www.nature.com/articles/s41586-025-09990-0" TargetMode="External"/><Relationship Id="rId590" Type="http://schemas.openxmlformats.org/officeDocument/2006/relationships/hyperlink" Target="https://www.nature.com/articles/s41586-025-10009-x" TargetMode="External"/><Relationship Id="rId591" Type="http://schemas.openxmlformats.org/officeDocument/2006/relationships/hyperlink" Target="https://www.nature.com/articles/s41586-025-10013-1" TargetMode="External"/><Relationship Id="rId592" Type="http://schemas.openxmlformats.org/officeDocument/2006/relationships/hyperlink" Target="https://www.nature.com/articles/s41586-025-10063-5" TargetMode="External"/><Relationship Id="rId593" Type="http://schemas.openxmlformats.org/officeDocument/2006/relationships/hyperlink" Target="https://www.nature.com/articles/s41586-026-10140-3" TargetMode="External"/><Relationship Id="rId594" Type="http://schemas.openxmlformats.org/officeDocument/2006/relationships/hyperlink" Target="https://www.nature.com/articles/s41586-026-10148-9" TargetMode="External"/><Relationship Id="rId595" Type="http://schemas.openxmlformats.org/officeDocument/2006/relationships/hyperlink" Target="https://www.nature.com/articles/s41928-025-01461-8" TargetMode="External"/><Relationship Id="rId596" Type="http://schemas.openxmlformats.org/officeDocument/2006/relationships/hyperlink" Target="https://www.nature.com/articles/s41928-025-01464-5" TargetMode="External"/><Relationship Id="rId597" Type="http://schemas.openxmlformats.org/officeDocument/2006/relationships/hyperlink" Target="https://www.nature.com/articles/s41586-025-10012-2" TargetMode="External"/><Relationship Id="rId598" Type="http://schemas.openxmlformats.org/officeDocument/2006/relationships/hyperlink" Target="https://www.nature.com/articles/s41586-025-09988-8" TargetMode="External"/><Relationship Id="rId599" Type="http://schemas.openxmlformats.org/officeDocument/2006/relationships/hyperlink" Target="https://www.nature.com/articles/d41586-026-00227-2" TargetMode="External"/><Relationship Id="rId600" Type="http://schemas.openxmlformats.org/officeDocument/2006/relationships/hyperlink" Target="https://www.nature.com/articles/s41586-025-09970-4" TargetMode="External"/><Relationship Id="rId601" Type="http://schemas.openxmlformats.org/officeDocument/2006/relationships/hyperlink" Target="https://www.nature.com/articles/s41586-025-09971-3" TargetMode="External"/><Relationship Id="rId602" Type="http://schemas.openxmlformats.org/officeDocument/2006/relationships/hyperlink" Target="https://www.nature.com/articles/s41586-025-09972-2" TargetMode="External"/><Relationship Id="rId603" Type="http://schemas.openxmlformats.org/officeDocument/2006/relationships/hyperlink" Target="https://www.nature.com/articles/s41586-025-09974-0" TargetMode="External"/><Relationship Id="rId604" Type="http://schemas.openxmlformats.org/officeDocument/2006/relationships/hyperlink" Target="https://www.nature.com/articles/s41586-025-09978-w" TargetMode="External"/><Relationship Id="rId605" Type="http://schemas.openxmlformats.org/officeDocument/2006/relationships/hyperlink" Target="https://www.nature.com/articles/s41586-025-09987-9" TargetMode="External"/><Relationship Id="rId606" Type="http://schemas.openxmlformats.org/officeDocument/2006/relationships/hyperlink" Target="https://www.nature.com/articles/s41586-025-09983-z" TargetMode="External"/><Relationship Id="rId607" Type="http://schemas.openxmlformats.org/officeDocument/2006/relationships/hyperlink" Target="https://www.nature.com/articles/s41586-025-09985-x" TargetMode="External"/><Relationship Id="rId608" Type="http://schemas.openxmlformats.org/officeDocument/2006/relationships/hyperlink" Target="https://advanced.onlinelibrary.wiley.com/doi/10.1002/adma.202519243?af=R" TargetMode="External"/><Relationship Id="rId609" Type="http://schemas.openxmlformats.org/officeDocument/2006/relationships/hyperlink" Target="https://doi.org/10.1002/adma.202519243" TargetMode="External"/><Relationship Id="rId610" Type="http://schemas.openxmlformats.org/officeDocument/2006/relationships/hyperlink" Target="https://advanced.onlinelibrary.wiley.com/doi/10.1002/adma.202522905?af=R" TargetMode="External"/><Relationship Id="rId611" Type="http://schemas.openxmlformats.org/officeDocument/2006/relationships/hyperlink" Target="https://doi.org/10.1002/adma.202522905" TargetMode="External"/><Relationship Id="rId612" Type="http://schemas.openxmlformats.org/officeDocument/2006/relationships/hyperlink" Target="https://onlinelibrary.wiley.com/doi/10.1002/anie.202515593?af=R" TargetMode="External"/><Relationship Id="rId613" Type="http://schemas.openxmlformats.org/officeDocument/2006/relationships/hyperlink" Target="https://doi.org/10.1002/anie.202515593" TargetMode="External"/><Relationship Id="rId614" Type="http://schemas.openxmlformats.org/officeDocument/2006/relationships/hyperlink" Target="https://advanced.onlinelibrary.wiley.com/doi/10.1002/adma.202521529?af=R" TargetMode="External"/><Relationship Id="rId615" Type="http://schemas.openxmlformats.org/officeDocument/2006/relationships/hyperlink" Target="https://doi.org/10.1002/adma.202521529" TargetMode="External"/><Relationship Id="rId616" Type="http://schemas.openxmlformats.org/officeDocument/2006/relationships/hyperlink" Target="https://advanced.onlinelibrary.wiley.com/doi/10.1002/adma.202519588?af=R" TargetMode="External"/><Relationship Id="rId617" Type="http://schemas.openxmlformats.org/officeDocument/2006/relationships/hyperlink" Target="https://doi.org/10.1002/adma.202519588" TargetMode="External"/><Relationship Id="rId618" Type="http://schemas.openxmlformats.org/officeDocument/2006/relationships/hyperlink" Target="https://onlinelibrary.wiley.com/doi/10.1002/anie.202523314?af=R" TargetMode="External"/><Relationship Id="rId619" Type="http://schemas.openxmlformats.org/officeDocument/2006/relationships/hyperlink" Target="https://doi.org/10.1002/anie.202523314" TargetMode="External"/><Relationship Id="rId620" Type="http://schemas.openxmlformats.org/officeDocument/2006/relationships/hyperlink" Target="https://onlinelibrary.wiley.com/doi/10.1002/anie.202520281?af=R" TargetMode="External"/><Relationship Id="rId621" Type="http://schemas.openxmlformats.org/officeDocument/2006/relationships/hyperlink" Target="https://doi.org/10.1002/anie.202520281" TargetMode="External"/><Relationship Id="rId622" Type="http://schemas.openxmlformats.org/officeDocument/2006/relationships/hyperlink" Target="https://advanced.onlinelibrary.wiley.com/doi/10.1002/adma.202522922?af=R" TargetMode="External"/><Relationship Id="rId623" Type="http://schemas.openxmlformats.org/officeDocument/2006/relationships/hyperlink" Target="https://doi.org/10.1002/adma.202522922" TargetMode="External"/><Relationship Id="rId624" Type="http://schemas.openxmlformats.org/officeDocument/2006/relationships/hyperlink" Target="https://advanced.onlinelibrary.wiley.com/doi/10.1002/adma.202519324?af=R" TargetMode="External"/><Relationship Id="rId625" Type="http://schemas.openxmlformats.org/officeDocument/2006/relationships/hyperlink" Target="https://doi.org/10.1002/adma.202519324" TargetMode="External"/><Relationship Id="rId626" Type="http://schemas.openxmlformats.org/officeDocument/2006/relationships/hyperlink" Target="https://onlinelibrary.wiley.com/doi/10.1002/anie.202521741?af=R" TargetMode="External"/><Relationship Id="rId627" Type="http://schemas.openxmlformats.org/officeDocument/2006/relationships/hyperlink" Target="https://doi.org/10.1002/anie.202521741" TargetMode="External"/><Relationship Id="rId628" Type="http://schemas.openxmlformats.org/officeDocument/2006/relationships/hyperlink" Target="https://onlinelibrary.wiley.com/doi/10.1002/anie.202522680?af=R" TargetMode="External"/><Relationship Id="rId629" Type="http://schemas.openxmlformats.org/officeDocument/2006/relationships/hyperlink" Target="https://doi.org/10.1002/anie.202522680" TargetMode="External"/><Relationship Id="rId630" Type="http://schemas.openxmlformats.org/officeDocument/2006/relationships/hyperlink" Target="https://onlinelibrary.wiley.com/doi/10.1002/anie.202516617?af=R" TargetMode="External"/><Relationship Id="rId631" Type="http://schemas.openxmlformats.org/officeDocument/2006/relationships/hyperlink" Target="https://doi.org/10.1002/anie.202516617" TargetMode="External"/><Relationship Id="rId632" Type="http://schemas.openxmlformats.org/officeDocument/2006/relationships/hyperlink" Target="https://onlinelibrary.wiley.com/doi/10.1002/anie.202525694?af=R" TargetMode="External"/><Relationship Id="rId633" Type="http://schemas.openxmlformats.org/officeDocument/2006/relationships/hyperlink" Target="https://doi.org/10.1002/anie.202525694" TargetMode="External"/><Relationship Id="rId634" Type="http://schemas.openxmlformats.org/officeDocument/2006/relationships/hyperlink" Target="https://onlinelibrary.wiley.com/doi/10.1002/anie.202520056?af=R" TargetMode="External"/><Relationship Id="rId635" Type="http://schemas.openxmlformats.org/officeDocument/2006/relationships/hyperlink" Target="https://doi.org/10.1002/anie.202520056" TargetMode="External"/><Relationship Id="rId636" Type="http://schemas.openxmlformats.org/officeDocument/2006/relationships/hyperlink" Target="https://onlinelibrary.wiley.com/doi/10.1002/anie.202520859?af=R" TargetMode="External"/><Relationship Id="rId637" Type="http://schemas.openxmlformats.org/officeDocument/2006/relationships/hyperlink" Target="https://doi.org/10.1002/anie.202520859" TargetMode="External"/><Relationship Id="rId638" Type="http://schemas.openxmlformats.org/officeDocument/2006/relationships/hyperlink" Target="https://onlinelibrary.wiley.com/doi/10.1002/anie.202521319?af=R" TargetMode="External"/><Relationship Id="rId639" Type="http://schemas.openxmlformats.org/officeDocument/2006/relationships/hyperlink" Target="https://doi.org/10.1002/anie.202521319" TargetMode="External"/><Relationship Id="rId640" Type="http://schemas.openxmlformats.org/officeDocument/2006/relationships/hyperlink" Target="https://advanced.onlinelibrary.wiley.com/doi/10.1002/adma.202521105?af=R" TargetMode="External"/><Relationship Id="rId641" Type="http://schemas.openxmlformats.org/officeDocument/2006/relationships/hyperlink" Target="https://doi.org/10.1002/adma.202521105" TargetMode="External"/><Relationship Id="rId642" Type="http://schemas.openxmlformats.org/officeDocument/2006/relationships/hyperlink" Target="https://advanced.onlinelibrary.wiley.com/doi/10.1002/aenm.202505230?af=R" TargetMode="External"/><Relationship Id="rId643" Type="http://schemas.openxmlformats.org/officeDocument/2006/relationships/hyperlink" Target="https://doi.org/10.1002/aenm.202505230" TargetMode="External"/><Relationship Id="rId644" Type="http://schemas.openxmlformats.org/officeDocument/2006/relationships/hyperlink" Target="https://advanced.onlinelibrary.wiley.com/doi/10.1002/aenm.202505938?af=R" TargetMode="External"/><Relationship Id="rId645" Type="http://schemas.openxmlformats.org/officeDocument/2006/relationships/hyperlink" Target="https://doi.org/10.1002/aenm.202505938" TargetMode="External"/><Relationship Id="rId646" Type="http://schemas.openxmlformats.org/officeDocument/2006/relationships/hyperlink" Target="https://advanced.onlinelibrary.wiley.com/doi/10.1002/aenm.202505888?af=R" TargetMode="External"/><Relationship Id="rId647" Type="http://schemas.openxmlformats.org/officeDocument/2006/relationships/hyperlink" Target="https://doi.org/10.1002/aenm.202505888" TargetMode="External"/><Relationship Id="rId648" Type="http://schemas.openxmlformats.org/officeDocument/2006/relationships/hyperlink" Target="https://www.science.org/doi/abs/10.1126/sciadv.aeb6713?af=R" TargetMode="External"/><Relationship Id="rId649" Type="http://schemas.openxmlformats.org/officeDocument/2006/relationships/hyperlink" Target="https://doi.org/10.1126/sciadv.aeb6713" TargetMode="External"/><Relationship Id="rId650" Type="http://schemas.openxmlformats.org/officeDocument/2006/relationships/hyperlink" Target="https://www.pnas.org/doi/abs/10.1073/pnas.2531115123?mi=eymic2&amp;af=R&amp;access=on&amp;content=articlesChapters&amp;publication=pnas&amp;sortBy=Earliest&amp;target=default" TargetMode="External"/><Relationship Id="rId651" Type="http://schemas.openxmlformats.org/officeDocument/2006/relationships/hyperlink" Target="https://doi.org/10.1073/pnas.2531115123" TargetMode="External"/><Relationship Id="rId652" Type="http://schemas.openxmlformats.org/officeDocument/2006/relationships/hyperlink" Target="https://www.pnas.org/doi/abs/10.1073/pnas.2528599123?mi=eymic2&amp;af=R&amp;access=on&amp;content=articlesChapters&amp;publication=pnas&amp;sortBy=Earliest&amp;target=default" TargetMode="External"/><Relationship Id="rId653" Type="http://schemas.openxmlformats.org/officeDocument/2006/relationships/hyperlink" Target="https://doi.org/10.1073/pnas.2528599123" TargetMode="External"/><Relationship Id="rId654" Type="http://schemas.openxmlformats.org/officeDocument/2006/relationships/hyperlink" Target="https://www.pnas.org/doi/abs/10.1073/pnas.2527293123?mi=eymic2&amp;af=R&amp;access=on&amp;content=articlesChapters&amp;publication=pnas&amp;sortBy=Earliest&amp;target=default" TargetMode="External"/><Relationship Id="rId655" Type="http://schemas.openxmlformats.org/officeDocument/2006/relationships/hyperlink" Target="https://doi.org/10.1073/pnas.2527293123" TargetMode="External"/><Relationship Id="rId656" Type="http://schemas.openxmlformats.org/officeDocument/2006/relationships/hyperlink" Target="https://www.pnas.org/doi/abs/10.1073/pnas.2527019123?mi=eymic2&amp;af=R&amp;access=on&amp;content=articlesChapters&amp;publication=pnas&amp;sortBy=Earliest&amp;target=default" TargetMode="External"/><Relationship Id="rId657" Type="http://schemas.openxmlformats.org/officeDocument/2006/relationships/hyperlink" Target="https://doi.org/10.1073/pnas.2527019123" TargetMode="External"/><Relationship Id="rId658" Type="http://schemas.openxmlformats.org/officeDocument/2006/relationships/hyperlink" Target="https://www.pnas.org/doi/abs/10.1073/pnas.2525580123?mi=eymic2&amp;af=R&amp;access=on&amp;content=articlesChapters&amp;publication=pnas&amp;sortBy=Earliest&amp;target=default" TargetMode="External"/><Relationship Id="rId659" Type="http://schemas.openxmlformats.org/officeDocument/2006/relationships/hyperlink" Target="https://doi.org/10.1073/pnas.2525580123" TargetMode="External"/><Relationship Id="rId660" Type="http://schemas.openxmlformats.org/officeDocument/2006/relationships/hyperlink" Target="https://www.pnas.org/doi/abs/10.1073/pnas.2524129123?mi=eymic2&amp;af=R&amp;access=on&amp;content=articlesChapters&amp;publication=pnas&amp;sortBy=Earliest&amp;target=default" TargetMode="External"/><Relationship Id="rId661" Type="http://schemas.openxmlformats.org/officeDocument/2006/relationships/hyperlink" Target="https://doi.org/10.1073/pnas.2524129123" TargetMode="External"/><Relationship Id="rId662" Type="http://schemas.openxmlformats.org/officeDocument/2006/relationships/hyperlink" Target="https://www.pnas.org/doi/abs/10.1073/pnas.2522643123?mi=eymic2&amp;af=R&amp;access=on&amp;content=articlesChapters&amp;publication=pnas&amp;sortBy=Earliest&amp;target=default" TargetMode="External"/><Relationship Id="rId663" Type="http://schemas.openxmlformats.org/officeDocument/2006/relationships/hyperlink" Target="https://doi.org/10.1073/pnas.2522643123" TargetMode="External"/><Relationship Id="rId664" Type="http://schemas.openxmlformats.org/officeDocument/2006/relationships/hyperlink" Target="https://www.pnas.org/doi/abs/10.1073/pnas.2521353123?mi=eymic2&amp;af=R&amp;access=on&amp;content=articlesChapters&amp;publication=pnas&amp;sortBy=Earliest&amp;target=default" TargetMode="External"/><Relationship Id="rId665" Type="http://schemas.openxmlformats.org/officeDocument/2006/relationships/hyperlink" Target="https://doi.org/10.1073/pnas.2521353123" TargetMode="External"/><Relationship Id="rId666" Type="http://schemas.openxmlformats.org/officeDocument/2006/relationships/hyperlink" Target="https://www.pnas.org/doi/abs/10.1073/pnas.2520399123?mi=eymic2&amp;af=R&amp;access=on&amp;content=articlesChapters&amp;publication=pnas&amp;sortBy=Earliest&amp;target=default" TargetMode="External"/><Relationship Id="rId667" Type="http://schemas.openxmlformats.org/officeDocument/2006/relationships/hyperlink" Target="https://doi.org/10.1073/pnas.2520399123" TargetMode="External"/><Relationship Id="rId668" Type="http://schemas.openxmlformats.org/officeDocument/2006/relationships/hyperlink" Target="https://www.pnas.org/doi/abs/10.1073/pnas.2519809123?mi=eymic2&amp;af=R&amp;access=on&amp;content=articlesChapters&amp;publication=pnas&amp;sortBy=Earliest&amp;target=default" TargetMode="External"/><Relationship Id="rId669" Type="http://schemas.openxmlformats.org/officeDocument/2006/relationships/hyperlink" Target="https://doi.org/10.1073/pnas.2519809123" TargetMode="External"/><Relationship Id="rId670" Type="http://schemas.openxmlformats.org/officeDocument/2006/relationships/hyperlink" Target="https://www.pnas.org/doi/abs/10.1073/pnas.2517323123?mi=eymic2&amp;af=R&amp;access=on&amp;content=articlesChapters&amp;publication=pnas&amp;sortBy=Earliest&amp;target=default" TargetMode="External"/><Relationship Id="rId671" Type="http://schemas.openxmlformats.org/officeDocument/2006/relationships/hyperlink" Target="https://doi.org/10.1073/pnas.2517323123" TargetMode="External"/><Relationship Id="rId672" Type="http://schemas.openxmlformats.org/officeDocument/2006/relationships/hyperlink" Target="https://www.pnas.org/doi/abs/10.1073/pnas.2516460123?mi=eymic2&amp;af=R&amp;access=on&amp;content=articlesChapters&amp;publication=pnas&amp;sortBy=Earliest&amp;target=default" TargetMode="External"/><Relationship Id="rId673" Type="http://schemas.openxmlformats.org/officeDocument/2006/relationships/hyperlink" Target="https://doi.org/10.1073/pnas.2516460123" TargetMode="External"/><Relationship Id="rId674" Type="http://schemas.openxmlformats.org/officeDocument/2006/relationships/hyperlink" Target="https://www.pnas.org/doi/abs/10.1073/pnas.2516069123?mi=eymic2&amp;af=R&amp;access=on&amp;content=articlesChapters&amp;publication=pnas&amp;sortBy=Earliest&amp;target=default" TargetMode="External"/><Relationship Id="rId675" Type="http://schemas.openxmlformats.org/officeDocument/2006/relationships/hyperlink" Target="https://doi.org/10.1073/pnas.2516069123" TargetMode="External"/><Relationship Id="rId676" Type="http://schemas.openxmlformats.org/officeDocument/2006/relationships/hyperlink" Target="https://www.pnas.org/doi/abs/10.1073/pnas.2515138123?mi=eymic2&amp;af=R&amp;access=on&amp;content=articlesChapters&amp;publication=pnas&amp;sortBy=Earliest&amp;target=default" TargetMode="External"/><Relationship Id="rId677" Type="http://schemas.openxmlformats.org/officeDocument/2006/relationships/hyperlink" Target="https://doi.org/10.1073/pnas.2515138123" TargetMode="External"/><Relationship Id="rId678" Type="http://schemas.openxmlformats.org/officeDocument/2006/relationships/hyperlink" Target="https://www.pnas.org/doi/abs/10.1073/pnas.2511733123?mi=eymic2&amp;af=R&amp;access=on&amp;content=articlesChapters&amp;publication=pnas&amp;sortBy=Earliest&amp;target=default" TargetMode="External"/><Relationship Id="rId679" Type="http://schemas.openxmlformats.org/officeDocument/2006/relationships/hyperlink" Target="https://doi.org/10.1073/pnas.2511733123" TargetMode="External"/><Relationship Id="rId680" Type="http://schemas.openxmlformats.org/officeDocument/2006/relationships/hyperlink" Target="https://www.pnas.org/doi/abs/10.1073/pnas.2505321123?mi=eymic2&amp;af=R&amp;access=on&amp;content=articlesChapters&amp;publication=pnas&amp;sortBy=Earliest&amp;target=default" TargetMode="External"/><Relationship Id="rId681" Type="http://schemas.openxmlformats.org/officeDocument/2006/relationships/hyperlink" Target="https://doi.org/10.1073/pnas.2505321123" TargetMode="External"/><Relationship Id="rId682" Type="http://schemas.openxmlformats.org/officeDocument/2006/relationships/hyperlink" Target="https://www.pnas.org/doi/abs/10.1073/pnas.2416552123?mi=eymic2&amp;af=R&amp;access=on&amp;content=articlesChapters&amp;publication=pnas&amp;sortBy=Earliest&amp;target=default" TargetMode="External"/><Relationship Id="rId683" Type="http://schemas.openxmlformats.org/officeDocument/2006/relationships/hyperlink" Target="https://doi.org/10.1073/pnas.2416552123" TargetMode="External"/><Relationship Id="rId684" Type="http://schemas.openxmlformats.org/officeDocument/2006/relationships/hyperlink" Target="https://www.science.org/doi/abs/10.1126/sciadv.aec6277?af=R" TargetMode="External"/><Relationship Id="rId685" Type="http://schemas.openxmlformats.org/officeDocument/2006/relationships/hyperlink" Target="https://doi.org/10.1126/sciadv.aec6277" TargetMode="External"/><Relationship Id="rId686" Type="http://schemas.openxmlformats.org/officeDocument/2006/relationships/hyperlink" Target="https://www.pnas.org/doi/abs/10.1073/pnas.2537044123?mi=eymic2&amp;af=R&amp;access=on&amp;content=articlesChapters&amp;publication=pnas&amp;sortBy=Earliest&amp;target=default" TargetMode="External"/><Relationship Id="rId687" Type="http://schemas.openxmlformats.org/officeDocument/2006/relationships/hyperlink" Target="https://doi.org/10.1073/pnas.2537044123" TargetMode="External"/><Relationship Id="rId688" Type="http://schemas.openxmlformats.org/officeDocument/2006/relationships/hyperlink" Target="https://www.pnas.org/doi/abs/10.1073/pnas.2536289123?mi=eymic2&amp;af=R&amp;access=on&amp;content=articlesChapters&amp;publication=pnas&amp;sortBy=Earliest&amp;target=default" TargetMode="External"/><Relationship Id="rId689" Type="http://schemas.openxmlformats.org/officeDocument/2006/relationships/hyperlink" Target="https://doi.org/10.1073/pnas.2536289123" TargetMode="External"/><Relationship Id="rId690" Type="http://schemas.openxmlformats.org/officeDocument/2006/relationships/hyperlink" Target="https://www.science.org/doi/abs/10.1126/sciadv.adv3980?af=R" TargetMode="External"/><Relationship Id="rId691" Type="http://schemas.openxmlformats.org/officeDocument/2006/relationships/hyperlink" Target="https://doi.org/10.1126/sciadv.adv3980" TargetMode="External"/><Relationship Id="rId692" Type="http://schemas.openxmlformats.org/officeDocument/2006/relationships/hyperlink" Target="https://www.science.org/doi/abs/10.1126/sciadv.aeb6379?af=R" TargetMode="External"/><Relationship Id="rId693" Type="http://schemas.openxmlformats.org/officeDocument/2006/relationships/hyperlink" Target="https://doi.org/10.1126/sciadv.aeb6379" TargetMode="External"/><Relationship Id="rId694" Type="http://schemas.openxmlformats.org/officeDocument/2006/relationships/hyperlink" Target="https://www.science.org/doi/abs/10.1126/sciadv.aeb3022?af=R" TargetMode="External"/><Relationship Id="rId695" Type="http://schemas.openxmlformats.org/officeDocument/2006/relationships/hyperlink" Target="https://doi.org/10.1126/sciadv.aeb3022" TargetMode="External"/><Relationship Id="rId696" Type="http://schemas.openxmlformats.org/officeDocument/2006/relationships/hyperlink" Target="https://www.science.org/doi/abs/10.1126/sciadv.aea7001?af=R" TargetMode="External"/><Relationship Id="rId697" Type="http://schemas.openxmlformats.org/officeDocument/2006/relationships/hyperlink" Target="https://doi.org/10.1126/sciadv.aea7001" TargetMode="External"/><Relationship Id="rId698" Type="http://schemas.openxmlformats.org/officeDocument/2006/relationships/hyperlink" Target="https://www.science.org/doi/abs/10.1126/sciadv.aea1423?af=R" TargetMode="External"/><Relationship Id="rId699" Type="http://schemas.openxmlformats.org/officeDocument/2006/relationships/hyperlink" Target="https://doi.org/10.1126/sciadv.aea1423" TargetMode="External"/><Relationship Id="rId700" Type="http://schemas.openxmlformats.org/officeDocument/2006/relationships/hyperlink" Target="https://www.science.org/doi/abs/10.1126/sciadv.adz9227?af=R" TargetMode="External"/><Relationship Id="rId701" Type="http://schemas.openxmlformats.org/officeDocument/2006/relationships/hyperlink" Target="https://doi.org/10.1126/sciadv.adz9227" TargetMode="External"/><Relationship Id="rId702" Type="http://schemas.openxmlformats.org/officeDocument/2006/relationships/hyperlink" Target="https://www.science.org/doi/abs/10.1126/sciadv.adz7697?af=R" TargetMode="External"/><Relationship Id="rId703" Type="http://schemas.openxmlformats.org/officeDocument/2006/relationships/hyperlink" Target="https://doi.org/10.1126/sciadv.adz7697" TargetMode="External"/><Relationship Id="rId704" Type="http://schemas.openxmlformats.org/officeDocument/2006/relationships/hyperlink" Target="https://www.science.org/doi/abs/10.1126/sciadv.adz5523?af=R" TargetMode="External"/><Relationship Id="rId705" Type="http://schemas.openxmlformats.org/officeDocument/2006/relationships/hyperlink" Target="https://doi.org/10.1126/sciadv.adz5523" TargetMode="External"/><Relationship Id="rId706" Type="http://schemas.openxmlformats.org/officeDocument/2006/relationships/hyperlink" Target="https://www.pnas.org/doi/abs/10.1073/pnas.2537150123?mi=eymic2&amp;af=R&amp;access=on&amp;content=articlesChapters&amp;publication=pnas&amp;sortBy=Earliest&amp;target=default" TargetMode="External"/><Relationship Id="rId707" Type="http://schemas.openxmlformats.org/officeDocument/2006/relationships/hyperlink" Target="https://doi.org/10.1073/pnas.2537150123" TargetMode="External"/><Relationship Id="rId708" Type="http://schemas.openxmlformats.org/officeDocument/2006/relationships/hyperlink" Target="https://www.science.org/doi/abs/10.1126/sciadv.ady1400?af=R" TargetMode="External"/><Relationship Id="rId709" Type="http://schemas.openxmlformats.org/officeDocument/2006/relationships/hyperlink" Target="https://doi.org/10.1126/sciadv.ady1400" TargetMode="External"/><Relationship Id="rId710" Type="http://schemas.openxmlformats.org/officeDocument/2006/relationships/hyperlink" Target="https://www.science.org/doi/abs/10.1126/sciadv.ady3856?af=R" TargetMode="External"/><Relationship Id="rId711" Type="http://schemas.openxmlformats.org/officeDocument/2006/relationships/hyperlink" Target="https://doi.org/10.1126/sciadv.ady3856" TargetMode="External"/><Relationship Id="rId712" Type="http://schemas.openxmlformats.org/officeDocument/2006/relationships/hyperlink" Target="https://www.science.org/doi/abs/10.1126/sciadv.ady0374?af=R" TargetMode="External"/><Relationship Id="rId713" Type="http://schemas.openxmlformats.org/officeDocument/2006/relationships/hyperlink" Target="https://doi.org/10.1126/sciadv.ady0374" TargetMode="External"/><Relationship Id="rId714" Type="http://schemas.openxmlformats.org/officeDocument/2006/relationships/hyperlink" Target="https://www.science.org/doi/abs/10.1126/sciadv.adx9371?af=R" TargetMode="External"/><Relationship Id="rId715" Type="http://schemas.openxmlformats.org/officeDocument/2006/relationships/hyperlink" Target="https://doi.org/10.1126/sciadv.adx9371" TargetMode="External"/><Relationship Id="rId716" Type="http://schemas.openxmlformats.org/officeDocument/2006/relationships/hyperlink" Target="https://www.science.org/doi/abs/10.1126/sciadv.adx7204?af=R" TargetMode="External"/><Relationship Id="rId717" Type="http://schemas.openxmlformats.org/officeDocument/2006/relationships/hyperlink" Target="https://doi.org/10.1126/sciadv.adx7204" TargetMode="External"/><Relationship Id="rId718" Type="http://schemas.openxmlformats.org/officeDocument/2006/relationships/hyperlink" Target="https://www.science.org/doi/abs/10.1126/sciadv.adx6227?af=R" TargetMode="External"/><Relationship Id="rId719" Type="http://schemas.openxmlformats.org/officeDocument/2006/relationships/hyperlink" Target="https://doi.org/10.1126/sciadv.adx6227" TargetMode="External"/><Relationship Id="rId720" Type="http://schemas.openxmlformats.org/officeDocument/2006/relationships/hyperlink" Target="https://www.science.org/doi/abs/10.1126/sciadv.adw6726?af=R" TargetMode="External"/><Relationship Id="rId721" Type="http://schemas.openxmlformats.org/officeDocument/2006/relationships/hyperlink" Target="https://doi.org/10.1126/sciadv.adw6726" TargetMode="External"/><Relationship Id="rId722" Type="http://schemas.openxmlformats.org/officeDocument/2006/relationships/hyperlink" Target="https://www.science.org/doi/abs/10.1126/sciadv.adw4619?af=R" TargetMode="External"/><Relationship Id="rId723" Type="http://schemas.openxmlformats.org/officeDocument/2006/relationships/hyperlink" Target="https://doi.org/10.1126/sciadv.adw4619" TargetMode="External"/><Relationship Id="rId724" Type="http://schemas.openxmlformats.org/officeDocument/2006/relationships/hyperlink" Target="https://www.science.org/doi/abs/10.1126/sciadv.adw3368?af=R" TargetMode="External"/><Relationship Id="rId725" Type="http://schemas.openxmlformats.org/officeDocument/2006/relationships/hyperlink" Target="https://doi.org/10.1126/sciadv.adw3368" TargetMode="External"/><Relationship Id="rId726" Type="http://schemas.openxmlformats.org/officeDocument/2006/relationships/hyperlink" Target="https://www.science.org/doi/abs/10.1126/sciadv.ady1390?af=R" TargetMode="External"/><Relationship Id="rId727" Type="http://schemas.openxmlformats.org/officeDocument/2006/relationships/hyperlink" Target="https://doi.org/10.1126/sciadv.ady1390" TargetMode="External"/><Relationship Id="rId728" Type="http://schemas.openxmlformats.org/officeDocument/2006/relationships/hyperlink" Target="https://www.science.org/doi/abs/10.1126/sciadv.ady0550?af=R" TargetMode="External"/><Relationship Id="rId729" Type="http://schemas.openxmlformats.org/officeDocument/2006/relationships/hyperlink" Target="https://doi.org/10.1126/sciadv.ady0550" TargetMode="External"/><Relationship Id="rId730" Type="http://schemas.openxmlformats.org/officeDocument/2006/relationships/hyperlink" Target="http://dx.doi.org/10.1021/acsenergylett.5c03933" TargetMode="External"/><Relationship Id="rId731" Type="http://schemas.openxmlformats.org/officeDocument/2006/relationships/hyperlink" Target="https://doi.org/10.1021/acsenergylett.5c03933" TargetMode="External"/><Relationship Id="rId732" Type="http://schemas.openxmlformats.org/officeDocument/2006/relationships/hyperlink" Target="http://dx.doi.org/10.1021/jacs.5c18528" TargetMode="External"/><Relationship Id="rId733" Type="http://schemas.openxmlformats.org/officeDocument/2006/relationships/hyperlink" Target="https://doi.org/10.1021/jacs.5c18528" TargetMode="External"/><Relationship Id="rId734" Type="http://schemas.openxmlformats.org/officeDocument/2006/relationships/hyperlink" Target="http://dx.doi.org/10.1021/acsenergylett.5c04296" TargetMode="External"/><Relationship Id="rId735" Type="http://schemas.openxmlformats.org/officeDocument/2006/relationships/hyperlink" Target="https://doi.org/10.1021/acsenergylett.5c04296" TargetMode="External"/><Relationship Id="rId736" Type="http://schemas.openxmlformats.org/officeDocument/2006/relationships/hyperlink" Target="http://dx.doi.org/10.1021/acsenergylett.5c03504" TargetMode="External"/><Relationship Id="rId737" Type="http://schemas.openxmlformats.org/officeDocument/2006/relationships/hyperlink" Target="https://doi.org/10.1021/acsenergylett.5c03504" TargetMode="External"/><Relationship Id="rId738" Type="http://schemas.openxmlformats.org/officeDocument/2006/relationships/hyperlink" Target="http://dx.doi.org/10.1021/jacs.5c19317" TargetMode="External"/><Relationship Id="rId739" Type="http://schemas.openxmlformats.org/officeDocument/2006/relationships/hyperlink" Target="https://doi.org/10.1021/jacs.5c193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